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E25" w:rsidRDefault="008E5DF9">
      <w:pPr>
        <w:pStyle w:val="2"/>
        <w:spacing w:after="0" w:line="578" w:lineRule="exact"/>
        <w:ind w:leftChars="0" w:left="0"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石家庄市鹿泉区</w:t>
      </w:r>
      <w:r w:rsidR="00A61AA8">
        <w:rPr>
          <w:rFonts w:ascii="方正小标宋简体" w:eastAsia="方正小标宋简体" w:hAnsi="方正小标宋简体" w:cs="方正小标宋简体" w:hint="eastAsia"/>
          <w:sz w:val="44"/>
          <w:szCs w:val="44"/>
        </w:rPr>
        <w:t>大河镇</w:t>
      </w:r>
      <w:r w:rsidR="00254E5B"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人民政府        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2026年第二十五次跨部门</w:t>
      </w:r>
    </w:p>
    <w:p w:rsidR="00CF7E25" w:rsidRDefault="008E5DF9">
      <w:pPr>
        <w:pStyle w:val="2"/>
        <w:spacing w:after="0" w:line="578" w:lineRule="exact"/>
        <w:ind w:leftChars="0" w:left="0"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“双随机、一公开”联合抽查实施方案</w:t>
      </w:r>
    </w:p>
    <w:p w:rsidR="00CF7E25" w:rsidRDefault="00CF7E25">
      <w:pPr>
        <w:pStyle w:val="2"/>
        <w:spacing w:after="0" w:line="578" w:lineRule="exact"/>
        <w:ind w:leftChars="0" w:left="0"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7E25" w:rsidRDefault="008E5DF9">
      <w:pPr>
        <w:pStyle w:val="2"/>
        <w:spacing w:line="578" w:lineRule="exact"/>
        <w:ind w:leftChars="0" w:left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为深入推进“双随机、一公开”监管与企业信用风险分级分类监管有机结合，</w:t>
      </w:r>
      <w:r>
        <w:rPr>
          <w:rFonts w:ascii="仿宋_GB2312" w:eastAsia="仿宋_GB2312" w:hAnsi="仿宋_GB2312" w:cs="仿宋_GB2312" w:hint="eastAsia"/>
          <w:color w:val="000000"/>
          <w:kern w:val="60"/>
          <w:sz w:val="32"/>
          <w:szCs w:val="32"/>
        </w:rPr>
        <w:t>提高双随机抽查的精准性和靶向性，</w:t>
      </w:r>
      <w:r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根据《2026年石家庄市鹿泉区“双随机、一公开”监管工作实施方案》、</w:t>
      </w:r>
      <w:r>
        <w:rPr>
          <w:rFonts w:ascii="仿宋_GB2312" w:eastAsia="仿宋_GB2312" w:hAnsi="仿宋_GB2312" w:cs="仿宋_GB2312" w:hint="eastAsia"/>
          <w:sz w:val="32"/>
          <w:szCs w:val="32"/>
        </w:rPr>
        <w:t>《石家庄市鹿泉区2026年度“双随机、一公开”抽查工作计划》</w:t>
      </w:r>
      <w:r>
        <w:rPr>
          <w:rFonts w:ascii="仿宋_GB2312" w:eastAsia="仿宋_GB2312" w:hAnsi="仿宋_GB2312" w:cs="仿宋_GB2312" w:hint="eastAsia"/>
          <w:color w:val="000000"/>
          <w:kern w:val="60"/>
          <w:sz w:val="32"/>
          <w:szCs w:val="32"/>
        </w:rPr>
        <w:t>文件决定组织开展</w:t>
      </w:r>
      <w:r>
        <w:rPr>
          <w:rFonts w:ascii="仿宋_GB2312" w:eastAsia="仿宋_GB2312" w:hAnsi="仿宋_GB2312" w:cs="仿宋_GB2312" w:hint="eastAsia"/>
          <w:sz w:val="32"/>
          <w:szCs w:val="32"/>
        </w:rPr>
        <w:t>2026年</w:t>
      </w:r>
      <w:r>
        <w:rPr>
          <w:rFonts w:ascii="Calibri" w:eastAsia="仿宋_GB2312" w:hAnsi="Calibri" w:cs="仿宋_GB2312" w:hint="eastAsia"/>
          <w:sz w:val="32"/>
          <w:szCs w:val="32"/>
        </w:rPr>
        <w:t>第二十五次</w:t>
      </w:r>
      <w:r>
        <w:rPr>
          <w:rFonts w:ascii="仿宋_GB2312" w:eastAsia="仿宋_GB2312" w:hAnsi="仿宋_GB2312" w:cs="仿宋_GB2312" w:hint="eastAsia"/>
          <w:sz w:val="32"/>
          <w:szCs w:val="32"/>
        </w:rPr>
        <w:t>跨部门“双随机、一公开”联合抽查，特制定本方案。</w:t>
      </w:r>
    </w:p>
    <w:p w:rsidR="00CF7E25" w:rsidRDefault="008E5DF9">
      <w:pPr>
        <w:pStyle w:val="2"/>
        <w:spacing w:after="0" w:line="578" w:lineRule="exact"/>
        <w:ind w:leftChars="0" w:left="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一、时间安排</w:t>
      </w:r>
    </w:p>
    <w:p w:rsidR="00CF7E25" w:rsidRDefault="008E5DF9">
      <w:pPr>
        <w:pStyle w:val="2"/>
        <w:spacing w:after="0" w:line="578" w:lineRule="exact"/>
        <w:ind w:leftChars="0" w:left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2026年10月20日至11月30日</w:t>
      </w:r>
    </w:p>
    <w:p w:rsidR="00CF7E25" w:rsidRDefault="008E5DF9">
      <w:pPr>
        <w:pStyle w:val="2"/>
        <w:spacing w:after="0" w:line="578" w:lineRule="exact"/>
        <w:ind w:leftChars="0" w:left="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二、抽查事项内容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大河镇人民政府</w:t>
      </w:r>
      <w:r>
        <w:rPr>
          <w:rFonts w:ascii="仿宋_GB2312" w:eastAsia="仿宋_GB2312" w:hAnsi="仿宋_GB2312" w:cs="仿宋_GB2312" w:hint="eastAsia"/>
          <w:sz w:val="32"/>
          <w:szCs w:val="32"/>
        </w:rPr>
        <w:t>：贯彻落实民族政策和有关法律法规监督检查；临时性建筑物搭建、堆放物料、占道施工审批后的监督检查；设置大型户外广告及城市建筑物、设施上悬挂、张贴宣传品的检查（城管局）；对违反《河北省清真食品管理条例》的监督检查；全省卫星电视广播地面接收设施管理工作监督检查；电影发行放映单位“双随机”抽查。</w:t>
      </w:r>
    </w:p>
    <w:p w:rsidR="00CF7E25" w:rsidRDefault="008E5DF9">
      <w:pPr>
        <w:pStyle w:val="2"/>
        <w:ind w:leftChars="0" w:left="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区市场监管局：公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示信息检查。</w:t>
      </w:r>
    </w:p>
    <w:p w:rsidR="00CF7E25" w:rsidRDefault="008E5DF9">
      <w:pPr>
        <w:pStyle w:val="2"/>
        <w:ind w:leftChars="0" w:left="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三、抽查对象范围及比例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（一）抽查对象范围：辖区重点行业。</w:t>
      </w:r>
    </w:p>
    <w:p w:rsidR="00CF7E25" w:rsidRDefault="008E5DF9">
      <w:pPr>
        <w:spacing w:line="578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（二）抽取比例：按照信用风险分级分类等级抽取涉及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行业共计不低于3%。</w:t>
      </w:r>
    </w:p>
    <w:p w:rsidR="00CF7E25" w:rsidRDefault="008E5DF9">
      <w:pPr>
        <w:spacing w:line="578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四、名单抽取及派发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(一)通过“河北省双随机执法监管平台”从检查对象名录库抽取确定被检查对象，由“河北省双随机执法监管平台”自动派发到各监管单位，由各单位的管理员在两个工作日内完成比对和确认。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(二)各监管单位通过“河北省双随机执法监管平台”对被检查对象进行认领，从执法人员名录库中随机抽取执法检查人员进行匹配编组。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三）被检查对象和检查人员确定后，由“河北省双随机执法监管平台”随机匹配，自动生成一户企业一份随机抽查联合检查记录表(简称“一企一表”)，并自动派发到执法检查人员(可直接在APP端查看)，实施检查。</w:t>
      </w:r>
    </w:p>
    <w:p w:rsidR="00CF7E25" w:rsidRDefault="008E5DF9">
      <w:pPr>
        <w:spacing w:line="578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五、组织实施</w:t>
      </w:r>
    </w:p>
    <w:p w:rsidR="00CF7E25" w:rsidRDefault="008E5DF9">
      <w:pPr>
        <w:spacing w:line="578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（一）任务分工</w:t>
      </w:r>
    </w:p>
    <w:p w:rsidR="00CF7E25" w:rsidRDefault="008E5DF9">
      <w:pPr>
        <w:autoSpaceDN w:val="0"/>
        <w:spacing w:line="578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1.本次联合抽查由</w:t>
      </w:r>
      <w:r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大河镇人民政府</w:t>
      </w:r>
      <w:r>
        <w:rPr>
          <w:rFonts w:ascii="仿宋_GB2312" w:eastAsia="仿宋_GB2312" w:hint="eastAsia"/>
          <w:sz w:val="32"/>
          <w:szCs w:val="32"/>
        </w:rPr>
        <w:t>牵头，纳入跨部门“双随机、一公开”联合抽查的区有关部门为：区市场监管局。牵头单位和配合部门根据职能职责具体实施本次“双随机、一公开”联合抽查工作。</w:t>
      </w:r>
    </w:p>
    <w:p w:rsidR="00CF7E25" w:rsidRDefault="008E5DF9">
      <w:pPr>
        <w:autoSpaceDN w:val="0"/>
        <w:spacing w:line="578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2.随机抽取的执法人员，无法独立完成专业抽查事项的，由执法检查人员所在部门选派专业人员协助指导完成工作。</w:t>
      </w:r>
    </w:p>
    <w:p w:rsidR="00CF7E25" w:rsidRDefault="008E5DF9">
      <w:pPr>
        <w:pStyle w:val="2"/>
        <w:spacing w:line="578" w:lineRule="exact"/>
        <w:ind w:leftChars="0" w:left="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3.分派的检查对象本级没有执法权的，由上级部门授权</w:t>
      </w:r>
      <w:r>
        <w:rPr>
          <w:rFonts w:ascii="仿宋_GB2312" w:eastAsia="仿宋_GB2312" w:hint="eastAsia"/>
          <w:sz w:val="32"/>
          <w:szCs w:val="32"/>
        </w:rPr>
        <w:lastRenderedPageBreak/>
        <w:t>检查，没有对应检查人员的由市级选派人员参加区县检查组。</w:t>
      </w:r>
    </w:p>
    <w:p w:rsidR="00CF7E25" w:rsidRDefault="008E5DF9">
      <w:pPr>
        <w:autoSpaceDN w:val="0"/>
        <w:spacing w:line="578" w:lineRule="exact"/>
        <w:ind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（二）检查方式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1.现场检查一般采取信息比对、实地核查等方法。</w:t>
      </w:r>
    </w:p>
    <w:p w:rsidR="00CF7E25" w:rsidRDefault="008E5DF9">
      <w:pPr>
        <w:spacing w:line="578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2.通知检查对象，电话通知或下达检查通知书，告知被检查对象检查内容及需要检查对象配合的事宜。</w:t>
      </w:r>
    </w:p>
    <w:p w:rsidR="00CF7E25" w:rsidRDefault="008E5DF9">
      <w:pPr>
        <w:pStyle w:val="2"/>
        <w:spacing w:line="578" w:lineRule="exact"/>
        <w:ind w:leftChars="0" w:left="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对企业进行实地核查时，应当出示相应证件，检查人员应当填写“一企一表”，并由被检查企业法定代表人签字或盖章确认；被检查对象拒绝签字的应当在“一企一表”上如实记录；以上操作可在“河北省双随机执法监管平台”手机APP上完成。</w:t>
      </w:r>
    </w:p>
    <w:p w:rsidR="00CF7E25" w:rsidRDefault="008E5DF9">
      <w:pPr>
        <w:spacing w:line="578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（三）抽查结果公示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/>
          <w:color w:val="222222"/>
          <w:sz w:val="32"/>
        </w:rPr>
      </w:pPr>
      <w:r>
        <w:rPr>
          <w:rFonts w:ascii="仿宋_GB2312" w:eastAsia="仿宋_GB2312" w:hAnsi="仿宋_GB2312" w:hint="eastAsia"/>
          <w:color w:val="222222"/>
          <w:sz w:val="32"/>
        </w:rPr>
        <w:t>执法检查人员要自完成“双随机、一公开”联合抽查工作结束之日起20个工作日内，在“河北省双随机执法监管平台”完成录入、审核，抽查结果由系统完成数据交换自动归集到市场主体名下，通过“河北省双随机执法监管平台”自动交换到“国家市场主体信用信息公示系统”（河北）向社会公示。</w:t>
      </w:r>
    </w:p>
    <w:p w:rsidR="00CF7E25" w:rsidRDefault="008E5DF9">
      <w:pPr>
        <w:autoSpaceDN w:val="0"/>
        <w:spacing w:line="600" w:lineRule="exact"/>
        <w:ind w:firstLine="640"/>
        <w:rPr>
          <w:rFonts w:ascii="楷体_GB2312" w:eastAsia="楷体_GB2312" w:hAnsi="楷体_GB2312" w:cs="楷体_GB2312"/>
          <w:color w:val="222222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222222"/>
          <w:sz w:val="32"/>
          <w:szCs w:val="32"/>
        </w:rPr>
        <w:t>（四）后续结果处置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Times New Roman"/>
          <w:color w:val="222222"/>
          <w:sz w:val="32"/>
        </w:rPr>
      </w:pPr>
      <w:r>
        <w:rPr>
          <w:rFonts w:ascii="仿宋_GB2312" w:eastAsia="仿宋_GB2312" w:hAnsi="仿宋_GB2312" w:cs="Times New Roman" w:hint="eastAsia"/>
          <w:color w:val="222222"/>
          <w:sz w:val="32"/>
        </w:rPr>
        <w:t>各单位要根据职责和管辖权限，对检查中发现的违法线索，及时依法处理或移交有关部门，并在20个工作日内将后续处置结果录入“河北省双随机执法监管平台”中“后续处置”模块，确保后续监管到位，形成监管闭环。</w:t>
      </w:r>
    </w:p>
    <w:p w:rsidR="00CF7E25" w:rsidRDefault="008E5DF9">
      <w:pPr>
        <w:spacing w:line="578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六、工作要求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楷体_GB2312" w:eastAsia="楷体_GB2312" w:hAnsi="楷体_GB2312" w:cs="楷体_GB2312" w:hint="eastAsia"/>
          <w:color w:val="000000"/>
          <w:sz w:val="32"/>
        </w:rPr>
        <w:t>（一）明确工作职责，做好组织保障。</w:t>
      </w:r>
      <w:r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大河镇人民政府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做好牵头工作;区有关部门要加强对本系统抽查任务的业务指导。进一步建立健全政府主导、市场监管部门牵头、各有关部门协调联动、统筹推进的工作机制，强化组织保障、机制保障、经费保障，确保各项措施有序推进。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楷体_GB2312" w:eastAsia="楷体_GB2312" w:hAnsi="楷体_GB2312" w:cs="楷体_GB2312" w:hint="eastAsia"/>
          <w:color w:val="000000"/>
          <w:sz w:val="32"/>
        </w:rPr>
        <w:t>(二)周密制定计划，认真抓好落实。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各有关单位要按照区政府统一部署，积极筹划，精心组织，加强宣传，认真制定具体工作方案，按时完成各项检查工作。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楷体_GB2312" w:eastAsia="楷体_GB2312" w:hAnsi="楷体_GB2312" w:cs="楷体_GB2312" w:hint="eastAsia"/>
          <w:color w:val="000000"/>
          <w:sz w:val="32"/>
        </w:rPr>
        <w:t>(三)落实“应联尽联”，提高检查效率。</w:t>
      </w:r>
      <w:r>
        <w:rPr>
          <w:rFonts w:ascii="仿宋_GB2312" w:eastAsia="仿宋_GB2312" w:hAnsi="仿宋_GB2312" w:cs="仿宋_GB2312" w:hint="eastAsia"/>
          <w:color w:val="000000"/>
          <w:sz w:val="32"/>
        </w:rPr>
        <w:t>牵头部门的检查人员负责组织协调管理，统一安排检查日程、检查方式，组织实施联合检查。其他检查人员应各司其职，配合、服从安排，分工协作完成检查任务，实现“进一次门、查多项事”，避免多头执法、重复检查,减轻企业负担。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楷体_GB2312" w:eastAsia="楷体_GB2312" w:hAnsi="楷体_GB2312" w:cs="楷体_GB2312" w:hint="eastAsia"/>
          <w:color w:val="000000"/>
          <w:sz w:val="32"/>
        </w:rPr>
        <w:t>(四)寓监管于服务，减轻企业负担。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在联合抽查工作中，各有关部门要注重服务与监管相结合，检查人员在监督检查工作中要严格遵守廉政纪律，依法行政，切实增强检查活动的集约性、简便性与有效性，避免增加企业负担。同时要增强服务意识，把上门检查与上门服务有机结合起来，主动接受企业咨询，为企业解疑答惑。</w:t>
      </w:r>
    </w:p>
    <w:p w:rsidR="00CF7E25" w:rsidRDefault="008E5DF9">
      <w:pPr>
        <w:autoSpaceDN w:val="0"/>
        <w:spacing w:line="578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</w:rPr>
      </w:pPr>
      <w:r>
        <w:rPr>
          <w:rFonts w:ascii="楷体_GB2312" w:eastAsia="楷体_GB2312" w:hAnsi="楷体_GB2312" w:cs="楷体_GB2312" w:hint="eastAsia"/>
          <w:color w:val="000000"/>
          <w:sz w:val="32"/>
        </w:rPr>
        <w:t>(五)按时公示结果，促进信用监管。</w:t>
      </w:r>
      <w:r>
        <w:rPr>
          <w:rFonts w:ascii="仿宋_GB2312" w:eastAsia="仿宋_GB2312" w:hAnsi="仿宋_GB2312" w:cs="仿宋_GB2312" w:hint="eastAsia"/>
          <w:color w:val="000000"/>
          <w:sz w:val="32"/>
        </w:rPr>
        <w:t>联合抽查工作要做好检查结果的公示，严格按照《2026年石家庄市鹿泉区“双随机、一公开”监管工作实施方案》的要求，及时录入并公</w:t>
      </w:r>
      <w:r>
        <w:rPr>
          <w:rFonts w:ascii="仿宋_GB2312" w:eastAsia="仿宋_GB2312" w:hAnsi="仿宋_GB2312" w:cs="仿宋_GB2312" w:hint="eastAsia"/>
          <w:color w:val="000000"/>
          <w:sz w:val="32"/>
        </w:rPr>
        <w:lastRenderedPageBreak/>
        <w:t>示检查结果。同时，对抽查中发现的问题依法依规处置，及时回填后续处理结果，形成完整闭环。</w:t>
      </w:r>
    </w:p>
    <w:p w:rsidR="00CF7E25" w:rsidRDefault="008E5DF9">
      <w:pPr>
        <w:suppressAutoHyphens/>
        <w:spacing w:line="578" w:lineRule="exact"/>
        <w:ind w:firstLineChars="200" w:firstLine="640"/>
        <w:rPr>
          <w:rFonts w:ascii="仿宋_GB2312" w:eastAsia="仿宋_GB2312" w:hAnsi="Calibri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（六）认真总结及时反馈情况。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各抽查部门要认真总结联合抽查中的经验做法及存在问题。检查牵头部门汇总后于2026年12月5日前</w:t>
      </w:r>
      <w:r>
        <w:rPr>
          <w:rFonts w:ascii="仿宋_GB2312" w:eastAsia="仿宋_GB2312" w:hAnsi="Calibri" w:hint="eastAsia"/>
          <w:sz w:val="32"/>
          <w:szCs w:val="32"/>
        </w:rPr>
        <w:t>将加盖公章的总结、统计表报</w:t>
      </w:r>
      <w:r>
        <w:rPr>
          <w:rFonts w:ascii="仿宋_GB2312" w:eastAsia="仿宋_GB2312" w:hint="eastAsia"/>
          <w:sz w:val="32"/>
          <w:szCs w:val="32"/>
        </w:rPr>
        <w:t>区市场监管局</w:t>
      </w:r>
      <w:r>
        <w:rPr>
          <w:rFonts w:ascii="仿宋_GB2312" w:eastAsia="仿宋_GB2312" w:hAnsi="Calibri" w:hint="eastAsia"/>
          <w:sz w:val="32"/>
          <w:szCs w:val="32"/>
        </w:rPr>
        <w:t>。</w:t>
      </w:r>
    </w:p>
    <w:p w:rsidR="00CF7E25" w:rsidRDefault="008E5DF9">
      <w:pPr>
        <w:adjustRightInd w:val="0"/>
        <w:spacing w:line="578" w:lineRule="exact"/>
        <w:ind w:leftChars="304" w:left="1918" w:hangingChars="400" w:hanging="12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附件：1.石家庄市鹿泉区</w:t>
      </w:r>
      <w:r w:rsidR="00A61AA8">
        <w:rPr>
          <w:rFonts w:ascii="仿宋_GB2312" w:eastAsia="仿宋_GB2312" w:hint="eastAsia"/>
          <w:sz w:val="32"/>
          <w:szCs w:val="32"/>
        </w:rPr>
        <w:t>大河镇</w:t>
      </w:r>
      <w:r>
        <w:rPr>
          <w:rFonts w:ascii="仿宋_GB2312" w:eastAsia="仿宋_GB2312" w:hint="eastAsia"/>
          <w:sz w:val="32"/>
          <w:szCs w:val="32"/>
        </w:rPr>
        <w:t>2026年第二十五次跨部门“双随机、一公开”联合抽查情况统计表</w:t>
      </w:r>
    </w:p>
    <w:p w:rsidR="00CF7E25" w:rsidRDefault="008E5DF9">
      <w:pPr>
        <w:pStyle w:val="2"/>
        <w:ind w:firstLineChars="400" w:firstLine="1280"/>
        <w:rPr>
          <w:rFonts w:eastAsia="仿宋_GB2312"/>
        </w:rPr>
      </w:pPr>
      <w:r>
        <w:rPr>
          <w:rFonts w:ascii="仿宋_GB2312" w:eastAsia="仿宋_GB2312" w:hint="eastAsia"/>
          <w:sz w:val="32"/>
          <w:szCs w:val="32"/>
        </w:rPr>
        <w:t>2.现场检查预先通知单</w:t>
      </w:r>
    </w:p>
    <w:p w:rsidR="00CF7E25" w:rsidRDefault="00CF7E25">
      <w:pPr>
        <w:pStyle w:val="2"/>
        <w:spacing w:line="578" w:lineRule="exact"/>
        <w:ind w:leftChars="0" w:left="0" w:firstLine="640"/>
        <w:rPr>
          <w:rFonts w:ascii="仿宋_GB2312" w:eastAsia="仿宋_GB2312"/>
          <w:sz w:val="32"/>
          <w:szCs w:val="32"/>
        </w:rPr>
      </w:pPr>
    </w:p>
    <w:p w:rsidR="00CF7E25" w:rsidRDefault="00CF7E25">
      <w:pPr>
        <w:pStyle w:val="2"/>
        <w:spacing w:after="0" w:line="578" w:lineRule="exact"/>
        <w:ind w:leftChars="0" w:left="0" w:firstLineChars="0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F7E25" w:rsidRDefault="00CF7E25"/>
    <w:p w:rsidR="00CF7E25" w:rsidRDefault="00CF7E25">
      <w:pPr>
        <w:pStyle w:val="a4"/>
      </w:pPr>
    </w:p>
    <w:p w:rsidR="00CF7E25" w:rsidRDefault="00CF7E25"/>
    <w:p w:rsidR="00CF7E25" w:rsidRDefault="00CF7E25">
      <w:pPr>
        <w:pStyle w:val="a4"/>
      </w:pPr>
    </w:p>
    <w:p w:rsidR="00CF7E25" w:rsidRDefault="00CF7E25">
      <w:pPr>
        <w:adjustRightInd w:val="0"/>
        <w:spacing w:line="578" w:lineRule="exact"/>
        <w:rPr>
          <w:rFonts w:ascii="仿宋_GB2312" w:eastAsia="仿宋_GB2312"/>
          <w:sz w:val="32"/>
          <w:szCs w:val="32"/>
        </w:rPr>
        <w:sectPr w:rsidR="00CF7E25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F7E25" w:rsidRDefault="002C07AB">
      <w:pPr>
        <w:adjustRightInd w:val="0"/>
        <w:spacing w:line="578" w:lineRule="exact"/>
        <w:rPr>
          <w:rFonts w:ascii="仿宋_GB2312" w:eastAsia="仿宋_GB2312"/>
          <w:sz w:val="32"/>
          <w:szCs w:val="32"/>
        </w:rPr>
      </w:pPr>
      <w:r w:rsidRPr="002C07AB">
        <w:rPr>
          <w:sz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4.4pt;margin-top:-1.55pt;width:37.5pt;height:86.95pt;z-index:-251658752" o:gfxdata="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Hp6UCDbAAAACwEAAA8A&#10;AAAAAAAAAQAgAAAAIgAAAGRycy9kb3ducmV2LnhtbFBLAQIUABQAAAAIAIdO4kAj5hH2ogEAABkD&#10;AAAOAAAAAAAAAAEAIAAAACoBAABkcnMvZTJvRG9jLnhtbFBLBQYAAAAABgAGAFkBAAA+BQAAAAA=&#10;" filled="f" stroked="f">
            <v:textbox style="layout-flow:vertical-ideographic">
              <w:txbxContent>
                <w:p w:rsidR="00CF7E25" w:rsidRDefault="00CF7E25"/>
              </w:txbxContent>
            </v:textbox>
          </v:shape>
        </w:pict>
      </w:r>
      <w:r w:rsidR="008E5DF9">
        <w:rPr>
          <w:rFonts w:ascii="仿宋_GB2312" w:eastAsia="仿宋_GB2312" w:hint="eastAsia"/>
          <w:sz w:val="32"/>
          <w:szCs w:val="32"/>
        </w:rPr>
        <w:t>附件1</w:t>
      </w:r>
    </w:p>
    <w:p w:rsidR="00CF7E25" w:rsidRDefault="008E5DF9">
      <w:pPr>
        <w:adjustRightInd w:val="0"/>
        <w:spacing w:line="578" w:lineRule="exact"/>
        <w:ind w:leftChars="351" w:left="2057" w:hangingChars="300" w:hanging="13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石家庄市鹿泉区</w:t>
      </w:r>
      <w:r w:rsidR="00A61AA8">
        <w:rPr>
          <w:rFonts w:ascii="方正小标宋简体" w:eastAsia="方正小标宋简体" w:hAnsi="方正小标宋简体" w:cs="方正小标宋简体" w:hint="eastAsia"/>
          <w:sz w:val="44"/>
          <w:szCs w:val="44"/>
        </w:rPr>
        <w:t>大河镇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2026年第二十五次跨部门“双随机、一公开”</w:t>
      </w:r>
    </w:p>
    <w:p w:rsidR="00CF7E25" w:rsidRDefault="008E5DF9">
      <w:pPr>
        <w:adjustRightInd w:val="0"/>
        <w:spacing w:line="578" w:lineRule="exact"/>
        <w:ind w:leftChars="351" w:left="2057" w:hangingChars="300" w:hanging="132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联合抽查情况统计表</w:t>
      </w:r>
    </w:p>
    <w:p w:rsidR="00CF7E25" w:rsidRDefault="00CF7E25">
      <w:pPr>
        <w:pStyle w:val="2"/>
      </w:pPr>
    </w:p>
    <w:tbl>
      <w:tblPr>
        <w:tblW w:w="13517" w:type="dxa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7"/>
        <w:gridCol w:w="1500"/>
        <w:gridCol w:w="1320"/>
        <w:gridCol w:w="1368"/>
        <w:gridCol w:w="1380"/>
        <w:gridCol w:w="1488"/>
        <w:gridCol w:w="1260"/>
        <w:gridCol w:w="1224"/>
        <w:gridCol w:w="1596"/>
        <w:gridCol w:w="1344"/>
      </w:tblGrid>
      <w:tr w:rsidR="00CF7E25"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随机抽查对象（户）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随机抽取执法检查人员（人次）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涉及检查部门（个）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检查项目（个）</w:t>
            </w:r>
          </w:p>
        </w:tc>
        <w:tc>
          <w:tcPr>
            <w:tcW w:w="2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E25" w:rsidRDefault="008E5DF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抽查结果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E25" w:rsidRDefault="008E5DF9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抽查结果处理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现场解答疑难问题（个）</w:t>
            </w:r>
          </w:p>
        </w:tc>
      </w:tr>
      <w:tr w:rsidR="00CF7E25">
        <w:trPr>
          <w:trHeight w:val="1486"/>
        </w:trPr>
        <w:tc>
          <w:tcPr>
            <w:tcW w:w="1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发现问题事项（项）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发现问题企业（户）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责令改正（户）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应列入异常（户）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8E5DF9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涉嫌违法立案调查（户）</w:t>
            </w: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F7E25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F7E25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F7E25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F7E25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F7E25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E25" w:rsidRDefault="00CF7E25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CF7E25" w:rsidRDefault="00CF7E25"/>
    <w:p w:rsidR="00CF7E25" w:rsidRDefault="00CF7E25">
      <w:pPr>
        <w:pStyle w:val="a4"/>
        <w:sectPr w:rsidR="00CF7E25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:rsidR="00CF7E25" w:rsidRDefault="008E5DF9">
      <w:pPr>
        <w:adjustRightInd w:val="0"/>
        <w:spacing w:line="578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附件2</w:t>
      </w:r>
    </w:p>
    <w:p w:rsidR="00CF7E25" w:rsidRDefault="008E5DF9">
      <w:pPr>
        <w:wordWrap w:val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现场检查预先通知单</w:t>
      </w:r>
    </w:p>
    <w:p w:rsidR="00CF7E25" w:rsidRDefault="00CF7E25">
      <w:pPr>
        <w:pStyle w:val="2"/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09"/>
        <w:gridCol w:w="6752"/>
      </w:tblGrid>
      <w:tr w:rsidR="00CF7E25">
        <w:trPr>
          <w:trHeight w:val="951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抽查对象名称</w:t>
            </w:r>
          </w:p>
        </w:tc>
        <w:tc>
          <w:tcPr>
            <w:tcW w:w="6752" w:type="dxa"/>
            <w:vAlign w:val="center"/>
          </w:tcPr>
          <w:p w:rsidR="00CF7E25" w:rsidRDefault="00CF7E25">
            <w:pPr>
              <w:wordWrap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F7E25">
        <w:trPr>
          <w:trHeight w:val="805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spacing w:line="52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是否适用</w:t>
            </w:r>
          </w:p>
          <w:p w:rsidR="00CF7E25" w:rsidRDefault="008E5DF9">
            <w:pPr>
              <w:wordWrap w:val="0"/>
              <w:spacing w:line="52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预先通知</w:t>
            </w:r>
          </w:p>
        </w:tc>
        <w:tc>
          <w:tcPr>
            <w:tcW w:w="6752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是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否</w:t>
            </w:r>
          </w:p>
        </w:tc>
      </w:tr>
      <w:tr w:rsidR="00CF7E25">
        <w:trPr>
          <w:trHeight w:val="596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预先通知时间</w:t>
            </w:r>
          </w:p>
        </w:tc>
        <w:tc>
          <w:tcPr>
            <w:tcW w:w="6752" w:type="dxa"/>
            <w:vAlign w:val="center"/>
          </w:tcPr>
          <w:p w:rsidR="00CF7E25" w:rsidRDefault="00CF7E25">
            <w:pPr>
              <w:wordWrap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F7E25">
        <w:trPr>
          <w:trHeight w:val="626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预先通知方式</w:t>
            </w:r>
          </w:p>
        </w:tc>
        <w:tc>
          <w:tcPr>
            <w:tcW w:w="6752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电话通知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直接送达</w:t>
            </w:r>
          </w:p>
        </w:tc>
      </w:tr>
      <w:tr w:rsidR="00CF7E25">
        <w:trPr>
          <w:trHeight w:val="536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预约检查时间</w:t>
            </w:r>
          </w:p>
        </w:tc>
        <w:tc>
          <w:tcPr>
            <w:tcW w:w="6752" w:type="dxa"/>
            <w:vAlign w:val="center"/>
          </w:tcPr>
          <w:p w:rsidR="00CF7E25" w:rsidRDefault="00CF7E25">
            <w:pPr>
              <w:wordWrap w:val="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F7E25">
        <w:trPr>
          <w:trHeight w:val="1677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检查内容</w:t>
            </w:r>
          </w:p>
        </w:tc>
        <w:tc>
          <w:tcPr>
            <w:tcW w:w="6752" w:type="dxa"/>
            <w:vAlign w:val="center"/>
          </w:tcPr>
          <w:p w:rsidR="00CF7E25" w:rsidRDefault="00CF7E25">
            <w:pPr>
              <w:wordWrap w:val="0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F7E25">
        <w:trPr>
          <w:trHeight w:val="4298"/>
        </w:trPr>
        <w:tc>
          <w:tcPr>
            <w:tcW w:w="2309" w:type="dxa"/>
            <w:vAlign w:val="center"/>
          </w:tcPr>
          <w:p w:rsidR="00CF7E25" w:rsidRDefault="008E5DF9">
            <w:pPr>
              <w:wordWrap w:val="0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被检查主体需要准备的材料</w:t>
            </w:r>
          </w:p>
        </w:tc>
        <w:tc>
          <w:tcPr>
            <w:tcW w:w="6752" w:type="dxa"/>
            <w:vAlign w:val="center"/>
          </w:tcPr>
          <w:p w:rsidR="00CF7E25" w:rsidRDefault="00CF7E25">
            <w:pPr>
              <w:wordWrap w:val="0"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CF7E25" w:rsidRDefault="00CF7E25"/>
    <w:sectPr w:rsidR="00CF7E25" w:rsidSect="00CF7E25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F48" w:rsidRDefault="00334F48" w:rsidP="00CF7E25">
      <w:pPr>
        <w:spacing w:line="240" w:lineRule="auto"/>
      </w:pPr>
      <w:r>
        <w:separator/>
      </w:r>
    </w:p>
  </w:endnote>
  <w:endnote w:type="continuationSeparator" w:id="1">
    <w:p w:rsidR="00334F48" w:rsidRDefault="00334F48" w:rsidP="00CF7E2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25" w:rsidRDefault="002C07AB">
    <w:pPr>
      <w:pStyle w:val="a5"/>
      <w:tabs>
        <w:tab w:val="clear" w:pos="4153"/>
        <w:tab w:val="left" w:pos="3335"/>
      </w:tabs>
      <w:rPr>
        <w:rFonts w:ascii="宋体" w:hAnsi="宋体" w:cs="宋体"/>
        <w:sz w:val="28"/>
        <w:szCs w:val="28"/>
      </w:rPr>
    </w:pPr>
    <w:r>
      <w:rPr>
        <w:rFonts w:ascii="宋体" w:hAnsi="宋体" w:cs="宋体"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8pt;margin-top:0;width:2in;height:2in;z-index:251658240;mso-wrap-style:none;mso-position-horizontal:outside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OqXm5&#10;zwAAAAUBAAAPAAAAAAAAAAEAIAAAACIAAABkcnMvZG93bnJldi54bWxQSwECFAAUAAAACACHTuJA&#10;5op6x7gBAABUAwAADgAAAAAAAAABACAAAAAeAQAAZHJzL2Uyb0RvYy54bWxQSwUGAAAAAAYABgBZ&#10;AQAASAUAAAAA&#10;" filled="f" stroked="f">
          <v:textbox style="mso-fit-shape-to-text:t" inset="0,0,0,0">
            <w:txbxContent>
              <w:p w:rsidR="00CF7E25" w:rsidRDefault="00CF7E25">
                <w:pPr>
                  <w:snapToGrid w:val="0"/>
                  <w:rPr>
                    <w:rFonts w:ascii="宋体" w:eastAsia="宋体" w:hAnsi="宋体" w:cs="宋体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F48" w:rsidRDefault="00334F48" w:rsidP="00CF7E25">
      <w:pPr>
        <w:spacing w:line="240" w:lineRule="auto"/>
      </w:pPr>
      <w:r>
        <w:separator/>
      </w:r>
    </w:p>
  </w:footnote>
  <w:footnote w:type="continuationSeparator" w:id="1">
    <w:p w:rsidR="00334F48" w:rsidRDefault="00334F48" w:rsidP="00CF7E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9"/>
  <w:noPunctuationKerning/>
  <w:characterSpacingControl w:val="compressPunctuation"/>
  <w:hdrShapeDefaults>
    <o:shapedefaults v:ext="edit" spidmax="6146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63D6459"/>
    <w:rsid w:val="00254E5B"/>
    <w:rsid w:val="002C07AB"/>
    <w:rsid w:val="00334F48"/>
    <w:rsid w:val="008E5DF9"/>
    <w:rsid w:val="00A61AA8"/>
    <w:rsid w:val="00CF7E25"/>
    <w:rsid w:val="090634DC"/>
    <w:rsid w:val="163D6459"/>
    <w:rsid w:val="1E877085"/>
    <w:rsid w:val="23747DCD"/>
    <w:rsid w:val="387F63A0"/>
    <w:rsid w:val="3AC77972"/>
    <w:rsid w:val="40896FBE"/>
    <w:rsid w:val="63BC747E"/>
    <w:rsid w:val="6D2824B3"/>
    <w:rsid w:val="71FA478E"/>
    <w:rsid w:val="754602A3"/>
    <w:rsid w:val="7BBA6814"/>
    <w:rsid w:val="7DA52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CF7E25"/>
    <w:pPr>
      <w:widowControl w:val="0"/>
      <w:spacing w:line="560" w:lineRule="exac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rsid w:val="00CF7E25"/>
    <w:pPr>
      <w:ind w:firstLineChars="200" w:firstLine="420"/>
    </w:pPr>
  </w:style>
  <w:style w:type="paragraph" w:styleId="a3">
    <w:name w:val="Body Text Indent"/>
    <w:basedOn w:val="a"/>
    <w:qFormat/>
    <w:rsid w:val="00CF7E25"/>
    <w:pPr>
      <w:spacing w:after="120"/>
      <w:ind w:leftChars="200" w:left="420"/>
    </w:pPr>
  </w:style>
  <w:style w:type="paragraph" w:styleId="a4">
    <w:name w:val="toa heading"/>
    <w:basedOn w:val="a"/>
    <w:next w:val="a"/>
    <w:qFormat/>
    <w:rsid w:val="00CF7E25"/>
    <w:rPr>
      <w:rFonts w:ascii="Arial" w:hAnsi="Arial"/>
      <w:sz w:val="24"/>
    </w:rPr>
  </w:style>
  <w:style w:type="paragraph" w:styleId="a5">
    <w:name w:val="footer"/>
    <w:basedOn w:val="a"/>
    <w:qFormat/>
    <w:rsid w:val="00CF7E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"/>
    <w:rsid w:val="00A61A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A61AA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368</Words>
  <Characters>2100</Characters>
  <Application>Microsoft Office Word</Application>
  <DocSecurity>0</DocSecurity>
  <Lines>17</Lines>
  <Paragraphs>4</Paragraphs>
  <ScaleCrop>false</ScaleCrop>
  <Company>微软中国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3</cp:revision>
  <dcterms:created xsi:type="dcterms:W3CDTF">2025-04-14T07:14:00Z</dcterms:created>
  <dcterms:modified xsi:type="dcterms:W3CDTF">2026-10-21T02:55:00Z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