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hint="eastAsia" w:ascii="方正小标宋_GBK" w:hAnsi="Times New Roman" w:eastAsia="方正小标宋_GBK" w:cs="Times New Roman"/>
          <w:bCs/>
          <w:sz w:val="44"/>
          <w:szCs w:val="44"/>
          <w:lang w:eastAsia="zh-CN"/>
        </w:rPr>
      </w:pPr>
      <w:r>
        <w:rPr>
          <w:rFonts w:hint="eastAsia" w:ascii="方正小标宋_GBK" w:hAnsi="Times New Roman" w:eastAsia="方正小标宋_GBK" w:cs="Times New Roman"/>
          <w:bCs/>
          <w:sz w:val="44"/>
          <w:szCs w:val="44"/>
          <w:lang w:eastAsia="zh-CN"/>
        </w:rPr>
        <w:t>石家庄市鹿泉区应急管理局</w:t>
      </w:r>
    </w:p>
    <w:p>
      <w:pPr>
        <w:adjustRightInd w:val="0"/>
        <w:snapToGrid w:val="0"/>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2020年部门预算信息公开情况说明</w:t>
      </w:r>
    </w:p>
    <w:p>
      <w:pPr>
        <w:ind w:firstLine="640"/>
        <w:rPr>
          <w:rFonts w:ascii="Times New Roman" w:hAnsi="Times New Roman" w:eastAsia="仿宋" w:cs="Times New Roman"/>
          <w:sz w:val="32"/>
          <w:szCs w:val="32"/>
        </w:rPr>
      </w:pPr>
    </w:p>
    <w:p>
      <w:pPr>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按照《预算法》、《地方预决算公开操作规程》和《河北省省级预算公开办法》规定，现将</w:t>
      </w:r>
      <w:r>
        <w:rPr>
          <w:rFonts w:hint="eastAsia" w:ascii="Times New Roman" w:hAnsi="Times New Roman" w:eastAsia="仿宋" w:cs="Times New Roman"/>
          <w:sz w:val="32"/>
          <w:szCs w:val="32"/>
          <w:lang w:eastAsia="zh-CN"/>
        </w:rPr>
        <w:t>石家庄市鹿泉区应急管理局</w:t>
      </w:r>
      <w:r>
        <w:rPr>
          <w:rFonts w:hint="eastAsia" w:ascii="Times New Roman" w:hAnsi="Times New Roman" w:eastAsia="仿宋" w:cs="Times New Roman"/>
          <w:sz w:val="32"/>
          <w:szCs w:val="32"/>
        </w:rPr>
        <w:t>2020年部门预算公开如下：</w:t>
      </w:r>
    </w:p>
    <w:p>
      <w:pPr>
        <w:ind w:firstLine="640"/>
        <w:rPr>
          <w:rFonts w:ascii="黑体" w:hAnsi="黑体" w:eastAsia="黑体" w:cs="Times New Roman"/>
          <w:sz w:val="32"/>
          <w:szCs w:val="32"/>
        </w:rPr>
      </w:pPr>
      <w:r>
        <w:rPr>
          <w:rFonts w:hint="eastAsia" w:ascii="黑体" w:hAnsi="黑体" w:eastAsia="黑体" w:cs="Times New Roman"/>
          <w:sz w:val="32"/>
          <w:szCs w:val="32"/>
        </w:rPr>
        <w:t>一、部门职责及机构设置情况</w:t>
      </w:r>
    </w:p>
    <w:p>
      <w:pPr>
        <w:spacing w:line="500" w:lineRule="exact"/>
        <w:ind w:firstLine="643" w:firstLineChars="200"/>
        <w:jc w:val="left"/>
        <w:rPr>
          <w:rFonts w:ascii="仿宋" w:hAnsi="仿宋" w:eastAsia="仿宋" w:cs="Times New Roman"/>
          <w:b/>
          <w:sz w:val="32"/>
          <w:szCs w:val="32"/>
        </w:rPr>
      </w:pPr>
      <w:r>
        <w:rPr>
          <w:rFonts w:hint="eastAsia" w:ascii="仿宋" w:hAnsi="仿宋" w:eastAsia="仿宋" w:cs="Times New Roman"/>
          <w:b/>
          <w:sz w:val="32"/>
          <w:szCs w:val="32"/>
        </w:rPr>
        <w:t>部门</w:t>
      </w:r>
      <w:r>
        <w:rPr>
          <w:rFonts w:ascii="仿宋" w:hAnsi="仿宋" w:eastAsia="仿宋" w:cs="Times New Roman"/>
          <w:b/>
          <w:sz w:val="32"/>
          <w:szCs w:val="32"/>
        </w:rPr>
        <w:t>职责：</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根据《石家庄市鹿泉区应急管理局职能配置、内设机构和人员编制规定》， 石家庄市鹿泉区应急管理局的主要职责是：</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（一）负责应急管理工作。指导全区各级各部门应对安全生产类、自然灾害类等突发事件和综合防灾减灾救灾工作；负责安全生产综合监督管理和工矿商贸行业安全生产监督管理工作。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（二）拟订应急管理、安全生产等工作规定，组织编制区应急体系建设、安全生产和综合防灾减灾规划，执行上级地方性法规和政府规章，组织制定相关具体规程并监督实施。</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三）负责应急预案体系建设，落实完善事故灾难和自然灾害分级应对制度，组织编制区总体应急预案和安全生产类、自然灾害类专项预案，综合协调应急预案衔接工作，组织开展预案演练，推动应急避难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（四）与国家和省、市系统对接，建立完善全区应急管理信息系统，负责管辖范围内的信息传输渠道的规划和布局；建立监测预警和灾情报告制度，健全自然灾害信息资源获取和共享机制，依法统一发布灾情。</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（五）组织协调安全生产类、自然灾害类等突发事件应急救援，综合研判突发事件发展态势并提出应对建议，协助区委、区政府指定的负责同志组织重大灾害应急处置工作。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（六）统一协调指挥各类应急专业队伍，建立应急协调联动机制，推进指挥平台对接，衔接驻鹿部队参与应急救援工作。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（七）统筹应急救援力量建设，负责抗洪抢险、地震和地质灾害救援、生产安全事故救援等专业应急救援力量建设，综合协调应急救援队伍，指导各级及社会应急救援力量建设。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（八）组织协调水旱灾害、地震和地质灾害等防治工作；负责自然灾害综合监测预警工作；会同有关部门做好自然灾害综合风险评估工作。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（九）组织协调灾害救助工作，负责灾情核查、损失评估、救灾捐赠工作，管理、分配救灾款物并监督使用。</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（十）依法行使安全生产综合监督管理职权，指导协调、监督检查区有关部门和各乡（镇）政府、区政府派出机构的安全生产工作，组织开展安全生产考核工作。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十一）按照分级、属地原则，依法监督检查工矿商贸生产经营单位贯彻执行安全生产法律法规情况，以及安全生产条件和有关设备（特种设备除外）、材料、劳动防护用品的安全生产管理工作；负责监督管理工矿商贸行业区属企业的安全生产工作，配合上级部门监督管理驻鹿中央企业、省属企业、市属企业的安全生产工作；负责危险化学品安全监督管理综合工作和烟花爆竹安全生产监督管理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（十二）依法开展生产安全事故调查处理，监督事故查处和责任追究落实情况；组织开展自然灾害类突发事件的调查评估工作。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（十三）制定应急物资储备和应急救援装备规划并组织实施，会同区粮食和物资储备局等部门建立健全应急物资信息平台和调拨制度，在救灾时统一调度。</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（十四）负责应急管理、安全生产宣传教育和培训工作，负责应急管理、安全生产科技成果推广应用和信息化建设工作。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（十五）负责组织协调、指导监督全区安全生产行政执法工作，组织开展对区属企业的执法检查，配合上级部门对驻鹿中央企业、省属企业、市属企业的执法抽查。</w:t>
      </w:r>
    </w:p>
    <w:p>
      <w:pPr>
        <w:spacing w:line="500" w:lineRule="exact"/>
        <w:ind w:firstLine="640" w:firstLineChars="200"/>
        <w:jc w:val="left"/>
        <w:rPr>
          <w:rFonts w:ascii="Times New Roman" w:eastAsia="方正仿宋_GBK"/>
          <w:sz w:val="28"/>
        </w:rPr>
      </w:pPr>
      <w:r>
        <w:rPr>
          <w:rFonts w:hint="eastAsia" w:ascii="仿宋" w:hAnsi="仿宋" w:eastAsia="仿宋" w:cs="仿宋"/>
          <w:sz w:val="32"/>
          <w:szCs w:val="32"/>
        </w:rPr>
        <w:t>（十六）组织开展应急管理方面的区域交流与合作。</w:t>
      </w:r>
    </w:p>
    <w:p>
      <w:pPr>
        <w:ind w:firstLine="643" w:firstLineChars="200"/>
        <w:rPr>
          <w:rFonts w:ascii="仿宋" w:hAnsi="仿宋" w:eastAsia="仿宋" w:cs="Times New Roman"/>
          <w:b/>
          <w:sz w:val="32"/>
          <w:szCs w:val="32"/>
        </w:rPr>
      </w:pPr>
      <w:r>
        <w:rPr>
          <w:rFonts w:hint="eastAsia" w:ascii="仿宋" w:hAnsi="仿宋" w:eastAsia="仿宋" w:cs="Times New Roman"/>
          <w:b/>
          <w:sz w:val="32"/>
          <w:szCs w:val="32"/>
        </w:rPr>
        <w:t>机构设置：</w:t>
      </w:r>
    </w:p>
    <w:p>
      <w:pPr>
        <w:jc w:val="center"/>
        <w:outlineLvl w:val="0"/>
        <w:rPr>
          <w:rFonts w:ascii="Times New Roman" w:hAnsi="Times New Roman" w:eastAsia="方正小标宋_GBK" w:cs="Times New Roman"/>
          <w:sz w:val="32"/>
          <w:szCs w:val="24"/>
        </w:rPr>
      </w:pPr>
      <w:r>
        <w:rPr>
          <w:rFonts w:ascii="Times New Roman" w:hAnsi="Times New Roman" w:eastAsia="方正小标宋_GBK" w:cs="Times New Roman"/>
          <w:sz w:val="32"/>
          <w:szCs w:val="24"/>
        </w:rPr>
        <w:t>部门</w:t>
      </w:r>
      <w:r>
        <w:rPr>
          <w:rFonts w:hint="eastAsia" w:ascii="Times New Roman" w:hAnsi="Times New Roman" w:eastAsia="方正小标宋_GBK" w:cs="Times New Roman"/>
          <w:sz w:val="32"/>
          <w:szCs w:val="24"/>
        </w:rPr>
        <w:t>机构设置情况</w:t>
      </w:r>
    </w:p>
    <w:tbl>
      <w:tblPr>
        <w:tblStyle w:val="7"/>
        <w:tblW w:w="97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17"/>
        <w:gridCol w:w="1134"/>
        <w:gridCol w:w="1276"/>
        <w:gridCol w:w="29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417" w:type="dxa"/>
            <w:vMerge w:val="restart"/>
            <w:vAlign w:val="center"/>
          </w:tcPr>
          <w:p>
            <w:pPr>
              <w:spacing w:line="300" w:lineRule="exact"/>
              <w:jc w:val="center"/>
              <w:rPr>
                <w:rFonts w:ascii="Times New Roman" w:hAnsi="Times New Roman" w:eastAsia="方正书宋_GBK" w:cs="Times New Roman"/>
                <w:b/>
                <w:szCs w:val="24"/>
              </w:rPr>
            </w:pPr>
            <w:r>
              <w:rPr>
                <w:rFonts w:ascii="Times New Roman" w:hAnsi="Times New Roman" w:eastAsia="方正书宋_GBK" w:cs="Times New Roman"/>
                <w:b/>
                <w:szCs w:val="24"/>
              </w:rPr>
              <w:t>单位名称</w:t>
            </w:r>
          </w:p>
        </w:tc>
        <w:tc>
          <w:tcPr>
            <w:tcW w:w="1134" w:type="dxa"/>
            <w:vMerge w:val="restart"/>
            <w:vAlign w:val="center"/>
          </w:tcPr>
          <w:p>
            <w:pPr>
              <w:spacing w:line="300" w:lineRule="exact"/>
              <w:jc w:val="center"/>
              <w:rPr>
                <w:rFonts w:ascii="Times New Roman" w:hAnsi="Times New Roman" w:eastAsia="方正书宋_GBK" w:cs="Times New Roman"/>
                <w:b/>
                <w:szCs w:val="24"/>
              </w:rPr>
            </w:pPr>
            <w:r>
              <w:rPr>
                <w:rFonts w:ascii="Times New Roman" w:hAnsi="Times New Roman" w:eastAsia="方正书宋_GBK" w:cs="Times New Roman"/>
                <w:b/>
                <w:szCs w:val="24"/>
              </w:rPr>
              <w:t>单位性质</w:t>
            </w:r>
          </w:p>
        </w:tc>
        <w:tc>
          <w:tcPr>
            <w:tcW w:w="1276" w:type="dxa"/>
            <w:vMerge w:val="restart"/>
            <w:vAlign w:val="center"/>
          </w:tcPr>
          <w:p>
            <w:pPr>
              <w:spacing w:line="300" w:lineRule="exact"/>
              <w:jc w:val="center"/>
              <w:rPr>
                <w:rFonts w:ascii="Times New Roman" w:hAnsi="Times New Roman" w:eastAsia="方正书宋_GBK" w:cs="Times New Roman"/>
                <w:b/>
                <w:szCs w:val="24"/>
              </w:rPr>
            </w:pPr>
            <w:r>
              <w:rPr>
                <w:rFonts w:ascii="Times New Roman" w:hAnsi="Times New Roman" w:eastAsia="方正书宋_GBK" w:cs="Times New Roman"/>
                <w:b/>
                <w:szCs w:val="24"/>
              </w:rPr>
              <w:t>单位规格</w:t>
            </w:r>
          </w:p>
        </w:tc>
        <w:tc>
          <w:tcPr>
            <w:tcW w:w="2902" w:type="dxa"/>
            <w:vMerge w:val="restart"/>
            <w:vAlign w:val="center"/>
          </w:tcPr>
          <w:p>
            <w:pPr>
              <w:spacing w:line="300" w:lineRule="exact"/>
              <w:jc w:val="center"/>
              <w:rPr>
                <w:rFonts w:ascii="Times New Roman" w:hAnsi="Times New Roman" w:eastAsia="方正书宋_GBK" w:cs="Times New Roman"/>
                <w:b/>
                <w:szCs w:val="24"/>
              </w:rPr>
            </w:pPr>
            <w:r>
              <w:rPr>
                <w:rFonts w:ascii="Times New Roman" w:hAnsi="Times New Roman" w:eastAsia="方正书宋_GBK" w:cs="Times New Roman"/>
                <w:b/>
                <w:szCs w:val="24"/>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417" w:type="dxa"/>
            <w:vMerge w:val="continue"/>
            <w:vAlign w:val="center"/>
          </w:tcPr>
          <w:p>
            <w:pPr>
              <w:spacing w:line="300" w:lineRule="exact"/>
              <w:jc w:val="left"/>
              <w:outlineLvl w:val="0"/>
              <w:rPr>
                <w:rFonts w:ascii="Times New Roman" w:hAnsi="Times New Roman" w:cs="Times New Roman"/>
                <w:szCs w:val="24"/>
              </w:rPr>
            </w:pPr>
          </w:p>
        </w:tc>
        <w:tc>
          <w:tcPr>
            <w:tcW w:w="1134" w:type="dxa"/>
            <w:vMerge w:val="continue"/>
            <w:vAlign w:val="center"/>
          </w:tcPr>
          <w:p>
            <w:pPr>
              <w:spacing w:line="300" w:lineRule="exact"/>
              <w:jc w:val="left"/>
              <w:outlineLvl w:val="0"/>
              <w:rPr>
                <w:rFonts w:ascii="Times New Roman" w:hAnsi="Times New Roman" w:cs="Times New Roman"/>
                <w:szCs w:val="24"/>
              </w:rPr>
            </w:pPr>
          </w:p>
        </w:tc>
        <w:tc>
          <w:tcPr>
            <w:tcW w:w="1276" w:type="dxa"/>
            <w:vMerge w:val="continue"/>
            <w:vAlign w:val="center"/>
          </w:tcPr>
          <w:p>
            <w:pPr>
              <w:spacing w:line="300" w:lineRule="exact"/>
              <w:jc w:val="left"/>
              <w:outlineLvl w:val="0"/>
              <w:rPr>
                <w:rFonts w:ascii="Times New Roman" w:hAnsi="Times New Roman" w:cs="Times New Roman"/>
                <w:szCs w:val="24"/>
              </w:rPr>
            </w:pPr>
          </w:p>
        </w:tc>
        <w:tc>
          <w:tcPr>
            <w:tcW w:w="2902" w:type="dxa"/>
            <w:vMerge w:val="continue"/>
            <w:vAlign w:val="center"/>
          </w:tcPr>
          <w:p>
            <w:pPr>
              <w:spacing w:line="300" w:lineRule="exact"/>
              <w:jc w:val="left"/>
              <w:outlineLvl w:val="0"/>
              <w:rPr>
                <w:rFonts w:ascii="Times New Roman" w:hAnsi="Times New Roman" w:cs="Times New Roman"/>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417" w:type="dxa"/>
            <w:vAlign w:val="center"/>
          </w:tcPr>
          <w:p>
            <w:pPr>
              <w:spacing w:line="300" w:lineRule="exact"/>
              <w:jc w:val="left"/>
              <w:rPr>
                <w:rFonts w:hint="eastAsia" w:ascii="Times New Roman" w:hAnsi="Times New Roman" w:eastAsia="方正书宋_GBK" w:cs="Times New Roman"/>
                <w:szCs w:val="24"/>
                <w:lang w:eastAsia="zh-CN"/>
              </w:rPr>
            </w:pPr>
            <w:r>
              <w:rPr>
                <w:rFonts w:hint="eastAsia" w:ascii="方正书宋_GBK" w:eastAsia="方正书宋_GBK"/>
                <w:lang w:eastAsia="zh-CN"/>
              </w:rPr>
              <w:t>石家庄市鹿泉区应急管理局</w:t>
            </w:r>
          </w:p>
        </w:tc>
        <w:tc>
          <w:tcPr>
            <w:tcW w:w="1134" w:type="dxa"/>
            <w:vAlign w:val="center"/>
          </w:tcPr>
          <w:p>
            <w:pPr>
              <w:spacing w:line="300" w:lineRule="exact"/>
              <w:jc w:val="center"/>
              <w:rPr>
                <w:rFonts w:ascii="Times New Roman" w:hAnsi="Times New Roman" w:eastAsia="方正书宋_GBK" w:cs="Times New Roman"/>
                <w:szCs w:val="24"/>
              </w:rPr>
            </w:pPr>
            <w:r>
              <w:rPr>
                <w:rFonts w:hint="eastAsia" w:ascii="方正书宋_GBK" w:eastAsia="方正书宋_GBK"/>
              </w:rPr>
              <w:t>行政</w:t>
            </w:r>
          </w:p>
        </w:tc>
        <w:tc>
          <w:tcPr>
            <w:tcW w:w="1276" w:type="dxa"/>
            <w:vAlign w:val="center"/>
          </w:tcPr>
          <w:p>
            <w:pPr>
              <w:spacing w:line="300" w:lineRule="exact"/>
              <w:jc w:val="center"/>
              <w:rPr>
                <w:rFonts w:hint="eastAsia" w:ascii="Times New Roman" w:hAnsi="Times New Roman" w:eastAsia="方正书宋_GBK" w:cs="Times New Roman"/>
                <w:szCs w:val="24"/>
                <w:lang w:eastAsia="zh-CN"/>
              </w:rPr>
            </w:pPr>
            <w:r>
              <w:rPr>
                <w:rFonts w:hint="eastAsia" w:ascii="Times New Roman" w:hAnsi="Times New Roman" w:eastAsia="方正书宋_GBK" w:cs="Times New Roman"/>
                <w:szCs w:val="24"/>
                <w:lang w:eastAsia="zh-CN"/>
              </w:rPr>
              <w:t>正科级</w:t>
            </w:r>
          </w:p>
        </w:tc>
        <w:tc>
          <w:tcPr>
            <w:tcW w:w="2902" w:type="dxa"/>
            <w:vAlign w:val="center"/>
          </w:tcPr>
          <w:p>
            <w:pPr>
              <w:spacing w:line="300" w:lineRule="exact"/>
              <w:jc w:val="center"/>
              <w:rPr>
                <w:rFonts w:ascii="Times New Roman" w:hAnsi="Times New Roman" w:eastAsia="方正书宋_GBK" w:cs="Times New Roman"/>
                <w:szCs w:val="24"/>
              </w:rPr>
            </w:pPr>
            <w:r>
              <w:rPr>
                <w:rFonts w:hint="eastAsia" w:ascii="方正书宋_GBK" w:eastAsia="方正书宋_GBK"/>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417" w:type="dxa"/>
            <w:vAlign w:val="center"/>
          </w:tcPr>
          <w:p>
            <w:pPr>
              <w:spacing w:line="300" w:lineRule="exact"/>
              <w:jc w:val="left"/>
              <w:rPr>
                <w:rFonts w:hint="eastAsia" w:ascii="Times New Roman" w:hAnsi="Times New Roman" w:eastAsia="方正书宋_GBK" w:cs="Times New Roman"/>
                <w:szCs w:val="24"/>
                <w:lang w:eastAsia="zh-CN"/>
              </w:rPr>
            </w:pPr>
            <w:r>
              <w:rPr>
                <w:rFonts w:hint="eastAsia" w:ascii="Times New Roman" w:hAnsi="Times New Roman" w:eastAsia="方正书宋_GBK" w:cs="Times New Roman"/>
                <w:szCs w:val="24"/>
                <w:lang w:eastAsia="zh-CN"/>
              </w:rPr>
              <w:t>石家庄市鹿泉区安全生产监察大队</w:t>
            </w:r>
          </w:p>
        </w:tc>
        <w:tc>
          <w:tcPr>
            <w:tcW w:w="1134" w:type="dxa"/>
            <w:vAlign w:val="center"/>
          </w:tcPr>
          <w:p>
            <w:pPr>
              <w:spacing w:line="300" w:lineRule="exact"/>
              <w:jc w:val="center"/>
              <w:rPr>
                <w:rFonts w:ascii="Times New Roman" w:hAnsi="Times New Roman" w:eastAsia="方正书宋_GBK" w:cs="Times New Roman"/>
                <w:szCs w:val="24"/>
              </w:rPr>
            </w:pPr>
            <w:r>
              <w:rPr>
                <w:rFonts w:hint="eastAsia" w:ascii="方正书宋_GBK" w:eastAsia="方正书宋_GBK"/>
              </w:rPr>
              <w:t>事业</w:t>
            </w:r>
          </w:p>
        </w:tc>
        <w:tc>
          <w:tcPr>
            <w:tcW w:w="1276" w:type="dxa"/>
            <w:vAlign w:val="center"/>
          </w:tcPr>
          <w:p>
            <w:pPr>
              <w:spacing w:line="300" w:lineRule="exact"/>
              <w:jc w:val="center"/>
              <w:rPr>
                <w:rFonts w:hint="eastAsia" w:ascii="Times New Roman" w:hAnsi="Times New Roman" w:eastAsia="方正书宋_GBK" w:cs="Times New Roman"/>
                <w:szCs w:val="24"/>
                <w:lang w:eastAsia="zh-CN"/>
              </w:rPr>
            </w:pPr>
            <w:r>
              <w:rPr>
                <w:rFonts w:hint="eastAsia" w:ascii="Times New Roman" w:hAnsi="Times New Roman" w:eastAsia="方正书宋_GBK" w:cs="Times New Roman"/>
                <w:szCs w:val="24"/>
                <w:lang w:eastAsia="zh-CN"/>
              </w:rPr>
              <w:t>副科级</w:t>
            </w:r>
          </w:p>
        </w:tc>
        <w:tc>
          <w:tcPr>
            <w:tcW w:w="2902" w:type="dxa"/>
            <w:vAlign w:val="center"/>
          </w:tcPr>
          <w:p>
            <w:pPr>
              <w:spacing w:line="300" w:lineRule="exact"/>
              <w:jc w:val="center"/>
              <w:rPr>
                <w:rFonts w:hint="eastAsia" w:ascii="Times New Roman" w:hAnsi="Times New Roman" w:eastAsia="方正书宋_GBK" w:cs="Times New Roman"/>
                <w:szCs w:val="24"/>
                <w:lang w:eastAsia="zh-CN"/>
              </w:rPr>
            </w:pPr>
            <w:r>
              <w:rPr>
                <w:rFonts w:hint="eastAsia" w:ascii="方正书宋_GBK" w:eastAsia="方正书宋_GBK"/>
                <w:lang w:eastAsia="zh-CN"/>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417" w:type="dxa"/>
            <w:vAlign w:val="center"/>
          </w:tcPr>
          <w:p>
            <w:pPr>
              <w:spacing w:line="300" w:lineRule="exact"/>
              <w:jc w:val="left"/>
              <w:rPr>
                <w:rFonts w:hint="eastAsia" w:ascii="Times New Roman" w:hAnsi="Times New Roman" w:eastAsia="方正书宋_GBK" w:cs="Times New Roman"/>
                <w:szCs w:val="24"/>
                <w:lang w:eastAsia="zh-CN"/>
              </w:rPr>
            </w:pPr>
            <w:r>
              <w:rPr>
                <w:rFonts w:hint="eastAsia" w:ascii="Times New Roman" w:hAnsi="Times New Roman" w:eastAsia="方正书宋_GBK" w:cs="Times New Roman"/>
                <w:szCs w:val="24"/>
                <w:lang w:eastAsia="zh-CN"/>
              </w:rPr>
              <w:t>石家庄市鹿泉区应急消防大队</w:t>
            </w:r>
          </w:p>
        </w:tc>
        <w:tc>
          <w:tcPr>
            <w:tcW w:w="1134" w:type="dxa"/>
            <w:vAlign w:val="center"/>
          </w:tcPr>
          <w:p>
            <w:pPr>
              <w:spacing w:line="300" w:lineRule="exact"/>
              <w:jc w:val="center"/>
              <w:rPr>
                <w:rFonts w:ascii="Times New Roman" w:hAnsi="Times New Roman" w:eastAsia="方正书宋_GBK" w:cs="Times New Roman"/>
                <w:szCs w:val="24"/>
              </w:rPr>
            </w:pPr>
            <w:r>
              <w:rPr>
                <w:rFonts w:hint="eastAsia" w:ascii="方正书宋_GBK" w:eastAsia="方正书宋_GBK"/>
              </w:rPr>
              <w:t>事业</w:t>
            </w:r>
          </w:p>
        </w:tc>
        <w:tc>
          <w:tcPr>
            <w:tcW w:w="1276" w:type="dxa"/>
            <w:vAlign w:val="center"/>
          </w:tcPr>
          <w:p>
            <w:pPr>
              <w:spacing w:line="300" w:lineRule="exact"/>
              <w:jc w:val="center"/>
              <w:rPr>
                <w:rFonts w:hint="eastAsia" w:ascii="Times New Roman" w:hAnsi="Times New Roman" w:eastAsia="方正书宋_GBK" w:cs="Times New Roman"/>
                <w:szCs w:val="24"/>
                <w:lang w:eastAsia="zh-CN"/>
              </w:rPr>
            </w:pPr>
            <w:r>
              <w:rPr>
                <w:rFonts w:hint="eastAsia" w:ascii="Times New Roman" w:hAnsi="Times New Roman" w:eastAsia="方正书宋_GBK" w:cs="Times New Roman"/>
                <w:szCs w:val="24"/>
                <w:lang w:eastAsia="zh-CN"/>
              </w:rPr>
              <w:t>股级</w:t>
            </w:r>
          </w:p>
        </w:tc>
        <w:tc>
          <w:tcPr>
            <w:tcW w:w="2902" w:type="dxa"/>
            <w:vAlign w:val="center"/>
          </w:tcPr>
          <w:p>
            <w:pPr>
              <w:spacing w:line="300" w:lineRule="exact"/>
              <w:jc w:val="center"/>
              <w:rPr>
                <w:rFonts w:ascii="Times New Roman" w:hAnsi="Times New Roman" w:eastAsia="方正书宋_GBK" w:cs="Times New Roman"/>
                <w:szCs w:val="24"/>
              </w:rPr>
            </w:pPr>
            <w:r>
              <w:rPr>
                <w:rFonts w:hint="eastAsia" w:ascii="方正书宋_GBK" w:eastAsia="方正书宋_GBK"/>
                <w:lang w:eastAsia="zh-CN"/>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417" w:type="dxa"/>
            <w:vAlign w:val="center"/>
          </w:tcPr>
          <w:p>
            <w:pPr>
              <w:spacing w:line="300" w:lineRule="exact"/>
              <w:jc w:val="left"/>
              <w:rPr>
                <w:rFonts w:hint="eastAsia" w:ascii="Times New Roman" w:hAnsi="Times New Roman" w:eastAsia="方正书宋_GBK" w:cs="Times New Roman"/>
                <w:szCs w:val="24"/>
                <w:lang w:eastAsia="zh-CN"/>
              </w:rPr>
            </w:pPr>
            <w:r>
              <w:rPr>
                <w:rFonts w:hint="eastAsia" w:ascii="Times New Roman" w:hAnsi="Times New Roman" w:eastAsia="方正书宋_GBK" w:cs="Times New Roman"/>
                <w:szCs w:val="24"/>
                <w:lang w:eastAsia="zh-CN"/>
              </w:rPr>
              <w:t>石家庄市鹿泉区防震减灾服务中心</w:t>
            </w:r>
          </w:p>
        </w:tc>
        <w:tc>
          <w:tcPr>
            <w:tcW w:w="1134" w:type="dxa"/>
            <w:vAlign w:val="center"/>
          </w:tcPr>
          <w:p>
            <w:pPr>
              <w:spacing w:line="300" w:lineRule="exact"/>
              <w:jc w:val="center"/>
              <w:rPr>
                <w:rFonts w:ascii="Times New Roman" w:hAnsi="Times New Roman" w:eastAsia="方正书宋_GBK" w:cs="Times New Roman"/>
                <w:szCs w:val="24"/>
              </w:rPr>
            </w:pPr>
            <w:r>
              <w:rPr>
                <w:rFonts w:hint="eastAsia" w:ascii="方正书宋_GBK" w:eastAsia="方正书宋_GBK"/>
              </w:rPr>
              <w:t>事业</w:t>
            </w:r>
          </w:p>
        </w:tc>
        <w:tc>
          <w:tcPr>
            <w:tcW w:w="1276" w:type="dxa"/>
            <w:vAlign w:val="center"/>
          </w:tcPr>
          <w:p>
            <w:pPr>
              <w:spacing w:line="300" w:lineRule="exact"/>
              <w:jc w:val="center"/>
              <w:rPr>
                <w:rFonts w:hint="eastAsia" w:ascii="Times New Roman" w:hAnsi="Times New Roman" w:eastAsia="方正书宋_GBK" w:cs="Times New Roman"/>
                <w:szCs w:val="24"/>
                <w:lang w:eastAsia="zh-CN"/>
              </w:rPr>
            </w:pPr>
            <w:r>
              <w:rPr>
                <w:rFonts w:hint="eastAsia" w:ascii="Times New Roman" w:hAnsi="Times New Roman" w:eastAsia="方正书宋_GBK" w:cs="Times New Roman"/>
                <w:szCs w:val="24"/>
                <w:lang w:eastAsia="zh-CN"/>
              </w:rPr>
              <w:t>股级</w:t>
            </w:r>
          </w:p>
        </w:tc>
        <w:tc>
          <w:tcPr>
            <w:tcW w:w="2902" w:type="dxa"/>
            <w:vAlign w:val="center"/>
          </w:tcPr>
          <w:p>
            <w:pPr>
              <w:spacing w:line="300" w:lineRule="exact"/>
              <w:jc w:val="center"/>
              <w:rPr>
                <w:rFonts w:ascii="Times New Roman" w:hAnsi="Times New Roman" w:eastAsia="方正书宋_GBK" w:cs="Times New Roman"/>
                <w:szCs w:val="24"/>
              </w:rPr>
            </w:pPr>
            <w:r>
              <w:rPr>
                <w:rFonts w:hint="eastAsia" w:ascii="方正书宋_GBK" w:eastAsia="方正书宋_GBK"/>
                <w:lang w:eastAsia="zh-CN"/>
              </w:rPr>
              <w:t>财政性资金基本保证</w:t>
            </w:r>
          </w:p>
        </w:tc>
      </w:tr>
    </w:tbl>
    <w:p/>
    <w:p>
      <w:pPr>
        <w:ind w:firstLine="640"/>
        <w:rPr>
          <w:rFonts w:ascii="黑体" w:hAnsi="黑体" w:eastAsia="黑体" w:cs="Times New Roman"/>
          <w:sz w:val="32"/>
          <w:szCs w:val="32"/>
        </w:rPr>
      </w:pPr>
      <w:r>
        <w:rPr>
          <w:rFonts w:hint="eastAsia" w:ascii="黑体" w:hAnsi="黑体" w:eastAsia="黑体" w:cs="Times New Roman"/>
          <w:sz w:val="32"/>
          <w:szCs w:val="32"/>
        </w:rPr>
        <w:t>二、部门预算安排的总体情况</w:t>
      </w:r>
    </w:p>
    <w:p>
      <w:pPr>
        <w:ind w:firstLine="640"/>
        <w:rPr>
          <w:rFonts w:ascii="Times New Roman" w:hAnsi="Times New Roman" w:eastAsia="仿宋" w:cs="Times New Roman"/>
          <w:sz w:val="32"/>
          <w:szCs w:val="32"/>
        </w:rPr>
      </w:pPr>
      <w:r>
        <w:rPr>
          <w:rFonts w:ascii="Times New Roman" w:hAnsi="Times New Roman" w:eastAsia="仿宋" w:cs="Times New Roman"/>
          <w:sz w:val="32"/>
          <w:szCs w:val="32"/>
        </w:rPr>
        <w:t>按照预算管理有关规定，目前我</w:t>
      </w:r>
      <w:r>
        <w:rPr>
          <w:rFonts w:hint="eastAsia" w:ascii="Times New Roman" w:hAnsi="Times New Roman" w:eastAsia="仿宋" w:cs="Times New Roman"/>
          <w:sz w:val="32"/>
          <w:szCs w:val="32"/>
          <w:lang w:eastAsia="zh-CN"/>
        </w:rPr>
        <w:t>局部门</w:t>
      </w:r>
      <w:r>
        <w:rPr>
          <w:rFonts w:ascii="Times New Roman" w:hAnsi="Times New Roman" w:eastAsia="仿宋" w:cs="Times New Roman"/>
          <w:sz w:val="32"/>
          <w:szCs w:val="32"/>
        </w:rPr>
        <w:t>预算</w:t>
      </w:r>
      <w:r>
        <w:rPr>
          <w:rFonts w:hint="eastAsia" w:ascii="Times New Roman" w:hAnsi="Times New Roman" w:eastAsia="仿宋" w:cs="Times New Roman"/>
          <w:sz w:val="32"/>
          <w:szCs w:val="32"/>
          <w:lang w:eastAsia="zh-CN"/>
        </w:rPr>
        <w:t>实行统一</w:t>
      </w:r>
      <w:r>
        <w:rPr>
          <w:rFonts w:hint="eastAsia" w:ascii="Times New Roman" w:hAnsi="Times New Roman" w:eastAsia="仿宋" w:cs="Times New Roman"/>
          <w:sz w:val="32"/>
          <w:szCs w:val="32"/>
        </w:rPr>
        <w:t>管理</w:t>
      </w:r>
      <w:r>
        <w:rPr>
          <w:rFonts w:ascii="Times New Roman" w:hAnsi="Times New Roman" w:eastAsia="仿宋" w:cs="Times New Roman"/>
          <w:sz w:val="32"/>
          <w:szCs w:val="32"/>
        </w:rPr>
        <w:t>，即全部收入和支出都反映的预算中。</w:t>
      </w:r>
      <w:r>
        <w:rPr>
          <w:rFonts w:hint="eastAsia" w:ascii="Times New Roman" w:hAnsi="Times New Roman" w:eastAsia="仿宋" w:cs="Times New Roman"/>
          <w:sz w:val="32"/>
          <w:szCs w:val="32"/>
          <w:lang w:eastAsia="zh-CN"/>
        </w:rPr>
        <w:t>我局</w:t>
      </w:r>
      <w:r>
        <w:rPr>
          <w:rFonts w:ascii="Times New Roman" w:hAnsi="Times New Roman" w:eastAsia="仿宋" w:cs="Times New Roman"/>
          <w:sz w:val="32"/>
          <w:szCs w:val="32"/>
        </w:rPr>
        <w:t>所属事业单位的收支包含在部门预算中。</w:t>
      </w:r>
    </w:p>
    <w:p>
      <w:pPr>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1、</w:t>
      </w:r>
      <w:r>
        <w:rPr>
          <w:rFonts w:ascii="Times New Roman" w:hAnsi="Times New Roman" w:eastAsia="仿宋" w:cs="Times New Roman"/>
          <w:sz w:val="32"/>
          <w:szCs w:val="32"/>
        </w:rPr>
        <w:t>收入说明</w:t>
      </w:r>
    </w:p>
    <w:p>
      <w:pPr>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反映本部门当年全部收入。2020年预算收入</w:t>
      </w:r>
      <w:r>
        <w:rPr>
          <w:rFonts w:hint="eastAsia" w:ascii="Times New Roman" w:hAnsi="Times New Roman" w:eastAsia="仿宋" w:cs="Times New Roman"/>
          <w:sz w:val="32"/>
          <w:szCs w:val="32"/>
          <w:lang w:val="en-US" w:eastAsia="zh-CN"/>
        </w:rPr>
        <w:t>1937.04</w:t>
      </w:r>
      <w:r>
        <w:rPr>
          <w:rFonts w:hint="eastAsia" w:ascii="Times New Roman" w:hAnsi="Times New Roman" w:eastAsia="仿宋" w:cs="Times New Roman"/>
          <w:sz w:val="32"/>
          <w:szCs w:val="32"/>
        </w:rPr>
        <w:t>万元，其中：一般公共预算收入</w:t>
      </w:r>
      <w:r>
        <w:rPr>
          <w:rFonts w:hint="eastAsia" w:ascii="Times New Roman" w:hAnsi="Times New Roman" w:eastAsia="仿宋" w:cs="Times New Roman"/>
          <w:sz w:val="32"/>
          <w:szCs w:val="32"/>
          <w:lang w:val="en-US" w:eastAsia="zh-CN"/>
        </w:rPr>
        <w:t>1937.04</w:t>
      </w:r>
      <w:r>
        <w:rPr>
          <w:rFonts w:hint="eastAsia" w:ascii="Times New Roman" w:hAnsi="Times New Roman" w:eastAsia="仿宋" w:cs="Times New Roman"/>
          <w:sz w:val="32"/>
          <w:szCs w:val="32"/>
        </w:rPr>
        <w:t>万元，基金预算收入0万元，</w:t>
      </w:r>
      <w:r>
        <w:rPr>
          <w:rFonts w:hint="eastAsia" w:ascii="Times New Roman" w:hAnsi="Times New Roman" w:eastAsia="仿宋" w:cs="Times New Roman"/>
          <w:sz w:val="32"/>
          <w:szCs w:val="32"/>
          <w:lang w:eastAsia="zh-CN"/>
        </w:rPr>
        <w:t>国有资本经营预算拨款收入</w:t>
      </w:r>
      <w:r>
        <w:rPr>
          <w:rFonts w:hint="eastAsia" w:ascii="Times New Roman" w:hAnsi="Times New Roman" w:eastAsia="仿宋" w:cs="Times New Roman"/>
          <w:sz w:val="32"/>
          <w:szCs w:val="32"/>
          <w:lang w:val="en-US" w:eastAsia="zh-CN"/>
        </w:rPr>
        <w:t>0万元，</w:t>
      </w:r>
      <w:r>
        <w:rPr>
          <w:rFonts w:hint="eastAsia" w:ascii="Times New Roman" w:hAnsi="Times New Roman" w:eastAsia="仿宋" w:cs="Times New Roman"/>
          <w:sz w:val="32"/>
          <w:szCs w:val="32"/>
        </w:rPr>
        <w:t>财政专户核拨收入0万元，其他来源收入0万元。</w:t>
      </w:r>
    </w:p>
    <w:p>
      <w:pPr>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2、</w:t>
      </w:r>
      <w:r>
        <w:rPr>
          <w:rFonts w:ascii="Times New Roman" w:hAnsi="Times New Roman" w:eastAsia="仿宋" w:cs="Times New Roman"/>
          <w:sz w:val="32"/>
          <w:szCs w:val="32"/>
        </w:rPr>
        <w:t>支出说明</w:t>
      </w:r>
    </w:p>
    <w:p>
      <w:pPr>
        <w:ind w:firstLine="640"/>
        <w:rPr>
          <w:rFonts w:hint="eastAsia" w:ascii="Times New Roman" w:hAnsi="Times New Roman" w:eastAsia="仿宋" w:cs="Times New Roman"/>
          <w:sz w:val="32"/>
          <w:szCs w:val="32"/>
        </w:rPr>
      </w:pPr>
      <w:r>
        <w:rPr>
          <w:rFonts w:hint="eastAsia" w:ascii="Times New Roman" w:hAnsi="Times New Roman" w:eastAsia="仿宋" w:cs="Times New Roman"/>
          <w:sz w:val="32"/>
          <w:szCs w:val="32"/>
        </w:rPr>
        <w:t>收支预算总表支出栏、基本支出表、项目支出表按经济分类和支出功能分类科目编制，反映</w:t>
      </w:r>
      <w:r>
        <w:rPr>
          <w:rFonts w:hint="eastAsia" w:ascii="Times New Roman" w:hAnsi="Times New Roman" w:eastAsia="仿宋" w:cs="Times New Roman"/>
          <w:sz w:val="32"/>
          <w:szCs w:val="32"/>
          <w:lang w:eastAsia="zh-CN"/>
        </w:rPr>
        <w:t>石家庄市鹿泉区应急管理局</w:t>
      </w:r>
      <w:r>
        <w:rPr>
          <w:rFonts w:hint="eastAsia" w:ascii="Times New Roman" w:hAnsi="Times New Roman" w:eastAsia="仿宋" w:cs="Times New Roman"/>
          <w:sz w:val="32"/>
          <w:szCs w:val="32"/>
        </w:rPr>
        <w:t>年度部门预算中支出预算的总体情况。</w:t>
      </w:r>
    </w:p>
    <w:p>
      <w:pPr>
        <w:ind w:firstLine="640"/>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rPr>
        <w:t>2020年部门支出预算为</w:t>
      </w:r>
      <w:r>
        <w:rPr>
          <w:rFonts w:hint="eastAsia" w:ascii="Times New Roman" w:hAnsi="Times New Roman" w:eastAsia="仿宋" w:cs="Times New Roman"/>
          <w:sz w:val="32"/>
          <w:szCs w:val="32"/>
          <w:lang w:val="en-US" w:eastAsia="zh-CN"/>
        </w:rPr>
        <w:t>1937.04</w:t>
      </w:r>
      <w:r>
        <w:rPr>
          <w:rFonts w:hint="eastAsia" w:ascii="Times New Roman" w:hAnsi="Times New Roman" w:eastAsia="仿宋" w:cs="Times New Roman"/>
          <w:sz w:val="32"/>
          <w:szCs w:val="32"/>
        </w:rPr>
        <w:t>万元</w:t>
      </w:r>
      <w:r>
        <w:rPr>
          <w:rFonts w:hint="eastAsia" w:ascii="Times New Roman" w:hAnsi="Times New Roman" w:eastAsia="仿宋" w:cs="Times New Roman"/>
          <w:sz w:val="32"/>
          <w:szCs w:val="32"/>
          <w:lang w:eastAsia="zh-CN"/>
        </w:rPr>
        <w:t>。</w:t>
      </w:r>
    </w:p>
    <w:p>
      <w:pPr>
        <w:ind w:firstLine="640"/>
        <w:rPr>
          <w:rFonts w:hint="eastAsia" w:ascii="Times New Roman" w:hAnsi="Times New Roman" w:eastAsia="仿宋" w:cs="Times New Roman"/>
          <w:sz w:val="32"/>
          <w:szCs w:val="32"/>
          <w:lang w:eastAsia="zh-CN"/>
        </w:rPr>
      </w:pPr>
      <w:r>
        <w:rPr>
          <w:rFonts w:hint="eastAsia" w:ascii="Times New Roman" w:hAnsi="Times New Roman" w:eastAsia="仿宋" w:cs="Times New Roman"/>
          <w:sz w:val="32"/>
          <w:szCs w:val="32"/>
        </w:rPr>
        <w:t>其中</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（一）</w:t>
      </w:r>
      <w:r>
        <w:rPr>
          <w:rFonts w:hint="eastAsia" w:ascii="Times New Roman" w:hAnsi="Times New Roman" w:eastAsia="仿宋" w:cs="Times New Roman"/>
          <w:sz w:val="32"/>
          <w:szCs w:val="32"/>
        </w:rPr>
        <w:t>基本支出</w:t>
      </w:r>
      <w:r>
        <w:rPr>
          <w:rFonts w:hint="eastAsia" w:ascii="Times New Roman" w:hAnsi="Times New Roman" w:eastAsia="仿宋" w:cs="Times New Roman"/>
          <w:sz w:val="32"/>
          <w:szCs w:val="32"/>
          <w:lang w:val="en-US" w:eastAsia="zh-CN"/>
        </w:rPr>
        <w:t>1440.94</w:t>
      </w:r>
      <w:r>
        <w:rPr>
          <w:rFonts w:hint="eastAsia" w:ascii="Times New Roman" w:hAnsi="Times New Roman" w:eastAsia="仿宋" w:cs="Times New Roman"/>
          <w:sz w:val="32"/>
          <w:szCs w:val="32"/>
        </w:rPr>
        <w:t>万元，包括人员经费</w:t>
      </w:r>
      <w:r>
        <w:rPr>
          <w:rFonts w:hint="eastAsia" w:ascii="Times New Roman" w:hAnsi="Times New Roman" w:eastAsia="仿宋" w:cs="Times New Roman"/>
          <w:sz w:val="32"/>
          <w:szCs w:val="32"/>
          <w:lang w:val="en-US" w:eastAsia="zh-CN"/>
        </w:rPr>
        <w:t>1279.37</w:t>
      </w:r>
      <w:r>
        <w:rPr>
          <w:rFonts w:hint="eastAsia" w:ascii="Times New Roman" w:hAnsi="Times New Roman" w:eastAsia="仿宋" w:cs="Times New Roman"/>
          <w:sz w:val="32"/>
          <w:szCs w:val="32"/>
        </w:rPr>
        <w:t>万元和日常公用经费</w:t>
      </w:r>
      <w:r>
        <w:rPr>
          <w:rFonts w:hint="eastAsia" w:ascii="Times New Roman" w:hAnsi="Times New Roman" w:eastAsia="仿宋" w:cs="Times New Roman"/>
          <w:sz w:val="32"/>
          <w:szCs w:val="32"/>
          <w:lang w:val="en-US" w:eastAsia="zh-CN"/>
        </w:rPr>
        <w:t>161.57</w:t>
      </w:r>
      <w:r>
        <w:rPr>
          <w:rFonts w:hint="eastAsia" w:ascii="Times New Roman" w:hAnsi="Times New Roman" w:eastAsia="仿宋" w:cs="Times New Roman"/>
          <w:sz w:val="32"/>
          <w:szCs w:val="32"/>
        </w:rPr>
        <w:t>万元</w:t>
      </w:r>
      <w:r>
        <w:rPr>
          <w:rFonts w:hint="eastAsia" w:ascii="Times New Roman" w:hAnsi="Times New Roman" w:eastAsia="仿宋" w:cs="Times New Roman"/>
          <w:sz w:val="32"/>
          <w:szCs w:val="32"/>
          <w:lang w:eastAsia="zh-CN"/>
        </w:rPr>
        <w:t>。</w:t>
      </w:r>
    </w:p>
    <w:p>
      <w:pPr>
        <w:ind w:firstLine="640"/>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eastAsia="zh-CN"/>
        </w:rPr>
        <w:t>（二）</w:t>
      </w:r>
      <w:r>
        <w:rPr>
          <w:rFonts w:hint="eastAsia" w:ascii="Times New Roman" w:hAnsi="Times New Roman" w:eastAsia="仿宋" w:cs="Times New Roman"/>
          <w:sz w:val="32"/>
          <w:szCs w:val="32"/>
        </w:rPr>
        <w:t>项目支出</w:t>
      </w:r>
      <w:r>
        <w:rPr>
          <w:rFonts w:hint="eastAsia" w:ascii="Times New Roman" w:hAnsi="Times New Roman" w:eastAsia="仿宋" w:cs="Times New Roman"/>
          <w:sz w:val="32"/>
          <w:szCs w:val="32"/>
          <w:lang w:val="en-US" w:eastAsia="zh-CN"/>
        </w:rPr>
        <w:t>496.10</w:t>
      </w:r>
      <w:r>
        <w:rPr>
          <w:rFonts w:hint="eastAsia" w:ascii="Times New Roman" w:hAnsi="Times New Roman" w:eastAsia="仿宋" w:cs="Times New Roman"/>
          <w:sz w:val="32"/>
          <w:szCs w:val="32"/>
        </w:rPr>
        <w:t>万元，</w:t>
      </w:r>
      <w:r>
        <w:rPr>
          <w:rFonts w:hint="eastAsia" w:ascii="Times New Roman" w:hAnsi="Times New Roman" w:eastAsia="仿宋" w:cs="Times New Roman"/>
          <w:sz w:val="32"/>
          <w:szCs w:val="32"/>
          <w:lang w:eastAsia="zh-CN"/>
        </w:rPr>
        <w:t>包括：</w:t>
      </w:r>
      <w:r>
        <w:rPr>
          <w:rFonts w:hint="eastAsia" w:ascii="Times New Roman" w:hAnsi="Times New Roman" w:eastAsia="仿宋" w:cs="Times New Roman"/>
          <w:sz w:val="32"/>
          <w:szCs w:val="32"/>
          <w:lang w:val="en-US" w:eastAsia="zh-CN"/>
        </w:rPr>
        <w:t>1、</w:t>
      </w:r>
      <w:r>
        <w:rPr>
          <w:rFonts w:hint="eastAsia" w:ascii="Times New Roman" w:hAnsi="Times New Roman" w:eastAsia="仿宋" w:cs="Times New Roman"/>
          <w:sz w:val="32"/>
          <w:szCs w:val="32"/>
          <w:lang w:eastAsia="zh-CN"/>
        </w:rPr>
        <w:t>宣传教育培训费</w:t>
      </w:r>
      <w:r>
        <w:rPr>
          <w:rFonts w:hint="eastAsia" w:ascii="Times New Roman" w:hAnsi="Times New Roman" w:eastAsia="仿宋" w:cs="Times New Roman"/>
          <w:sz w:val="32"/>
          <w:szCs w:val="32"/>
          <w:lang w:val="en-US" w:eastAsia="zh-CN"/>
        </w:rPr>
        <w:t>5万元；2、安全生产举报奖励费5万元；3、安全生产目标奖励费58万元；4、各类应急预案演练5万元；5、安全员工资16.50万元；6、防汛抗旱卫星电话通讯维修费3.90万元；7、防汛抗旱指挥部防汛号备物资、应急物品、办公经费6万元；8、关于提前下达2020年非煤矿山综合治理专项资金的通知180万元；9、关于提前下达2020年自然灾害救助专项资金的通知42万元；10、农村住房灾害保险50万元；11、涉军公益岗位工资7.70万元；12、危险化学品安全生产风险监测预警系统建设10万元；13、应急防护服装和装备配备10万元；14、应急指挥中心建设资金10万元；15、政府购买应急管理服务费10万元；16、执法业务费37万元；17、重大危险源监控专线租赁费和维护费10万元；18、综合防灾专项规划30万元。</w:t>
      </w:r>
    </w:p>
    <w:p>
      <w:pPr>
        <w:ind w:firstLine="640"/>
        <w:rPr>
          <w:rFonts w:ascii="Times New Roman" w:hAnsi="Times New Roman" w:eastAsia="仿宋" w:cs="Times New Roman"/>
          <w:sz w:val="32"/>
          <w:szCs w:val="32"/>
        </w:rPr>
      </w:pPr>
      <w:r>
        <w:rPr>
          <w:rFonts w:hint="eastAsia" w:ascii="Times New Roman" w:hAnsi="Times New Roman" w:eastAsia="仿宋" w:cs="Times New Roman"/>
          <w:sz w:val="32"/>
          <w:szCs w:val="32"/>
        </w:rPr>
        <w:t>3、</w:t>
      </w:r>
      <w:r>
        <w:rPr>
          <w:rFonts w:ascii="Times New Roman" w:hAnsi="Times New Roman" w:eastAsia="仿宋" w:cs="Times New Roman"/>
          <w:sz w:val="32"/>
          <w:szCs w:val="32"/>
        </w:rPr>
        <w:t>比上年增减情况</w:t>
      </w:r>
    </w:p>
    <w:p>
      <w:pPr>
        <w:ind w:firstLine="640"/>
        <w:rPr>
          <w:rFonts w:ascii="Times New Roman" w:hAnsi="Times New Roman" w:eastAsia="仿宋" w:cs="Times New Roman"/>
          <w:sz w:val="32"/>
          <w:szCs w:val="32"/>
        </w:rPr>
      </w:pPr>
      <w:r>
        <w:rPr>
          <w:rFonts w:hint="eastAsia" w:ascii="Times New Roman" w:hAnsi="Times New Roman" w:eastAsia="仿宋" w:cs="Times New Roman"/>
          <w:color w:val="000000"/>
          <w:sz w:val="32"/>
          <w:szCs w:val="32"/>
        </w:rPr>
        <w:t>2020年部门预算收支安排</w:t>
      </w:r>
      <w:r>
        <w:rPr>
          <w:rFonts w:hint="eastAsia" w:ascii="Times New Roman" w:hAnsi="Times New Roman" w:eastAsia="仿宋" w:cs="Times New Roman"/>
          <w:sz w:val="32"/>
          <w:szCs w:val="32"/>
          <w:lang w:val="en-US" w:eastAsia="zh-CN"/>
        </w:rPr>
        <w:t>1937.04</w:t>
      </w:r>
      <w:r>
        <w:rPr>
          <w:rFonts w:hint="eastAsia" w:ascii="Times New Roman" w:hAnsi="Times New Roman" w:eastAsia="仿宋" w:cs="Times New Roman"/>
          <w:color w:val="000000"/>
          <w:sz w:val="32"/>
          <w:szCs w:val="32"/>
        </w:rPr>
        <w:t>万元，</w:t>
      </w:r>
      <w:r>
        <w:rPr>
          <w:rFonts w:hint="eastAsia" w:ascii="Times New Roman" w:hAnsi="Times New Roman" w:eastAsia="仿宋" w:cs="Times New Roman"/>
          <w:sz w:val="32"/>
          <w:szCs w:val="32"/>
        </w:rPr>
        <w:t>较2019年增加</w:t>
      </w:r>
      <w:r>
        <w:rPr>
          <w:rFonts w:hint="eastAsia" w:ascii="Times New Roman" w:hAnsi="Times New Roman" w:eastAsia="仿宋" w:cs="Times New Roman"/>
          <w:sz w:val="32"/>
          <w:szCs w:val="32"/>
          <w:lang w:val="en-US" w:eastAsia="zh-CN"/>
        </w:rPr>
        <w:t>1202.04</w:t>
      </w:r>
      <w:r>
        <w:rPr>
          <w:rFonts w:hint="eastAsia" w:ascii="Times New Roman" w:hAnsi="Times New Roman" w:eastAsia="仿宋" w:cs="Times New Roman"/>
          <w:sz w:val="32"/>
          <w:szCs w:val="32"/>
        </w:rPr>
        <w:t>万元，其中：基本支出</w:t>
      </w:r>
      <w:r>
        <w:rPr>
          <w:rFonts w:hint="eastAsia" w:ascii="Times New Roman" w:hAnsi="Times New Roman" w:eastAsia="仿宋" w:cs="Times New Roman"/>
          <w:sz w:val="32"/>
          <w:szCs w:val="32"/>
          <w:lang w:eastAsia="zh-CN"/>
        </w:rPr>
        <w:t>增加</w:t>
      </w:r>
      <w:r>
        <w:rPr>
          <w:rFonts w:hint="eastAsia" w:ascii="Times New Roman" w:hAnsi="Times New Roman" w:eastAsia="仿宋" w:cs="Times New Roman"/>
          <w:sz w:val="32"/>
          <w:szCs w:val="32"/>
          <w:lang w:val="en-US" w:eastAsia="zh-CN"/>
        </w:rPr>
        <w:t>913.34</w:t>
      </w:r>
      <w:r>
        <w:rPr>
          <w:rFonts w:hint="eastAsia" w:ascii="Times New Roman" w:hAnsi="Times New Roman" w:eastAsia="仿宋" w:cs="Times New Roman"/>
          <w:sz w:val="32"/>
          <w:szCs w:val="32"/>
        </w:rPr>
        <w:t>万元，主要是</w:t>
      </w:r>
      <w:r>
        <w:rPr>
          <w:rFonts w:hint="eastAsia" w:ascii="Times New Roman" w:hAnsi="Times New Roman" w:eastAsia="仿宋" w:cs="Times New Roman"/>
          <w:sz w:val="32"/>
          <w:szCs w:val="32"/>
          <w:lang w:eastAsia="zh-CN"/>
        </w:rPr>
        <w:t>因机构改革要求从鹿泉区公安、科技局、水利局等部门划转我局</w:t>
      </w:r>
      <w:r>
        <w:rPr>
          <w:rFonts w:hint="eastAsia" w:ascii="Times New Roman" w:hAnsi="Times New Roman" w:eastAsia="仿宋" w:cs="Times New Roman"/>
          <w:sz w:val="32"/>
          <w:szCs w:val="32"/>
          <w:lang w:val="en-US" w:eastAsia="zh-CN"/>
        </w:rPr>
        <w:t>58人</w:t>
      </w:r>
      <w:r>
        <w:rPr>
          <w:rFonts w:hint="eastAsia" w:ascii="Times New Roman" w:hAnsi="Times New Roman" w:eastAsia="仿宋" w:cs="Times New Roman"/>
          <w:sz w:val="32"/>
          <w:szCs w:val="32"/>
        </w:rPr>
        <w:t>，相应</w:t>
      </w:r>
      <w:r>
        <w:rPr>
          <w:rFonts w:hint="eastAsia" w:ascii="Times New Roman" w:hAnsi="Times New Roman" w:eastAsia="仿宋" w:cs="Times New Roman"/>
          <w:sz w:val="32"/>
          <w:szCs w:val="32"/>
          <w:lang w:eastAsia="zh-CN"/>
        </w:rPr>
        <w:t>增加</w:t>
      </w:r>
      <w:r>
        <w:rPr>
          <w:rFonts w:hint="eastAsia" w:ascii="Times New Roman" w:hAnsi="Times New Roman" w:eastAsia="仿宋" w:cs="Times New Roman"/>
          <w:sz w:val="32"/>
          <w:szCs w:val="32"/>
        </w:rPr>
        <w:t>人员经费和日常公用经费；项目支出增加</w:t>
      </w:r>
      <w:r>
        <w:rPr>
          <w:rFonts w:hint="eastAsia" w:ascii="Times New Roman" w:hAnsi="Times New Roman" w:eastAsia="仿宋" w:cs="Times New Roman"/>
          <w:sz w:val="32"/>
          <w:szCs w:val="32"/>
          <w:lang w:val="en-US" w:eastAsia="zh-CN"/>
        </w:rPr>
        <w:t>288.70</w:t>
      </w:r>
      <w:r>
        <w:rPr>
          <w:rFonts w:hint="eastAsia" w:ascii="Times New Roman" w:hAnsi="Times New Roman" w:eastAsia="仿宋" w:cs="Times New Roman"/>
          <w:sz w:val="32"/>
          <w:szCs w:val="32"/>
        </w:rPr>
        <w:t>万元，主要是</w:t>
      </w:r>
      <w:r>
        <w:rPr>
          <w:rFonts w:hint="eastAsia" w:ascii="Times New Roman" w:hAnsi="Times New Roman" w:eastAsia="仿宋" w:cs="Times New Roman"/>
          <w:sz w:val="32"/>
          <w:szCs w:val="32"/>
          <w:lang w:eastAsia="zh-CN"/>
        </w:rPr>
        <w:t>因机构改革原因，从科技局、水利局等单位的应急救援、救灾等职能划转到我局，主要增加防汛抗旱卫星电话通讯维修费、防汛抗旱指挥部防汛号备物资费、关于提前下达</w:t>
      </w:r>
      <w:r>
        <w:rPr>
          <w:rFonts w:hint="eastAsia" w:ascii="Times New Roman" w:hAnsi="Times New Roman" w:eastAsia="仿宋" w:cs="Times New Roman"/>
          <w:sz w:val="32"/>
          <w:szCs w:val="32"/>
          <w:lang w:val="en-US" w:eastAsia="zh-CN"/>
        </w:rPr>
        <w:t>2020年非煤矿山综合治理专项资金、关于提前下达2020年自然灾害求助专项资金、农村住房灾害保险、应急防护服装和装备配备、应急指挥中心建设资金、综合防灾专项规划等项目资金的增加</w:t>
      </w:r>
      <w:r>
        <w:rPr>
          <w:rFonts w:hint="eastAsia" w:ascii="Times New Roman" w:hAnsi="Times New Roman" w:eastAsia="仿宋" w:cs="Times New Roman"/>
          <w:sz w:val="32"/>
          <w:szCs w:val="32"/>
        </w:rPr>
        <w:t>；其他支出无增减变化。</w:t>
      </w:r>
    </w:p>
    <w:p>
      <w:pPr>
        <w:autoSpaceDE w:val="0"/>
        <w:autoSpaceDN w:val="0"/>
        <w:adjustRightInd w:val="0"/>
        <w:ind w:firstLine="960" w:firstLineChars="300"/>
        <w:jc w:val="left"/>
        <w:rPr>
          <w:rFonts w:ascii="黑体" w:hAnsi="黑体" w:eastAsia="黑体" w:cs="Times New Roman"/>
          <w:sz w:val="32"/>
          <w:szCs w:val="32"/>
        </w:rPr>
      </w:pPr>
      <w:r>
        <w:rPr>
          <w:rFonts w:hint="eastAsia" w:ascii="黑体" w:hAnsi="黑体" w:eastAsia="黑体" w:cs="Times New Roman"/>
          <w:sz w:val="32"/>
          <w:szCs w:val="32"/>
        </w:rPr>
        <w:t>三、机关运行经费安排情况</w:t>
      </w:r>
    </w:p>
    <w:p>
      <w:p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Times New Roman"/>
          <w:sz w:val="32"/>
          <w:szCs w:val="32"/>
        </w:rPr>
        <w:t>2020年，我部门机关运行经费共计安排</w:t>
      </w:r>
      <w:r>
        <w:rPr>
          <w:rFonts w:hint="eastAsia" w:ascii="Times New Roman" w:hAnsi="Times New Roman" w:eastAsia="仿宋" w:cs="Times New Roman"/>
          <w:sz w:val="32"/>
          <w:szCs w:val="32"/>
          <w:lang w:val="en-US" w:eastAsia="zh-CN"/>
        </w:rPr>
        <w:t>161.57</w:t>
      </w:r>
      <w:r>
        <w:rPr>
          <w:rFonts w:hint="eastAsia" w:ascii="Times New Roman" w:hAnsi="Times New Roman" w:eastAsia="仿宋" w:cs="Times New Roman"/>
          <w:sz w:val="32"/>
          <w:szCs w:val="32"/>
        </w:rPr>
        <w:t>万元，主要用于保证机关正常运转的办公费、</w:t>
      </w:r>
      <w:r>
        <w:rPr>
          <w:rFonts w:hint="eastAsia" w:ascii="Times New Roman" w:hAnsi="Times New Roman" w:eastAsia="仿宋" w:cs="Times New Roman"/>
          <w:sz w:val="32"/>
          <w:szCs w:val="32"/>
          <w:lang w:eastAsia="zh-CN"/>
        </w:rPr>
        <w:t>水费、电费、</w:t>
      </w:r>
      <w:r>
        <w:rPr>
          <w:rFonts w:hint="eastAsia" w:ascii="Times New Roman" w:hAnsi="Times New Roman" w:eastAsia="仿宋" w:cs="Times New Roman"/>
          <w:sz w:val="32"/>
          <w:szCs w:val="32"/>
        </w:rPr>
        <w:t>邮电费、</w:t>
      </w:r>
      <w:r>
        <w:rPr>
          <w:rFonts w:hint="eastAsia" w:ascii="Times New Roman" w:hAnsi="Times New Roman" w:eastAsia="仿宋" w:cs="Times New Roman"/>
          <w:sz w:val="32"/>
          <w:szCs w:val="32"/>
          <w:lang w:eastAsia="zh-CN"/>
        </w:rPr>
        <w:t>办公取暖费</w:t>
      </w:r>
      <w:r>
        <w:rPr>
          <w:rFonts w:hint="eastAsia" w:ascii="Times New Roman" w:hAnsi="Times New Roman" w:eastAsia="仿宋" w:cs="Times New Roman"/>
          <w:sz w:val="32"/>
          <w:szCs w:val="32"/>
        </w:rPr>
        <w:t>、</w:t>
      </w:r>
      <w:r>
        <w:rPr>
          <w:rFonts w:hint="eastAsia" w:ascii="Times New Roman" w:hAnsi="Times New Roman" w:eastAsia="仿宋" w:cs="Times New Roman"/>
          <w:sz w:val="32"/>
          <w:szCs w:val="32"/>
          <w:lang w:eastAsia="zh-CN"/>
        </w:rPr>
        <w:t>物业管理费、公务用车运行维护费、公务交通补贴费、劳务费、委托业务费、工会经费、福利费、党组织活动经费</w:t>
      </w:r>
      <w:r>
        <w:rPr>
          <w:rFonts w:hint="eastAsia" w:ascii="Times New Roman" w:hAnsi="Times New Roman" w:eastAsia="仿宋" w:cs="Times New Roman"/>
          <w:sz w:val="32"/>
          <w:szCs w:val="32"/>
        </w:rPr>
        <w:t>等支出。</w:t>
      </w:r>
    </w:p>
    <w:p>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Times New Roman"/>
          <w:sz w:val="32"/>
          <w:szCs w:val="32"/>
        </w:rPr>
        <w:t>四、财政拨款</w:t>
      </w:r>
      <w:r>
        <w:rPr>
          <w:rFonts w:ascii="黑体" w:hAnsi="黑体" w:eastAsia="黑体" w:cs="Times New Roman"/>
          <w:sz w:val="32"/>
          <w:szCs w:val="32"/>
        </w:rPr>
        <w:t>“</w:t>
      </w:r>
      <w:r>
        <w:rPr>
          <w:rFonts w:hint="eastAsia" w:ascii="黑体" w:hAnsi="黑体" w:eastAsia="黑体" w:cs="Times New Roman"/>
          <w:sz w:val="32"/>
          <w:szCs w:val="32"/>
        </w:rPr>
        <w:t>三公</w:t>
      </w:r>
      <w:r>
        <w:rPr>
          <w:rFonts w:ascii="黑体" w:hAnsi="黑体" w:eastAsia="黑体" w:cs="Times New Roman"/>
          <w:sz w:val="32"/>
          <w:szCs w:val="32"/>
        </w:rPr>
        <w:t>”</w:t>
      </w:r>
      <w:r>
        <w:rPr>
          <w:rFonts w:hint="eastAsia" w:ascii="黑体" w:hAnsi="黑体" w:eastAsia="黑体" w:cs="Times New Roman"/>
          <w:sz w:val="32"/>
          <w:szCs w:val="32"/>
        </w:rPr>
        <w:t>经费预算情况及增减变化原因</w:t>
      </w:r>
    </w:p>
    <w:p>
      <w:p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Times New Roman"/>
          <w:sz w:val="32"/>
          <w:szCs w:val="32"/>
        </w:rPr>
        <w:t>2020年，我部门财政拨款“三公”经费预算安排</w:t>
      </w:r>
      <w:r>
        <w:rPr>
          <w:rFonts w:hint="eastAsia" w:ascii="Times New Roman" w:hAnsi="Times New Roman" w:eastAsia="仿宋" w:cs="Times New Roman"/>
          <w:sz w:val="32"/>
          <w:szCs w:val="32"/>
          <w:lang w:val="en-US" w:eastAsia="zh-CN"/>
        </w:rPr>
        <w:t>8.10</w:t>
      </w:r>
      <w:r>
        <w:rPr>
          <w:rFonts w:hint="eastAsia" w:ascii="Times New Roman" w:hAnsi="Times New Roman" w:eastAsia="仿宋" w:cs="Times New Roman"/>
          <w:sz w:val="32"/>
          <w:szCs w:val="32"/>
        </w:rPr>
        <w:t>万元，其中：公务用车购置及运维费</w:t>
      </w:r>
      <w:r>
        <w:rPr>
          <w:rFonts w:hint="eastAsia" w:ascii="Times New Roman" w:hAnsi="Times New Roman" w:eastAsia="仿宋" w:cs="Times New Roman"/>
          <w:sz w:val="32"/>
          <w:szCs w:val="32"/>
          <w:lang w:val="en-US" w:eastAsia="zh-CN"/>
        </w:rPr>
        <w:t>8.10</w:t>
      </w:r>
      <w:r>
        <w:rPr>
          <w:rFonts w:hint="eastAsia" w:ascii="Times New Roman" w:hAnsi="Times New Roman" w:eastAsia="仿宋" w:cs="Times New Roman"/>
          <w:sz w:val="32"/>
          <w:szCs w:val="32"/>
        </w:rPr>
        <w:t>万元（其中：公务用车购置费0万元，公务用车运行维护费</w:t>
      </w:r>
      <w:r>
        <w:rPr>
          <w:rFonts w:hint="eastAsia" w:ascii="Times New Roman" w:hAnsi="Times New Roman" w:eastAsia="仿宋" w:cs="Times New Roman"/>
          <w:sz w:val="32"/>
          <w:szCs w:val="32"/>
          <w:lang w:val="en-US" w:eastAsia="zh-CN"/>
        </w:rPr>
        <w:t>8.10</w:t>
      </w:r>
      <w:r>
        <w:rPr>
          <w:rFonts w:hint="eastAsia" w:ascii="Times New Roman" w:hAnsi="Times New Roman" w:eastAsia="仿宋" w:cs="Times New Roman"/>
          <w:sz w:val="32"/>
          <w:szCs w:val="32"/>
        </w:rPr>
        <w:t>万元)；公务接待费</w:t>
      </w:r>
      <w:r>
        <w:rPr>
          <w:rFonts w:hint="eastAsia" w:ascii="Times New Roman" w:hAnsi="Times New Roman" w:eastAsia="仿宋" w:cs="Times New Roman"/>
          <w:sz w:val="32"/>
          <w:szCs w:val="32"/>
          <w:lang w:val="en-US" w:eastAsia="zh-CN"/>
        </w:rPr>
        <w:t>0</w:t>
      </w:r>
      <w:r>
        <w:rPr>
          <w:rFonts w:hint="eastAsia" w:ascii="Times New Roman" w:hAnsi="Times New Roman" w:eastAsia="仿宋" w:cs="Times New Roman"/>
          <w:sz w:val="32"/>
          <w:szCs w:val="32"/>
        </w:rPr>
        <w:t>万元。“三公”经费与上年</w:t>
      </w:r>
      <w:r>
        <w:rPr>
          <w:rFonts w:hint="eastAsia" w:ascii="Times New Roman" w:hAnsi="Times New Roman" w:eastAsia="仿宋" w:cs="Times New Roman"/>
          <w:sz w:val="32"/>
          <w:szCs w:val="32"/>
          <w:lang w:eastAsia="zh-CN"/>
        </w:rPr>
        <w:t>相比减少</w:t>
      </w:r>
      <w:r>
        <w:rPr>
          <w:rFonts w:hint="eastAsia" w:ascii="Times New Roman" w:hAnsi="Times New Roman" w:eastAsia="仿宋" w:cs="Times New Roman"/>
          <w:sz w:val="32"/>
          <w:szCs w:val="32"/>
          <w:lang w:val="en-US" w:eastAsia="zh-CN"/>
        </w:rPr>
        <w:t>1.5万元</w:t>
      </w:r>
      <w:r>
        <w:rPr>
          <w:rFonts w:hint="eastAsia" w:ascii="Times New Roman" w:hAnsi="Times New Roman" w:eastAsia="仿宋" w:cs="Times New Roman"/>
          <w:sz w:val="32"/>
          <w:szCs w:val="32"/>
        </w:rPr>
        <w:t>，</w:t>
      </w:r>
      <w:r>
        <w:rPr>
          <w:rFonts w:hint="eastAsia" w:ascii="Times New Roman" w:hAnsi="Times New Roman" w:eastAsia="仿宋" w:cs="Times New Roman"/>
          <w:sz w:val="32"/>
          <w:szCs w:val="32"/>
          <w:lang w:eastAsia="zh-CN"/>
        </w:rPr>
        <w:t>去年公务接待费预算安排</w:t>
      </w:r>
      <w:r>
        <w:rPr>
          <w:rFonts w:hint="eastAsia" w:ascii="Times New Roman" w:hAnsi="Times New Roman" w:eastAsia="仿宋" w:cs="Times New Roman"/>
          <w:sz w:val="32"/>
          <w:szCs w:val="32"/>
          <w:lang w:val="en-US" w:eastAsia="zh-CN"/>
        </w:rPr>
        <w:t>1.50万元，今年公务接待费预算安排0万元</w:t>
      </w:r>
      <w:r>
        <w:rPr>
          <w:rFonts w:hint="eastAsia" w:ascii="Times New Roman" w:hAnsi="Times New Roman" w:eastAsia="仿宋" w:cs="Times New Roman"/>
          <w:sz w:val="32"/>
          <w:szCs w:val="32"/>
        </w:rPr>
        <w:t>。</w:t>
      </w:r>
    </w:p>
    <w:p>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Times New Roman"/>
          <w:sz w:val="32"/>
          <w:szCs w:val="32"/>
        </w:rPr>
        <w:t>五、预算绩效信息</w:t>
      </w:r>
    </w:p>
    <w:p>
      <w:pPr>
        <w:ind w:firstLine="640" w:firstLineChars="200"/>
        <w:jc w:val="center"/>
        <w:rPr>
          <w:rFonts w:ascii="Times New Roman" w:hAnsi="Times New Roman" w:eastAsia="仿宋" w:cs="Times New Roman"/>
          <w:sz w:val="32"/>
          <w:szCs w:val="32"/>
        </w:rPr>
      </w:pPr>
      <w:bookmarkStart w:id="0" w:name="_Toc471398463"/>
      <w:r>
        <w:rPr>
          <w:rFonts w:hint="eastAsia" w:ascii="Times New Roman" w:hAnsi="Times New Roman" w:eastAsia="方正仿宋_GBK" w:cs="Times New Roman"/>
          <w:b/>
          <w:sz w:val="32"/>
          <w:szCs w:val="32"/>
        </w:rPr>
        <w:t>第一部分  部门整体绩效目标</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黑体" w:hAnsi="黑体" w:eastAsia="黑体" w:cs="黑体"/>
          <w:b/>
          <w:bCs/>
          <w:sz w:val="32"/>
          <w:szCs w:val="32"/>
        </w:rPr>
        <w:t>一、总体绩效目标</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以习近平新时代中国特色社会主义理论为指导，按照“党政同责、一岗双责”要求，强化红线意识，坚持底线思维，增强忧患意识，提高防控能力，着力防范化解重大风险，以强力推进安全风险分级管控、隐患排查治理双重预防机制建设为抓手，突出安全风险、责任风险警示教育，深入开展安全生产各类专项活动，严格安全生产执法检查，紧盯危险化学品、非煤矿山及人员密集场所等高危行业和区域，切实抓好安全生产各项工作，加强应急管理工作，全面提高预防和处置突发事件的能力，定期开展应急演练，为处置突发事件提供保障，做好防汛抗旱准备工作，以确保安全度汛，做好应急管理和安全生产等各类宣传，努力防范和减少各类事故，坚决遏制较大以上安全生产事故，保持全区安全生产形势持续稳定。</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黑体" w:hAnsi="黑体" w:eastAsia="黑体" w:cs="黑体"/>
          <w:b/>
          <w:bCs/>
          <w:sz w:val="32"/>
          <w:szCs w:val="32"/>
        </w:rPr>
      </w:pPr>
      <w:r>
        <w:rPr>
          <w:rFonts w:hint="eastAsia" w:ascii="黑体" w:hAnsi="黑体" w:eastAsia="黑体" w:cs="黑体"/>
          <w:b/>
          <w:bCs/>
          <w:sz w:val="32"/>
          <w:szCs w:val="32"/>
        </w:rPr>
        <w:t>二、分项绩效目标</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lang w:eastAsia="zh-CN"/>
        </w:rPr>
      </w:pPr>
      <w:r>
        <w:rPr>
          <w:rFonts w:hint="eastAsia" w:ascii="仿宋" w:hAnsi="仿宋" w:eastAsia="仿宋" w:cs="仿宋"/>
          <w:sz w:val="32"/>
          <w:szCs w:val="32"/>
        </w:rPr>
        <w:t>（一）</w:t>
      </w:r>
      <w:r>
        <w:rPr>
          <w:rFonts w:hint="eastAsia" w:ascii="仿宋" w:hAnsi="仿宋" w:eastAsia="仿宋" w:cs="仿宋"/>
          <w:sz w:val="32"/>
          <w:szCs w:val="32"/>
          <w:lang w:eastAsia="zh-CN"/>
        </w:rPr>
        <w:t>农村住房灾害保险</w:t>
      </w:r>
    </w:p>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绩效目标：每年为我区农村户口居民入保一处农村住房灾害保险，提高全区农民群众抵抗自然灾害和意外事故风险的能力，帮助受灾农民的农村住房灾后及时重建，维护社会稳定。</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绩效指标：房屋出险率</w:t>
      </w:r>
      <w:r>
        <w:rPr>
          <w:rFonts w:hint="eastAsia" w:ascii="仿宋" w:hAnsi="仿宋" w:eastAsia="仿宋" w:cs="仿宋"/>
          <w:sz w:val="32"/>
          <w:szCs w:val="32"/>
          <w:lang w:eastAsia="zh-CN"/>
        </w:rPr>
        <w:t>达到</w:t>
      </w:r>
      <w:r>
        <w:rPr>
          <w:rFonts w:hint="eastAsia" w:ascii="仿宋" w:hAnsi="仿宋" w:eastAsia="仿宋" w:cs="仿宋"/>
          <w:sz w:val="32"/>
          <w:szCs w:val="32"/>
          <w:lang w:val="en-US" w:eastAsia="zh-CN"/>
        </w:rPr>
        <w:t>100%，自然灾害和意外事故造成的房屋损失出险每户最高赔付金额小于等于35000元。</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（二）防汛抗旱卫星电话通讯维修费</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绩效目标：缴纳我区12部（铱星牌）卫星电话费，及时维修、更换零件、更换卫星电话，保证12部（铱星牌）卫星电话汛期正常使用。</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lang w:eastAsia="zh-CN"/>
        </w:rPr>
      </w:pPr>
      <w:r>
        <w:rPr>
          <w:rFonts w:hint="eastAsia" w:ascii="仿宋" w:hAnsi="仿宋" w:eastAsia="仿宋" w:cs="仿宋"/>
          <w:sz w:val="32"/>
          <w:szCs w:val="32"/>
        </w:rPr>
        <w:t>绩效指标：保证应急状况下12部卫星电话使用畅通</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（三）防汛抗旱指挥部防汛号备物资、应急物品、办公经费</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绩效目标：根据防汛工作通知要求完成防汛物资号备及防汛应急用品购买，提升防汛抗旱能力</w:t>
      </w:r>
      <w:r>
        <w:rPr>
          <w:rFonts w:hint="eastAsia" w:ascii="仿宋" w:hAnsi="仿宋" w:eastAsia="仿宋" w:cs="仿宋"/>
          <w:sz w:val="32"/>
          <w:szCs w:val="32"/>
          <w:lang w:eastAsia="zh-CN"/>
        </w:rPr>
        <w:t>。</w:t>
      </w:r>
      <w:r>
        <w:rPr>
          <w:rFonts w:hint="eastAsia" w:ascii="仿宋" w:hAnsi="仿宋" w:eastAsia="仿宋" w:cs="仿宋"/>
          <w:sz w:val="32"/>
          <w:szCs w:val="32"/>
        </w:rPr>
        <w:t>按照防汛预案要求及时处理汛情，确保人员财产安全。</w:t>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绩效指标：号备物资使用率</w:t>
      </w:r>
      <w:r>
        <w:rPr>
          <w:rFonts w:hint="eastAsia" w:ascii="仿宋" w:hAnsi="仿宋" w:eastAsia="仿宋" w:cs="仿宋"/>
          <w:sz w:val="32"/>
          <w:szCs w:val="32"/>
          <w:lang w:eastAsia="zh-CN"/>
        </w:rPr>
        <w:t>达到</w:t>
      </w:r>
      <w:r>
        <w:rPr>
          <w:rFonts w:hint="eastAsia" w:ascii="仿宋" w:hAnsi="仿宋" w:eastAsia="仿宋" w:cs="仿宋"/>
          <w:sz w:val="32"/>
          <w:szCs w:val="32"/>
          <w:lang w:val="en-US" w:eastAsia="zh-CN"/>
        </w:rPr>
        <w:t>100%，防汛应急用品、防汛办公用品的购买，改善了办公条件，提升了办公速度，能更及时更快的应对当前汛情。</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（四）重大危险源监控专线租赁费和维护费</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绩效目标：租用专线监控4个重要危险源企业，加强重要行业监督管理，减少事故发生。</w:t>
      </w:r>
      <w:r>
        <w:rPr>
          <w:rFonts w:hint="eastAsia" w:ascii="仿宋" w:hAnsi="仿宋" w:eastAsia="仿宋" w:cs="仿宋"/>
          <w:sz w:val="32"/>
          <w:szCs w:val="32"/>
        </w:rPr>
        <w:tab/>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绩效指标：监控重要危险源企业数量</w:t>
      </w:r>
      <w:r>
        <w:rPr>
          <w:rFonts w:hint="eastAsia" w:ascii="仿宋" w:hAnsi="仿宋" w:eastAsia="仿宋" w:cs="仿宋"/>
          <w:sz w:val="32"/>
          <w:szCs w:val="32"/>
          <w:lang w:eastAsia="zh-CN"/>
        </w:rPr>
        <w:t>大于等于</w:t>
      </w:r>
      <w:r>
        <w:rPr>
          <w:rFonts w:hint="eastAsia" w:ascii="仿宋" w:hAnsi="仿宋" w:eastAsia="仿宋" w:cs="仿宋"/>
          <w:sz w:val="32"/>
          <w:szCs w:val="32"/>
          <w:lang w:val="en-US" w:eastAsia="zh-CN"/>
        </w:rPr>
        <w:t>4个。</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（五）应急防护服装和装备配备</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绩效目标：购置应急装配，培训2名无人机驾驶员，提高应急处置能力，处置得当、迅速到位。</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绩效指标：应急装备保障人数</w:t>
      </w:r>
      <w:r>
        <w:rPr>
          <w:rFonts w:hint="eastAsia" w:ascii="仿宋" w:hAnsi="仿宋" w:eastAsia="仿宋" w:cs="仿宋"/>
          <w:sz w:val="32"/>
          <w:szCs w:val="32"/>
          <w:lang w:eastAsia="zh-CN"/>
        </w:rPr>
        <w:t>不少于</w:t>
      </w:r>
      <w:r>
        <w:rPr>
          <w:rFonts w:hint="eastAsia" w:ascii="仿宋" w:hAnsi="仿宋" w:eastAsia="仿宋" w:cs="仿宋"/>
          <w:sz w:val="32"/>
          <w:szCs w:val="32"/>
          <w:lang w:val="en-US" w:eastAsia="zh-CN"/>
        </w:rPr>
        <w:t>170人。</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（六）</w:t>
      </w:r>
      <w:r>
        <w:rPr>
          <w:rFonts w:hint="eastAsia" w:ascii="仿宋" w:hAnsi="仿宋" w:eastAsia="仿宋" w:cs="仿宋"/>
          <w:sz w:val="32"/>
          <w:szCs w:val="32"/>
        </w:rPr>
        <w:t>应急指挥中心建设资金</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绩效目标：建立应急指挥中心，用于鹿泉区处置突发事件及防灾、减灾、救灾和安全生产监管使用，降低突发事件处置时间。</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绩效指标：处置突发事件应急处理率</w:t>
      </w:r>
      <w:r>
        <w:rPr>
          <w:rFonts w:hint="eastAsia" w:ascii="仿宋" w:hAnsi="仿宋" w:eastAsia="仿宋" w:cs="仿宋"/>
          <w:sz w:val="32"/>
          <w:szCs w:val="32"/>
          <w:lang w:eastAsia="zh-CN"/>
        </w:rPr>
        <w:t>达到</w:t>
      </w:r>
      <w:r>
        <w:rPr>
          <w:rFonts w:hint="eastAsia" w:ascii="仿宋" w:hAnsi="仿宋" w:eastAsia="仿宋" w:cs="仿宋"/>
          <w:sz w:val="32"/>
          <w:szCs w:val="32"/>
          <w:lang w:val="en-US" w:eastAsia="zh-CN"/>
        </w:rPr>
        <w:t>100%，应急事件处置时间明显减少。</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（七）</w:t>
      </w:r>
      <w:r>
        <w:rPr>
          <w:rFonts w:hint="eastAsia" w:ascii="仿宋" w:hAnsi="仿宋" w:eastAsia="仿宋" w:cs="仿宋"/>
          <w:sz w:val="32"/>
          <w:szCs w:val="32"/>
        </w:rPr>
        <w:t>安全生产举报奖励费</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每年对我区群众举报安全生产重大事故隐患、安全生产非法违反等行为举报情况属实的给予奖励，通过安全生产举报奖励政策，激发和调动广大人民群众参与安全生产举报的积极性，对安全生产非法违法行为等形成强大的震慑作用，减少安全隐患事故的发生，维护社会稳定。</w:t>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绩效指标：通过人民群众举报安全生产隐患，安全生产隐患整改率</w:t>
      </w:r>
      <w:r>
        <w:rPr>
          <w:rFonts w:hint="eastAsia" w:ascii="仿宋" w:hAnsi="仿宋" w:eastAsia="仿宋" w:cs="仿宋"/>
          <w:sz w:val="32"/>
          <w:szCs w:val="32"/>
          <w:lang w:eastAsia="zh-CN"/>
        </w:rPr>
        <w:t>不小于</w:t>
      </w:r>
      <w:r>
        <w:rPr>
          <w:rFonts w:hint="eastAsia" w:ascii="仿宋" w:hAnsi="仿宋" w:eastAsia="仿宋" w:cs="仿宋"/>
          <w:sz w:val="32"/>
          <w:szCs w:val="32"/>
          <w:lang w:val="en-US" w:eastAsia="zh-CN"/>
        </w:rPr>
        <w:t>90</w:t>
      </w:r>
      <w:r>
        <w:rPr>
          <w:rFonts w:hint="eastAsia" w:ascii="仿宋" w:hAnsi="仿宋" w:eastAsia="仿宋" w:cs="仿宋"/>
          <w:sz w:val="32"/>
          <w:szCs w:val="32"/>
        </w:rPr>
        <w:t>%</w:t>
      </w:r>
      <w:r>
        <w:rPr>
          <w:rFonts w:hint="eastAsia" w:ascii="仿宋" w:hAnsi="仿宋" w:eastAsia="仿宋" w:cs="仿宋"/>
          <w:sz w:val="32"/>
          <w:szCs w:val="32"/>
          <w:lang w:eastAsia="zh-CN"/>
        </w:rPr>
        <w:t>，降低瞒报谎报发生率不小于</w:t>
      </w:r>
      <w:r>
        <w:rPr>
          <w:rFonts w:hint="eastAsia" w:ascii="仿宋" w:hAnsi="仿宋" w:eastAsia="仿宋" w:cs="仿宋"/>
          <w:sz w:val="32"/>
          <w:szCs w:val="32"/>
          <w:lang w:val="en-US" w:eastAsia="zh-CN"/>
        </w:rPr>
        <w:t>80</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（八）</w:t>
      </w:r>
      <w:r>
        <w:rPr>
          <w:rFonts w:hint="eastAsia" w:ascii="仿宋" w:hAnsi="仿宋" w:eastAsia="仿宋" w:cs="仿宋"/>
          <w:sz w:val="32"/>
          <w:szCs w:val="32"/>
        </w:rPr>
        <w:t>执法业务费</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按照年初制定全区执法检查计划和区委、区政府下达的执法工作、企业举报案件、我区安排的联合执法及临时安排的交叉执法对全区安全生产经营单位进行督导检查，全年约检查各类企业200余家次，确保各类企业不发生事故，维护社会稳定。</w:t>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绩</w:t>
      </w:r>
      <w:r>
        <w:rPr>
          <w:rFonts w:hint="eastAsia" w:ascii="仿宋" w:hAnsi="仿宋" w:eastAsia="仿宋" w:cs="仿宋"/>
          <w:sz w:val="32"/>
          <w:szCs w:val="32"/>
        </w:rPr>
        <w:t>效指标：查出隐患整改率</w:t>
      </w:r>
      <w:r>
        <w:rPr>
          <w:rFonts w:hint="eastAsia" w:ascii="仿宋" w:hAnsi="仿宋" w:eastAsia="仿宋" w:cs="仿宋"/>
          <w:sz w:val="32"/>
          <w:szCs w:val="32"/>
          <w:lang w:eastAsia="zh-CN"/>
        </w:rPr>
        <w:t>达到</w:t>
      </w:r>
      <w:r>
        <w:rPr>
          <w:rFonts w:hint="eastAsia" w:ascii="仿宋" w:hAnsi="仿宋" w:eastAsia="仿宋" w:cs="仿宋"/>
          <w:sz w:val="32"/>
          <w:szCs w:val="32"/>
          <w:lang w:val="en-US" w:eastAsia="zh-CN"/>
        </w:rPr>
        <w:t>100%。</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（九）</w:t>
      </w:r>
      <w:r>
        <w:rPr>
          <w:rFonts w:hint="eastAsia" w:ascii="仿宋" w:hAnsi="仿宋" w:eastAsia="仿宋" w:cs="仿宋"/>
          <w:sz w:val="32"/>
          <w:szCs w:val="32"/>
        </w:rPr>
        <w:t>安全生产目标奖励费</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目标考核奖励资金用于每年考核成绩为优秀的乡镇和部门。年底按照《鹿泉区安全生产目标管理考核办法》组织对各乡镇、部门进行考核，根据划分安全生产经营单位数量，全年安全事故多少划分考核等次。通过奖励先进促进各乡镇和部门提升安全生产管理水平。</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绩效指标：安全生产考核优秀单位不发生生产安全事故，安全生产监管水平显著提高</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（十）</w:t>
      </w:r>
      <w:r>
        <w:rPr>
          <w:rFonts w:hint="eastAsia" w:ascii="仿宋" w:hAnsi="仿宋" w:eastAsia="仿宋" w:cs="仿宋"/>
          <w:sz w:val="32"/>
          <w:szCs w:val="32"/>
        </w:rPr>
        <w:t>宣传教育培训费</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利用安全生产、防灾减灾、消防安全、应急救援等培训及宣传加强全区生产经营单位提高安全意识。通过安全生产、防灾减灾、消防安全、应急救援等培训及宣传增强了全区生产经营单位处理各类事故和灾难的能力。</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绩效指标：提高了执法人员处理各类事故和灾难的能力</w:t>
      </w:r>
      <w:r>
        <w:rPr>
          <w:rFonts w:hint="eastAsia" w:ascii="仿宋" w:hAnsi="仿宋" w:eastAsia="仿宋" w:cs="仿宋"/>
          <w:sz w:val="32"/>
          <w:szCs w:val="32"/>
          <w:lang w:eastAsia="zh-CN"/>
        </w:rPr>
        <w:t>。</w:t>
      </w:r>
      <w:r>
        <w:rPr>
          <w:rFonts w:hint="eastAsia" w:ascii="仿宋" w:hAnsi="仿宋" w:eastAsia="仿宋" w:cs="仿宋"/>
          <w:sz w:val="32"/>
          <w:szCs w:val="32"/>
        </w:rPr>
        <w:t>通过宣传提高广大人民群众的安全意识</w:t>
      </w:r>
      <w:r>
        <w:rPr>
          <w:rFonts w:hint="eastAsia" w:ascii="仿宋" w:hAnsi="仿宋" w:eastAsia="仿宋" w:cs="仿宋"/>
          <w:sz w:val="32"/>
          <w:szCs w:val="32"/>
          <w:lang w:eastAsia="zh-CN"/>
        </w:rPr>
        <w:t>。</w:t>
      </w:r>
      <w:r>
        <w:rPr>
          <w:rFonts w:hint="eastAsia" w:ascii="仿宋" w:hAnsi="仿宋" w:eastAsia="仿宋" w:cs="仿宋"/>
          <w:sz w:val="32"/>
          <w:szCs w:val="32"/>
        </w:rPr>
        <w:t>通过5.12防灾减灾演练提高广大群众应对灾害的能力和意识</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（十一）</w:t>
      </w:r>
      <w:r>
        <w:rPr>
          <w:rFonts w:hint="eastAsia" w:ascii="仿宋" w:hAnsi="仿宋" w:eastAsia="仿宋" w:cs="仿宋"/>
          <w:sz w:val="32"/>
          <w:szCs w:val="32"/>
        </w:rPr>
        <w:t>各类应急预案演练费</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每年组织地质灾害点演练、人员密集场所演练、重要路段处置事故演练、集中的小微企业互救演练、涉氨涉氯企业演练，建立应急预案体系，巩固应急预案成果，查漏补缺，对号入座，在不同行业领域着重预防，提高部门、乡镇人员应急能力。</w:t>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绩效指标：</w:t>
      </w:r>
      <w:r>
        <w:rPr>
          <w:rFonts w:hint="eastAsia" w:ascii="仿宋" w:hAnsi="仿宋" w:eastAsia="仿宋" w:cs="仿宋"/>
          <w:sz w:val="32"/>
          <w:szCs w:val="32"/>
          <w:lang w:eastAsia="zh-CN"/>
        </w:rPr>
        <w:t>明显</w:t>
      </w:r>
      <w:r>
        <w:rPr>
          <w:rFonts w:hint="eastAsia" w:ascii="仿宋" w:hAnsi="仿宋" w:eastAsia="仿宋" w:cs="仿宋"/>
          <w:sz w:val="32"/>
          <w:szCs w:val="32"/>
        </w:rPr>
        <w:t>提高部门人员应急能力情况</w:t>
      </w:r>
      <w:r>
        <w:rPr>
          <w:rFonts w:hint="eastAsia" w:ascii="仿宋" w:hAnsi="仿宋" w:eastAsia="仿宋" w:cs="仿宋"/>
          <w:sz w:val="32"/>
          <w:szCs w:val="32"/>
          <w:lang w:eastAsia="zh-CN"/>
        </w:rPr>
        <w:t>，增加群众的防范意识、逃生能力、自救呼救能力。</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（十二）</w:t>
      </w:r>
      <w:r>
        <w:rPr>
          <w:rFonts w:hint="eastAsia" w:ascii="仿宋" w:hAnsi="仿宋" w:eastAsia="仿宋" w:cs="仿宋"/>
          <w:sz w:val="32"/>
          <w:szCs w:val="32"/>
        </w:rPr>
        <w:t>安全员工资</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矿山安全员协助我局和企业进行安全监管，主要负责督促企业落实主体责任，督促企业定期进行隐患排查整改，发现重大隐患及时上报我局，加强我局及各乡镇安全生产监管力度，提高安全隐患排查范围和数量，将会大大降低矿山的事故发生率。</w:t>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绩效指标：重大隐患报告率</w:t>
      </w:r>
      <w:r>
        <w:rPr>
          <w:rFonts w:hint="eastAsia" w:ascii="仿宋" w:hAnsi="仿宋" w:eastAsia="仿宋" w:cs="仿宋"/>
          <w:sz w:val="32"/>
          <w:szCs w:val="32"/>
          <w:lang w:eastAsia="zh-CN"/>
        </w:rPr>
        <w:t>达到</w:t>
      </w:r>
      <w:r>
        <w:rPr>
          <w:rFonts w:hint="eastAsia" w:ascii="仿宋" w:hAnsi="仿宋" w:eastAsia="仿宋" w:cs="仿宋"/>
          <w:sz w:val="32"/>
          <w:szCs w:val="32"/>
          <w:lang w:val="en-US" w:eastAsia="zh-CN"/>
        </w:rPr>
        <w:t>100%，</w:t>
      </w:r>
      <w:r>
        <w:rPr>
          <w:rFonts w:hint="eastAsia" w:ascii="仿宋" w:hAnsi="仿宋" w:eastAsia="仿宋" w:cs="仿宋"/>
          <w:sz w:val="32"/>
          <w:szCs w:val="32"/>
        </w:rPr>
        <w:t>隐患整改率</w:t>
      </w:r>
      <w:r>
        <w:rPr>
          <w:rFonts w:hint="eastAsia" w:ascii="仿宋" w:hAnsi="仿宋" w:eastAsia="仿宋" w:cs="仿宋"/>
          <w:sz w:val="32"/>
          <w:szCs w:val="32"/>
          <w:lang w:eastAsia="zh-CN"/>
        </w:rPr>
        <w:t>达到</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（十三）</w:t>
      </w:r>
      <w:r>
        <w:rPr>
          <w:rFonts w:hint="eastAsia" w:ascii="仿宋" w:hAnsi="仿宋" w:eastAsia="仿宋" w:cs="仿宋"/>
          <w:sz w:val="32"/>
          <w:szCs w:val="32"/>
        </w:rPr>
        <w:t>政府购买应急管理服务费</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聘请第三方机构，对全区生产经营单位的安全检查，对安全执法检查中能够及时发现安全隐患，有效遏制事故的发生，及时做到安全隐患的排查与发现。聘请第三方机构，对我区涉有限空间58家企业，涉氨制冷、涉爆粉尘21家企业，按期组织专家进行排查，完成隐患整改，保证不发生安全生产事故。聘请第三方机构，对企业进行安全生产诚信培训和现场评定，确保企业诚信等级全部达到C级以上。聘请第三方机构，对我区化工行业攻坚行动、“四个一批”工作进行验收，保证企业良性循环运营，实现正常的社会经济效益，完成实施攻坚阶段、验收考核阶段、总结巩固阶段任务。聘请第三方机构，抽查我区安全生产标准化企业高危行业24家、非高危行业30家进行抽查，对报告提出的安全隐患进行整改，降低事故发生，保证企业安全运行。聘请第三方机构，完成32家领导包联重点企业的检查、摸排，在规定时间内完成对专家指出的隐患进行整改，保证重点企业不发生安全事故。聘请第三方机构，新编应急预案10个，修改应急预案2个，建成应急预案管理体系，起到知道怎么救，往哪跑，呼叫谁帮助，增强应急预案的针对性。</w:t>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绩效指标：安全事故有效处理率</w:t>
      </w:r>
      <w:r>
        <w:rPr>
          <w:rFonts w:hint="eastAsia" w:ascii="仿宋" w:hAnsi="仿宋" w:eastAsia="仿宋" w:cs="仿宋"/>
          <w:sz w:val="32"/>
          <w:szCs w:val="32"/>
          <w:lang w:eastAsia="zh-CN"/>
        </w:rPr>
        <w:t>达到</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eastAsia="zh-CN"/>
        </w:rPr>
        <w:t>；生产经营过程中不发生生产安全事故；对企业进行诚信评定，确保企业诚信等级全部达到C级以上；完成化工行业专项整治；达到石家庄市政府的考核目标；事故下降率在</w:t>
      </w:r>
      <w:r>
        <w:rPr>
          <w:rFonts w:hint="eastAsia" w:ascii="仿宋" w:hAnsi="仿宋" w:eastAsia="仿宋" w:cs="仿宋"/>
          <w:sz w:val="32"/>
          <w:szCs w:val="32"/>
          <w:lang w:val="en-US" w:eastAsia="zh-CN"/>
        </w:rPr>
        <w:t>10%以内；整改完成率达到100%；企业不发生安全事故；应急预案使用年限不小于3年。</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（十四）</w:t>
      </w:r>
      <w:r>
        <w:rPr>
          <w:rFonts w:hint="eastAsia" w:ascii="仿宋" w:hAnsi="仿宋" w:eastAsia="仿宋" w:cs="仿宋"/>
          <w:sz w:val="32"/>
          <w:szCs w:val="32"/>
        </w:rPr>
        <w:t>综合防灾专项规划</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绩效目标：编制完成我区综合防灾专项规划，提高我区综合防灾减灾应对处置能力，降低灾害对我区造成的灾害损失。</w:t>
      </w:r>
      <w:r>
        <w:rPr>
          <w:rFonts w:hint="eastAsia" w:ascii="仿宋" w:hAnsi="仿宋" w:eastAsia="仿宋" w:cs="仿宋"/>
          <w:sz w:val="32"/>
          <w:szCs w:val="32"/>
        </w:rPr>
        <w:tab/>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绩效指标：通过实施综合防灾专项规划提高我区灾害处置水平</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（十五）</w:t>
      </w:r>
      <w:r>
        <w:rPr>
          <w:rFonts w:hint="eastAsia" w:ascii="仿宋" w:hAnsi="仿宋" w:eastAsia="仿宋" w:cs="仿宋"/>
          <w:sz w:val="32"/>
          <w:szCs w:val="32"/>
        </w:rPr>
        <w:t>涉军公益岗位工资</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绩效目标：我单位对符合就业困难条件军队退役人员3名，实行公益岗位托管安置。帮扶救助到位，加大就业援助工作，实现就业。</w:t>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绩效指标：公益岗托管安置人数</w:t>
      </w:r>
      <w:r>
        <w:rPr>
          <w:rFonts w:hint="eastAsia" w:ascii="仿宋" w:hAnsi="仿宋" w:eastAsia="仿宋" w:cs="仿宋"/>
          <w:sz w:val="32"/>
          <w:szCs w:val="32"/>
          <w:lang w:val="en-US" w:eastAsia="zh-CN"/>
        </w:rPr>
        <w:t>3人。</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lang w:eastAsia="zh-CN"/>
        </w:rPr>
        <w:t>（十六）</w:t>
      </w:r>
      <w:r>
        <w:rPr>
          <w:rFonts w:hint="eastAsia" w:ascii="仿宋" w:hAnsi="仿宋" w:eastAsia="仿宋" w:cs="仿宋"/>
          <w:sz w:val="32"/>
          <w:szCs w:val="32"/>
        </w:rPr>
        <w:t>危险化学品安全生产风险监测系统建设</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rPr>
      </w:pPr>
      <w:r>
        <w:rPr>
          <w:rFonts w:hint="eastAsia" w:ascii="仿宋" w:hAnsi="仿宋" w:eastAsia="仿宋" w:cs="仿宋"/>
          <w:sz w:val="32"/>
          <w:szCs w:val="32"/>
        </w:rPr>
        <w:t>绩效目标：完成风险预警系统设备购置，实现10家重大危险源企业与区、市、省、部联通，加强对重大危险源企业的监控，减少安全隐患。</w:t>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r>
        <w:rPr>
          <w:rFonts w:hint="eastAsia" w:ascii="仿宋" w:hAnsi="仿宋" w:eastAsia="仿宋" w:cs="仿宋"/>
          <w:sz w:val="32"/>
          <w:szCs w:val="32"/>
        </w:rPr>
        <w:tab/>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仿宋" w:hAnsi="仿宋" w:eastAsia="仿宋" w:cs="仿宋"/>
          <w:sz w:val="32"/>
          <w:szCs w:val="32"/>
          <w:lang w:eastAsia="zh-CN"/>
        </w:rPr>
      </w:pPr>
      <w:r>
        <w:rPr>
          <w:rFonts w:hint="eastAsia" w:ascii="仿宋" w:hAnsi="仿宋" w:eastAsia="仿宋" w:cs="仿宋"/>
          <w:sz w:val="32"/>
          <w:szCs w:val="32"/>
        </w:rPr>
        <w:t>绩效指标：实现对</w:t>
      </w:r>
      <w:r>
        <w:rPr>
          <w:rFonts w:hint="eastAsia" w:ascii="仿宋" w:hAnsi="仿宋" w:eastAsia="仿宋" w:cs="仿宋"/>
          <w:sz w:val="32"/>
          <w:szCs w:val="32"/>
          <w:lang w:val="en-US" w:eastAsia="zh-CN"/>
        </w:rPr>
        <w:t>10家</w:t>
      </w:r>
      <w:r>
        <w:rPr>
          <w:rFonts w:hint="eastAsia" w:ascii="仿宋" w:hAnsi="仿宋" w:eastAsia="仿宋" w:cs="仿宋"/>
          <w:sz w:val="32"/>
          <w:szCs w:val="32"/>
        </w:rPr>
        <w:t>重大危险源企业的监控</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29"/>
        <w:textAlignment w:val="auto"/>
        <w:rPr>
          <w:rFonts w:hint="eastAsia" w:ascii="黑体" w:hAnsi="黑体" w:eastAsia="黑体" w:cs="黑体"/>
          <w:b/>
          <w:bCs/>
          <w:sz w:val="32"/>
          <w:szCs w:val="32"/>
        </w:rPr>
      </w:pPr>
      <w:r>
        <w:rPr>
          <w:rFonts w:hint="eastAsia" w:ascii="黑体" w:hAnsi="黑体" w:eastAsia="黑体" w:cs="黑体"/>
          <w:b/>
          <w:bCs/>
          <w:sz w:val="32"/>
          <w:szCs w:val="32"/>
        </w:rPr>
        <w:t>三、工作保障措施</w:t>
      </w:r>
    </w:p>
    <w:p>
      <w:pPr>
        <w:keepNext w:val="0"/>
        <w:keepLines w:val="0"/>
        <w:pageBreakBefore w:val="0"/>
        <w:widowControl w:val="0"/>
        <w:numPr>
          <w:ilvl w:val="0"/>
          <w:numId w:val="0"/>
        </w:numPr>
        <w:kinsoku/>
        <w:wordWrap/>
        <w:overflowPunct/>
        <w:topLinePunct w:val="0"/>
        <w:autoSpaceDE/>
        <w:autoSpaceDN/>
        <w:bidi w:val="0"/>
        <w:spacing w:line="578"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强化使命担当，落实主体责任。持续深入贯彻</w:t>
      </w:r>
      <w:bookmarkStart w:id="3" w:name="_GoBack"/>
      <w:bookmarkEnd w:id="3"/>
      <w:r>
        <w:rPr>
          <w:rFonts w:hint="eastAsia" w:ascii="仿宋" w:hAnsi="仿宋" w:eastAsia="仿宋" w:cs="仿宋"/>
          <w:sz w:val="32"/>
          <w:szCs w:val="32"/>
        </w:rPr>
        <w:t>习近平</w:t>
      </w:r>
      <w:r>
        <w:rPr>
          <w:rFonts w:hint="eastAsia" w:ascii="仿宋" w:hAnsi="仿宋" w:eastAsia="仿宋" w:cs="仿宋"/>
          <w:sz w:val="32"/>
          <w:szCs w:val="32"/>
          <w:lang w:eastAsia="zh-CN"/>
        </w:rPr>
        <w:t>总书记</w:t>
      </w:r>
      <w:r>
        <w:rPr>
          <w:rFonts w:hint="eastAsia" w:ascii="仿宋" w:hAnsi="仿宋" w:eastAsia="仿宋" w:cs="仿宋"/>
          <w:sz w:val="32"/>
          <w:szCs w:val="32"/>
        </w:rPr>
        <w:t>重要指示精神，始终坚持以人民为中心的发展思想，全面落实主体责任，保护人民群众生命财产安全和维护社会稳定的重要使命</w:t>
      </w:r>
      <w:r>
        <w:rPr>
          <w:rFonts w:hint="eastAsia" w:ascii="仿宋" w:hAnsi="仿宋" w:eastAsia="仿宋" w:cs="仿宋"/>
          <w:sz w:val="32"/>
          <w:szCs w:val="32"/>
          <w:lang w:eastAsia="zh-CN"/>
        </w:rPr>
        <w:t>，</w:t>
      </w:r>
      <w:r>
        <w:rPr>
          <w:rFonts w:hint="eastAsia" w:ascii="仿宋" w:hAnsi="仿宋" w:eastAsia="仿宋" w:cs="仿宋"/>
          <w:sz w:val="32"/>
          <w:szCs w:val="32"/>
        </w:rPr>
        <w:t>奋力推动中央、省、市</w:t>
      </w:r>
      <w:r>
        <w:rPr>
          <w:rFonts w:hint="eastAsia" w:ascii="仿宋" w:hAnsi="仿宋" w:eastAsia="仿宋" w:cs="仿宋"/>
          <w:sz w:val="32"/>
          <w:szCs w:val="32"/>
          <w:lang w:eastAsia="zh-CN"/>
        </w:rPr>
        <w:t>、区</w:t>
      </w:r>
      <w:r>
        <w:rPr>
          <w:rFonts w:hint="eastAsia" w:ascii="仿宋" w:hAnsi="仿宋" w:eastAsia="仿宋" w:cs="仿宋"/>
          <w:sz w:val="32"/>
          <w:szCs w:val="32"/>
        </w:rPr>
        <w:t>关于</w:t>
      </w:r>
      <w:r>
        <w:rPr>
          <w:rFonts w:hint="eastAsia" w:ascii="仿宋" w:hAnsi="仿宋" w:eastAsia="仿宋" w:cs="仿宋"/>
          <w:sz w:val="32"/>
          <w:szCs w:val="32"/>
          <w:lang w:eastAsia="zh-CN"/>
        </w:rPr>
        <w:t>应急管理和安全生产</w:t>
      </w:r>
      <w:r>
        <w:rPr>
          <w:rFonts w:hint="eastAsia" w:ascii="仿宋" w:hAnsi="仿宋" w:eastAsia="仿宋" w:cs="仿宋"/>
          <w:sz w:val="32"/>
          <w:szCs w:val="32"/>
        </w:rPr>
        <w:t>工作的各项决策部署落地落实。</w:t>
      </w:r>
      <w:r>
        <w:rPr>
          <w:rFonts w:hint="eastAsia" w:ascii="仿宋" w:hAnsi="仿宋" w:eastAsia="仿宋" w:cs="仿宋"/>
          <w:sz w:val="32"/>
          <w:szCs w:val="32"/>
        </w:rPr>
        <w:br w:type="textWrapping"/>
      </w:r>
      <w:r>
        <w:rPr>
          <w:rFonts w:hint="eastAsia" w:ascii="仿宋" w:hAnsi="仿宋" w:eastAsia="仿宋" w:cs="仿宋"/>
          <w:sz w:val="32"/>
          <w:szCs w:val="32"/>
        </w:rPr>
        <w:t xml:space="preserve">    紧盯重点难点，提速工作进度。将2020年工作谋划列入全年工作要点，拉出目标清单，细化责任分工，明确时间节点，重点工作月调度，重要工作周调度，全力抓重点攻难点、抓创新出亮点，集中优势资源、集中精干队伍，全力提速工作进度，确保全年重点工作早开工、早见效。本着科学、规范、独立、客观、公正的原则，按照绩效评价的要求收集相关资料，在分析资料的基础上，确定评价内容，并根据项目执行情况</w:t>
      </w:r>
      <w:r>
        <w:rPr>
          <w:rFonts w:hint="eastAsia" w:ascii="仿宋" w:hAnsi="仿宋" w:eastAsia="仿宋" w:cs="仿宋"/>
          <w:sz w:val="32"/>
          <w:szCs w:val="32"/>
          <w:lang w:val="en-US" w:eastAsia="zh-CN"/>
        </w:rPr>
        <w:t>,</w:t>
      </w:r>
      <w:r>
        <w:rPr>
          <w:rFonts w:hint="eastAsia" w:ascii="仿宋" w:hAnsi="仿宋" w:eastAsia="仿宋" w:cs="仿宋"/>
          <w:sz w:val="32"/>
          <w:szCs w:val="32"/>
        </w:rPr>
        <w:t>对项目进行综合评价。</w:t>
      </w:r>
    </w:p>
    <w:p>
      <w:pPr>
        <w:keepNext w:val="0"/>
        <w:keepLines w:val="0"/>
        <w:pageBreakBefore w:val="0"/>
        <w:widowControl w:val="0"/>
        <w:numPr>
          <w:ilvl w:val="0"/>
          <w:numId w:val="0"/>
        </w:numPr>
        <w:kinsoku/>
        <w:wordWrap/>
        <w:overflowPunct/>
        <w:topLinePunct w:val="0"/>
        <w:autoSpaceDE/>
        <w:autoSpaceDN/>
        <w:bidi w:val="0"/>
        <w:spacing w:line="578"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坚持底线思维，科学防控风险。从源头上防范化解重大安全风险，真正把问题解决在萌芽之时、成灾之前，坚持底线思维，增强忧患意识，提高防控能力，着力防范化解重大风险，狠抓工作落实，扎扎实实做好应急管理各项工作。</w:t>
      </w: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pPr>
    </w:p>
    <w:p>
      <w:pPr>
        <w:autoSpaceDE w:val="0"/>
        <w:autoSpaceDN w:val="0"/>
        <w:adjustRightInd w:val="0"/>
        <w:ind w:left="198" w:firstLine="640" w:firstLineChars="200"/>
        <w:jc w:val="center"/>
        <w:rPr>
          <w:rFonts w:hint="eastAsia" w:ascii="Times New Roman" w:hAnsi="Times New Roman" w:eastAsia="方正仿宋_GBK" w:cs="Times New Roman"/>
          <w:b/>
          <w:sz w:val="32"/>
          <w:szCs w:val="32"/>
        </w:rPr>
        <w:sectPr>
          <w:footerReference r:id="rId3" w:type="default"/>
          <w:pgSz w:w="11906" w:h="16838"/>
          <w:pgMar w:top="1440" w:right="1800" w:bottom="1440" w:left="1800" w:header="851" w:footer="992" w:gutter="0"/>
          <w:cols w:space="0" w:num="1"/>
          <w:rtlGutter w:val="0"/>
          <w:docGrid w:type="lines" w:linePitch="312" w:charSpace="0"/>
        </w:sectPr>
      </w:pPr>
    </w:p>
    <w:p>
      <w:pPr>
        <w:autoSpaceDE w:val="0"/>
        <w:autoSpaceDN w:val="0"/>
        <w:adjustRightInd w:val="0"/>
        <w:ind w:left="198" w:firstLine="640" w:firstLineChars="200"/>
        <w:jc w:val="center"/>
        <w:rPr>
          <w:rFonts w:ascii="Times New Roman" w:hAnsi="Times New Roman" w:eastAsia="方正仿宋_GBK" w:cs="Times New Roman"/>
          <w:b/>
          <w:sz w:val="32"/>
          <w:szCs w:val="32"/>
        </w:rPr>
      </w:pPr>
      <w:r>
        <w:rPr>
          <w:rFonts w:hint="eastAsia" w:ascii="Times New Roman" w:hAnsi="Times New Roman" w:eastAsia="方正仿宋_GBK" w:cs="Times New Roman"/>
          <w:b/>
          <w:sz w:val="32"/>
          <w:szCs w:val="32"/>
        </w:rPr>
        <w:t>第二部分  预算项目绩效目标</w:t>
      </w:r>
    </w:p>
    <w:p>
      <w:pPr>
        <w:jc w:val="left"/>
        <w:outlineLvl w:val="1"/>
        <w:rPr>
          <w:rFonts w:hint="eastAsia" w:ascii="方正仿宋_GBK" w:eastAsia="方正仿宋_GBK"/>
          <w:b/>
          <w:sz w:val="28"/>
          <w:lang w:eastAsia="zh-CN"/>
        </w:rPr>
      </w:pPr>
      <w:r>
        <w:rPr>
          <w:rFonts w:hint="eastAsia" w:ascii="方正仿宋_GBK" w:eastAsia="方正仿宋_GBK"/>
          <w:b/>
          <w:sz w:val="28"/>
        </w:rPr>
        <w:t xml:space="preserve">  1、</w:t>
      </w:r>
      <w:r>
        <w:rPr>
          <w:rFonts w:hint="eastAsia" w:ascii="方正仿宋_GBK" w:eastAsia="方正仿宋_GBK"/>
          <w:b/>
          <w:sz w:val="28"/>
          <w:lang w:eastAsia="zh-CN"/>
        </w:rPr>
        <w:t>农村住房灾害保险</w:t>
      </w:r>
    </w:p>
    <w:tbl>
      <w:tblPr>
        <w:tblStyle w:val="7"/>
        <w:tblpPr w:leftFromText="180" w:rightFromText="180" w:vertAnchor="text" w:horzAnchor="page" w:tblpX="1242" w:tblpY="180"/>
        <w:tblOverlap w:val="never"/>
        <w:tblW w:w="14025" w:type="dxa"/>
        <w:tblInd w:w="0" w:type="dxa"/>
        <w:shd w:val="clear" w:color="auto" w:fill="auto"/>
        <w:tblLayout w:type="fixed"/>
        <w:tblCellMar>
          <w:top w:w="0" w:type="dxa"/>
          <w:left w:w="0" w:type="dxa"/>
          <w:bottom w:w="0" w:type="dxa"/>
          <w:right w:w="0" w:type="dxa"/>
        </w:tblCellMar>
      </w:tblPr>
      <w:tblGrid>
        <w:gridCol w:w="885"/>
        <w:gridCol w:w="795"/>
        <w:gridCol w:w="1530"/>
        <w:gridCol w:w="1785"/>
        <w:gridCol w:w="555"/>
        <w:gridCol w:w="870"/>
        <w:gridCol w:w="825"/>
        <w:gridCol w:w="1566"/>
        <w:gridCol w:w="5214"/>
      </w:tblGrid>
      <w:tr>
        <w:tblPrEx>
          <w:shd w:val="clear" w:color="auto" w:fill="auto"/>
          <w:tblCellMar>
            <w:top w:w="0" w:type="dxa"/>
            <w:left w:w="0" w:type="dxa"/>
            <w:bottom w:w="0" w:type="dxa"/>
            <w:right w:w="0" w:type="dxa"/>
          </w:tblCellMar>
        </w:tblPrEx>
        <w:trPr>
          <w:trHeight w:val="5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234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每年为我区农村户口居民入保一处农村住房灾害保险，提高全区农民群众抵抗自然灾害和意外事故风险的能力，帮助受灾农民的农村住房灾后及时重建，维护社会稳定。</w:t>
            </w:r>
          </w:p>
        </w:tc>
      </w:tr>
      <w:tr>
        <w:tblPrEx>
          <w:tblCellMar>
            <w:top w:w="0" w:type="dxa"/>
            <w:left w:w="0" w:type="dxa"/>
            <w:bottom w:w="0" w:type="dxa"/>
            <w:right w:w="0" w:type="dxa"/>
          </w:tblCellMar>
        </w:tblPrEx>
        <w:trPr>
          <w:trHeight w:val="5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1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5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CellMar>
            <w:top w:w="0" w:type="dxa"/>
            <w:left w:w="0" w:type="dxa"/>
            <w:bottom w:w="0" w:type="dxa"/>
            <w:right w:w="0" w:type="dxa"/>
          </w:tblCellMar>
        </w:tblPrEx>
        <w:trPr>
          <w:trHeight w:val="3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1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1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5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CellMar>
            <w:top w:w="0" w:type="dxa"/>
            <w:left w:w="0" w:type="dxa"/>
            <w:bottom w:w="0" w:type="dxa"/>
            <w:right w:w="0" w:type="dxa"/>
          </w:tblCellMar>
        </w:tblPrEx>
        <w:trPr>
          <w:trHeight w:val="5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房屋入险量</w:t>
            </w:r>
          </w:p>
        </w:tc>
        <w:tc>
          <w:tcPr>
            <w:tcW w:w="1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农村户口实际入险房屋数量</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96487.00</w:t>
            </w:r>
          </w:p>
        </w:tc>
        <w:tc>
          <w:tcPr>
            <w:tcW w:w="1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户</w:t>
            </w:r>
          </w:p>
        </w:tc>
        <w:tc>
          <w:tcPr>
            <w:tcW w:w="5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冀民【2017】69号</w:t>
            </w:r>
          </w:p>
        </w:tc>
      </w:tr>
      <w:tr>
        <w:tblPrEx>
          <w:tblCellMar>
            <w:top w:w="0" w:type="dxa"/>
            <w:left w:w="0" w:type="dxa"/>
            <w:bottom w:w="0" w:type="dxa"/>
            <w:right w:w="0" w:type="dxa"/>
          </w:tblCellMar>
        </w:tblPrEx>
        <w:trPr>
          <w:trHeight w:val="56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保费</w:t>
            </w:r>
          </w:p>
        </w:tc>
        <w:tc>
          <w:tcPr>
            <w:tcW w:w="1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农村住房灾害保险入保费用</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9.50</w:t>
            </w:r>
          </w:p>
        </w:tc>
        <w:tc>
          <w:tcPr>
            <w:tcW w:w="1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元/户</w:t>
            </w:r>
          </w:p>
        </w:tc>
        <w:tc>
          <w:tcPr>
            <w:tcW w:w="5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保险合同</w:t>
            </w:r>
          </w:p>
        </w:tc>
      </w:tr>
      <w:tr>
        <w:tblPrEx>
          <w:tblCellMar>
            <w:top w:w="0" w:type="dxa"/>
            <w:left w:w="0" w:type="dxa"/>
            <w:bottom w:w="0" w:type="dxa"/>
            <w:right w:w="0" w:type="dxa"/>
          </w:tblCellMar>
        </w:tblPrEx>
        <w:trPr>
          <w:trHeight w:val="3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择优选择保险公司</w:t>
            </w:r>
          </w:p>
        </w:tc>
        <w:tc>
          <w:tcPr>
            <w:tcW w:w="1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中标保险公司数量</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1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5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CellMar>
            <w:top w:w="0" w:type="dxa"/>
            <w:left w:w="0" w:type="dxa"/>
            <w:bottom w:w="0" w:type="dxa"/>
            <w:right w:w="0" w:type="dxa"/>
          </w:tblCellMar>
        </w:tblPrEx>
        <w:trPr>
          <w:trHeight w:val="3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入保时间</w:t>
            </w:r>
          </w:p>
        </w:tc>
        <w:tc>
          <w:tcPr>
            <w:tcW w:w="1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入保时间</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4月24日前入保</w:t>
            </w:r>
          </w:p>
        </w:tc>
        <w:tc>
          <w:tcPr>
            <w:tcW w:w="5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保险合同</w:t>
            </w:r>
          </w:p>
        </w:tc>
      </w:tr>
      <w:tr>
        <w:tblPrEx>
          <w:tblCellMar>
            <w:top w:w="0" w:type="dxa"/>
            <w:left w:w="0" w:type="dxa"/>
            <w:bottom w:w="0" w:type="dxa"/>
            <w:right w:w="0" w:type="dxa"/>
          </w:tblCellMar>
        </w:tblPrEx>
        <w:trPr>
          <w:trHeight w:val="56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房屋出险率</w:t>
            </w:r>
          </w:p>
        </w:tc>
        <w:tc>
          <w:tcPr>
            <w:tcW w:w="1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房屋出险救助户数占应出险救助户数的比</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5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冀民【2017】69</w:t>
            </w:r>
          </w:p>
        </w:tc>
      </w:tr>
      <w:tr>
        <w:tblPrEx>
          <w:tblCellMar>
            <w:top w:w="0" w:type="dxa"/>
            <w:left w:w="0" w:type="dxa"/>
            <w:bottom w:w="0" w:type="dxa"/>
            <w:right w:w="0" w:type="dxa"/>
          </w:tblCellMar>
        </w:tblPrEx>
        <w:trPr>
          <w:trHeight w:val="562"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经济效益指标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赔付金额</w:t>
            </w:r>
          </w:p>
        </w:tc>
        <w:tc>
          <w:tcPr>
            <w:tcW w:w="1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自然灾害和意外事故造成的房屋损失出险每户最高赔付金额</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35000.00</w:t>
            </w:r>
          </w:p>
        </w:tc>
        <w:tc>
          <w:tcPr>
            <w:tcW w:w="1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w:t>
            </w:r>
          </w:p>
        </w:tc>
        <w:tc>
          <w:tcPr>
            <w:tcW w:w="5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保险合同</w:t>
            </w:r>
          </w:p>
        </w:tc>
      </w:tr>
      <w:tr>
        <w:tblPrEx>
          <w:tblCellMar>
            <w:top w:w="0" w:type="dxa"/>
            <w:left w:w="0" w:type="dxa"/>
            <w:bottom w:w="0" w:type="dxa"/>
            <w:right w:w="0" w:type="dxa"/>
          </w:tblCellMar>
        </w:tblPrEx>
        <w:trPr>
          <w:trHeight w:val="3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5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58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服务对象满意率</w:t>
            </w:r>
          </w:p>
        </w:tc>
        <w:tc>
          <w:tcPr>
            <w:tcW w:w="17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调查满意户数占总调查户数的比</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1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5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w:t>
            </w:r>
          </w:p>
        </w:tc>
      </w:tr>
    </w:tbl>
    <w:p>
      <w:pPr>
        <w:spacing w:line="300" w:lineRule="exact"/>
        <w:ind w:firstLine="420" w:firstLineChars="200"/>
        <w:jc w:val="left"/>
      </w:pPr>
    </w:p>
    <w:tbl>
      <w:tblPr>
        <w:tblStyle w:val="7"/>
        <w:tblpPr w:leftFromText="180" w:rightFromText="180" w:vertAnchor="text" w:horzAnchor="page" w:tblpX="1591" w:tblpY="1488"/>
        <w:tblOverlap w:val="never"/>
        <w:tblW w:w="13778" w:type="dxa"/>
        <w:jc w:val="center"/>
        <w:shd w:val="clear" w:color="auto" w:fill="auto"/>
        <w:tblLayout w:type="fixed"/>
        <w:tblCellMar>
          <w:top w:w="0" w:type="dxa"/>
          <w:left w:w="0" w:type="dxa"/>
          <w:bottom w:w="0" w:type="dxa"/>
          <w:right w:w="0" w:type="dxa"/>
        </w:tblCellMar>
      </w:tblPr>
      <w:tblGrid>
        <w:gridCol w:w="1485"/>
        <w:gridCol w:w="1103"/>
        <w:gridCol w:w="1479"/>
        <w:gridCol w:w="2170"/>
        <w:gridCol w:w="853"/>
        <w:gridCol w:w="820"/>
        <w:gridCol w:w="1171"/>
        <w:gridCol w:w="1336"/>
        <w:gridCol w:w="3361"/>
      </w:tblGrid>
      <w:tr>
        <w:tblPrEx>
          <w:shd w:val="clear" w:color="auto" w:fill="auto"/>
          <w:tblCellMar>
            <w:top w:w="0" w:type="dxa"/>
            <w:left w:w="0" w:type="dxa"/>
            <w:bottom w:w="0" w:type="dxa"/>
            <w:right w:w="0" w:type="dxa"/>
          </w:tblCellMar>
        </w:tblPrEx>
        <w:trPr>
          <w:trHeight w:val="404"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19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缴纳我区12部（铱星牌）卫星电话费，及时维修、更换零件、更换卫星电话，保证12部（铱星牌）卫星电话汛期正常使用。</w:t>
            </w:r>
          </w:p>
        </w:tc>
      </w:tr>
      <w:tr>
        <w:tblPrEx>
          <w:tblCellMar>
            <w:top w:w="0" w:type="dxa"/>
            <w:left w:w="0" w:type="dxa"/>
            <w:bottom w:w="0" w:type="dxa"/>
            <w:right w:w="0" w:type="dxa"/>
          </w:tblCellMar>
        </w:tblPrEx>
        <w:trPr>
          <w:trHeight w:val="404"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11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CellMar>
            <w:top w:w="0" w:type="dxa"/>
            <w:left w:w="0" w:type="dxa"/>
            <w:bottom w:w="0" w:type="dxa"/>
            <w:right w:w="0" w:type="dxa"/>
          </w:tblCellMar>
        </w:tblPrEx>
        <w:trPr>
          <w:trHeight w:val="404"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11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CellMar>
            <w:top w:w="0" w:type="dxa"/>
            <w:left w:w="0" w:type="dxa"/>
            <w:bottom w:w="0" w:type="dxa"/>
            <w:right w:w="0" w:type="dxa"/>
          </w:tblCellMar>
        </w:tblPrEx>
        <w:trPr>
          <w:trHeight w:val="404"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话费缴纳数量</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卫星电话话费缴纳数量</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1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12.00</w:t>
            </w: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CellMar>
            <w:top w:w="0" w:type="dxa"/>
            <w:left w:w="0" w:type="dxa"/>
            <w:bottom w:w="0" w:type="dxa"/>
            <w:right w:w="0" w:type="dxa"/>
          </w:tblCellMar>
        </w:tblPrEx>
        <w:trPr>
          <w:trHeight w:val="404"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通话时间</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每部卫星电话通话时间</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11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300.00</w:t>
            </w: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分钟/年</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CellMar>
            <w:top w:w="0" w:type="dxa"/>
            <w:left w:w="0" w:type="dxa"/>
            <w:bottom w:w="0" w:type="dxa"/>
            <w:right w:w="0" w:type="dxa"/>
          </w:tblCellMar>
        </w:tblPrEx>
        <w:trPr>
          <w:trHeight w:val="755"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电话费</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每部卫星电话缴纳话费金额</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1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2200.00</w:t>
            </w: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元/年</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CellMar>
            <w:top w:w="0" w:type="dxa"/>
            <w:left w:w="0" w:type="dxa"/>
            <w:bottom w:w="0" w:type="dxa"/>
            <w:right w:w="0" w:type="dxa"/>
          </w:tblCellMar>
        </w:tblPrEx>
        <w:trPr>
          <w:trHeight w:val="404"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电话通畅率</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卫星电话通话通畅率</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1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CellMar>
            <w:top w:w="0" w:type="dxa"/>
            <w:left w:w="0" w:type="dxa"/>
            <w:bottom w:w="0" w:type="dxa"/>
            <w:right w:w="0" w:type="dxa"/>
          </w:tblCellMar>
        </w:tblPrEx>
        <w:trPr>
          <w:trHeight w:val="755"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电话畅通时间</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保障12部电话畅通时间</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11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365天24小时畅通</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CellMar>
            <w:top w:w="0" w:type="dxa"/>
            <w:left w:w="0" w:type="dxa"/>
            <w:bottom w:w="0" w:type="dxa"/>
            <w:right w:w="0" w:type="dxa"/>
          </w:tblCellMar>
        </w:tblPrEx>
        <w:trPr>
          <w:trHeight w:val="1105"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维修电话费用</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需维修、零件更换、卫星电话更换，每部卫星电话平均费用</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1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w:t>
            </w: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元/年</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CellMar>
            <w:top w:w="0" w:type="dxa"/>
            <w:left w:w="0" w:type="dxa"/>
            <w:bottom w:w="0" w:type="dxa"/>
            <w:right w:w="0" w:type="dxa"/>
          </w:tblCellMar>
        </w:tblPrEx>
        <w:trPr>
          <w:trHeight w:val="404"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缴纳话费时间</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卫星电话费缴费时间</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11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6月1日前</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CellMar>
            <w:top w:w="0" w:type="dxa"/>
            <w:left w:w="0" w:type="dxa"/>
            <w:bottom w:w="0" w:type="dxa"/>
            <w:right w:w="0" w:type="dxa"/>
          </w:tblCellMar>
        </w:tblPrEx>
        <w:trPr>
          <w:trHeight w:val="776" w:hRule="atLeast"/>
          <w:jc w:val="center"/>
        </w:trPr>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4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应急情况下电话使用情况</w:t>
            </w:r>
          </w:p>
        </w:tc>
        <w:tc>
          <w:tcPr>
            <w:tcW w:w="2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应急状况下12部卫星电话使用情况</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11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保证应急情况下电话畅通</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bl>
    <w:p>
      <w:pPr>
        <w:jc w:val="left"/>
        <w:outlineLvl w:val="1"/>
      </w:pPr>
      <w:r>
        <w:rPr>
          <w:rFonts w:hint="eastAsia" w:ascii="方正仿宋_GBK" w:eastAsia="方正仿宋_GBK"/>
          <w:b/>
          <w:sz w:val="28"/>
        </w:rPr>
        <w:t xml:space="preserve">  2、</w:t>
      </w:r>
      <w:r>
        <w:rPr>
          <w:rFonts w:hint="eastAsia" w:ascii="方正仿宋_GBK" w:eastAsia="方正仿宋_GBK"/>
          <w:b/>
          <w:sz w:val="28"/>
          <w:lang w:eastAsia="zh-CN"/>
        </w:rPr>
        <w:t>防汛抗焊卫星电话通讯维修费</w:t>
      </w:r>
    </w:p>
    <w:p>
      <w:pPr>
        <w:spacing w:line="300" w:lineRule="exact"/>
        <w:ind w:firstLine="420" w:firstLineChars="200"/>
        <w:jc w:val="left"/>
      </w:pPr>
    </w:p>
    <w:p>
      <w:pPr>
        <w:spacing w:line="300" w:lineRule="exact"/>
        <w:ind w:firstLine="420" w:firstLineChars="200"/>
        <w:jc w:val="left"/>
      </w:pPr>
    </w:p>
    <w:p>
      <w:pPr>
        <w:spacing w:line="300" w:lineRule="exact"/>
        <w:ind w:firstLine="420" w:firstLineChars="200"/>
        <w:jc w:val="left"/>
      </w:pPr>
    </w:p>
    <w:bookmarkEnd w:id="0"/>
    <w:p>
      <w:pPr>
        <w:autoSpaceDE w:val="0"/>
        <w:autoSpaceDN w:val="0"/>
        <w:adjustRightInd w:val="0"/>
        <w:ind w:firstLine="960" w:firstLineChars="30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3、防汛抗旱指挥部防汛号备物资、应急物品、办公经费</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根据防汛工作通知要求完成防汛物资号备及防汛应急用品购买，提升防汛抗旱能力。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目标2</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按照防汛预案要求及时处理汛情，确保人员财产安全。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签订率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防汛号备物资合同签订率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石汛【2015】12号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择优选择号备物资公司</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签合同的号备物资公司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合同协议书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号备物资冻结时间</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6月1日至9月30日</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6月1日前签到合同</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关于做好防汛工作的通知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防汛物资号备量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防汛应急用品、办公用品、号备物资</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按照防汛工作通知要求号备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关于做好防汛工作的通知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防汛应急用品数量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1套含雨衣、雨鞋、雨伞、应急灯等</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85.00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关于做好防汛工作的通知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购买时间</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防汛应急用品、防汛办公用品购买时间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6月1日前</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关于做好防汛工作的通知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汛情处置率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完成汛情处置次数占防汛预案要求次数的比例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防汛预案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号备物资使用率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号备物资实际使用数占需调用号备物资数的比</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关于做好防汛工作的通知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防汛应急用品、防汛办公用品的购买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改善了办公条件，提升了办公速度，能更及时更快的应对当前汛情</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及时性得到提高</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调查满意人数占总调查人数的比</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ind w:firstLine="960" w:firstLineChars="30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4、重大危险源监控专线租赁费和维护费</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租用专线监控4个重要危险源企业，加强重要行业监督管理，减少事故发生。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网络租用费</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专线网络租用费</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万元/年</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保障运行时间</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重大危险源网络监控系统运行时间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365天*24小时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网络</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维护费</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万元/年</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故障处理率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系统发现或处理次数占发生次数的比例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租用专线数量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重大危险源网络监控系统网络专线数量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监控企业数量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监控重要危险源企业数量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有效监督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ind w:firstLine="960" w:firstLineChars="30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5、应急防护服装和装备配备</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购置应急装配，培训2名无人机驾驶员，提高应急处置能力，处置得当、迅速到位。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装备购置成本</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装备购置成本</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34.00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应急装备购置完成率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实际购置数量占计划购置数量的比例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购置计划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质量合格率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质量合格装备数量占购置数量的比例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购置计划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无人机操作员培训费</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无人机操作员培训费</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市场价格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培训人数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培训一线工作人员人数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应急装备保障人数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应急装备满足一线应急人员人数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ind w:firstLine="960" w:firstLineChars="300"/>
        <w:jc w:val="left"/>
        <w:rPr>
          <w:rFonts w:hint="eastAsia" w:ascii="黑体" w:hAnsi="黑体" w:eastAsia="黑体" w:cs="Times New Roman"/>
          <w:sz w:val="32"/>
          <w:szCs w:val="32"/>
        </w:rPr>
      </w:pPr>
    </w:p>
    <w:p>
      <w:pPr>
        <w:autoSpaceDE w:val="0"/>
        <w:autoSpaceDN w:val="0"/>
        <w:adjustRightInd w:val="0"/>
        <w:ind w:firstLine="960" w:firstLineChars="300"/>
        <w:jc w:val="left"/>
        <w:rPr>
          <w:rFonts w:hint="eastAsia" w:ascii="黑体" w:hAnsi="黑体" w:eastAsia="黑体" w:cs="Times New Roman"/>
          <w:sz w:val="32"/>
          <w:szCs w:val="32"/>
        </w:rPr>
      </w:pPr>
    </w:p>
    <w:p>
      <w:pPr>
        <w:autoSpaceDE w:val="0"/>
        <w:autoSpaceDN w:val="0"/>
        <w:adjustRightInd w:val="0"/>
        <w:ind w:firstLine="960" w:firstLineChars="300"/>
        <w:jc w:val="left"/>
        <w:rPr>
          <w:rFonts w:hint="eastAsia" w:ascii="黑体" w:hAnsi="黑体" w:eastAsia="黑体" w:cs="Times New Roman"/>
          <w:sz w:val="32"/>
          <w:szCs w:val="32"/>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6、应急指挥中心建设资金</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1269"/>
        <w:gridCol w:w="26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建立应急指挥中心，用于鹿泉区处置突发事件及防灾、减灾、救灾和安全生产监管使用，降低突发事件处置时间。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验收合格率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通过政府验收的工程量占工程总量的比例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区级局点路由器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区级局点路由器配备数量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区级交换机</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区级交换机配备数量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视频回传服务器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视频回传服务器配备数量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单兵执法终端</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单兵执法终端配备数量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视频会议终端</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视频会议终端配备数量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租用专线</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租用专线配备数量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接入交换机</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接入交换机配备数量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系统对接软件</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系统对接软件配备数量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证书注册管理系统LRA</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证书注册管理系统LRA配备数量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多因子统一身份平台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多因子统一身份平台配备数量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密码机</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密码机配备数量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身份认证网关</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身份认证网关配备数量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服务器配备数量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区级局点路由器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区级局点路由器金额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275000.00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区级交换机</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区级交换机金额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155000.00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视频回传服务器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视频回传服务器金额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单兵执法终端</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单兵执法终端金额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视频会议终端</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视频会议终端</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租用专线</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租用专线金额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元/线</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接入交换机</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接入交换机金额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系统对接费用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系统对接费用</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元/套</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证书注册管理系统LRA</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证书注册管理系统LRA金额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202500.00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元/套</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多因子统一身份平台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多因子统一身份平台金额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405000.00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元/套</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密码机</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密码机金额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202500.00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身份认证网关</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身份认证网关金额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270000.00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服务器金额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完成时间</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按应急指挥中心建设实施方案完成时间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2020年年底</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《河北省应急管理信息化规划》（2019-2022年）实施方案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处置突发事件应急处理率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通过指挥中心实际处置突发事件数量与应该处置突发事件数量之比</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《应对突发事件处置法》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应急事件处置时间降低情况</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减少应急事件处置时间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明显减少</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《应对突发事件处置法》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群众满意数量占总数的比例。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6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ind w:firstLine="960" w:firstLineChars="30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7、安全生产举报奖励费</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827"/>
        <w:gridCol w:w="1537"/>
        <w:gridCol w:w="4313"/>
        <w:gridCol w:w="393"/>
        <w:gridCol w:w="788"/>
        <w:gridCol w:w="994"/>
        <w:gridCol w:w="825"/>
        <w:gridCol w:w="31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2043"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年对我区群众举报安全生产重大事故隐患、安全生产非法违反等行为举报情况属实的给予奖励，通过安全生产举报奖励政策，激发和调动广大人民群众参与安全生产举报的积极性，对安全生产非法违法行为等形成强大的震慑作用，减少安全隐患事故的发生，维护社会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举报案件处理率%</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奖励案件数量占经核实确认后真实案件数量的比例</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《河北省安全生产领域举报奖励办法》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奖励金额</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一般事故按照每查实瞒报谎报1人（死亡1-2人）</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《河北省安全生产领域举报奖励办法》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奖励金额</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较大事故按照每查实瞒报谎报1人（死亡3-9人）</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《河北省安全生产领域举报奖励办法》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奖励金额</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重大事故按照每查实瞒报谎报1人（死亡10-29人）</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《河北省安全生产领域举报奖励办法》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奖励金额</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特别重大事故按照每查实瞒报谎报1人（死亡30人以上）</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《河北省安全生产领域举报奖励办法》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奖励金额</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最高奖励不超过</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300000.00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《河北省安全生产领域举报奖励办法》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核查举报案件真实性的时间</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核查举报案件真实性工作完成时间</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天</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《河北省安全生产领域举报奖励办法》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回复举报人结果时间</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回复举报人核查结果完成时间</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天</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《河北省安全生产领域举报奖励办法》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领取奖励金时间</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举报人收到通知领取奖励金时间</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天</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《河北省安全生产领域举报奖励办法》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安全生产隐患整改率%</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通过人民群众举报安全生产隐患，企业整改率</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《新安全生产法》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降低瞒报谎报发生率%</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通过人民群众举报降低瞒报谎报发生率%</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《河北省安全生产领域举报奖励办法》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8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群众对隐患事故处理满意度</w:t>
            </w:r>
          </w:p>
        </w:tc>
        <w:tc>
          <w:tcPr>
            <w:tcW w:w="43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满意和较满意人数占被调查人数的比例</w:t>
            </w:r>
          </w:p>
        </w:tc>
        <w:tc>
          <w:tcPr>
            <w:tcW w:w="3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31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w:t>
            </w:r>
          </w:p>
        </w:tc>
      </w:tr>
    </w:tbl>
    <w:p>
      <w:pPr>
        <w:autoSpaceDE w:val="0"/>
        <w:autoSpaceDN w:val="0"/>
        <w:adjustRightInd w:val="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8、执法业务费</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照年初制定全区执法检查计划和区委、区政府下达的执法工作、企业举报案件、我区安排的联合执法及临时安排的交叉执法对全区安全生产经营单位进行督导检查，全年约检查各类企业200余家次，确保各类企业不发生事故，维护社会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全年执法次数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全年计划执法的次数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监督检查计划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烟花爆竹检查次数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烟花爆竹检查执法次数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每月一次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监督检查计划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危险化学品生产企业、非煤矿山企业检查</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危险化学品生产企业、非煤矿山企业执法检查次数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每年3次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监督检查计划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石油库检查</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石油库执法检查次数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监督检查计划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区委区政府下达的执法完成率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实际执法次数占区委区政府下达的应执法次数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区委区政府文件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企业举报案件执法完成率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实际执法次数占企业举报案件应执法次数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举报案件登记表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购执法设备数量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实际配备执法用办公设备（电脑、便携打印机）数量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《中共河北省委河北省人民政府关于推进安全生产领域改革发展的实施意见》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配备上网卡数量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实际配备上网卡的数量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《中共河北省委河北省人民政府关于推进安全生产领域改革发展的实施意见》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配备应急救援包和急救包的数量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实际配备应急救援包和急救包的数量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《中共河北省委河北省人民政府关于推进安全生产领域改革发展的实施意见》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行政培训执法培训次数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实际参加国家、省、市及我区组织的执法培训次数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培训通知相关文件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参加行政培训执法人数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实际参加国家、省、市及我区组织的执法培训人数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培训通知相关文件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购置上网卡费用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购置安全生产执法上网用上网卡费用</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168.00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元/月.人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采购合同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查出隐患整改率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确保查出隐患全部整改到位，无法整改到位的责令停产停业或提出政府予以取缔</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对被检查单位发现的隐患处理结案时间</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对被检查单位发现的隐患处理结案时间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个工作日</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《生产安全事故调查处理条例》、《安全生产法》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指导企业建立安全生产长效机制的比率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通过对企业的安全生产检查，指导企业实际已经建立安全生产长效机制和应建立安生生产长效机制的比</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查出隐患整改率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安全隐患整改的次数占发现隐患数量的比例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接受监督检查单位对执法人员提供服务的满意程度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ind w:firstLine="960" w:firstLineChars="30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9、安全生产目标奖励费</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考核奖励资金用于每年考核成绩为优秀的乡镇和部门。年底按照《鹿泉区安全生产目标管理考核办法》组织对各乡镇、部门进行考核，根据划分安全生产经营单位数量，全年安全事故多少划分考核等次。通过奖励先进促进各乡镇和部门提升安全生产管理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目标生产控制目标完成情况优选率%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安全生产目标管理责任书各项工作完成情况</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75.00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根据各乡镇、部门签订的《安全生产目标责任书》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奖励家数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安全生产管理相关知识及业务掌握情况</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年底进行管理水平考评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奖励标准</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监管任务较重的，奖励标准x13家</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根据各乡镇、部门签订的《安全生产目标责任书》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奖励标准</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监管任务一般的，奖励标准x7家</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根据各乡镇、部门签订的《安全生产目标责任书》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奖励标准</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监管任务较轻的，奖励标准x5家</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根据各乡镇、部门签订的《安全生产目标责任书》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考核任务完成率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按照年度工作计划，对签订责任书的乡镇、部门进行考核</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根据各乡镇、部门签订的《安全生产目标责任书》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考核任务按时完成率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按时完成考核任务</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根据各乡镇、部门签订的《安全生产目标责任书》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生产安全事故发生次数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安全生产考核优秀单位不发生生产安全事故，安全生产监管水平显著提高</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根据各部门、乡镇签订的《安全生产目标责任书》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jc w:val="left"/>
        <w:rPr>
          <w:rFonts w:hint="default"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10、宣传教育培训费</w:t>
      </w:r>
    </w:p>
    <w:tbl>
      <w:tblPr>
        <w:tblStyle w:val="7"/>
        <w:tblW w:w="138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92"/>
        <w:gridCol w:w="779"/>
        <w:gridCol w:w="1692"/>
        <w:gridCol w:w="257"/>
        <w:gridCol w:w="1529"/>
        <w:gridCol w:w="940"/>
        <w:gridCol w:w="819"/>
        <w:gridCol w:w="1019"/>
        <w:gridCol w:w="1012"/>
        <w:gridCol w:w="638"/>
        <w:gridCol w:w="843"/>
        <w:gridCol w:w="1669"/>
        <w:gridCol w:w="20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0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利用安全生产、防灾减灾、消防安全、应急救援等培训及宣传加强全区生产经营单位提高安全意识。</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0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目标2</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通过安全生产、防灾减灾、消防安全、应急救援等培训及宣传增强了全区生产经营单位处理各类事故和灾难的能力。</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安全生产、消防安全、防灾减灾宣传次数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重大节日安全生产宣传次数</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搭建舞台雷亚架</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铝合金方管</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米</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工作证</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PVC活动专版</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会场专用车证</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铜版纸彩色印制</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会场指挥部平面图</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高清画面KT板</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块</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帐篷功能标识贴</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绢布</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块</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立式双面展示指示牌</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立式展示架+高清KT板画面</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悬挂条幅</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绢布写真防水条幅</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现场活动摄像</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视频跟踪拍摄</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支持人解说耳麦</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主持人解说耳麦</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舞台主持人</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舞台主持人</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搭建舞台音响</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双12线阵，线性扩声能通过音箱角度调整</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组</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防灾减灾宣传视频制作</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视频制作</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搭建舞台65CM+灰色地毯</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米</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搭建舞台切换台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供两台无人机视频</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搭建舞台现场LED高清高清显示屏</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超高清P4LED屏</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米</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聘请专家授课人数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国家灾情上报系统使用</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培训会议室租赁</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对灾害信息员培训</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天</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各乡镇、社区、村灾害信息员进行培训</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每年定期培训，信息员对灾害发生后统灾、报灾</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470.00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92"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安全生产、消防安全、防灾减灾培训达标率%</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通过参加培训合格人员培训人数比例</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安全生产、消防安全、防灾减灾等培训考试结果。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印制宣传手册数量</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印制社会安全、用电、火灾、燃气、地震、自然灾害、防灾减灾等各类宣传手册数量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《河北省综合防灾减灾规划》、《关于加强全社会安全生产宣传教育工作的实施意见》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印刷安全生产宣传购物代数量</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印刷安全生产宣传购物袋数量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《关于加强全社会安全生产宣传教育工作的实施意见》、宣传计划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制作安全生产宣传围裙数量</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制作安全生产宣传围裙数量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《关于加强全社会安全生产宣传教育工作的实施意见》、宣传计划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印刷安全生产宣传展牌数量</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印刷安全生产宣传展牌数量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《关于加强全社会安全生产宣传教育工作的实施意见》、宣传计划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教育培训班邀请专家学者人数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举办全区安全生产和应急管理干部教育培训班，邀请专家人数</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聘请专家合同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34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印刷安全生产宣传手册数量</w:t>
            </w:r>
          </w:p>
        </w:tc>
        <w:tc>
          <w:tcPr>
            <w:tcW w:w="2778"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安全生产法宣传周，印制各类安全生产法宣传手册</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《关于加强全社会安全生产宣传教育工作的实施意见》、宣传计划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制作安全生产标语数量</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制作安全生产一条街标语花格数量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块</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《关于加强全社会安全生产宣传教育工作的实施意见》、宣传计划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安全生产公益广告道旗数量</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道路两侧道旗公益广告位设置安全生产公益广告数量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《关于加强全社会安全生产宣传教育工作的实施意见》、宣传计划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防灾减灾演练租用车辆</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厢式货车租赁费</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帐篷租赁</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帐篷租赁</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棉被租赁</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棉被租赁</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折叠床租赁费用</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折叠床租赁</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折叠椅租赁费用</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折叠椅租赁</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折叠桌子租赁费用</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折叠桌子租赁</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宣传活动物品</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宣传雨伞</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把</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印刷宣传小手册费用</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印刷安全生产月关于社区安全、用电、火灾、燃气、地震、自然灾害、家庭、防灾减灾宣传小手册费用 </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元/本</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《关于加强全社会安全生产宣传教育工作的实施意见》、订购合同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防灾减灾演练租用车辆</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厢式货车租赁费</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帐篷租赁</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帐篷租赁，9顶/次（含帐篷搭建拆除等一切费用）</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1425.00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棉被租赁</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棉被租赁20床/次</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折叠床租赁费用</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折叠床租赁2个/次</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折叠椅租赁费用</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折叠椅租赁40把/次</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折叠桌子租赁费用</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折叠桌子租赁20张/次</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租赁合同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宣传活动物品</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购置宣传雨伞</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41.00</w:t>
            </w:r>
          </w:p>
        </w:tc>
        <w:tc>
          <w:tcPr>
            <w:tcW w:w="16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元/把</w:t>
            </w:r>
          </w:p>
        </w:tc>
        <w:tc>
          <w:tcPr>
            <w:tcW w:w="20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5.12宣传活动印制宣传材料、防灾减灾书籍、制作条幅、印刷明白纸</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宣传活动印制宣传材料、防灾减灾书籍、制作条幅、印刷明白纸用于活动现场发放</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13280.00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印刷安全生产宣传购物袋费用</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印刷安全生产宣传购物袋费用</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元/个</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订购合同、《关于加强全社会安全生产宣传教育工作的实施意见》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印刷安全生产宣传围裙费用 </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印刷安全生产宣传围裙费用 </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元/个</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《关于加强全社会安全生产宣传教育工作的实施意见》、订购合同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参加教育培训班培训人数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举办全区安全生产和应急管理干部教育培训班，参加培训人数</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印刷安全生产宣传展牌费用 </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印刷安全生产宣传展牌费用 </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元/个</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铝合金方管</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元/15米X4米</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帐篷功能标识贴</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绢布</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元/块</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会场桌牌、到位贴、指挥袖标、讲稿</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会场桌牌、到位贴、指挥袖标、讲稿</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元/个</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52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会场专用车证</w:t>
            </w:r>
          </w:p>
        </w:tc>
        <w:tc>
          <w:tcPr>
            <w:tcW w:w="1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铜版纸彩色印制</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元/块</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52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会场指挥平面图</w:t>
            </w:r>
          </w:p>
        </w:tc>
        <w:tc>
          <w:tcPr>
            <w:tcW w:w="1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高清画面KT板</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元/块</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52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工作证</w:t>
            </w:r>
          </w:p>
        </w:tc>
        <w:tc>
          <w:tcPr>
            <w:tcW w:w="1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PVC活动专版</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元/个</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52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悬挂条幅</w:t>
            </w:r>
          </w:p>
        </w:tc>
        <w:tc>
          <w:tcPr>
            <w:tcW w:w="1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绢布写真防水条幅</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元/条</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52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立式双面展示指示牌</w:t>
            </w:r>
          </w:p>
        </w:tc>
        <w:tc>
          <w:tcPr>
            <w:tcW w:w="1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立式展示架+高清KT板画面</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元/套</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52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现场活动摄像</w:t>
            </w:r>
          </w:p>
        </w:tc>
        <w:tc>
          <w:tcPr>
            <w:tcW w:w="1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视频跟踪拍摄</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元/套</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主持人解说耳麦</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主持人解说耳麦</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元/套</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舞台主持人</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舞台主持人</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搭建舞台音响</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双12线阵，线性扩声能通过音箱角度调整</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元/组</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防灾减灾宣传视频制作</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视频制作</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2"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搭建舞台65CM+灰色地毯</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元/15米x6米</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搭建舞台切换机</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共两台无人机视频</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各乡镇、社区、村灾害信息员进行培训</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参加培训人员资料</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聘请专家授课费用</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国家灾情上报系统使用</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培训会议室租赁次数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培训灾害信息员天数</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元/天</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安全生产咨询日启动仪式费用</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安生产咨询日启动仪式，搭建舞台、音响租赁及展台布置费用 </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咨询日启动计划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搭建舞台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现场LED显示屏</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元/15米x4 米</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印刷安全生产法宣传手册费用</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安全生产法宣传周，印制各类安全生产法宣传手册费用</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元/本</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《关于加强全社会安全生产宣传教育工作的实施意见》、宣传计划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7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教育培训班聘请专家费用</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举办全区安全生产和应急管理干部教育培训班，邀请专家对全区各负有安全监管职责的人员开展专题讲座费用</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聘用合同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3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教育培训班费用</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举办全区安全生产和应管理干部教育培训班住宿费、会议费、餐费、资料费等费用 </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396.67</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改造安全生产主题公园费用</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发行安全生产主题公园，设置各类设施费用 </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110000.00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《关于加强全社会安全生产宣传教育工作的实施意见》、改造合同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制作安全生产标语费用</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制作安全生产一条街标语花格费用</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元/块</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《关于加强全社会安全生产宣传教育工作的实施意见》、订购合同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6"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制作安全生产公益广告道旗费用 </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制作安全生产公益广道旗费用</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元/根</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《关于加强全社会安全生产宣传教育工作的实施意见》、订购合同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完成教育培训班时间</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全区安全生产和应急管理干部教育培训班完成时间</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天</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34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印刷消防安全宣传资料数量</w:t>
            </w:r>
          </w:p>
        </w:tc>
        <w:tc>
          <w:tcPr>
            <w:tcW w:w="27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印刷消防安全宣传资料数量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份</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宣传计划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印刷消防安全宣传资料费用</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印刷消防安全宣传资料费用</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4.88</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元/份</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询价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消防安全培训次数</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消防安全培训次数</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52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参加消防安全培训人数</w:t>
            </w:r>
          </w:p>
        </w:tc>
        <w:tc>
          <w:tcPr>
            <w:tcW w:w="1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参加消防安全培训人数</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52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聘请老师授课人数</w:t>
            </w:r>
          </w:p>
        </w:tc>
        <w:tc>
          <w:tcPr>
            <w:tcW w:w="1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消防安全培训聘请老师人数</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523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聘请老师授课费用</w:t>
            </w:r>
          </w:p>
        </w:tc>
        <w:tc>
          <w:tcPr>
            <w:tcW w:w="10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消防安全培训聘请授课老师的费用</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元/人.天</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聘用合同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培训费用</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消防安全培训费用（包括伙食费、场地费、培训资料费）</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17"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民兵救援连教育、培训、训练、拉动、集结费用</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租用场地、人员食宿、聘请老师授课、教育材料、动用车辆、制作条幅、明白卡、相识卡、参训人员误工费</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训练计划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计划每季度集中一次，在全国国防动员集结检查</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每年计划5次的教育训练、每次在3万元</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万元、场</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训练计划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9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培训完成时间</w:t>
            </w:r>
          </w:p>
        </w:tc>
        <w:tc>
          <w:tcPr>
            <w:tcW w:w="430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完成消防安全培训的时间</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天/次</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灾害信息员培训完成时间</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灾害信息员培训完成时间</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6月底</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培训计划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5.12防灾减灾演练</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5.12防灾演练时间</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5月中旬</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提高了执法人员处理各类事故和灾难的能力</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通过安全生产、防灾减灾、消防安全、应急救援等培训及宣传增强了执法人员对全区生产经营单位处理各类事故和灾难的能力。</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《中共河北省委河北省人民政府关于推进安全生产领域改革发展的实施意见》（冀发[2017]22号）、《中华人民共和国安全生产法》、《中华人民共和国消防法》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通过宣传提高广大人民群众的安全意识</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通过宣传达到提高广大人民群众的安全意识</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逐步提高</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调查广大人民群众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75"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6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通过5.12防灾减灾演练提高广大群众应对灾害的能力和意识</w:t>
            </w:r>
          </w:p>
        </w:tc>
        <w:tc>
          <w:tcPr>
            <w:tcW w:w="456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通过5.12防灾减灾演练提高广大群众应对灾害的能力和意识</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提高意识</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调查参与群众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18"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w:t>
            </w: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接受安全生产、消防安全、防灾减灾宣传培训单位对培训提供服务的满意程度</w:t>
            </w: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9" w:hRule="atLeast"/>
        </w:trPr>
        <w:tc>
          <w:tcPr>
            <w:tcW w:w="6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44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jc w:val="left"/>
        <w:rPr>
          <w:rFonts w:hint="default"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11、各类应急预案演练费</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年组织地质灾害点演练、人员密集场所演练、重要路段处置事故演练、集中的小微企业互救演练、涉氨涉氯企业演练，建立应急预案体系，巩固应急预案成果，查漏补缺，对号入座，在不同行业领域着重预防，提高部门、乡镇人员应急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应急预案演练次数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应急预案演练次数(地质灾害点演练、人员密集场所演练、重要路段处置事故演练、集中的小微企业互救演练、涉氨涉氯企业）每类至少一次</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参加演练人数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每次演练参与人数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演练计划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参见演练部门和乡镇数量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每场参见演练部门和乡镇数量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演练计划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应急演练费用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各类应急演练每次平均费用</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演练计划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同行业同规模</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成果明显</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预计参练人数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全年预计参练人数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提高部门人员应急能力情况</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增加群众的防范意识、逃生能力、自救呼救能力</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明显提高</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统计报告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参加人员满意度</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满意和较满意人数占被调查人数的比例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jc w:val="left"/>
        <w:rPr>
          <w:rFonts w:hint="default"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12、安全员工资</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矿山安全员协助我局和企业进行安全监管，主要负责督促企业落实主体责任，督促企业定期进行隐患排查整改，发现重大隐患及时上报我局，加强我局及各乡镇安全生产监管力度，提高安全隐患排查范围和数量，将会大大降低矿山的事故发生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超过退体年龄的安全员人数 </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已经超过60周岁的法定退体年龄的安全员人数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招聘合同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现任安全员人数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现担任曲寨水泥和鼎鑫水泥两家矿山的安全员人数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招聘合同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矿山数量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我区现在矿山数量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已经超过60周岁的法定退体年龄的安全员月工资标准</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元/月.人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招聘合同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安全员工资</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现担任曲寨水泥和鼎鑫水泥两家矿山的安全员月工资标准</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元/月.人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招聘合同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重大隐患报告率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报告的重大安全隐患数量占发现的重大安全隐患量的比例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隐患整改率%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已整改隐患数占日常安全监管中发现的隐患比</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每月对安全员工作进行考评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接受监督检查的矿山企业对安全员所提供服务的满意程度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 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jc w:val="left"/>
        <w:rPr>
          <w:rFonts w:hint="default"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13、政府购买应急管理服务费</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聘请第三方机构，对全区生产经营单位的安全检查，对安全执法检查中能够及时发现安全隐患，有效遏制事故的发生，及时做到安全隐患的排查与发现。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目标2</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聘请第三方机构，对我区涉有限空间58家企业，涉氨制冷、涉爆粉尘21家企业，按期组织专家进行排查，完成隐患整改，保证不发生安全生产事故。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目标3</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聘请第三方机构，对企业进行安全生产诚信培训和现场评定，确保企业诚信等级全部达到C级以上。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目标4</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聘请第三方机构，对我区化工行业攻坚行动、“四个一批”工作进行验收，保证企业良性循环运营，实现正常的社会经济效益，完成实施攻坚阶段、验收考核阶段、总结巩固阶段任务。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目标5</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聘请第三方机构，抽查我区安全生产标准化企业高危行业24家、非高危行业30家进行抽查，对报告提出的安全隐患进行整改，降低事故发生，保证企业安全运行。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目标6</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聘请第三方机构，完成32家领导包联重点企业的检查、摸排，在规定时间内完成对专家指出的隐患进行整改，保证重点企业不发生安全事故。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目标7</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聘请第三方机构，新编应急预案10个，修改应急预案2个，建成应急预案管理体系，起到知道怎么救，往哪跑，呼叫谁帮助，增强应急预案的针对性。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安全生产案件办结率%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立案案件数量占执法总数的比率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年度监督检查计划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安全生产聘请专家人数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我区今年共聘请专家人数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使用专家审比单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安全生产聘请第三方机构</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聘请第三方机构进行技术支持</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元/人.次.天</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使用专家审批单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安全生产完成安全指导的时间</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聘请专家完成安全指导的时间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当日</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使用专家审批单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安全生产检查企业数量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安生生产执法检查企业数量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排查涉有限空间企业</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1.2.3季度排查我区涉有限空间企业数量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58.00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石安委[2019]49号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排查涉有限空间企业</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排查我区涉有限空间企业次数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次/年</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排查涉氨制冷企业数量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元旦春节、两会、暑期、国庆排查我区涉有涉氨制冷企业数量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石安委[2019]49号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涉爆粉尘企业数量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1-4季度开展涉爆粉尘专项整治，检查企业数量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石安委[2019]49号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排查企业次数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元旦春节、两会、暑期、国庆排查我区涉有涉氨制冷、涉爆粉尘企业次数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次/年</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涉氨制冷、涉爆粉尘按期排查率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按期排查企业数量占排查企业总数的比例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排查台账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工贸行业排查聘请第三方机构</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聘请第三方机构进行技术</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元/次.人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专家审批单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工贸行业排查专家配备量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每次检查配备的专家人数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工贸行业排查完成整改率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完成整改的隐患数量占专家提出隐患数量的比例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《2019全市轻工等工贸行业安全监管工作要点》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工贸行业整改完成时限</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专家提出的隐患整改完成的时限</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天</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完成安全生产诚信评定的企业培训的次数（次）</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对申请安全生产诚信评定并进行培训的企业进行现场培训</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《河北省企业安全生产诚信管理办法（试行）》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安全生产诚信评定需要评审企业数量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对申请安全生产诚信评定并进行培训的企业进行评审</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《河北省企业安全生产诚信管理办法（试行）》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安全生产诚信评定聘请第三方机构</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聘请第三方机构进行安全生产诚信评审成本</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850.00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元/次.人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安全生产诚信评定评审任务完成率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对申请安全生产诚信评定并进行培训的企业进行全部评审完成情况</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《河北省企业安全生产诚信管理办法（试行）》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化工行业安全生产整治检查高危和非高危行业的数量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完成省市安排的化工行业安全生产整治行动高危行业和非高危行业检查的数量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96.00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冀安委[2019]3号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石安委[2019]5号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化工行业安全生产整治每月抽检量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每月抽查企业数量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家/月</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石安委[2019]5号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化工行业安全生产整治聘请第三方机构</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聘请第三方机构支付聘请费用</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专家审批表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化工行业安全生产整治每季度检查数量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1季度抽查高危行业，2.3.4季度抽查非高危行业</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1季度抽查高危行业每月7-8家，2.3.4季度抽查非高危行业7-8家。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冀安委[2019]3号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安全生产标准化企业检查企业抽查专家数量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每次检查一家企业专家配备数量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名</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冀应急政发[2019]100号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安全生产标准化企业检查高危行业抽查数量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抽查的高危行业企业数量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冀应急政发[2019]100号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安全生产标准化企业检查非高危行业抽查数量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抽查的非高危行业企业数量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冀应急政发[2019]100号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安全生产标准化企业检查聘请第三方机构</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聘请第三方机构支付费用</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元/人.次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专家审批单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安全生产标准化有限空间培训讲座</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开展有限空间培训讲座参加人数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安全生产标准化企业检查每季度完成抽查数量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每季度抽查企业数量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标准化达标企业监督抽查制度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包联重点企业检查数量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领导包联重点企业数量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石安委[2019]11号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包联重点企业检查次数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32家企业每季度检查、摸排次数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石安委[2019]11号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包联重点企业每次检查专家参与人数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每次检查、摸排专家参与人数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包联重点企业检查按时完成率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按时完成检查、摸排企业数量占计划完成企业数量的比例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石安委[2019]11号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石应急[2019]10号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包联重点企业检查整改完成率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隐患整改完成数量占专家报告指出隐患数量的比例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包联重点企业检查整改完成时限</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对专家指出的隐患完成整改的时间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天</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新建应急预案数量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新建应急预案数量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石家庄市突发事件应急预案编制规划2019-2020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修改应急预案数量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修改应急预案数量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石家庄市突发事件应急预案编制规划2019-2020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区委常委会通过率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区委常委会通过的应急预案数量占编制数量的比例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石家庄市突发事件应急预案编制规划2019-2020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鹿泉区突发事件总体应急预案</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每个应急预案编制评审费用</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行业标准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应急预案体系完成时间</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12个应急预案体系完成时间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6月底</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可持续影响指标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安全事故有效处理率%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事故调查处理量占发生量的比例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冀发（2017）22号第22条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安全事故发生次数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生产经营过程中发生的生产安全事故数量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冀发（2017）22号第22条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事故发生次数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工贸行业事故发生次数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达到安全生产诚信等级</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对企业进行诚信评定，并按时完成安全生产诚信系统录入，确保企业诚信等级全部达到C级以上</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C级</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《河北省企业安全生产诚信管理办法（试行）》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完成化工行业专项整治</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完成化工行业专项整治行动数量占监管数量的比例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冀安委[2019]3号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石安委[2019]5号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达到石家庄市政府的考核</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 “四个一批”验收工作，达到石家庄市政府的考核任务</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全部完成“优秀”目标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冀安委[2019]3号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石安委[2019]5号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事故下降率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较去年事故降低次数占去年事故发生次数的比例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标准化达标企业监督抽查制度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整改完成率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完成整改的企业数量占抽查企业数量的比例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冀应急政发[2019]100号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企业安全事故发生次数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企业安全事故发生次数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工作计划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应急预案使用年限</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应急预案使用年限</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应急条例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服务的企业对案件处理的满意程度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冀发（2017）22号第22条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企业满意数量占抽查总数的比例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w:t>
            </w:r>
          </w:p>
        </w:tc>
      </w:tr>
    </w:tbl>
    <w:p>
      <w:pPr>
        <w:autoSpaceDE w:val="0"/>
        <w:autoSpaceDN w:val="0"/>
        <w:adjustRightInd w:val="0"/>
        <w:jc w:val="left"/>
        <w:rPr>
          <w:rFonts w:hint="default"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14、综合防灾专项规划</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编制完成我区综合防灾专项规划，提高我区综合防灾减灾应对处置能力，降低灾害对我区造成的灾害损失。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规划编制费</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规划编制费用</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79.90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万元</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合同约定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审核通过情况</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综合防灾专项规划专家验收情况</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通过专家验收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《石家庄市鹿泉区区乡两级国土空间规划和村庄规划研究编制工作实施方案》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完成时间</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综合防灾专项规划完成时间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2020年9月之前</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《石家庄市鹿泉区区乡两级国土空间规划和村庄规划研究编制工作实施方案》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社会防灾减灾水平</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通过实施综合防灾专项规划提高我区灾害处置水平</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缩短应急反应时间</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调查统计报告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群众满意度</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群众满意数量占总数的比例。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jc w:val="left"/>
        <w:rPr>
          <w:rFonts w:hint="default"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15、涉军公益岗位工资</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我单位对符合就业困难条件军队退役人员3名，实行公益岗位托管安置。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目标2</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帮扶救助到位，加大就业援助工作，实现就业。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涉军公益岗位人数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实行退役人员公益岗位托管安置数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鹿办文（2017）31号文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涉军公益岗位工资发放标准</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涉军公益岗位工资发放数额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1960.00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元/月.人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鹿办文（2017）31号文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涉军公益岗位工资发放率%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涉军公益岗位工资占应发放工资的比</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鹿办文（2017）31号文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涉军公益岗位工资发放时间</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涉军公益岗位工资发放时间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每月30日前</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托管安置人数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公益岗托管安置人数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鹿办文（2017）31号文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对退役安置满意和较满意的人数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鹿办文（2017）31号文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jc w:val="left"/>
        <w:rPr>
          <w:rFonts w:hint="default" w:ascii="黑体" w:hAnsi="黑体" w:eastAsia="黑体" w:cs="Times New Roman"/>
          <w:sz w:val="32"/>
          <w:szCs w:val="32"/>
          <w:lang w:val="en-US" w:eastAsia="zh-CN"/>
        </w:rPr>
      </w:pPr>
    </w:p>
    <w:p>
      <w:pPr>
        <w:autoSpaceDE w:val="0"/>
        <w:autoSpaceDN w:val="0"/>
        <w:adjustRightInd w:val="0"/>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16、危险化学品安全生产风险监测预警系统建设</w:t>
      </w:r>
    </w:p>
    <w:tbl>
      <w:tblPr>
        <w:tblStyle w:val="7"/>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00"/>
        <w:gridCol w:w="1350"/>
        <w:gridCol w:w="1800"/>
        <w:gridCol w:w="2070"/>
        <w:gridCol w:w="1500"/>
        <w:gridCol w:w="1350"/>
        <w:gridCol w:w="900"/>
        <w:gridCol w:w="2100"/>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绩效目标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目标1</w:t>
            </w:r>
          </w:p>
        </w:tc>
        <w:tc>
          <w:tcPr>
            <w:tcW w:w="115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完成风险预警系统设备购置，实现10家重大危险源企业与区、市、省、部联通，加强对重大危险源企业的监控，减少安全隐患。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绩效指标描述</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符号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值</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单位（文字描述）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设施配置</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24盘位存储磁盘列阵数量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石安委办【2019】61号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设施配置费用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24盘位存储磁盘列阵金额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万/套</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石安委办【2019】61号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设施配置</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电脑金额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石安委办【2019】61号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设施配置数量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电脑数量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台</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石安委办【2019】61号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施工及配套辅料</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施工及配套辅料费用</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1.48</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石安委办【2019】61号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设施配置费用</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10T监控专用硬盘金额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元/块</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石安委办【2019】61号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设施配置数量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10T监控专用硬盘数量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块</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石安委办【2019】61号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8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设备验收合格率</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由市应急管理局联系相关专业人员进行验收，通过验收合格的预警监测系统工程量占工程总量的比例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百分百</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石安委办【2019】61号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时效指标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对接完成时间</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完成与部、省、市、企业对接的时间</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文字描述</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2020年8月前完成</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石安委办【2019】61号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社会效益指标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实现对重大危险源企业的监控数量</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实现区、市、省、部四级视频监控、数据监控联通，监控企业数量</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家</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石安委办【2019】61号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效果指标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服务对象满意度指标</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重大危险源企业满意度</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满意和较满意企业数占监控企业总数的比例。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&gt;=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90.00</w:t>
            </w: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百分比</w:t>
            </w: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计划标准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rPr>
                <w:rFonts w:hint="eastAsia" w:ascii="宋体" w:hAnsi="宋体" w:eastAsia="宋体" w:cs="宋体"/>
                <w:i w:val="0"/>
                <w:color w:val="000000"/>
                <w:sz w:val="18"/>
                <w:szCs w:val="18"/>
                <w:u w:val="none"/>
              </w:rPr>
            </w:pPr>
          </w:p>
        </w:tc>
      </w:tr>
    </w:tbl>
    <w:p>
      <w:pPr>
        <w:autoSpaceDE w:val="0"/>
        <w:autoSpaceDN w:val="0"/>
        <w:adjustRightInd w:val="0"/>
        <w:jc w:val="left"/>
        <w:rPr>
          <w:rFonts w:hint="default" w:ascii="黑体" w:hAnsi="黑体" w:eastAsia="黑体" w:cs="Times New Roman"/>
          <w:sz w:val="32"/>
          <w:szCs w:val="32"/>
          <w:lang w:val="en-US" w:eastAsia="zh-CN"/>
        </w:rPr>
      </w:pPr>
    </w:p>
    <w:p>
      <w:pPr>
        <w:autoSpaceDE w:val="0"/>
        <w:autoSpaceDN w:val="0"/>
        <w:adjustRightInd w:val="0"/>
        <w:ind w:firstLine="960" w:firstLineChars="300"/>
        <w:jc w:val="left"/>
        <w:rPr>
          <w:rFonts w:hint="eastAsia" w:ascii="黑体" w:hAnsi="黑体" w:eastAsia="黑体" w:cs="Times New Roman"/>
          <w:sz w:val="32"/>
          <w:szCs w:val="32"/>
        </w:rPr>
      </w:pPr>
    </w:p>
    <w:p>
      <w:pPr>
        <w:autoSpaceDE w:val="0"/>
        <w:autoSpaceDN w:val="0"/>
        <w:adjustRightInd w:val="0"/>
        <w:ind w:firstLine="960" w:firstLineChars="300"/>
        <w:jc w:val="left"/>
        <w:rPr>
          <w:rFonts w:hint="eastAsia" w:ascii="黑体" w:hAnsi="黑体" w:eastAsia="黑体" w:cs="Times New Roman"/>
          <w:sz w:val="32"/>
          <w:szCs w:val="32"/>
        </w:rPr>
      </w:pPr>
    </w:p>
    <w:p>
      <w:pPr>
        <w:autoSpaceDE w:val="0"/>
        <w:autoSpaceDN w:val="0"/>
        <w:adjustRightInd w:val="0"/>
        <w:ind w:firstLine="960" w:firstLineChars="300"/>
        <w:jc w:val="left"/>
        <w:rPr>
          <w:rFonts w:ascii="黑体" w:hAnsi="黑体" w:eastAsia="黑体" w:cs="Times New Roman"/>
          <w:sz w:val="32"/>
          <w:szCs w:val="32"/>
        </w:rPr>
      </w:pPr>
      <w:r>
        <w:rPr>
          <w:rFonts w:hint="eastAsia" w:ascii="黑体" w:hAnsi="黑体" w:eastAsia="黑体" w:cs="Times New Roman"/>
          <w:sz w:val="32"/>
          <w:szCs w:val="32"/>
        </w:rPr>
        <w:t>六、政府采购预算情况</w:t>
      </w:r>
    </w:p>
    <w:p>
      <w:pPr>
        <w:ind w:firstLine="640" w:firstLineChars="200"/>
        <w:outlineLvl w:val="0"/>
        <w:rPr>
          <w:rFonts w:ascii="Times New Roman" w:hAnsi="Times New Roman" w:eastAsia="仿宋" w:cs="Times New Roman"/>
          <w:sz w:val="32"/>
          <w:szCs w:val="24"/>
        </w:rPr>
      </w:pPr>
      <w:bookmarkStart w:id="1" w:name="_Toc471398468"/>
      <w:r>
        <w:rPr>
          <w:rFonts w:ascii="Times New Roman" w:hAnsi="Times New Roman" w:eastAsia="仿宋" w:cs="Times New Roman"/>
          <w:sz w:val="32"/>
          <w:szCs w:val="24"/>
        </w:rPr>
        <w:t xml:space="preserve"> 20</w:t>
      </w:r>
      <w:r>
        <w:rPr>
          <w:rFonts w:hint="eastAsia" w:ascii="Times New Roman" w:hAnsi="Times New Roman" w:eastAsia="仿宋" w:cs="Times New Roman"/>
          <w:sz w:val="32"/>
          <w:szCs w:val="24"/>
        </w:rPr>
        <w:t>20</w:t>
      </w:r>
      <w:r>
        <w:rPr>
          <w:rFonts w:ascii="Times New Roman" w:hAnsi="Times New Roman" w:eastAsia="仿宋" w:cs="Times New Roman"/>
          <w:sz w:val="32"/>
          <w:szCs w:val="24"/>
        </w:rPr>
        <w:t>年，</w:t>
      </w:r>
      <w:r>
        <w:rPr>
          <w:rFonts w:hint="eastAsia" w:ascii="Times New Roman" w:hAnsi="Times New Roman" w:eastAsia="仿宋" w:cs="Times New Roman"/>
          <w:sz w:val="32"/>
          <w:szCs w:val="24"/>
        </w:rPr>
        <w:t>我部门</w:t>
      </w:r>
      <w:r>
        <w:rPr>
          <w:rFonts w:ascii="Times New Roman" w:hAnsi="Times New Roman" w:eastAsia="仿宋" w:cs="Times New Roman"/>
          <w:sz w:val="32"/>
          <w:szCs w:val="24"/>
        </w:rPr>
        <w:t>安排政府采购预算</w:t>
      </w:r>
      <w:r>
        <w:rPr>
          <w:rFonts w:hint="eastAsia" w:ascii="Times New Roman" w:hAnsi="Times New Roman" w:eastAsia="仿宋" w:cs="Times New Roman"/>
          <w:sz w:val="32"/>
          <w:szCs w:val="24"/>
          <w:lang w:val="en-US" w:eastAsia="zh-CN"/>
        </w:rPr>
        <w:t>80</w:t>
      </w:r>
      <w:r>
        <w:rPr>
          <w:rFonts w:ascii="Times New Roman" w:hAnsi="Times New Roman" w:eastAsia="仿宋" w:cs="Times New Roman"/>
          <w:sz w:val="32"/>
          <w:szCs w:val="24"/>
        </w:rPr>
        <w:t>万元。具体内容见下表。</w:t>
      </w:r>
      <w:bookmarkEnd w:id="1"/>
    </w:p>
    <w:p>
      <w:pPr>
        <w:ind w:firstLine="640" w:firstLineChars="200"/>
        <w:jc w:val="center"/>
        <w:outlineLvl w:val="0"/>
        <w:rPr>
          <w:rFonts w:ascii="Times New Roman" w:hAnsi="宋体"/>
          <w:sz w:val="32"/>
        </w:rPr>
      </w:pPr>
      <w:r>
        <w:rPr>
          <w:rFonts w:hint="eastAsia" w:ascii="方正小标宋_GBK" w:eastAsia="方正小标宋_GBK"/>
          <w:sz w:val="32"/>
        </w:rPr>
        <w:t>部门政府采购预算</w:t>
      </w:r>
      <w:r>
        <w:fldChar w:fldCharType="begin"/>
      </w:r>
      <w:r>
        <w:rPr>
          <w:rFonts w:ascii="方正小标宋_GBK" w:eastAsia="方正小标宋_GBK"/>
          <w:sz w:val="32"/>
        </w:rPr>
        <w:instrText xml:space="preserve"> </w:instrText>
      </w:r>
      <w:r>
        <w:rPr>
          <w:rFonts w:hint="eastAsia" w:ascii="方正小标宋_GBK" w:eastAsia="方正小标宋_GBK"/>
          <w:sz w:val="32"/>
        </w:rPr>
        <w:instrText xml:space="preserve">TC </w:instrText>
      </w:r>
      <w:bookmarkStart w:id="2" w:name="_Toc28848395"/>
      <w:r>
        <w:rPr>
          <w:rFonts w:hint="eastAsia" w:ascii="方正小标宋_GBK" w:eastAsia="方正小标宋_GBK"/>
          <w:sz w:val="32"/>
        </w:rPr>
        <w:instrText xml:space="preserve">部门政府采购预算</w:instrText>
      </w:r>
      <w:bookmarkEnd w:id="2"/>
      <w:r>
        <w:rPr>
          <w:rFonts w:hint="eastAsia" w:ascii="方正小标宋_GBK" w:eastAsia="方正小标宋_GBK"/>
          <w:sz w:val="32"/>
        </w:rPr>
        <w:instrText xml:space="preserve"> \f A \l 1</w:instrText>
      </w:r>
      <w:r>
        <w:rPr>
          <w:rFonts w:ascii="方正小标宋_GBK" w:eastAsia="方正小标宋_GBK"/>
          <w:sz w:val="32"/>
        </w:rPr>
        <w:instrText xml:space="preserve"> </w:instrText>
      </w:r>
      <w:r>
        <w:rPr>
          <w:rFonts w:ascii="方正小标宋_GBK" w:eastAsia="方正小标宋_GBK"/>
          <w:sz w:val="32"/>
        </w:rPr>
        <w:fldChar w:fldCharType="end"/>
      </w:r>
    </w:p>
    <w:tbl>
      <w:tblPr>
        <w:tblStyle w:val="7"/>
        <w:tblW w:w="15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06"/>
        <w:gridCol w:w="1134"/>
        <w:gridCol w:w="1559"/>
        <w:gridCol w:w="1417"/>
        <w:gridCol w:w="709"/>
        <w:gridCol w:w="851"/>
        <w:gridCol w:w="992"/>
        <w:gridCol w:w="992"/>
        <w:gridCol w:w="992"/>
        <w:gridCol w:w="993"/>
        <w:gridCol w:w="1134"/>
        <w:gridCol w:w="850"/>
        <w:gridCol w:w="8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768" w:type="dxa"/>
            <w:gridSpan w:val="7"/>
            <w:tcBorders>
              <w:top w:val="single" w:color="FFFFFF" w:sz="6" w:space="0"/>
              <w:left w:val="single" w:color="FFFFFF" w:sz="6" w:space="0"/>
              <w:right w:val="single" w:color="FFFFFF" w:sz="6" w:space="0"/>
            </w:tcBorders>
            <w:vAlign w:val="center"/>
          </w:tcPr>
          <w:p>
            <w:pPr>
              <w:spacing w:line="300" w:lineRule="exact"/>
              <w:jc w:val="left"/>
              <w:rPr>
                <w:rFonts w:hint="default" w:ascii="方正小标宋_GBK" w:eastAsia="方正小标宋_GBK"/>
                <w:sz w:val="24"/>
                <w:lang w:val="en-US" w:eastAsia="zh-CN"/>
              </w:rPr>
            </w:pPr>
            <w:r>
              <w:rPr>
                <w:rFonts w:hint="eastAsia" w:ascii="方正小标宋_GBK" w:eastAsia="方正小标宋_GBK"/>
                <w:sz w:val="24"/>
                <w:lang w:val="en-US" w:eastAsia="zh-CN"/>
              </w:rPr>
              <w:t>426石家庄市鹿泉区应急管理局</w:t>
            </w:r>
          </w:p>
        </w:tc>
        <w:tc>
          <w:tcPr>
            <w:tcW w:w="5854" w:type="dxa"/>
            <w:gridSpan w:val="6"/>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sz w:val="24"/>
              </w:rPr>
            </w:pPr>
            <w:r>
              <w:rPr>
                <w:rFonts w:hint="eastAsia" w:ascii="方正书宋_GBK" w:eastAsia="方正书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4240" w:type="dxa"/>
            <w:gridSpan w:val="2"/>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59" w:type="dxa"/>
            <w:vMerge w:val="restart"/>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417" w:type="dxa"/>
            <w:vMerge w:val="restart"/>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pPr>
              <w:spacing w:line="300" w:lineRule="exact"/>
              <w:jc w:val="center"/>
              <w:rPr>
                <w:rFonts w:ascii="方正书宋_GBK" w:eastAsia="方正书宋_GBK"/>
                <w:b/>
              </w:rPr>
            </w:pPr>
            <w:r>
              <w:rPr>
                <w:rFonts w:hint="eastAsia" w:ascii="方正书宋_GBK" w:eastAsia="方正书宋_GBK"/>
                <w:b/>
              </w:rPr>
              <w:t>计量  单位</w:t>
            </w:r>
          </w:p>
        </w:tc>
        <w:tc>
          <w:tcPr>
            <w:tcW w:w="851" w:type="dxa"/>
            <w:vMerge w:val="restart"/>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92" w:type="dxa"/>
            <w:vMerge w:val="restart"/>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5854" w:type="dxa"/>
            <w:gridSpan w:val="6"/>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06" w:type="dxa"/>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59" w:type="dxa"/>
            <w:vMerge w:val="continue"/>
            <w:vAlign w:val="center"/>
          </w:tcPr>
          <w:p>
            <w:pPr>
              <w:spacing w:line="300" w:lineRule="exact"/>
              <w:jc w:val="left"/>
              <w:outlineLvl w:val="0"/>
              <w:rPr>
                <w:rFonts w:ascii="Times New Roman" w:eastAsia="方正仿宋_GBK"/>
                <w:sz w:val="28"/>
              </w:rPr>
            </w:pPr>
          </w:p>
        </w:tc>
        <w:tc>
          <w:tcPr>
            <w:tcW w:w="1417" w:type="dxa"/>
            <w:vMerge w:val="continue"/>
            <w:vAlign w:val="center"/>
          </w:tcPr>
          <w:p>
            <w:pPr>
              <w:spacing w:line="300" w:lineRule="exact"/>
              <w:jc w:val="left"/>
              <w:outlineLvl w:val="0"/>
              <w:rPr>
                <w:rFonts w:ascii="Times New Roman" w:eastAsia="方正仿宋_GBK"/>
                <w:sz w:val="28"/>
              </w:rPr>
            </w:pPr>
          </w:p>
        </w:tc>
        <w:tc>
          <w:tcPr>
            <w:tcW w:w="709" w:type="dxa"/>
            <w:vMerge w:val="continue"/>
            <w:vAlign w:val="center"/>
          </w:tcPr>
          <w:p>
            <w:pPr>
              <w:spacing w:line="300" w:lineRule="exact"/>
              <w:jc w:val="left"/>
              <w:outlineLvl w:val="0"/>
              <w:rPr>
                <w:rFonts w:ascii="Times New Roman" w:eastAsia="方正仿宋_GBK"/>
                <w:sz w:val="28"/>
              </w:rPr>
            </w:pPr>
          </w:p>
        </w:tc>
        <w:tc>
          <w:tcPr>
            <w:tcW w:w="851" w:type="dxa"/>
            <w:vMerge w:val="continue"/>
            <w:vAlign w:val="center"/>
          </w:tcPr>
          <w:p>
            <w:pPr>
              <w:spacing w:line="300" w:lineRule="exact"/>
              <w:jc w:val="left"/>
              <w:outlineLvl w:val="0"/>
              <w:rPr>
                <w:rFonts w:ascii="Times New Roman" w:eastAsia="方正仿宋_GBK"/>
                <w:sz w:val="28"/>
              </w:rPr>
            </w:pPr>
          </w:p>
        </w:tc>
        <w:tc>
          <w:tcPr>
            <w:tcW w:w="992" w:type="dxa"/>
            <w:vMerge w:val="continue"/>
            <w:vAlign w:val="center"/>
          </w:tcPr>
          <w:p>
            <w:pPr>
              <w:spacing w:line="300" w:lineRule="exact"/>
              <w:jc w:val="left"/>
              <w:outlineLvl w:val="0"/>
              <w:rPr>
                <w:rFonts w:ascii="Times New Roman" w:eastAsia="方正仿宋_GBK"/>
                <w:sz w:val="28"/>
              </w:rPr>
            </w:pPr>
          </w:p>
        </w:tc>
        <w:tc>
          <w:tcPr>
            <w:tcW w:w="992" w:type="dxa"/>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992" w:type="dxa"/>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993" w:type="dxa"/>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850" w:type="dxa"/>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893" w:type="dxa"/>
            <w:vAlign w:val="center"/>
          </w:tcPr>
          <w:p>
            <w:pPr>
              <w:spacing w:line="300" w:lineRule="exact"/>
              <w:jc w:val="center"/>
              <w:rPr>
                <w:rFonts w:ascii="方正书宋_GBK" w:eastAsia="方正书宋_GBK"/>
                <w:b/>
              </w:rPr>
            </w:pPr>
            <w:r>
              <w:rPr>
                <w:rFonts w:hint="eastAsia" w:ascii="方正书宋_GBK" w:eastAsia="方正书宋_GBK"/>
                <w:b/>
              </w:rPr>
              <w:t>其他来源收入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center"/>
              <w:rPr>
                <w:rFonts w:ascii="方正书宋_GBK" w:eastAsia="方正书宋_GBK"/>
                <w:b/>
              </w:rPr>
            </w:pPr>
            <w:r>
              <w:rPr>
                <w:rFonts w:hint="eastAsia" w:ascii="方正书宋_GBK" w:eastAsia="方正书宋_GBK"/>
                <w:b/>
              </w:rPr>
              <w:t>合　计</w:t>
            </w:r>
          </w:p>
        </w:tc>
        <w:tc>
          <w:tcPr>
            <w:tcW w:w="1134" w:type="dxa"/>
            <w:vAlign w:val="center"/>
          </w:tcPr>
          <w:p>
            <w:pPr>
              <w:spacing w:line="300" w:lineRule="exact"/>
              <w:jc w:val="right"/>
              <w:rPr>
                <w:rFonts w:ascii="方正书宋_GBK" w:eastAsia="方正书宋_GBK"/>
                <w:b/>
              </w:rPr>
            </w:pPr>
          </w:p>
        </w:tc>
        <w:tc>
          <w:tcPr>
            <w:tcW w:w="1559" w:type="dxa"/>
            <w:vAlign w:val="center"/>
          </w:tcPr>
          <w:p>
            <w:pPr>
              <w:spacing w:line="300" w:lineRule="exact"/>
              <w:jc w:val="left"/>
              <w:rPr>
                <w:rFonts w:ascii="方正书宋_GBK" w:eastAsia="方正书宋_GBK"/>
                <w:b/>
              </w:rPr>
            </w:pPr>
          </w:p>
        </w:tc>
        <w:tc>
          <w:tcPr>
            <w:tcW w:w="1417" w:type="dxa"/>
            <w:vAlign w:val="center"/>
          </w:tcPr>
          <w:p>
            <w:pPr>
              <w:spacing w:line="300" w:lineRule="exact"/>
              <w:jc w:val="left"/>
              <w:rPr>
                <w:rFonts w:ascii="方正书宋_GBK" w:eastAsia="方正书宋_GBK"/>
                <w:b/>
              </w:rPr>
            </w:pPr>
          </w:p>
        </w:tc>
        <w:tc>
          <w:tcPr>
            <w:tcW w:w="709" w:type="dxa"/>
            <w:vAlign w:val="center"/>
          </w:tcPr>
          <w:p>
            <w:pPr>
              <w:spacing w:line="300" w:lineRule="exact"/>
              <w:jc w:val="left"/>
              <w:rPr>
                <w:rFonts w:ascii="方正书宋_GBK" w:eastAsia="方正书宋_GBK"/>
                <w:b/>
              </w:rPr>
            </w:pPr>
          </w:p>
        </w:tc>
        <w:tc>
          <w:tcPr>
            <w:tcW w:w="851" w:type="dxa"/>
            <w:vAlign w:val="center"/>
          </w:tcPr>
          <w:p>
            <w:pPr>
              <w:spacing w:line="300" w:lineRule="exact"/>
              <w:jc w:val="right"/>
              <w:rPr>
                <w:rFonts w:ascii="方正书宋_GBK" w:eastAsia="方正书宋_GBK"/>
                <w:b/>
              </w:rPr>
            </w:pPr>
          </w:p>
        </w:tc>
        <w:tc>
          <w:tcPr>
            <w:tcW w:w="992" w:type="dxa"/>
            <w:vAlign w:val="center"/>
          </w:tcPr>
          <w:p>
            <w:pPr>
              <w:spacing w:line="300" w:lineRule="exact"/>
              <w:jc w:val="right"/>
              <w:rPr>
                <w:rFonts w:ascii="方正书宋_GBK" w:eastAsia="方正书宋_GBK"/>
                <w:b/>
              </w:rPr>
            </w:pPr>
          </w:p>
        </w:tc>
        <w:tc>
          <w:tcPr>
            <w:tcW w:w="992" w:type="dxa"/>
            <w:vAlign w:val="center"/>
          </w:tcPr>
          <w:p>
            <w:pPr>
              <w:adjustRightInd w:val="0"/>
              <w:snapToGrid w:val="0"/>
              <w:jc w:val="right"/>
              <w:rPr>
                <w:rFonts w:ascii="方正书宋_GBK" w:hAnsi="宋体" w:eastAsia="方正书宋_GBK" w:cs="宋体"/>
                <w:b/>
                <w:bCs/>
                <w:color w:val="000000"/>
                <w:szCs w:val="21"/>
              </w:rPr>
            </w:pPr>
          </w:p>
        </w:tc>
        <w:tc>
          <w:tcPr>
            <w:tcW w:w="992" w:type="dxa"/>
            <w:vAlign w:val="center"/>
          </w:tcPr>
          <w:p>
            <w:pPr>
              <w:adjustRightInd w:val="0"/>
              <w:snapToGrid w:val="0"/>
              <w:jc w:val="right"/>
              <w:rPr>
                <w:rFonts w:ascii="方正书宋_GBK" w:hAnsi="宋体" w:eastAsia="方正书宋_GBK" w:cs="宋体"/>
                <w:b/>
                <w:bCs/>
                <w:color w:val="000000"/>
                <w:szCs w:val="21"/>
              </w:rPr>
            </w:pPr>
          </w:p>
        </w:tc>
        <w:tc>
          <w:tcPr>
            <w:tcW w:w="993"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850" w:type="dxa"/>
            <w:vAlign w:val="center"/>
          </w:tcPr>
          <w:p>
            <w:pPr>
              <w:spacing w:line="300" w:lineRule="exact"/>
              <w:jc w:val="right"/>
              <w:rPr>
                <w:rFonts w:ascii="方正书宋_GBK" w:eastAsia="方正书宋_GBK"/>
                <w:b/>
              </w:rPr>
            </w:pPr>
          </w:p>
        </w:tc>
        <w:tc>
          <w:tcPr>
            <w:tcW w:w="893" w:type="dxa"/>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05" w:hRule="atLeast"/>
          <w:jc w:val="center"/>
        </w:trPr>
        <w:tc>
          <w:tcPr>
            <w:tcW w:w="3106" w:type="dxa"/>
            <w:vAlign w:val="center"/>
          </w:tcPr>
          <w:p>
            <w:pPr>
              <w:spacing w:line="300" w:lineRule="exact"/>
              <w:jc w:val="center"/>
              <w:rPr>
                <w:rFonts w:hint="eastAsia" w:ascii="方正书宋_GBK" w:eastAsia="方正书宋_GBK"/>
                <w:b/>
                <w:lang w:eastAsia="zh-CN"/>
              </w:rPr>
            </w:pPr>
            <w:r>
              <w:rPr>
                <w:rFonts w:hint="eastAsia" w:ascii="方正书宋_GBK" w:eastAsia="方正书宋_GBK"/>
                <w:b/>
                <w:lang w:eastAsia="zh-CN"/>
              </w:rPr>
              <w:t>石家庄市鹿泉区应急管理局小计</w:t>
            </w:r>
          </w:p>
        </w:tc>
        <w:tc>
          <w:tcPr>
            <w:tcW w:w="1134" w:type="dxa"/>
            <w:vAlign w:val="center"/>
          </w:tcPr>
          <w:p>
            <w:pPr>
              <w:spacing w:line="300" w:lineRule="exact"/>
              <w:jc w:val="right"/>
              <w:rPr>
                <w:rFonts w:ascii="方正书宋_GBK" w:eastAsia="方正书宋_GBK"/>
                <w:b/>
              </w:rPr>
            </w:pPr>
          </w:p>
        </w:tc>
        <w:tc>
          <w:tcPr>
            <w:tcW w:w="1559" w:type="dxa"/>
            <w:vAlign w:val="center"/>
          </w:tcPr>
          <w:p>
            <w:pPr>
              <w:spacing w:line="300" w:lineRule="exact"/>
              <w:jc w:val="left"/>
              <w:rPr>
                <w:rFonts w:ascii="方正书宋_GBK" w:eastAsia="方正书宋_GBK"/>
                <w:b/>
              </w:rPr>
            </w:pPr>
          </w:p>
        </w:tc>
        <w:tc>
          <w:tcPr>
            <w:tcW w:w="1417" w:type="dxa"/>
            <w:vAlign w:val="center"/>
          </w:tcPr>
          <w:p>
            <w:pPr>
              <w:spacing w:line="300" w:lineRule="exact"/>
              <w:jc w:val="left"/>
              <w:rPr>
                <w:rFonts w:ascii="方正书宋_GBK" w:eastAsia="方正书宋_GBK"/>
                <w:b/>
              </w:rPr>
            </w:pPr>
          </w:p>
        </w:tc>
        <w:tc>
          <w:tcPr>
            <w:tcW w:w="709" w:type="dxa"/>
            <w:vAlign w:val="center"/>
          </w:tcPr>
          <w:p>
            <w:pPr>
              <w:spacing w:line="300" w:lineRule="exact"/>
              <w:jc w:val="left"/>
              <w:rPr>
                <w:rFonts w:ascii="方正书宋_GBK" w:eastAsia="方正书宋_GBK"/>
                <w:b/>
              </w:rPr>
            </w:pPr>
          </w:p>
        </w:tc>
        <w:tc>
          <w:tcPr>
            <w:tcW w:w="851" w:type="dxa"/>
            <w:vAlign w:val="center"/>
          </w:tcPr>
          <w:p>
            <w:pPr>
              <w:spacing w:line="300" w:lineRule="exact"/>
              <w:jc w:val="right"/>
              <w:rPr>
                <w:rFonts w:ascii="方正书宋_GBK" w:eastAsia="方正书宋_GBK"/>
                <w:b/>
              </w:rPr>
            </w:pPr>
          </w:p>
        </w:tc>
        <w:tc>
          <w:tcPr>
            <w:tcW w:w="992" w:type="dxa"/>
            <w:vAlign w:val="center"/>
          </w:tcPr>
          <w:p>
            <w:pPr>
              <w:spacing w:line="300" w:lineRule="exact"/>
              <w:jc w:val="right"/>
              <w:rPr>
                <w:rFonts w:ascii="方正书宋_GBK" w:eastAsia="方正书宋_GBK"/>
                <w:b/>
              </w:rPr>
            </w:pPr>
          </w:p>
        </w:tc>
        <w:tc>
          <w:tcPr>
            <w:tcW w:w="992" w:type="dxa"/>
            <w:vAlign w:val="center"/>
          </w:tcPr>
          <w:p>
            <w:pPr>
              <w:adjustRightInd w:val="0"/>
              <w:snapToGrid w:val="0"/>
              <w:jc w:val="right"/>
              <w:rPr>
                <w:rFonts w:hint="default" w:ascii="方正书宋_GBK" w:hAnsi="宋体" w:eastAsia="方正书宋_GBK" w:cs="宋体"/>
                <w:b/>
                <w:bCs/>
                <w:color w:val="000000"/>
                <w:szCs w:val="21"/>
                <w:lang w:val="en-US" w:eastAsia="zh-CN"/>
              </w:rPr>
            </w:pPr>
            <w:r>
              <w:rPr>
                <w:rFonts w:hint="eastAsia" w:ascii="方正书宋_GBK" w:hAnsi="宋体" w:eastAsia="方正书宋_GBK" w:cs="宋体"/>
                <w:b/>
                <w:bCs/>
                <w:color w:val="000000"/>
                <w:szCs w:val="21"/>
                <w:lang w:val="en-US" w:eastAsia="zh-CN"/>
              </w:rPr>
              <w:t>80.00</w:t>
            </w:r>
          </w:p>
        </w:tc>
        <w:tc>
          <w:tcPr>
            <w:tcW w:w="992" w:type="dxa"/>
            <w:vAlign w:val="center"/>
          </w:tcPr>
          <w:p>
            <w:pPr>
              <w:adjustRightInd w:val="0"/>
              <w:snapToGrid w:val="0"/>
              <w:jc w:val="right"/>
              <w:rPr>
                <w:rFonts w:hint="default" w:ascii="方正书宋_GBK" w:hAnsi="宋体" w:eastAsia="方正书宋_GBK" w:cs="宋体"/>
                <w:b/>
                <w:bCs/>
                <w:color w:val="000000"/>
                <w:szCs w:val="21"/>
                <w:lang w:val="en-US" w:eastAsia="zh-CN"/>
              </w:rPr>
            </w:pPr>
            <w:r>
              <w:rPr>
                <w:rFonts w:hint="eastAsia" w:ascii="方正书宋_GBK" w:hAnsi="宋体" w:eastAsia="方正书宋_GBK" w:cs="宋体"/>
                <w:b/>
                <w:bCs/>
                <w:color w:val="000000"/>
                <w:szCs w:val="21"/>
                <w:lang w:val="en-US" w:eastAsia="zh-CN"/>
              </w:rPr>
              <w:t>80.00</w:t>
            </w:r>
          </w:p>
        </w:tc>
        <w:tc>
          <w:tcPr>
            <w:tcW w:w="993"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850" w:type="dxa"/>
            <w:vAlign w:val="center"/>
          </w:tcPr>
          <w:p>
            <w:pPr>
              <w:spacing w:line="300" w:lineRule="exact"/>
              <w:jc w:val="right"/>
              <w:rPr>
                <w:rFonts w:ascii="方正书宋_GBK" w:eastAsia="方正书宋_GBK"/>
                <w:b/>
              </w:rPr>
            </w:pPr>
          </w:p>
        </w:tc>
        <w:tc>
          <w:tcPr>
            <w:tcW w:w="893" w:type="dxa"/>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left"/>
              <w:rPr>
                <w:rFonts w:hint="eastAsia" w:ascii="方正书宋_GBK" w:eastAsia="方正书宋_GBK"/>
                <w:lang w:eastAsia="zh-CN"/>
              </w:rPr>
            </w:pPr>
            <w:r>
              <w:rPr>
                <w:rFonts w:hint="eastAsia" w:ascii="方正书宋_GBK" w:eastAsia="方正书宋_GBK"/>
                <w:lang w:eastAsia="zh-CN"/>
              </w:rPr>
              <w:t>农村住房灾害保险</w:t>
            </w:r>
          </w:p>
        </w:tc>
        <w:tc>
          <w:tcPr>
            <w:tcW w:w="1134" w:type="dxa"/>
            <w:vAlign w:val="center"/>
          </w:tcPr>
          <w:p>
            <w:pPr>
              <w:spacing w:line="300" w:lineRule="exact"/>
              <w:jc w:val="right"/>
              <w:rPr>
                <w:rFonts w:hint="default" w:ascii="方正书宋_GBK" w:eastAsia="方正书宋_GBK"/>
                <w:lang w:val="en-US" w:eastAsia="zh-CN"/>
              </w:rPr>
            </w:pPr>
            <w:r>
              <w:rPr>
                <w:rFonts w:hint="eastAsia" w:ascii="方正书宋_GBK" w:eastAsia="方正书宋_GBK"/>
                <w:lang w:val="en-US" w:eastAsia="zh-CN"/>
              </w:rPr>
              <w:t>50</w:t>
            </w:r>
          </w:p>
        </w:tc>
        <w:tc>
          <w:tcPr>
            <w:tcW w:w="1559" w:type="dxa"/>
            <w:vAlign w:val="center"/>
          </w:tcPr>
          <w:p>
            <w:pPr>
              <w:spacing w:line="300" w:lineRule="exact"/>
              <w:jc w:val="left"/>
              <w:rPr>
                <w:rFonts w:hint="eastAsia" w:ascii="方正书宋_GBK" w:eastAsia="方正书宋_GBK"/>
                <w:lang w:eastAsia="zh-CN"/>
              </w:rPr>
            </w:pPr>
            <w:r>
              <w:rPr>
                <w:rFonts w:hint="eastAsia" w:ascii="方正书宋_GBK" w:eastAsia="方正书宋_GBK"/>
                <w:lang w:eastAsia="zh-CN"/>
              </w:rPr>
              <w:t>其他财产保险服务</w:t>
            </w:r>
          </w:p>
        </w:tc>
        <w:tc>
          <w:tcPr>
            <w:tcW w:w="1417" w:type="dxa"/>
            <w:vAlign w:val="center"/>
          </w:tcPr>
          <w:p>
            <w:pPr>
              <w:spacing w:line="300" w:lineRule="exact"/>
              <w:jc w:val="left"/>
              <w:rPr>
                <w:rFonts w:hint="default" w:ascii="方正书宋_GBK" w:eastAsia="方正书宋_GBK"/>
                <w:lang w:val="en-US" w:eastAsia="zh-CN"/>
              </w:rPr>
            </w:pPr>
            <w:r>
              <w:rPr>
                <w:rFonts w:hint="eastAsia" w:ascii="方正书宋_GBK" w:eastAsia="方正书宋_GBK"/>
                <w:lang w:val="en-US" w:eastAsia="zh-CN"/>
              </w:rPr>
              <w:t>15040299</w:t>
            </w:r>
          </w:p>
        </w:tc>
        <w:tc>
          <w:tcPr>
            <w:tcW w:w="709" w:type="dxa"/>
            <w:vAlign w:val="center"/>
          </w:tcPr>
          <w:p>
            <w:pPr>
              <w:spacing w:line="300" w:lineRule="exact"/>
              <w:jc w:val="left"/>
              <w:rPr>
                <w:rFonts w:hint="eastAsia" w:ascii="方正书宋_GBK" w:eastAsia="方正书宋_GBK"/>
                <w:lang w:eastAsia="zh-CN"/>
              </w:rPr>
            </w:pPr>
            <w:r>
              <w:rPr>
                <w:rFonts w:hint="eastAsia" w:ascii="方正书宋_GBK" w:eastAsia="方正书宋_GBK"/>
                <w:lang w:eastAsia="zh-CN"/>
              </w:rPr>
              <w:t>万户</w:t>
            </w:r>
          </w:p>
        </w:tc>
        <w:tc>
          <w:tcPr>
            <w:tcW w:w="851" w:type="dxa"/>
            <w:vAlign w:val="center"/>
          </w:tcPr>
          <w:p>
            <w:pPr>
              <w:spacing w:line="300" w:lineRule="exact"/>
              <w:jc w:val="right"/>
              <w:rPr>
                <w:rFonts w:hint="default" w:ascii="方正书宋_GBK" w:eastAsia="方正书宋_GBK"/>
                <w:lang w:val="en-US" w:eastAsia="zh-CN"/>
              </w:rPr>
            </w:pPr>
            <w:r>
              <w:rPr>
                <w:rFonts w:hint="eastAsia" w:ascii="方正书宋_GBK" w:eastAsia="方正书宋_GBK"/>
                <w:lang w:val="en-US" w:eastAsia="zh-CN"/>
              </w:rPr>
              <w:t>5.00</w:t>
            </w:r>
          </w:p>
        </w:tc>
        <w:tc>
          <w:tcPr>
            <w:tcW w:w="992" w:type="dxa"/>
            <w:vAlign w:val="center"/>
          </w:tcPr>
          <w:p>
            <w:pPr>
              <w:spacing w:line="300" w:lineRule="exact"/>
              <w:jc w:val="right"/>
              <w:rPr>
                <w:rFonts w:hint="default" w:ascii="方正书宋_GBK" w:eastAsia="方正书宋_GBK"/>
                <w:lang w:val="en-US" w:eastAsia="zh-CN"/>
              </w:rPr>
            </w:pPr>
            <w:r>
              <w:rPr>
                <w:rFonts w:hint="eastAsia" w:ascii="方正书宋_GBK" w:eastAsia="方正书宋_GBK"/>
                <w:lang w:val="en-US" w:eastAsia="zh-CN"/>
              </w:rPr>
              <w:t>10.00</w:t>
            </w:r>
          </w:p>
        </w:tc>
        <w:tc>
          <w:tcPr>
            <w:tcW w:w="992" w:type="dxa"/>
            <w:vAlign w:val="center"/>
          </w:tcPr>
          <w:p>
            <w:pPr>
              <w:spacing w:line="300" w:lineRule="exact"/>
              <w:jc w:val="right"/>
              <w:rPr>
                <w:rFonts w:hint="default" w:ascii="方正书宋_GBK" w:eastAsia="方正书宋_GBK"/>
                <w:lang w:val="en-US" w:eastAsia="zh-CN"/>
              </w:rPr>
            </w:pPr>
            <w:r>
              <w:rPr>
                <w:rFonts w:hint="eastAsia" w:ascii="方正书宋_GBK" w:eastAsia="方正书宋_GBK"/>
                <w:lang w:val="en-US" w:eastAsia="zh-CN"/>
              </w:rPr>
              <w:t>50.00</w:t>
            </w:r>
          </w:p>
        </w:tc>
        <w:tc>
          <w:tcPr>
            <w:tcW w:w="992" w:type="dxa"/>
            <w:vAlign w:val="center"/>
          </w:tcPr>
          <w:p>
            <w:pPr>
              <w:spacing w:line="300" w:lineRule="exact"/>
              <w:jc w:val="right"/>
              <w:rPr>
                <w:rFonts w:hint="default" w:ascii="方正书宋_GBK" w:eastAsia="方正书宋_GBK"/>
                <w:lang w:val="en-US" w:eastAsia="zh-CN"/>
              </w:rPr>
            </w:pPr>
            <w:r>
              <w:rPr>
                <w:rFonts w:hint="eastAsia" w:ascii="方正书宋_GBK" w:eastAsia="方正书宋_GBK"/>
                <w:lang w:val="en-US" w:eastAsia="zh-CN"/>
              </w:rPr>
              <w:t>50.00</w:t>
            </w:r>
          </w:p>
        </w:tc>
        <w:tc>
          <w:tcPr>
            <w:tcW w:w="993" w:type="dxa"/>
            <w:vAlign w:val="center"/>
          </w:tcPr>
          <w:p>
            <w:pPr>
              <w:spacing w:line="300" w:lineRule="exact"/>
              <w:jc w:val="righ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850" w:type="dxa"/>
            <w:vAlign w:val="center"/>
          </w:tcPr>
          <w:p>
            <w:pPr>
              <w:spacing w:line="300" w:lineRule="exact"/>
              <w:jc w:val="right"/>
              <w:rPr>
                <w:rFonts w:ascii="方正书宋_GBK" w:eastAsia="方正书宋_GBK"/>
              </w:rPr>
            </w:pPr>
          </w:p>
        </w:tc>
        <w:tc>
          <w:tcPr>
            <w:tcW w:w="893" w:type="dxa"/>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left"/>
              <w:rPr>
                <w:rFonts w:hint="eastAsia" w:ascii="方正书宋_GBK" w:eastAsia="方正书宋_GBK"/>
                <w:lang w:eastAsia="zh-CN"/>
              </w:rPr>
            </w:pPr>
            <w:r>
              <w:rPr>
                <w:rFonts w:hint="eastAsia" w:ascii="方正书宋_GBK" w:eastAsia="方正书宋_GBK"/>
                <w:lang w:eastAsia="zh-CN"/>
              </w:rPr>
              <w:t>综合防灾专项规划</w:t>
            </w:r>
          </w:p>
        </w:tc>
        <w:tc>
          <w:tcPr>
            <w:tcW w:w="1134" w:type="dxa"/>
            <w:vAlign w:val="center"/>
          </w:tcPr>
          <w:p>
            <w:pPr>
              <w:spacing w:line="300" w:lineRule="exact"/>
              <w:jc w:val="right"/>
              <w:rPr>
                <w:rFonts w:hint="default" w:ascii="方正书宋_GBK" w:eastAsia="方正书宋_GBK"/>
                <w:lang w:val="en-US" w:eastAsia="zh-CN"/>
              </w:rPr>
            </w:pPr>
            <w:r>
              <w:rPr>
                <w:rFonts w:hint="eastAsia" w:ascii="方正书宋_GBK" w:eastAsia="方正书宋_GBK"/>
                <w:lang w:val="en-US" w:eastAsia="zh-CN"/>
              </w:rPr>
              <w:t>30</w:t>
            </w:r>
          </w:p>
        </w:tc>
        <w:tc>
          <w:tcPr>
            <w:tcW w:w="1559" w:type="dxa"/>
            <w:vAlign w:val="center"/>
          </w:tcPr>
          <w:p>
            <w:pPr>
              <w:spacing w:line="300" w:lineRule="exact"/>
              <w:jc w:val="left"/>
              <w:rPr>
                <w:rFonts w:hint="eastAsia" w:ascii="方正书宋_GBK" w:eastAsia="方正书宋_GBK"/>
                <w:lang w:eastAsia="zh-CN"/>
              </w:rPr>
            </w:pPr>
            <w:r>
              <w:rPr>
                <w:rFonts w:hint="eastAsia" w:ascii="方正书宋_GBK" w:eastAsia="方正书宋_GBK"/>
                <w:lang w:eastAsia="zh-CN"/>
              </w:rPr>
              <w:t>其他专业技术服务</w:t>
            </w:r>
          </w:p>
        </w:tc>
        <w:tc>
          <w:tcPr>
            <w:tcW w:w="1417" w:type="dxa"/>
            <w:vAlign w:val="center"/>
          </w:tcPr>
          <w:p>
            <w:pPr>
              <w:spacing w:line="300" w:lineRule="exact"/>
              <w:jc w:val="left"/>
              <w:rPr>
                <w:rFonts w:hint="default" w:ascii="方正书宋_GBK" w:eastAsia="方正书宋_GBK"/>
                <w:lang w:val="en-US" w:eastAsia="zh-CN"/>
              </w:rPr>
            </w:pPr>
            <w:r>
              <w:rPr>
                <w:rFonts w:hint="eastAsia" w:ascii="方正书宋_GBK" w:eastAsia="方正书宋_GBK"/>
                <w:lang w:val="en-US" w:eastAsia="zh-CN"/>
              </w:rPr>
              <w:t>0908</w:t>
            </w:r>
          </w:p>
        </w:tc>
        <w:tc>
          <w:tcPr>
            <w:tcW w:w="709" w:type="dxa"/>
            <w:vAlign w:val="center"/>
          </w:tcPr>
          <w:p>
            <w:pPr>
              <w:spacing w:line="300" w:lineRule="exact"/>
              <w:jc w:val="left"/>
              <w:rPr>
                <w:rFonts w:hint="eastAsia" w:ascii="方正书宋_GBK" w:eastAsia="方正书宋_GBK"/>
                <w:lang w:eastAsia="zh-CN"/>
              </w:rPr>
            </w:pPr>
            <w:r>
              <w:rPr>
                <w:rFonts w:hint="eastAsia" w:ascii="方正书宋_GBK" w:eastAsia="方正书宋_GBK"/>
                <w:lang w:eastAsia="zh-CN"/>
              </w:rPr>
              <w:t>项</w:t>
            </w:r>
          </w:p>
        </w:tc>
        <w:tc>
          <w:tcPr>
            <w:tcW w:w="851" w:type="dxa"/>
            <w:vAlign w:val="center"/>
          </w:tcPr>
          <w:p>
            <w:pPr>
              <w:spacing w:line="300" w:lineRule="exact"/>
              <w:jc w:val="right"/>
              <w:rPr>
                <w:rFonts w:hint="default" w:ascii="方正书宋_GBK" w:eastAsia="方正书宋_GBK"/>
                <w:lang w:val="en-US" w:eastAsia="zh-CN"/>
              </w:rPr>
            </w:pPr>
            <w:r>
              <w:rPr>
                <w:rFonts w:hint="eastAsia" w:ascii="方正书宋_GBK" w:eastAsia="方正书宋_GBK"/>
                <w:lang w:val="en-US" w:eastAsia="zh-CN"/>
              </w:rPr>
              <w:t>1.00</w:t>
            </w:r>
          </w:p>
        </w:tc>
        <w:tc>
          <w:tcPr>
            <w:tcW w:w="992" w:type="dxa"/>
            <w:vAlign w:val="center"/>
          </w:tcPr>
          <w:p>
            <w:pPr>
              <w:spacing w:line="300" w:lineRule="exact"/>
              <w:jc w:val="right"/>
              <w:rPr>
                <w:rFonts w:hint="default" w:ascii="方正书宋_GBK" w:eastAsia="方正书宋_GBK"/>
                <w:lang w:val="en-US" w:eastAsia="zh-CN"/>
              </w:rPr>
            </w:pPr>
            <w:r>
              <w:rPr>
                <w:rFonts w:hint="eastAsia" w:ascii="方正书宋_GBK" w:eastAsia="方正书宋_GBK"/>
                <w:lang w:val="en-US" w:eastAsia="zh-CN"/>
              </w:rPr>
              <w:t>30.00</w:t>
            </w:r>
          </w:p>
        </w:tc>
        <w:tc>
          <w:tcPr>
            <w:tcW w:w="992" w:type="dxa"/>
            <w:vAlign w:val="center"/>
          </w:tcPr>
          <w:p>
            <w:pPr>
              <w:spacing w:line="300" w:lineRule="exact"/>
              <w:jc w:val="right"/>
              <w:rPr>
                <w:rFonts w:hint="default" w:ascii="方正书宋_GBK" w:eastAsia="方正书宋_GBK"/>
                <w:lang w:val="en-US" w:eastAsia="zh-CN"/>
              </w:rPr>
            </w:pPr>
            <w:r>
              <w:rPr>
                <w:rFonts w:hint="eastAsia" w:ascii="方正书宋_GBK" w:eastAsia="方正书宋_GBK"/>
                <w:lang w:val="en-US" w:eastAsia="zh-CN"/>
              </w:rPr>
              <w:t>30.00</w:t>
            </w:r>
          </w:p>
        </w:tc>
        <w:tc>
          <w:tcPr>
            <w:tcW w:w="992" w:type="dxa"/>
            <w:vAlign w:val="center"/>
          </w:tcPr>
          <w:p>
            <w:pPr>
              <w:spacing w:line="300" w:lineRule="exact"/>
              <w:jc w:val="right"/>
              <w:rPr>
                <w:rFonts w:hint="default" w:ascii="方正书宋_GBK" w:eastAsia="方正书宋_GBK"/>
                <w:lang w:val="en-US" w:eastAsia="zh-CN"/>
              </w:rPr>
            </w:pPr>
            <w:r>
              <w:rPr>
                <w:rFonts w:hint="eastAsia" w:ascii="方正书宋_GBK" w:eastAsia="方正书宋_GBK"/>
                <w:lang w:val="en-US" w:eastAsia="zh-CN"/>
              </w:rPr>
              <w:t>30.00</w:t>
            </w:r>
          </w:p>
        </w:tc>
        <w:tc>
          <w:tcPr>
            <w:tcW w:w="993" w:type="dxa"/>
            <w:vAlign w:val="center"/>
          </w:tcPr>
          <w:p>
            <w:pPr>
              <w:spacing w:line="300" w:lineRule="exact"/>
              <w:jc w:val="righ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850" w:type="dxa"/>
            <w:vAlign w:val="center"/>
          </w:tcPr>
          <w:p>
            <w:pPr>
              <w:spacing w:line="300" w:lineRule="exact"/>
              <w:jc w:val="right"/>
              <w:rPr>
                <w:rFonts w:ascii="方正书宋_GBK" w:eastAsia="方正书宋_GBK"/>
              </w:rPr>
            </w:pPr>
          </w:p>
        </w:tc>
        <w:tc>
          <w:tcPr>
            <w:tcW w:w="893" w:type="dxa"/>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lef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1559" w:type="dxa"/>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p>
        </w:tc>
        <w:tc>
          <w:tcPr>
            <w:tcW w:w="709" w:type="dxa"/>
            <w:vAlign w:val="center"/>
          </w:tcPr>
          <w:p>
            <w:pPr>
              <w:spacing w:line="300" w:lineRule="exact"/>
              <w:jc w:val="left"/>
              <w:rPr>
                <w:rFonts w:ascii="方正书宋_GBK" w:eastAsia="方正书宋_GBK"/>
              </w:rPr>
            </w:pPr>
          </w:p>
        </w:tc>
        <w:tc>
          <w:tcPr>
            <w:tcW w:w="851"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3" w:type="dxa"/>
            <w:vAlign w:val="center"/>
          </w:tcPr>
          <w:p>
            <w:pPr>
              <w:spacing w:line="300" w:lineRule="exact"/>
              <w:jc w:val="righ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850" w:type="dxa"/>
            <w:vAlign w:val="center"/>
          </w:tcPr>
          <w:p>
            <w:pPr>
              <w:spacing w:line="300" w:lineRule="exact"/>
              <w:jc w:val="right"/>
              <w:rPr>
                <w:rFonts w:ascii="方正书宋_GBK" w:eastAsia="方正书宋_GBK"/>
              </w:rPr>
            </w:pPr>
          </w:p>
        </w:tc>
        <w:tc>
          <w:tcPr>
            <w:tcW w:w="893" w:type="dxa"/>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lef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1559" w:type="dxa"/>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p>
        </w:tc>
        <w:tc>
          <w:tcPr>
            <w:tcW w:w="709" w:type="dxa"/>
            <w:vAlign w:val="center"/>
          </w:tcPr>
          <w:p>
            <w:pPr>
              <w:spacing w:line="300" w:lineRule="exact"/>
              <w:jc w:val="left"/>
              <w:rPr>
                <w:rFonts w:ascii="方正书宋_GBK" w:eastAsia="方正书宋_GBK"/>
              </w:rPr>
            </w:pPr>
          </w:p>
        </w:tc>
        <w:tc>
          <w:tcPr>
            <w:tcW w:w="851"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3" w:type="dxa"/>
            <w:vAlign w:val="center"/>
          </w:tcPr>
          <w:p>
            <w:pPr>
              <w:spacing w:line="300" w:lineRule="exact"/>
              <w:jc w:val="righ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850" w:type="dxa"/>
            <w:vAlign w:val="center"/>
          </w:tcPr>
          <w:p>
            <w:pPr>
              <w:spacing w:line="300" w:lineRule="exact"/>
              <w:jc w:val="right"/>
              <w:rPr>
                <w:rFonts w:ascii="方正书宋_GBK" w:eastAsia="方正书宋_GBK"/>
              </w:rPr>
            </w:pPr>
          </w:p>
        </w:tc>
        <w:tc>
          <w:tcPr>
            <w:tcW w:w="893" w:type="dxa"/>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lef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1559" w:type="dxa"/>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p>
        </w:tc>
        <w:tc>
          <w:tcPr>
            <w:tcW w:w="709" w:type="dxa"/>
            <w:vAlign w:val="center"/>
          </w:tcPr>
          <w:p>
            <w:pPr>
              <w:spacing w:line="300" w:lineRule="exact"/>
              <w:jc w:val="left"/>
              <w:rPr>
                <w:rFonts w:ascii="方正书宋_GBK" w:eastAsia="方正书宋_GBK"/>
              </w:rPr>
            </w:pPr>
          </w:p>
        </w:tc>
        <w:tc>
          <w:tcPr>
            <w:tcW w:w="851"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3" w:type="dxa"/>
            <w:vAlign w:val="center"/>
          </w:tcPr>
          <w:p>
            <w:pPr>
              <w:spacing w:line="300" w:lineRule="exact"/>
              <w:jc w:val="righ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850" w:type="dxa"/>
            <w:vAlign w:val="center"/>
          </w:tcPr>
          <w:p>
            <w:pPr>
              <w:spacing w:line="300" w:lineRule="exact"/>
              <w:jc w:val="right"/>
              <w:rPr>
                <w:rFonts w:ascii="方正书宋_GBK" w:eastAsia="方正书宋_GBK"/>
              </w:rPr>
            </w:pPr>
          </w:p>
        </w:tc>
        <w:tc>
          <w:tcPr>
            <w:tcW w:w="893" w:type="dxa"/>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lef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1559" w:type="dxa"/>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p>
        </w:tc>
        <w:tc>
          <w:tcPr>
            <w:tcW w:w="709" w:type="dxa"/>
            <w:vAlign w:val="center"/>
          </w:tcPr>
          <w:p>
            <w:pPr>
              <w:spacing w:line="300" w:lineRule="exact"/>
              <w:jc w:val="left"/>
              <w:rPr>
                <w:rFonts w:ascii="方正书宋_GBK" w:eastAsia="方正书宋_GBK"/>
              </w:rPr>
            </w:pPr>
          </w:p>
        </w:tc>
        <w:tc>
          <w:tcPr>
            <w:tcW w:w="851"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3" w:type="dxa"/>
            <w:vAlign w:val="center"/>
          </w:tcPr>
          <w:p>
            <w:pPr>
              <w:spacing w:line="300" w:lineRule="exact"/>
              <w:jc w:val="righ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850" w:type="dxa"/>
            <w:vAlign w:val="center"/>
          </w:tcPr>
          <w:p>
            <w:pPr>
              <w:spacing w:line="300" w:lineRule="exact"/>
              <w:jc w:val="right"/>
              <w:rPr>
                <w:rFonts w:ascii="方正书宋_GBK" w:eastAsia="方正书宋_GBK"/>
              </w:rPr>
            </w:pPr>
          </w:p>
        </w:tc>
        <w:tc>
          <w:tcPr>
            <w:tcW w:w="893" w:type="dxa"/>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lef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1559" w:type="dxa"/>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p>
        </w:tc>
        <w:tc>
          <w:tcPr>
            <w:tcW w:w="709" w:type="dxa"/>
            <w:vAlign w:val="center"/>
          </w:tcPr>
          <w:p>
            <w:pPr>
              <w:spacing w:line="300" w:lineRule="exact"/>
              <w:jc w:val="left"/>
              <w:rPr>
                <w:rFonts w:ascii="方正书宋_GBK" w:eastAsia="方正书宋_GBK"/>
              </w:rPr>
            </w:pPr>
          </w:p>
        </w:tc>
        <w:tc>
          <w:tcPr>
            <w:tcW w:w="851"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3" w:type="dxa"/>
            <w:vAlign w:val="center"/>
          </w:tcPr>
          <w:p>
            <w:pPr>
              <w:spacing w:line="300" w:lineRule="exact"/>
              <w:jc w:val="righ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850" w:type="dxa"/>
            <w:vAlign w:val="center"/>
          </w:tcPr>
          <w:p>
            <w:pPr>
              <w:spacing w:line="300" w:lineRule="exact"/>
              <w:jc w:val="right"/>
              <w:rPr>
                <w:rFonts w:ascii="方正书宋_GBK" w:eastAsia="方正书宋_GBK"/>
              </w:rPr>
            </w:pPr>
          </w:p>
        </w:tc>
        <w:tc>
          <w:tcPr>
            <w:tcW w:w="893" w:type="dxa"/>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lef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1559" w:type="dxa"/>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p>
        </w:tc>
        <w:tc>
          <w:tcPr>
            <w:tcW w:w="709" w:type="dxa"/>
            <w:vAlign w:val="center"/>
          </w:tcPr>
          <w:p>
            <w:pPr>
              <w:spacing w:line="300" w:lineRule="exact"/>
              <w:jc w:val="left"/>
              <w:rPr>
                <w:rFonts w:ascii="方正书宋_GBK" w:eastAsia="方正书宋_GBK"/>
              </w:rPr>
            </w:pPr>
          </w:p>
        </w:tc>
        <w:tc>
          <w:tcPr>
            <w:tcW w:w="851"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3" w:type="dxa"/>
            <w:vAlign w:val="center"/>
          </w:tcPr>
          <w:p>
            <w:pPr>
              <w:spacing w:line="300" w:lineRule="exact"/>
              <w:jc w:val="righ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850" w:type="dxa"/>
            <w:vAlign w:val="center"/>
          </w:tcPr>
          <w:p>
            <w:pPr>
              <w:spacing w:line="300" w:lineRule="exact"/>
              <w:jc w:val="right"/>
              <w:rPr>
                <w:rFonts w:ascii="方正书宋_GBK" w:eastAsia="方正书宋_GBK"/>
              </w:rPr>
            </w:pPr>
          </w:p>
        </w:tc>
        <w:tc>
          <w:tcPr>
            <w:tcW w:w="893" w:type="dxa"/>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lef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1559" w:type="dxa"/>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p>
        </w:tc>
        <w:tc>
          <w:tcPr>
            <w:tcW w:w="709" w:type="dxa"/>
            <w:vAlign w:val="center"/>
          </w:tcPr>
          <w:p>
            <w:pPr>
              <w:spacing w:line="300" w:lineRule="exact"/>
              <w:jc w:val="left"/>
              <w:rPr>
                <w:rFonts w:ascii="方正书宋_GBK" w:eastAsia="方正书宋_GBK"/>
              </w:rPr>
            </w:pPr>
          </w:p>
        </w:tc>
        <w:tc>
          <w:tcPr>
            <w:tcW w:w="851"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3" w:type="dxa"/>
            <w:vAlign w:val="center"/>
          </w:tcPr>
          <w:p>
            <w:pPr>
              <w:spacing w:line="300" w:lineRule="exact"/>
              <w:jc w:val="righ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850" w:type="dxa"/>
            <w:vAlign w:val="center"/>
          </w:tcPr>
          <w:p>
            <w:pPr>
              <w:spacing w:line="300" w:lineRule="exact"/>
              <w:jc w:val="right"/>
              <w:rPr>
                <w:rFonts w:ascii="方正书宋_GBK" w:eastAsia="方正书宋_GBK"/>
              </w:rPr>
            </w:pPr>
          </w:p>
        </w:tc>
        <w:tc>
          <w:tcPr>
            <w:tcW w:w="893" w:type="dxa"/>
            <w:vAlign w:val="center"/>
          </w:tcPr>
          <w:p>
            <w:pPr>
              <w:spacing w:line="300" w:lineRule="exact"/>
              <w:jc w:val="right"/>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pPr>
              <w:spacing w:line="300" w:lineRule="exact"/>
              <w:jc w:val="lef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1559" w:type="dxa"/>
            <w:vAlign w:val="center"/>
          </w:tcPr>
          <w:p>
            <w:pPr>
              <w:spacing w:line="300" w:lineRule="exact"/>
              <w:jc w:val="left"/>
              <w:rPr>
                <w:rFonts w:ascii="方正书宋_GBK" w:eastAsia="方正书宋_GBK"/>
              </w:rPr>
            </w:pPr>
          </w:p>
        </w:tc>
        <w:tc>
          <w:tcPr>
            <w:tcW w:w="1417" w:type="dxa"/>
            <w:vAlign w:val="center"/>
          </w:tcPr>
          <w:p>
            <w:pPr>
              <w:spacing w:line="300" w:lineRule="exact"/>
              <w:jc w:val="left"/>
              <w:rPr>
                <w:rFonts w:ascii="方正书宋_GBK" w:eastAsia="方正书宋_GBK"/>
              </w:rPr>
            </w:pPr>
          </w:p>
        </w:tc>
        <w:tc>
          <w:tcPr>
            <w:tcW w:w="709" w:type="dxa"/>
            <w:vAlign w:val="center"/>
          </w:tcPr>
          <w:p>
            <w:pPr>
              <w:spacing w:line="300" w:lineRule="exact"/>
              <w:jc w:val="left"/>
              <w:rPr>
                <w:rFonts w:ascii="方正书宋_GBK" w:eastAsia="方正书宋_GBK"/>
              </w:rPr>
            </w:pPr>
          </w:p>
        </w:tc>
        <w:tc>
          <w:tcPr>
            <w:tcW w:w="851"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2" w:type="dxa"/>
            <w:vAlign w:val="center"/>
          </w:tcPr>
          <w:p>
            <w:pPr>
              <w:spacing w:line="300" w:lineRule="exact"/>
              <w:jc w:val="right"/>
              <w:rPr>
                <w:rFonts w:ascii="方正书宋_GBK" w:eastAsia="方正书宋_GBK"/>
              </w:rPr>
            </w:pPr>
          </w:p>
        </w:tc>
        <w:tc>
          <w:tcPr>
            <w:tcW w:w="993" w:type="dxa"/>
            <w:vAlign w:val="center"/>
          </w:tcPr>
          <w:p>
            <w:pPr>
              <w:spacing w:line="300" w:lineRule="exact"/>
              <w:jc w:val="right"/>
              <w:rPr>
                <w:rFonts w:ascii="方正书宋_GBK" w:eastAsia="方正书宋_GBK"/>
              </w:rPr>
            </w:pPr>
          </w:p>
        </w:tc>
        <w:tc>
          <w:tcPr>
            <w:tcW w:w="1134" w:type="dxa"/>
            <w:vAlign w:val="center"/>
          </w:tcPr>
          <w:p>
            <w:pPr>
              <w:spacing w:line="300" w:lineRule="exact"/>
              <w:jc w:val="right"/>
              <w:rPr>
                <w:rFonts w:ascii="方正书宋_GBK" w:eastAsia="方正书宋_GBK"/>
              </w:rPr>
            </w:pPr>
          </w:p>
        </w:tc>
        <w:tc>
          <w:tcPr>
            <w:tcW w:w="850" w:type="dxa"/>
            <w:vAlign w:val="center"/>
          </w:tcPr>
          <w:p>
            <w:pPr>
              <w:spacing w:line="300" w:lineRule="exact"/>
              <w:jc w:val="right"/>
              <w:rPr>
                <w:rFonts w:ascii="方正书宋_GBK" w:eastAsia="方正书宋_GBK"/>
              </w:rPr>
            </w:pPr>
          </w:p>
        </w:tc>
        <w:tc>
          <w:tcPr>
            <w:tcW w:w="893" w:type="dxa"/>
            <w:vAlign w:val="center"/>
          </w:tcPr>
          <w:p>
            <w:pPr>
              <w:spacing w:line="300" w:lineRule="exact"/>
              <w:jc w:val="right"/>
              <w:rPr>
                <w:rFonts w:ascii="方正书宋_GBK" w:eastAsia="方正书宋_GBK"/>
              </w:rPr>
            </w:pPr>
          </w:p>
        </w:tc>
      </w:tr>
    </w:tbl>
    <w:p>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七、国有资产信息</w:t>
      </w:r>
    </w:p>
    <w:p>
      <w:pPr>
        <w:ind w:firstLine="640" w:firstLineChars="200"/>
        <w:rPr>
          <w:rFonts w:ascii="仿宋" w:hAnsi="仿宋" w:eastAsia="仿宋" w:cs="仿宋"/>
          <w:sz w:val="32"/>
          <w:szCs w:val="32"/>
        </w:rPr>
      </w:pPr>
      <w:r>
        <w:rPr>
          <w:rFonts w:hint="eastAsia" w:ascii="仿宋" w:hAnsi="仿宋" w:eastAsia="仿宋" w:cs="仿宋"/>
          <w:sz w:val="32"/>
          <w:szCs w:val="32"/>
        </w:rPr>
        <w:t>石家庄市鹿泉区</w:t>
      </w:r>
      <w:r>
        <w:rPr>
          <w:rFonts w:hint="eastAsia" w:ascii="仿宋" w:hAnsi="仿宋" w:eastAsia="仿宋" w:cs="仿宋"/>
          <w:sz w:val="32"/>
          <w:szCs w:val="32"/>
          <w:lang w:eastAsia="zh-CN"/>
        </w:rPr>
        <w:t>应急管理局</w:t>
      </w:r>
      <w:r>
        <w:rPr>
          <w:rFonts w:hint="eastAsia" w:ascii="仿宋" w:hAnsi="仿宋" w:eastAsia="仿宋" w:cs="仿宋"/>
          <w:sz w:val="32"/>
          <w:szCs w:val="32"/>
        </w:rPr>
        <w:t>（含所属单位）</w:t>
      </w:r>
      <w:r>
        <w:rPr>
          <w:rFonts w:hint="eastAsia" w:ascii="仿宋" w:hAnsi="仿宋" w:eastAsia="仿宋" w:cs="仿宋"/>
          <w:sz w:val="32"/>
          <w:szCs w:val="32"/>
          <w:lang w:val="en-US" w:eastAsia="zh-CN"/>
        </w:rPr>
        <w:t>2019</w:t>
      </w:r>
      <w:r>
        <w:rPr>
          <w:rFonts w:hint="eastAsia" w:ascii="仿宋" w:hAnsi="仿宋" w:eastAsia="仿宋" w:cs="仿宋"/>
          <w:sz w:val="32"/>
          <w:szCs w:val="32"/>
        </w:rPr>
        <w:t>年末固定资产金额为</w:t>
      </w:r>
      <w:r>
        <w:rPr>
          <w:rFonts w:hint="eastAsia" w:ascii="仿宋" w:hAnsi="仿宋" w:eastAsia="仿宋" w:cs="仿宋"/>
          <w:sz w:val="32"/>
          <w:szCs w:val="32"/>
          <w:lang w:val="en-US" w:eastAsia="zh-CN"/>
        </w:rPr>
        <w:t>444.69</w:t>
      </w:r>
      <w:r>
        <w:rPr>
          <w:rFonts w:hint="eastAsia" w:ascii="仿宋" w:hAnsi="仿宋" w:eastAsia="仿宋" w:cs="仿宋"/>
          <w:sz w:val="32"/>
          <w:szCs w:val="32"/>
        </w:rPr>
        <w:t>万元（详见下表），本年度各单位（处室）拟购置固定资产总额为</w:t>
      </w:r>
      <w:r>
        <w:rPr>
          <w:rFonts w:hint="eastAsia" w:ascii="仿宋" w:hAnsi="仿宋" w:eastAsia="仿宋" w:cs="仿宋"/>
          <w:b w:val="0"/>
          <w:bCs w:val="0"/>
          <w:color w:val="auto"/>
          <w:sz w:val="32"/>
          <w:szCs w:val="32"/>
          <w:lang w:val="en-US" w:eastAsia="zh-CN"/>
        </w:rPr>
        <w:t>7.67</w:t>
      </w:r>
      <w:r>
        <w:rPr>
          <w:rFonts w:hint="eastAsia" w:ascii="仿宋" w:hAnsi="仿宋" w:eastAsia="仿宋" w:cs="仿宋"/>
          <w:sz w:val="32"/>
          <w:szCs w:val="32"/>
        </w:rPr>
        <w:t>万元，主要为计算机设备、打印设备、空调、办公家具等。</w:t>
      </w:r>
    </w:p>
    <w:tbl>
      <w:tblPr>
        <w:tblStyle w:val="7"/>
        <w:tblpPr w:leftFromText="180" w:rightFromText="180" w:vertAnchor="text" w:horzAnchor="page" w:tblpX="1237" w:tblpY="736"/>
        <w:tblOverlap w:val="never"/>
        <w:tblW w:w="9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22"/>
        <w:gridCol w:w="3323"/>
        <w:gridCol w:w="3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2" w:type="dxa"/>
          </w:tcPr>
          <w:p>
            <w:pPr>
              <w:spacing w:line="575" w:lineRule="exact"/>
              <w:jc w:val="center"/>
              <w:outlineLvl w:val="0"/>
              <w:rPr>
                <w:rFonts w:ascii="仿宋" w:hAnsi="仿宋" w:eastAsia="仿宋" w:cs="宋体"/>
                <w:b/>
                <w:kern w:val="0"/>
                <w:sz w:val="32"/>
                <w:szCs w:val="32"/>
              </w:rPr>
            </w:pPr>
            <w:r>
              <w:rPr>
                <w:rFonts w:hint="eastAsia"/>
                <w:b/>
              </w:rPr>
              <w:t>项</w:t>
            </w:r>
            <w:r>
              <w:rPr>
                <w:b/>
              </w:rPr>
              <w:t xml:space="preserve"> </w:t>
            </w:r>
            <w:r>
              <w:rPr>
                <w:rFonts w:hint="eastAsia"/>
                <w:b/>
              </w:rPr>
              <w:t>目</w:t>
            </w:r>
          </w:p>
        </w:tc>
        <w:tc>
          <w:tcPr>
            <w:tcW w:w="3323" w:type="dxa"/>
          </w:tcPr>
          <w:p>
            <w:pPr>
              <w:spacing w:line="575" w:lineRule="exact"/>
              <w:jc w:val="center"/>
              <w:outlineLvl w:val="0"/>
              <w:rPr>
                <w:rFonts w:ascii="仿宋" w:hAnsi="仿宋" w:eastAsia="仿宋" w:cs="宋体"/>
                <w:b/>
                <w:kern w:val="0"/>
                <w:sz w:val="32"/>
                <w:szCs w:val="32"/>
              </w:rPr>
            </w:pPr>
            <w:r>
              <w:rPr>
                <w:rFonts w:hint="eastAsia"/>
                <w:b/>
              </w:rPr>
              <w:t>数</w:t>
            </w:r>
            <w:r>
              <w:rPr>
                <w:b/>
              </w:rPr>
              <w:t xml:space="preserve"> </w:t>
            </w:r>
            <w:r>
              <w:rPr>
                <w:rFonts w:hint="eastAsia"/>
                <w:b/>
              </w:rPr>
              <w:t>量</w:t>
            </w:r>
          </w:p>
        </w:tc>
        <w:tc>
          <w:tcPr>
            <w:tcW w:w="3323" w:type="dxa"/>
          </w:tcPr>
          <w:p>
            <w:pPr>
              <w:spacing w:line="575" w:lineRule="exact"/>
              <w:jc w:val="center"/>
              <w:outlineLvl w:val="0"/>
              <w:rPr>
                <w:rFonts w:ascii="仿宋" w:hAnsi="仿宋" w:eastAsia="仿宋" w:cs="宋体"/>
                <w:b/>
                <w:kern w:val="0"/>
                <w:sz w:val="32"/>
                <w:szCs w:val="32"/>
              </w:rPr>
            </w:pPr>
            <w:r>
              <w:rPr>
                <w:rFonts w:hint="eastAsia"/>
                <w:b/>
              </w:rPr>
              <w:t>价</w:t>
            </w:r>
            <w:r>
              <w:rPr>
                <w:b/>
              </w:rPr>
              <w:t xml:space="preserve"> </w:t>
            </w:r>
            <w:r>
              <w:rPr>
                <w:rFonts w:hint="eastAsia"/>
                <w:b/>
              </w:rPr>
              <w:t>值（金额单位：万元）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2" w:type="dxa"/>
          </w:tcPr>
          <w:p>
            <w:pPr>
              <w:spacing w:line="575" w:lineRule="exact"/>
              <w:outlineLvl w:val="0"/>
              <w:rPr>
                <w:rFonts w:ascii="仿宋" w:hAnsi="仿宋" w:eastAsia="仿宋" w:cs="宋体"/>
                <w:kern w:val="0"/>
                <w:sz w:val="32"/>
                <w:szCs w:val="32"/>
              </w:rPr>
            </w:pPr>
            <w:r>
              <w:rPr>
                <w:rFonts w:hint="eastAsia"/>
              </w:rPr>
              <w:t>资产总额</w:t>
            </w:r>
          </w:p>
        </w:tc>
        <w:tc>
          <w:tcPr>
            <w:tcW w:w="3323" w:type="dxa"/>
          </w:tcPr>
          <w:p>
            <w:pPr>
              <w:spacing w:line="575" w:lineRule="exact"/>
              <w:jc w:val="center"/>
              <w:outlineLvl w:val="0"/>
              <w:rPr>
                <w:rFonts w:ascii="仿宋" w:hAnsi="仿宋" w:eastAsia="仿宋" w:cs="宋体"/>
                <w:kern w:val="0"/>
                <w:sz w:val="32"/>
                <w:szCs w:val="32"/>
              </w:rPr>
            </w:pPr>
            <w:r>
              <w:rPr>
                <w:rFonts w:ascii="仿宋" w:hAnsi="仿宋" w:eastAsia="仿宋" w:cs="宋体"/>
                <w:kern w:val="0"/>
                <w:sz w:val="32"/>
                <w:szCs w:val="32"/>
              </w:rPr>
              <w:t>—</w:t>
            </w:r>
          </w:p>
        </w:tc>
        <w:tc>
          <w:tcPr>
            <w:tcW w:w="3323" w:type="dxa"/>
          </w:tcPr>
          <w:p>
            <w:pPr>
              <w:spacing w:line="575" w:lineRule="exact"/>
              <w:jc w:val="center"/>
              <w:outlineLvl w:val="0"/>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444.69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2" w:type="dxa"/>
          </w:tcPr>
          <w:p>
            <w:pPr>
              <w:spacing w:line="575" w:lineRule="exact"/>
              <w:outlineLvl w:val="0"/>
              <w:rPr>
                <w:rFonts w:ascii="仿宋" w:hAnsi="仿宋" w:eastAsia="仿宋" w:cs="宋体"/>
                <w:kern w:val="0"/>
                <w:sz w:val="32"/>
                <w:szCs w:val="32"/>
              </w:rPr>
            </w:pPr>
            <w:r>
              <w:t>1</w:t>
            </w:r>
            <w:r>
              <w:rPr>
                <w:rFonts w:hint="eastAsia"/>
              </w:rPr>
              <w:t>、房屋（平方米）</w:t>
            </w:r>
          </w:p>
        </w:tc>
        <w:tc>
          <w:tcPr>
            <w:tcW w:w="3323" w:type="dxa"/>
          </w:tcPr>
          <w:p>
            <w:pPr>
              <w:spacing w:line="575" w:lineRule="exact"/>
              <w:jc w:val="center"/>
              <w:outlineLvl w:val="0"/>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2045</w:t>
            </w:r>
          </w:p>
        </w:tc>
        <w:tc>
          <w:tcPr>
            <w:tcW w:w="3323" w:type="dxa"/>
          </w:tcPr>
          <w:p>
            <w:pPr>
              <w:spacing w:line="575" w:lineRule="exact"/>
              <w:jc w:val="center"/>
              <w:outlineLvl w:val="0"/>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2" w:type="dxa"/>
          </w:tcPr>
          <w:p>
            <w:pPr>
              <w:spacing w:line="575" w:lineRule="exact"/>
              <w:outlineLvl w:val="0"/>
              <w:rPr>
                <w:rFonts w:ascii="仿宋" w:hAnsi="仿宋" w:eastAsia="仿宋" w:cs="宋体"/>
                <w:kern w:val="0"/>
                <w:sz w:val="32"/>
                <w:szCs w:val="32"/>
              </w:rPr>
            </w:pPr>
            <w:r>
              <w:rPr>
                <w:rFonts w:hint="eastAsia"/>
              </w:rPr>
              <w:t>其中：办公用房（平方米）</w:t>
            </w:r>
          </w:p>
        </w:tc>
        <w:tc>
          <w:tcPr>
            <w:tcW w:w="3323" w:type="dxa"/>
          </w:tcPr>
          <w:p>
            <w:pPr>
              <w:spacing w:line="575" w:lineRule="exact"/>
              <w:jc w:val="center"/>
              <w:outlineLvl w:val="0"/>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2045</w:t>
            </w:r>
          </w:p>
        </w:tc>
        <w:tc>
          <w:tcPr>
            <w:tcW w:w="3323" w:type="dxa"/>
          </w:tcPr>
          <w:p>
            <w:pPr>
              <w:spacing w:line="575" w:lineRule="exact"/>
              <w:jc w:val="center"/>
              <w:outlineLvl w:val="0"/>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2" w:type="dxa"/>
          </w:tcPr>
          <w:p>
            <w:pPr>
              <w:spacing w:line="575" w:lineRule="exact"/>
              <w:outlineLvl w:val="0"/>
              <w:rPr>
                <w:rFonts w:ascii="仿宋" w:hAnsi="仿宋" w:eastAsia="仿宋" w:cs="宋体"/>
                <w:kern w:val="0"/>
                <w:sz w:val="32"/>
                <w:szCs w:val="32"/>
              </w:rPr>
            </w:pPr>
            <w:r>
              <w:t>2</w:t>
            </w:r>
            <w:r>
              <w:rPr>
                <w:rFonts w:hint="eastAsia"/>
              </w:rPr>
              <w:t>、车辆（台、辆）</w:t>
            </w:r>
          </w:p>
        </w:tc>
        <w:tc>
          <w:tcPr>
            <w:tcW w:w="3323" w:type="dxa"/>
          </w:tcPr>
          <w:p>
            <w:pPr>
              <w:spacing w:line="575" w:lineRule="exact"/>
              <w:jc w:val="center"/>
              <w:outlineLvl w:val="0"/>
              <w:rPr>
                <w:rFonts w:hint="eastAsia" w:ascii="仿宋" w:hAnsi="仿宋" w:eastAsia="仿宋" w:cs="宋体"/>
                <w:kern w:val="0"/>
                <w:sz w:val="28"/>
                <w:szCs w:val="28"/>
                <w:lang w:eastAsia="zh-CN"/>
              </w:rPr>
            </w:pPr>
            <w:r>
              <w:rPr>
                <w:rFonts w:hint="eastAsia" w:ascii="仿宋" w:hAnsi="仿宋" w:eastAsia="仿宋" w:cs="宋体"/>
                <w:kern w:val="0"/>
                <w:sz w:val="28"/>
                <w:szCs w:val="28"/>
                <w:lang w:val="en-US" w:eastAsia="zh-CN"/>
              </w:rPr>
              <w:t>3</w:t>
            </w:r>
          </w:p>
        </w:tc>
        <w:tc>
          <w:tcPr>
            <w:tcW w:w="3323" w:type="dxa"/>
          </w:tcPr>
          <w:p>
            <w:pPr>
              <w:spacing w:line="575" w:lineRule="exact"/>
              <w:jc w:val="center"/>
              <w:outlineLvl w:val="0"/>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42.36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2" w:type="dxa"/>
          </w:tcPr>
          <w:p>
            <w:pPr>
              <w:spacing w:line="575" w:lineRule="exact"/>
              <w:outlineLvl w:val="0"/>
              <w:rPr>
                <w:rFonts w:ascii="仿宋" w:hAnsi="仿宋" w:eastAsia="仿宋" w:cs="宋体"/>
                <w:kern w:val="0"/>
                <w:sz w:val="32"/>
                <w:szCs w:val="32"/>
              </w:rPr>
            </w:pPr>
            <w:r>
              <w:t>3</w:t>
            </w:r>
            <w:r>
              <w:rPr>
                <w:rFonts w:hint="eastAsia"/>
              </w:rPr>
              <w:t>、单价在</w:t>
            </w:r>
            <w:r>
              <w:t xml:space="preserve"> 20 </w:t>
            </w:r>
            <w:r>
              <w:rPr>
                <w:rFonts w:hint="eastAsia"/>
              </w:rPr>
              <w:t>万元以上的设备</w:t>
            </w:r>
          </w:p>
        </w:tc>
        <w:tc>
          <w:tcPr>
            <w:tcW w:w="3323" w:type="dxa"/>
          </w:tcPr>
          <w:p>
            <w:pPr>
              <w:spacing w:line="575" w:lineRule="exact"/>
              <w:jc w:val="center"/>
              <w:outlineLvl w:val="0"/>
              <w:rPr>
                <w:rFonts w:ascii="仿宋" w:hAnsi="仿宋" w:eastAsia="仿宋" w:cs="宋体"/>
                <w:kern w:val="0"/>
                <w:sz w:val="28"/>
                <w:szCs w:val="28"/>
              </w:rPr>
            </w:pPr>
            <w:r>
              <w:rPr>
                <w:rFonts w:ascii="仿宋" w:hAnsi="仿宋" w:eastAsia="仿宋" w:cs="宋体"/>
                <w:kern w:val="0"/>
                <w:sz w:val="28"/>
                <w:szCs w:val="28"/>
              </w:rPr>
              <w:t>—</w:t>
            </w:r>
          </w:p>
        </w:tc>
        <w:tc>
          <w:tcPr>
            <w:tcW w:w="3323" w:type="dxa"/>
          </w:tcPr>
          <w:p>
            <w:pPr>
              <w:spacing w:line="575" w:lineRule="exact"/>
              <w:jc w:val="center"/>
              <w:outlineLvl w:val="0"/>
              <w:rPr>
                <w:rFonts w:ascii="仿宋" w:hAnsi="仿宋" w:eastAsia="仿宋" w:cs="宋体"/>
                <w:kern w:val="0"/>
                <w:sz w:val="28"/>
                <w:szCs w:val="28"/>
              </w:rPr>
            </w:pPr>
            <w:r>
              <w:rPr>
                <w:rFonts w:ascii="仿宋" w:hAnsi="仿宋" w:eastAsia="仿宋" w:cs="宋体"/>
                <w:kern w:val="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22" w:type="dxa"/>
          </w:tcPr>
          <w:p>
            <w:pPr>
              <w:spacing w:line="575" w:lineRule="exact"/>
              <w:outlineLvl w:val="0"/>
              <w:rPr>
                <w:rFonts w:ascii="仿宋" w:hAnsi="仿宋" w:eastAsia="仿宋" w:cs="宋体"/>
                <w:kern w:val="0"/>
                <w:sz w:val="32"/>
                <w:szCs w:val="32"/>
              </w:rPr>
            </w:pPr>
            <w:r>
              <w:t>4</w:t>
            </w:r>
            <w:r>
              <w:rPr>
                <w:rFonts w:hint="eastAsia"/>
              </w:rPr>
              <w:t>、其他固定资产</w:t>
            </w:r>
          </w:p>
        </w:tc>
        <w:tc>
          <w:tcPr>
            <w:tcW w:w="3323" w:type="dxa"/>
          </w:tcPr>
          <w:p>
            <w:pPr>
              <w:spacing w:line="575" w:lineRule="exact"/>
              <w:jc w:val="center"/>
              <w:outlineLvl w:val="0"/>
              <w:rPr>
                <w:rFonts w:ascii="仿宋" w:hAnsi="仿宋" w:eastAsia="仿宋" w:cs="宋体"/>
                <w:kern w:val="0"/>
                <w:sz w:val="28"/>
                <w:szCs w:val="28"/>
              </w:rPr>
            </w:pPr>
            <w:r>
              <w:rPr>
                <w:rFonts w:ascii="仿宋" w:hAnsi="仿宋" w:eastAsia="仿宋" w:cs="宋体"/>
                <w:kern w:val="0"/>
                <w:sz w:val="28"/>
                <w:szCs w:val="28"/>
              </w:rPr>
              <w:t>—</w:t>
            </w:r>
          </w:p>
        </w:tc>
        <w:tc>
          <w:tcPr>
            <w:tcW w:w="3323" w:type="dxa"/>
          </w:tcPr>
          <w:p>
            <w:pPr>
              <w:spacing w:line="575" w:lineRule="exact"/>
              <w:jc w:val="center"/>
              <w:outlineLvl w:val="0"/>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366.13</w:t>
            </w:r>
          </w:p>
        </w:tc>
      </w:tr>
    </w:tbl>
    <w:p>
      <w:pPr>
        <w:autoSpaceDE w:val="0"/>
        <w:autoSpaceDN w:val="0"/>
        <w:adjustRightInd w:val="0"/>
        <w:ind w:firstLine="640" w:firstLineChars="200"/>
        <w:jc w:val="left"/>
        <w:rPr>
          <w:rFonts w:hint="eastAsia" w:ascii="黑体" w:hAnsi="黑体" w:eastAsia="黑体" w:cs="Times New Roman"/>
          <w:sz w:val="32"/>
          <w:szCs w:val="32"/>
        </w:rPr>
      </w:pPr>
    </w:p>
    <w:p>
      <w:pPr>
        <w:autoSpaceDE w:val="0"/>
        <w:autoSpaceDN w:val="0"/>
        <w:adjustRightInd w:val="0"/>
        <w:ind w:firstLine="640" w:firstLineChars="200"/>
        <w:jc w:val="left"/>
        <w:rPr>
          <w:rFonts w:hint="eastAsia" w:ascii="黑体" w:hAnsi="黑体" w:eastAsia="黑体" w:cs="Times New Roman"/>
          <w:sz w:val="32"/>
          <w:szCs w:val="32"/>
        </w:rPr>
      </w:pPr>
    </w:p>
    <w:p>
      <w:pPr>
        <w:autoSpaceDE w:val="0"/>
        <w:autoSpaceDN w:val="0"/>
        <w:adjustRightInd w:val="0"/>
        <w:ind w:firstLine="640" w:firstLineChars="200"/>
        <w:jc w:val="left"/>
        <w:rPr>
          <w:rFonts w:hint="eastAsia" w:ascii="黑体" w:hAnsi="黑体" w:eastAsia="黑体" w:cs="Times New Roman"/>
          <w:sz w:val="32"/>
          <w:szCs w:val="32"/>
        </w:rPr>
      </w:pPr>
    </w:p>
    <w:p>
      <w:pPr>
        <w:autoSpaceDE w:val="0"/>
        <w:autoSpaceDN w:val="0"/>
        <w:adjustRightInd w:val="0"/>
        <w:ind w:firstLine="640" w:firstLineChars="200"/>
        <w:jc w:val="left"/>
        <w:rPr>
          <w:rFonts w:hint="eastAsia" w:ascii="黑体" w:hAnsi="黑体" w:eastAsia="黑体" w:cs="Times New Roman"/>
          <w:sz w:val="32"/>
          <w:szCs w:val="32"/>
        </w:rPr>
      </w:pPr>
    </w:p>
    <w:p>
      <w:pPr>
        <w:autoSpaceDE w:val="0"/>
        <w:autoSpaceDN w:val="0"/>
        <w:adjustRightInd w:val="0"/>
        <w:ind w:firstLine="640" w:firstLineChars="200"/>
        <w:jc w:val="left"/>
        <w:rPr>
          <w:rFonts w:hint="eastAsia" w:ascii="黑体" w:hAnsi="黑体" w:eastAsia="黑体" w:cs="Times New Roman"/>
          <w:sz w:val="32"/>
          <w:szCs w:val="32"/>
        </w:rPr>
      </w:pPr>
    </w:p>
    <w:p>
      <w:pPr>
        <w:autoSpaceDE w:val="0"/>
        <w:autoSpaceDN w:val="0"/>
        <w:adjustRightInd w:val="0"/>
        <w:ind w:firstLine="640" w:firstLineChars="200"/>
        <w:jc w:val="left"/>
        <w:rPr>
          <w:rFonts w:hint="eastAsia" w:ascii="黑体" w:hAnsi="黑体" w:eastAsia="黑体" w:cs="Times New Roman"/>
          <w:sz w:val="32"/>
          <w:szCs w:val="32"/>
        </w:rPr>
      </w:pPr>
    </w:p>
    <w:p>
      <w:pPr>
        <w:autoSpaceDE w:val="0"/>
        <w:autoSpaceDN w:val="0"/>
        <w:adjustRightInd w:val="0"/>
        <w:ind w:firstLine="640" w:firstLineChars="200"/>
        <w:jc w:val="left"/>
        <w:rPr>
          <w:rFonts w:hint="eastAsia" w:ascii="黑体" w:hAnsi="黑体" w:eastAsia="黑体" w:cs="Times New Roman"/>
          <w:sz w:val="32"/>
          <w:szCs w:val="32"/>
        </w:rPr>
      </w:pPr>
    </w:p>
    <w:p>
      <w:pPr>
        <w:autoSpaceDE w:val="0"/>
        <w:autoSpaceDN w:val="0"/>
        <w:adjustRightInd w:val="0"/>
        <w:ind w:firstLine="640" w:firstLineChars="200"/>
        <w:jc w:val="left"/>
        <w:rPr>
          <w:rFonts w:hint="eastAsia" w:ascii="黑体" w:hAnsi="黑体" w:eastAsia="黑体" w:cs="Times New Roman"/>
          <w:sz w:val="32"/>
          <w:szCs w:val="32"/>
        </w:rPr>
      </w:pPr>
    </w:p>
    <w:p>
      <w:pPr>
        <w:autoSpaceDE w:val="0"/>
        <w:autoSpaceDN w:val="0"/>
        <w:adjustRightInd w:val="0"/>
        <w:ind w:firstLine="640" w:firstLineChars="200"/>
        <w:jc w:val="left"/>
        <w:rPr>
          <w:rFonts w:hint="eastAsia" w:ascii="黑体" w:hAnsi="黑体" w:eastAsia="黑体" w:cs="Times New Roman"/>
          <w:sz w:val="32"/>
          <w:szCs w:val="32"/>
        </w:rPr>
        <w:sectPr>
          <w:pgSz w:w="16838" w:h="11906" w:orient="landscape"/>
          <w:pgMar w:top="1803" w:right="1440" w:bottom="1803" w:left="1440" w:header="851" w:footer="992" w:gutter="0"/>
          <w:cols w:space="0" w:num="1"/>
          <w:rtlGutter w:val="0"/>
          <w:docGrid w:type="lines" w:linePitch="319" w:charSpace="0"/>
        </w:sectPr>
      </w:pPr>
    </w:p>
    <w:p>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Times New Roman"/>
          <w:sz w:val="32"/>
          <w:szCs w:val="32"/>
        </w:rPr>
        <w:t>八、名词解释</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1、一般公共预算拨款收入：指</w:t>
      </w:r>
      <w:r>
        <w:rPr>
          <w:rFonts w:hint="eastAsia" w:ascii="Times New Roman" w:hAnsi="Times New Roman" w:eastAsia="仿宋" w:cs="Times New Roman"/>
          <w:sz w:val="32"/>
          <w:szCs w:val="32"/>
          <w:lang w:eastAsia="zh-CN"/>
        </w:rPr>
        <w:t>区县</w:t>
      </w:r>
      <w:r>
        <w:rPr>
          <w:rFonts w:hint="eastAsia" w:ascii="Times New Roman" w:hAnsi="Times New Roman" w:eastAsia="仿宋" w:cs="Times New Roman"/>
          <w:sz w:val="32"/>
          <w:szCs w:val="32"/>
        </w:rPr>
        <w:t>级财政当年拨付的资金。</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2、事业收入：指事业单位开展专业业务活动及辅助活动所取得的收入。</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3、其他收入：指除“一般公共预算拨款收入”、“事业收入”等以外的收入。主要是按规定动用的租房收入、存款利息收入等。</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4、基本支出：指为保障机构正常运转、完成日常工作任务而发生的人员支出和公用支出。</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5、项目支出：指在基本支出之外为完成特定行政任务和事业发展目标所发生的支出。</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6、上缴上级支出：指下级单位上缴上级的支出。</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7、“三公”经费：纳入</w:t>
      </w:r>
      <w:r>
        <w:rPr>
          <w:rFonts w:hint="eastAsia" w:ascii="Times New Roman" w:hAnsi="Times New Roman" w:eastAsia="仿宋" w:cs="Times New Roman"/>
          <w:sz w:val="32"/>
          <w:szCs w:val="32"/>
          <w:lang w:eastAsia="zh-CN"/>
        </w:rPr>
        <w:t>区县</w:t>
      </w:r>
      <w:r>
        <w:rPr>
          <w:rFonts w:hint="eastAsia" w:ascii="Times New Roman" w:hAnsi="Times New Roman" w:eastAsia="仿宋" w:cs="Times New Roman"/>
          <w:sz w:val="32"/>
          <w:szCs w:val="32"/>
        </w:rPr>
        <w:t>级财政预算管理的“三公”经费，是指</w:t>
      </w:r>
      <w:r>
        <w:rPr>
          <w:rFonts w:hint="eastAsia" w:ascii="Times New Roman" w:hAnsi="Times New Roman" w:eastAsia="仿宋" w:cs="Times New Roman"/>
          <w:sz w:val="32"/>
          <w:szCs w:val="32"/>
          <w:lang w:eastAsia="zh-CN"/>
        </w:rPr>
        <w:t>区县</w:t>
      </w:r>
      <w:r>
        <w:rPr>
          <w:rFonts w:hint="eastAsia" w:ascii="Times New Roman" w:hAnsi="Times New Roman" w:eastAsia="仿宋" w:cs="Times New Roman"/>
          <w:sz w:val="32"/>
          <w:szCs w:val="32"/>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8、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9、上年结转：指以前年度尚未完成、结转到本年仍按原规定用途继续使用的资金。</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10、事业单位经营支出：指事业单位在专业业务活动及其辅助活动之外开展非独立核算经营活动发生的支出。</w:t>
      </w:r>
    </w:p>
    <w:p>
      <w:pPr>
        <w:ind w:firstLine="641" w:firstLineChars="200"/>
        <w:rPr>
          <w:rFonts w:ascii="宋体-方正超大字符集" w:hAnsi="宋体-方正超大字符集" w:eastAsia="宋体-方正超大字符集" w:cs="宋体-方正超大字符集"/>
          <w:b/>
          <w:bCs/>
          <w:sz w:val="32"/>
          <w:szCs w:val="32"/>
        </w:rPr>
      </w:pPr>
      <w:r>
        <w:rPr>
          <w:rFonts w:hint="eastAsia" w:ascii="宋体-方正超大字符集" w:hAnsi="宋体-方正超大字符集" w:eastAsia="宋体-方正超大字符集" w:cs="宋体-方正超大字符集"/>
          <w:b/>
          <w:bCs/>
          <w:sz w:val="32"/>
          <w:szCs w:val="32"/>
        </w:rPr>
        <w:t>九、其他需要说明的事项</w:t>
      </w:r>
    </w:p>
    <w:p>
      <w:pPr>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我部门无其他需要说明的事项。</w:t>
      </w: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方正书宋_GBK">
    <w:altName w:val="微软雅黑"/>
    <w:panose1 w:val="03000509000000000000"/>
    <w:charset w:val="86"/>
    <w:family w:val="script"/>
    <w:pitch w:val="default"/>
    <w:sig w:usb0="00000000" w:usb1="00000000" w:usb2="00000010" w:usb3="00000000" w:csb0="00040000" w:csb1="00000000"/>
  </w:font>
  <w:font w:name="宋体-方正超大字符集">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11"/>
      </w:rPr>
    </w:pPr>
    <w:r>
      <w:fldChar w:fldCharType="begin"/>
    </w:r>
    <w:r>
      <w:rPr>
        <w:rStyle w:val="11"/>
      </w:rPr>
      <w:instrText xml:space="preserve">PAGE  </w:instrText>
    </w:r>
    <w:r>
      <w:fldChar w:fldCharType="separate"/>
    </w:r>
    <w:r>
      <w:rPr>
        <w:rStyle w:val="11"/>
      </w:rPr>
      <w:t>12</w:t>
    </w:r>
    <w: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NotTrackMoves/>
  <w:documentProtection w:enforcement="0"/>
  <w:defaultTabStop w:val="420"/>
  <w:drawingGridHorizontalSpacing w:val="105"/>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1BA"/>
    <w:rsid w:val="000C7140"/>
    <w:rsid w:val="00323B29"/>
    <w:rsid w:val="0039059E"/>
    <w:rsid w:val="007F0341"/>
    <w:rsid w:val="009A521C"/>
    <w:rsid w:val="00D607DA"/>
    <w:rsid w:val="00DC6EE5"/>
    <w:rsid w:val="00EE71BA"/>
    <w:rsid w:val="00F867E4"/>
    <w:rsid w:val="056D17C0"/>
    <w:rsid w:val="06D61BC7"/>
    <w:rsid w:val="160D0352"/>
    <w:rsid w:val="18CA1A67"/>
    <w:rsid w:val="23544E01"/>
    <w:rsid w:val="299D12DD"/>
    <w:rsid w:val="2B2B12F7"/>
    <w:rsid w:val="38CA1C16"/>
    <w:rsid w:val="3BE873DA"/>
    <w:rsid w:val="462C3A92"/>
    <w:rsid w:val="47696040"/>
    <w:rsid w:val="5CD22E56"/>
    <w:rsid w:val="67487CCA"/>
    <w:rsid w:val="6D465694"/>
    <w:rsid w:val="6F0D0B3E"/>
    <w:rsid w:val="783C32AD"/>
    <w:rsid w:val="78984FC8"/>
    <w:rsid w:val="79521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黑体"/>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link w:val="12"/>
    <w:qFormat/>
    <w:uiPriority w:val="0"/>
    <w:pPr>
      <w:tabs>
        <w:tab w:val="center" w:pos="4153"/>
        <w:tab w:val="right" w:pos="8306"/>
      </w:tabs>
      <w:snapToGrid w:val="0"/>
      <w:jc w:val="left"/>
    </w:pPr>
    <w:rPr>
      <w:rFonts w:ascii="Times New Roman" w:hAnsi="Times New Roman" w:cs="Times New Roman"/>
      <w:sz w:val="18"/>
      <w:szCs w:val="18"/>
    </w:rPr>
  </w:style>
  <w:style w:type="paragraph" w:styleId="3">
    <w:name w:val="header"/>
    <w:basedOn w:val="1"/>
    <w:link w:val="13"/>
    <w:qFormat/>
    <w:uiPriority w:val="0"/>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4">
    <w:name w:val="toc 1"/>
    <w:basedOn w:val="1"/>
    <w:next w:val="1"/>
    <w:qFormat/>
    <w:uiPriority w:val="0"/>
    <w:rPr>
      <w:rFonts w:ascii="Times New Roman" w:hAnsi="Times New Roman" w:cs="Times New Roman"/>
      <w:szCs w:val="24"/>
    </w:rPr>
  </w:style>
  <w:style w:type="paragraph" w:styleId="5">
    <w:name w:val="footnote text"/>
    <w:basedOn w:val="1"/>
    <w:qFormat/>
    <w:uiPriority w:val="0"/>
    <w:pPr>
      <w:snapToGrid w:val="0"/>
      <w:jc w:val="left"/>
    </w:pPr>
    <w:rPr>
      <w:sz w:val="18"/>
      <w:szCs w:val="18"/>
    </w:rPr>
  </w:style>
  <w:style w:type="paragraph" w:styleId="6">
    <w:name w:val="toc 2"/>
    <w:basedOn w:val="1"/>
    <w:next w:val="1"/>
    <w:qFormat/>
    <w:uiPriority w:val="0"/>
    <w:pPr>
      <w:ind w:left="420" w:leftChars="200"/>
    </w:pPr>
    <w:rPr>
      <w:rFonts w:ascii="Times New Roman" w:hAnsi="Times New Roman" w:cs="Times New Roman"/>
      <w:szCs w:val="24"/>
    </w:rPr>
  </w:style>
  <w:style w:type="character" w:styleId="9">
    <w:name w:val="footnote reference"/>
    <w:qFormat/>
    <w:uiPriority w:val="0"/>
    <w:rPr>
      <w:vertAlign w:val="superscript"/>
    </w:rPr>
  </w:style>
  <w:style w:type="paragraph" w:customStyle="1" w:styleId="10">
    <w:name w:val="Char"/>
    <w:basedOn w:val="1"/>
    <w:qFormat/>
    <w:uiPriority w:val="0"/>
    <w:rPr>
      <w:rFonts w:ascii="Times New Roman" w:hAnsi="Times New Roman" w:cs="Times New Roman"/>
      <w:szCs w:val="24"/>
    </w:rPr>
  </w:style>
  <w:style w:type="character" w:customStyle="1" w:styleId="11">
    <w:name w:val="页码1"/>
    <w:qFormat/>
    <w:uiPriority w:val="0"/>
  </w:style>
  <w:style w:type="character" w:customStyle="1" w:styleId="12">
    <w:name w:val="页脚 Char"/>
    <w:link w:val="2"/>
    <w:semiHidden/>
    <w:qFormat/>
    <w:uiPriority w:val="0"/>
    <w:rPr>
      <w:rFonts w:ascii="Times New Roman" w:hAnsi="Times New Roman" w:eastAsia="宋体" w:cs="Times New Roman"/>
      <w:sz w:val="18"/>
      <w:szCs w:val="18"/>
    </w:rPr>
  </w:style>
  <w:style w:type="character" w:customStyle="1" w:styleId="13">
    <w:name w:val="页眉 Char"/>
    <w:link w:val="3"/>
    <w:semiHidden/>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1322</Words>
  <Characters>7536</Characters>
  <Lines>62</Lines>
  <Paragraphs>17</Paragraphs>
  <TotalTime>0</TotalTime>
  <ScaleCrop>false</ScaleCrop>
  <LinksUpToDate>false</LinksUpToDate>
  <CharactersWithSpaces>8841</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2017-01-23T17:29:00Z</dcterms:created>
  <dc:creator>guest</dc:creator>
  <cp:lastModifiedBy>小丫头</cp:lastModifiedBy>
  <cp:lastPrinted>2020-01-10T15:53:00Z</cp:lastPrinted>
  <dcterms:modified xsi:type="dcterms:W3CDTF">2021-05-26T09:13:28Z</dcterms:modified>
  <dc:title>o</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