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9E1E6">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黑体" w:hAnsi="黑体" w:eastAsia="黑体" w:cs="黑体"/>
          <w:b w:val="0"/>
          <w:bCs w:val="0"/>
          <w:sz w:val="32"/>
          <w:szCs w:val="32"/>
          <w:lang w:val="en-US" w:eastAsia="zh-CN"/>
        </w:rPr>
      </w:pPr>
    </w:p>
    <w:p w14:paraId="71975184">
      <w:pPr>
        <w:spacing w:line="360" w:lineRule="auto"/>
        <w:ind w:left="0" w:leftChars="0" w:right="0" w:rightChars="0" w:firstLine="0" w:firstLineChars="0"/>
        <w:jc w:val="center"/>
        <w:rPr>
          <w:rFonts w:hint="eastAsia" w:ascii="宋体"/>
          <w:b/>
          <w:bCs/>
          <w:sz w:val="36"/>
          <w:szCs w:val="32"/>
          <w:lang w:eastAsia="zh-CN"/>
        </w:rPr>
      </w:pPr>
      <w:r>
        <w:rPr>
          <w:rFonts w:hint="eastAsia" w:ascii="宋体"/>
          <w:b/>
          <w:bCs/>
          <w:sz w:val="36"/>
          <w:szCs w:val="32"/>
          <w:lang w:eastAsia="zh-CN"/>
        </w:rPr>
        <w:t>中共石家庄市鹿泉区委办公室党代会</w:t>
      </w:r>
    </w:p>
    <w:p w14:paraId="4E7DAF70">
      <w:pPr>
        <w:spacing w:line="360" w:lineRule="auto"/>
        <w:ind w:left="0" w:leftChars="0" w:right="0" w:rightChars="0" w:firstLine="0" w:firstLineChars="0"/>
        <w:jc w:val="center"/>
        <w:rPr>
          <w:rFonts w:hint="eastAsia" w:ascii="宋体"/>
          <w:b/>
          <w:bCs/>
          <w:sz w:val="36"/>
          <w:szCs w:val="32"/>
        </w:rPr>
      </w:pPr>
      <w:r>
        <w:rPr>
          <w:rFonts w:hint="eastAsia" w:ascii="宋体"/>
          <w:b/>
          <w:bCs/>
          <w:sz w:val="36"/>
          <w:szCs w:val="32"/>
          <w:lang w:eastAsia="zh-CN"/>
        </w:rPr>
        <w:t>项目</w:t>
      </w:r>
      <w:r>
        <w:rPr>
          <w:rFonts w:hint="eastAsia" w:ascii="宋体"/>
          <w:b/>
          <w:bCs/>
          <w:sz w:val="36"/>
          <w:szCs w:val="32"/>
        </w:rPr>
        <w:t>绩效评价报告</w:t>
      </w:r>
    </w:p>
    <w:p w14:paraId="45828622">
      <w:pPr>
        <w:spacing w:line="360" w:lineRule="auto"/>
        <w:ind w:left="0" w:leftChars="0" w:right="0" w:rightChars="0" w:firstLine="0" w:firstLineChars="0"/>
        <w:jc w:val="center"/>
        <w:rPr>
          <w:rFonts w:hint="eastAsia" w:ascii="宋体"/>
          <w:b/>
          <w:bCs/>
          <w:sz w:val="36"/>
          <w:szCs w:val="32"/>
          <w:lang w:eastAsia="zh-CN"/>
        </w:rPr>
      </w:pPr>
    </w:p>
    <w:p w14:paraId="37D2E903">
      <w:pPr>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根据《</w:t>
      </w:r>
      <w:r>
        <w:rPr>
          <w:rFonts w:hint="eastAsia" w:ascii="仿宋_GB2312" w:eastAsia="仿宋_GB2312"/>
          <w:sz w:val="32"/>
          <w:szCs w:val="32"/>
          <w:lang w:eastAsia="zh-CN"/>
        </w:rPr>
        <w:t>石家庄市鹿泉区区级部门预算绩效管理办法</w:t>
      </w:r>
      <w:r>
        <w:rPr>
          <w:rFonts w:hint="eastAsia" w:ascii="仿宋_GB2312" w:eastAsia="仿宋_GB2312"/>
          <w:sz w:val="32"/>
          <w:szCs w:val="32"/>
        </w:rPr>
        <w:t>》</w:t>
      </w:r>
      <w:r>
        <w:rPr>
          <w:rFonts w:hint="eastAsia" w:ascii="仿宋_GB2312" w:eastAsia="仿宋_GB2312"/>
          <w:sz w:val="32"/>
          <w:szCs w:val="32"/>
          <w:lang w:eastAsia="zh-CN"/>
        </w:rPr>
        <w:t>（鹿</w:t>
      </w:r>
      <w:r>
        <w:rPr>
          <w:rFonts w:hint="eastAsia" w:ascii="仿宋_GB2312" w:eastAsia="仿宋_GB2312"/>
          <w:sz w:val="32"/>
          <w:szCs w:val="32"/>
          <w:lang w:val="en-US" w:eastAsia="zh-CN"/>
        </w:rPr>
        <w:t>财字[2019]65号）</w:t>
      </w:r>
      <w:r>
        <w:rPr>
          <w:rFonts w:hint="eastAsia" w:ascii="仿宋_GB2312" w:eastAsia="仿宋_GB2312"/>
          <w:sz w:val="32"/>
          <w:szCs w:val="32"/>
        </w:rPr>
        <w:t>，遵循“科学性、规范性、客观性和公正性”的原则，对</w:t>
      </w:r>
      <w:r>
        <w:rPr>
          <w:rFonts w:hint="eastAsia" w:ascii="仿宋_GB2312" w:eastAsia="仿宋_GB2312"/>
          <w:sz w:val="32"/>
          <w:szCs w:val="32"/>
          <w:lang w:eastAsia="zh-CN"/>
        </w:rPr>
        <w:t>中共石家庄市鹿泉区委办公室党代会项目</w:t>
      </w:r>
      <w:r>
        <w:rPr>
          <w:rFonts w:hint="eastAsia" w:ascii="仿宋_GB2312" w:eastAsia="仿宋_GB2312"/>
          <w:sz w:val="32"/>
          <w:szCs w:val="32"/>
        </w:rPr>
        <w:t>实施了</w:t>
      </w:r>
      <w:r>
        <w:rPr>
          <w:rFonts w:hint="eastAsia" w:ascii="仿宋_GB2312" w:eastAsia="仿宋_GB2312"/>
          <w:sz w:val="32"/>
          <w:szCs w:val="32"/>
          <w:lang w:eastAsia="zh-CN"/>
        </w:rPr>
        <w:t>绩效</w:t>
      </w:r>
      <w:r>
        <w:rPr>
          <w:rFonts w:hint="eastAsia" w:ascii="仿宋_GB2312" w:eastAsia="仿宋_GB2312"/>
          <w:sz w:val="32"/>
          <w:szCs w:val="32"/>
        </w:rPr>
        <w:t>评价，形成本评价报告。</w:t>
      </w:r>
    </w:p>
    <w:p w14:paraId="419AA6CA">
      <w:pPr>
        <w:adjustRightInd w:val="0"/>
        <w:snapToGrid w:val="0"/>
        <w:spacing w:line="360" w:lineRule="auto"/>
        <w:rPr>
          <w:rFonts w:hint="eastAsia" w:ascii="黑体" w:eastAsia="黑体"/>
          <w:b/>
          <w:bCs/>
          <w:sz w:val="32"/>
          <w:szCs w:val="36"/>
        </w:rPr>
      </w:pPr>
      <w:r>
        <w:rPr>
          <w:rFonts w:hint="eastAsia" w:ascii="黑体" w:eastAsia="黑体"/>
          <w:sz w:val="32"/>
          <w:szCs w:val="32"/>
          <w:lang w:val="en-US" w:eastAsia="zh-CN"/>
        </w:rPr>
        <w:t xml:space="preserve">    </w:t>
      </w:r>
      <w:r>
        <w:rPr>
          <w:rFonts w:hint="eastAsia" w:ascii="黑体" w:eastAsia="黑体"/>
          <w:b w:val="0"/>
          <w:bCs w:val="0"/>
          <w:sz w:val="32"/>
          <w:szCs w:val="32"/>
        </w:rPr>
        <w:t>一、</w:t>
      </w:r>
      <w:r>
        <w:rPr>
          <w:rFonts w:hint="eastAsia" w:ascii="黑体" w:eastAsia="黑体"/>
          <w:b w:val="0"/>
          <w:bCs w:val="0"/>
          <w:sz w:val="32"/>
          <w:szCs w:val="32"/>
          <w:lang w:eastAsia="zh-CN"/>
        </w:rPr>
        <w:t>项目</w:t>
      </w:r>
      <w:r>
        <w:rPr>
          <w:rFonts w:hint="eastAsia" w:ascii="黑体" w:eastAsia="黑体"/>
          <w:b w:val="0"/>
          <w:bCs w:val="0"/>
          <w:sz w:val="32"/>
          <w:szCs w:val="36"/>
        </w:rPr>
        <w:t>基本情况</w:t>
      </w:r>
    </w:p>
    <w:p w14:paraId="1A84394C">
      <w:pPr>
        <w:adjustRightInd w:val="0"/>
        <w:snapToGrid w:val="0"/>
        <w:spacing w:line="360" w:lineRule="auto"/>
        <w:ind w:firstLine="640" w:firstLineChars="200"/>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（一）项目概况</w:t>
      </w:r>
    </w:p>
    <w:p w14:paraId="482CAB96">
      <w:pPr>
        <w:adjustRightInd w:val="0"/>
        <w:snapToGrid w:val="0"/>
        <w:spacing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我单位负责每年一次的党代会举办，召开党代会会议费（租车费、餐费、证件制作费、资料印刷费、场地费等），将区委一年的工作报告给广大党员代表，并通过党员代表向全区党员传达当前和今后区委的主要工作，凝聚共识，齐心发展</w:t>
      </w:r>
    </w:p>
    <w:p w14:paraId="6F49E787">
      <w:pPr>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该项目预算资金10万元，全部由我区财政拨付</w:t>
      </w:r>
    </w:p>
    <w:p w14:paraId="5610CC38">
      <w:pPr>
        <w:numPr>
          <w:ilvl w:val="0"/>
          <w:numId w:val="1"/>
        </w:numPr>
        <w:adjustRightInd w:val="0"/>
        <w:snapToGrid w:val="0"/>
        <w:spacing w:line="360" w:lineRule="auto"/>
        <w:ind w:firstLine="643" w:firstLineChars="200"/>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绩效评价工作情况</w:t>
      </w:r>
    </w:p>
    <w:p w14:paraId="6F5DA5FC">
      <w:pPr>
        <w:keepNext w:val="0"/>
        <w:keepLines w:val="0"/>
        <w:pageBreakBefore w:val="0"/>
        <w:widowControl w:val="0"/>
        <w:kinsoku/>
        <w:wordWrap/>
        <w:overflowPunct/>
        <w:topLinePunct w:val="0"/>
        <w:autoSpaceDE/>
        <w:autoSpaceDN/>
        <w:bidi w:val="0"/>
        <w:spacing w:line="578" w:lineRule="exact"/>
        <w:ind w:right="0" w:rightChars="0"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区委办评价工作组人员通过对</w:t>
      </w:r>
      <w:r>
        <w:rPr>
          <w:rFonts w:hint="eastAsia" w:ascii="仿宋_GB2312" w:eastAsia="仿宋_GB2312"/>
          <w:sz w:val="32"/>
          <w:szCs w:val="32"/>
          <w:lang w:eastAsia="zh-CN"/>
        </w:rPr>
        <w:t>党代会</w:t>
      </w:r>
      <w:bookmarkStart w:id="0" w:name="_GoBack"/>
      <w:bookmarkEnd w:id="0"/>
      <w:r>
        <w:rPr>
          <w:rFonts w:hint="eastAsia" w:ascii="仿宋_GB2312" w:eastAsia="仿宋_GB2312"/>
          <w:sz w:val="32"/>
          <w:szCs w:val="32"/>
          <w:lang w:eastAsia="zh-CN"/>
        </w:rPr>
        <w:t>召开全程无差错，党员代表满意度来评价</w:t>
      </w:r>
      <w:r>
        <w:rPr>
          <w:rFonts w:hint="eastAsia" w:ascii="仿宋_GB2312" w:eastAsia="仿宋_GB2312"/>
          <w:sz w:val="32"/>
          <w:szCs w:val="32"/>
        </w:rPr>
        <w:t>，可长期使用情况进行综合评价。</w:t>
      </w:r>
    </w:p>
    <w:p w14:paraId="520C4CDA">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ascii="黑体" w:hAnsi="黑体" w:eastAsia="黑体" w:cs="黑体"/>
          <w:b/>
          <w:bCs/>
          <w:sz w:val="32"/>
          <w:szCs w:val="32"/>
        </w:rPr>
      </w:pPr>
      <w:r>
        <w:rPr>
          <w:rFonts w:hint="eastAsia" w:ascii="仿宋_GB2312" w:eastAsia="仿宋_GB2312"/>
          <w:b/>
          <w:bCs/>
          <w:sz w:val="32"/>
          <w:szCs w:val="32"/>
          <w:lang w:val="en-US" w:eastAsia="zh-CN"/>
        </w:rPr>
        <w:t xml:space="preserve"> </w:t>
      </w:r>
      <w:r>
        <w:rPr>
          <w:rFonts w:hint="eastAsia" w:ascii="黑体" w:hAnsi="黑体" w:eastAsia="黑体" w:cs="黑体"/>
          <w:sz w:val="32"/>
          <w:szCs w:val="32"/>
        </w:rPr>
        <w:t>三、项目执行及绩效实现情况</w:t>
      </w:r>
    </w:p>
    <w:p w14:paraId="3D412876">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 xml:space="preserve">   （一）项目投入</w:t>
      </w:r>
    </w:p>
    <w:p w14:paraId="488039D8">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项目</w:t>
      </w:r>
      <w:r>
        <w:rPr>
          <w:rFonts w:hint="eastAsia" w:ascii="仿宋_GB2312" w:eastAsia="仿宋_GB2312"/>
          <w:sz w:val="32"/>
          <w:szCs w:val="32"/>
        </w:rPr>
        <w:t>立项情况分析</w:t>
      </w:r>
    </w:p>
    <w:p w14:paraId="5669F182">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该项目的申请、设立过程符合相关省委办公厅相关规定，所设的绩效目标依据充分、符合客观实际，绩效指标清晰、细化可衡量。根据指标体系评分标准可评100分。</w:t>
      </w:r>
    </w:p>
    <w:p w14:paraId="0695B381">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2.资金落实情况分析。</w:t>
      </w:r>
    </w:p>
    <w:p w14:paraId="72179E3B">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实际到位资金与计划投入资金的比率与到位及时率，根据指标体系评分标准计算分值可评100分。</w:t>
      </w:r>
    </w:p>
    <w:p w14:paraId="031ADE49">
      <w:pPr>
        <w:keepNext w:val="0"/>
        <w:keepLines w:val="0"/>
        <w:pageBreakBefore w:val="0"/>
        <w:widowControl w:val="0"/>
        <w:kinsoku/>
        <w:wordWrap/>
        <w:overflowPunct/>
        <w:topLinePunct w:val="0"/>
        <w:autoSpaceDE/>
        <w:autoSpaceDN/>
        <w:bidi w:val="0"/>
        <w:spacing w:line="578" w:lineRule="exact"/>
        <w:ind w:left="0" w:leftChars="0" w:right="0" w:rightChars="0" w:firstLine="320" w:firstLineChars="100"/>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（二）项目实施过程</w:t>
      </w:r>
    </w:p>
    <w:p w14:paraId="22698AA5">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1.业务管理情况分析</w:t>
      </w:r>
    </w:p>
    <w:p w14:paraId="15ADA35D">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我单位管理制度健全性、制度执行有效性和项目质量可控性等情况进行分析后，根据指标体系评分标准计算分值可评100分。</w:t>
      </w:r>
    </w:p>
    <w:p w14:paraId="04E5B058">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2.财务管理</w:t>
      </w:r>
    </w:p>
    <w:p w14:paraId="28214C23">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我单位财务管理制度健全性、资金使用合规性和财务监控有效性等情况进行分析后，根据指标体系评分标准可评100分。</w:t>
      </w:r>
    </w:p>
    <w:p w14:paraId="4AEE339C">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ascii="仿宋_GB2312" w:eastAsia="仿宋_GB2312"/>
          <w:b/>
          <w:bCs/>
          <w:sz w:val="32"/>
          <w:szCs w:val="32"/>
        </w:rPr>
      </w:pPr>
      <w:r>
        <w:rPr>
          <w:rFonts w:hint="eastAsia" w:ascii="仿宋_GB2312" w:eastAsia="仿宋_GB2312"/>
          <w:b/>
          <w:bCs/>
          <w:sz w:val="32"/>
          <w:szCs w:val="32"/>
        </w:rPr>
        <w:t xml:space="preserve">   </w:t>
      </w:r>
      <w:r>
        <w:rPr>
          <w:rFonts w:hint="eastAsia" w:ascii="楷体_GB2312" w:hAnsi="楷体_GB2312" w:eastAsia="楷体_GB2312" w:cs="楷体_GB2312"/>
          <w:sz w:val="32"/>
          <w:szCs w:val="32"/>
        </w:rPr>
        <w:t>（三）项目产出</w:t>
      </w:r>
    </w:p>
    <w:p w14:paraId="77C22627">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项目可保障我区</w:t>
      </w:r>
      <w:r>
        <w:rPr>
          <w:rFonts w:hint="eastAsia" w:ascii="仿宋_GB2312" w:hAnsi="仿宋_GB2312" w:eastAsia="仿宋_GB2312" w:cs="仿宋_GB2312"/>
          <w:sz w:val="32"/>
          <w:szCs w:val="32"/>
          <w:lang w:eastAsia="zh-CN"/>
        </w:rPr>
        <w:t>党代会议圆满完成</w:t>
      </w:r>
      <w:r>
        <w:rPr>
          <w:rFonts w:hint="eastAsia" w:ascii="仿宋_GB2312" w:hAnsi="仿宋_GB2312" w:eastAsia="仿宋_GB2312" w:cs="仿宋_GB2312"/>
          <w:sz w:val="32"/>
          <w:szCs w:val="32"/>
        </w:rPr>
        <w:t>，根据指标体系评分标准可评100分。</w:t>
      </w:r>
    </w:p>
    <w:p w14:paraId="57833FCE">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（四）项目效果</w:t>
      </w:r>
    </w:p>
    <w:p w14:paraId="30A3D169">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hAnsi="仿宋_GB2312" w:eastAsia="仿宋_GB2312" w:cs="仿宋_GB2312"/>
          <w:sz w:val="32"/>
          <w:szCs w:val="32"/>
        </w:rPr>
        <w:t>项目可保障我区</w:t>
      </w:r>
      <w:r>
        <w:rPr>
          <w:rFonts w:hint="eastAsia" w:ascii="仿宋_GB2312" w:hAnsi="仿宋_GB2312" w:eastAsia="仿宋_GB2312" w:cs="仿宋_GB2312"/>
          <w:sz w:val="32"/>
          <w:szCs w:val="32"/>
          <w:lang w:eastAsia="zh-CN"/>
        </w:rPr>
        <w:t>党代会议圆满完成</w:t>
      </w:r>
      <w:r>
        <w:rPr>
          <w:rFonts w:hint="eastAsia" w:ascii="仿宋_GB2312" w:hAnsi="仿宋_GB2312" w:eastAsia="仿宋_GB2312" w:cs="仿宋_GB2312"/>
          <w:sz w:val="32"/>
          <w:szCs w:val="32"/>
        </w:rPr>
        <w:t>，服务对</w:t>
      </w:r>
      <w:r>
        <w:rPr>
          <w:rFonts w:hint="eastAsia" w:ascii="仿宋_GB2312" w:eastAsia="仿宋_GB2312"/>
          <w:sz w:val="32"/>
          <w:szCs w:val="32"/>
        </w:rPr>
        <w:t>象满意度可达100%根据指标体系评分标准可评100分。</w:t>
      </w:r>
    </w:p>
    <w:p w14:paraId="43893ABA">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黑体" w:hAnsi="黑体" w:eastAsia="黑体"/>
          <w:sz w:val="32"/>
          <w:szCs w:val="32"/>
        </w:rPr>
      </w:pPr>
      <w:r>
        <w:rPr>
          <w:rFonts w:hint="eastAsia" w:ascii="黑体" w:hAnsi="黑体" w:eastAsia="黑体"/>
          <w:sz w:val="32"/>
          <w:szCs w:val="32"/>
        </w:rPr>
        <w:t>四、项目综合评价结论和评价等级</w:t>
      </w:r>
    </w:p>
    <w:p w14:paraId="0046149F">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根据项目执行情况和项目绩效情况，给出总得分，指标体系设定满分100分，得出综合评价结论和项目综合绩效评价等级。项目综合绩效评价分为4个等级：得分</w:t>
      </w:r>
      <w:r>
        <w:rPr>
          <w:rFonts w:ascii="Arial" w:hAnsi="Arial" w:eastAsia="仿宋_GB2312" w:cs="Arial"/>
          <w:sz w:val="32"/>
          <w:szCs w:val="32"/>
        </w:rPr>
        <w:t>≥</w:t>
      </w:r>
      <w:r>
        <w:rPr>
          <w:rFonts w:hint="eastAsia" w:ascii="仿宋_GB2312" w:eastAsia="仿宋_GB2312"/>
          <w:sz w:val="32"/>
          <w:szCs w:val="32"/>
        </w:rPr>
        <w:t>85分为优秀；75</w:t>
      </w:r>
      <w:r>
        <w:rPr>
          <w:rFonts w:ascii="Arial" w:hAnsi="Arial" w:eastAsia="仿宋_GB2312" w:cs="Arial"/>
          <w:sz w:val="32"/>
          <w:szCs w:val="32"/>
        </w:rPr>
        <w:t>≤</w:t>
      </w:r>
      <w:r>
        <w:rPr>
          <w:rFonts w:hint="eastAsia" w:ascii="仿宋_GB2312" w:eastAsia="仿宋_GB2312"/>
          <w:sz w:val="32"/>
          <w:szCs w:val="32"/>
        </w:rPr>
        <w:t>得分</w:t>
      </w:r>
      <w:r>
        <w:rPr>
          <w:rFonts w:hint="eastAsia" w:ascii="仿宋_GB2312" w:hAnsi="仿宋_GB2312" w:eastAsia="仿宋_GB2312"/>
          <w:sz w:val="32"/>
          <w:szCs w:val="32"/>
        </w:rPr>
        <w:t>＜</w:t>
      </w:r>
      <w:r>
        <w:rPr>
          <w:rFonts w:hint="eastAsia" w:ascii="仿宋_GB2312" w:eastAsia="仿宋_GB2312"/>
          <w:sz w:val="32"/>
          <w:szCs w:val="32"/>
        </w:rPr>
        <w:t>85分为良好；60</w:t>
      </w:r>
      <w:r>
        <w:rPr>
          <w:rFonts w:ascii="Arial" w:hAnsi="Arial" w:eastAsia="仿宋_GB2312" w:cs="Arial"/>
          <w:sz w:val="32"/>
          <w:szCs w:val="32"/>
        </w:rPr>
        <w:t>≤</w:t>
      </w:r>
      <w:r>
        <w:rPr>
          <w:rFonts w:hint="eastAsia" w:ascii="仿宋_GB2312" w:eastAsia="仿宋_GB2312"/>
          <w:sz w:val="32"/>
          <w:szCs w:val="32"/>
        </w:rPr>
        <w:t>得分</w:t>
      </w:r>
      <w:r>
        <w:rPr>
          <w:rFonts w:hint="eastAsia" w:ascii="仿宋_GB2312" w:hAnsi="仿宋_GB2312" w:eastAsia="仿宋_GB2312"/>
          <w:sz w:val="32"/>
          <w:szCs w:val="32"/>
        </w:rPr>
        <w:t>＜</w:t>
      </w:r>
      <w:r>
        <w:rPr>
          <w:rFonts w:hint="eastAsia" w:ascii="仿宋_GB2312" w:eastAsia="仿宋_GB2312"/>
          <w:sz w:val="32"/>
          <w:szCs w:val="32"/>
        </w:rPr>
        <w:t>75分为一般；得分</w:t>
      </w:r>
      <w:r>
        <w:rPr>
          <w:rFonts w:hint="eastAsia" w:ascii="仿宋_GB2312" w:hAnsi="仿宋_GB2312" w:eastAsia="仿宋_GB2312"/>
          <w:sz w:val="32"/>
          <w:szCs w:val="32"/>
        </w:rPr>
        <w:t>＜</w:t>
      </w:r>
      <w:r>
        <w:rPr>
          <w:rFonts w:hint="eastAsia" w:ascii="仿宋_GB2312" w:eastAsia="仿宋_GB2312"/>
          <w:sz w:val="32"/>
          <w:szCs w:val="32"/>
        </w:rPr>
        <w:t>60分为较差。综合上述指标该项目评分100分。</w:t>
      </w:r>
    </w:p>
    <w:p w14:paraId="163E39D1">
      <w:pPr>
        <w:keepNext w:val="0"/>
        <w:keepLines w:val="0"/>
        <w:pageBreakBefore w:val="0"/>
        <w:widowControl w:val="0"/>
        <w:kinsoku/>
        <w:wordWrap/>
        <w:overflowPunct/>
        <w:topLinePunct w:val="0"/>
        <w:autoSpaceDE/>
        <w:autoSpaceDN/>
        <w:bidi w:val="0"/>
        <w:spacing w:line="578" w:lineRule="exact"/>
        <w:ind w:left="0" w:leftChars="0" w:right="0" w:rightChars="0" w:firstLine="640" w:firstLineChars="200"/>
        <w:textAlignment w:val="auto"/>
        <w:outlineLvl w:val="9"/>
        <w:rPr>
          <w:rFonts w:ascii="仿宋_GB2312" w:eastAsia="仿宋_GB2312"/>
          <w:sz w:val="32"/>
          <w:szCs w:val="32"/>
        </w:rPr>
      </w:pPr>
      <w:r>
        <w:rPr>
          <w:rFonts w:hint="eastAsia" w:ascii="黑体" w:hAnsi="黑体" w:eastAsia="黑体"/>
          <w:sz w:val="32"/>
          <w:szCs w:val="32"/>
        </w:rPr>
        <w:t>五、存在的问题及改进措施</w:t>
      </w:r>
    </w:p>
    <w:p w14:paraId="277F72D3">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ascii="仿宋" w:hAnsi="仿宋" w:eastAsia="仿宋" w:cs="仿宋"/>
          <w:sz w:val="32"/>
          <w:szCs w:val="32"/>
        </w:rPr>
      </w:pPr>
      <w:r>
        <w:rPr>
          <w:rFonts w:hint="eastAsia" w:ascii="楷体_GB2312" w:hAnsi="楷体_GB2312" w:eastAsia="楷体_GB2312"/>
          <w:b/>
          <w:bCs/>
          <w:sz w:val="32"/>
          <w:szCs w:val="32"/>
        </w:rPr>
        <w:t xml:space="preserve">   </w:t>
      </w:r>
      <w:r>
        <w:rPr>
          <w:rFonts w:hint="eastAsia" w:ascii="仿宋" w:hAnsi="仿宋" w:eastAsia="仿宋" w:cs="仿宋"/>
          <w:sz w:val="32"/>
          <w:szCs w:val="32"/>
        </w:rPr>
        <w:t>该项目不存在任何问题。</w:t>
      </w:r>
    </w:p>
    <w:p w14:paraId="66B122AD">
      <w:pPr>
        <w:keepNext w:val="0"/>
        <w:keepLines w:val="0"/>
        <w:pageBreakBefore w:val="0"/>
        <w:widowControl w:val="0"/>
        <w:kinsoku/>
        <w:wordWrap/>
        <w:overflowPunct/>
        <w:topLinePunct w:val="0"/>
        <w:autoSpaceDE/>
        <w:autoSpaceDN/>
        <w:bidi w:val="0"/>
        <w:spacing w:line="578" w:lineRule="exact"/>
        <w:ind w:left="0" w:leftChars="0" w:right="0" w:rightChars="0" w:firstLine="320" w:firstLineChars="100"/>
        <w:textAlignment w:val="auto"/>
        <w:outlineLvl w:val="9"/>
        <w:rPr>
          <w:rFonts w:ascii="仿宋_GB2312" w:eastAsia="仿宋_GB2312"/>
          <w:sz w:val="32"/>
          <w:szCs w:val="32"/>
        </w:rPr>
      </w:pPr>
      <w:r>
        <w:rPr>
          <w:rFonts w:hint="eastAsia" w:ascii="黑体" w:eastAsia="黑体"/>
          <w:sz w:val="32"/>
          <w:szCs w:val="32"/>
        </w:rPr>
        <w:t>六、评价工作组人员名单及签字</w:t>
      </w:r>
      <w:r>
        <w:rPr>
          <w:rFonts w:hint="eastAsia" w:ascii="仿宋_GB2312" w:eastAsia="仿宋_GB2312"/>
          <w:sz w:val="32"/>
          <w:szCs w:val="32"/>
        </w:rPr>
        <w:t>（姓名、工作单位、职务、职称）</w:t>
      </w:r>
    </w:p>
    <w:p w14:paraId="5A6650A8">
      <w:pPr>
        <w:keepNext w:val="0"/>
        <w:keepLines w:val="0"/>
        <w:pageBreakBefore w:val="0"/>
        <w:widowControl w:val="0"/>
        <w:kinsoku/>
        <w:wordWrap/>
        <w:overflowPunct/>
        <w:topLinePunct w:val="0"/>
        <w:autoSpaceDE/>
        <w:autoSpaceDN/>
        <w:bidi w:val="0"/>
        <w:spacing w:line="578" w:lineRule="exact"/>
        <w:ind w:left="0" w:leftChars="0" w:right="0" w:rightChars="0"/>
        <w:textAlignment w:val="auto"/>
        <w:outlineLvl w:val="9"/>
        <w:rPr>
          <w:rFonts w:hint="eastAsia" w:ascii="仿宋_GB2312" w:eastAsia="仿宋_GB2312"/>
          <w:sz w:val="32"/>
          <w:szCs w:val="32"/>
        </w:rPr>
      </w:pPr>
      <w:r>
        <w:rPr>
          <w:rFonts w:hint="eastAsia" w:ascii="仿宋_GB2312" w:eastAsia="仿宋_GB2312"/>
          <w:sz w:val="32"/>
          <w:szCs w:val="32"/>
        </w:rPr>
        <w:t xml:space="preserve">  张泽辉，鹿泉区委办公室，信息中心主任。</w:t>
      </w:r>
    </w:p>
    <w:p w14:paraId="4ED50D0B">
      <w:pPr>
        <w:keepNext w:val="0"/>
        <w:keepLines w:val="0"/>
        <w:pageBreakBefore w:val="0"/>
        <w:widowControl w:val="0"/>
        <w:kinsoku/>
        <w:wordWrap/>
        <w:overflowPunct/>
        <w:topLinePunct w:val="0"/>
        <w:autoSpaceDE/>
        <w:autoSpaceDN/>
        <w:bidi w:val="0"/>
        <w:spacing w:line="578" w:lineRule="exact"/>
        <w:ind w:left="0" w:leftChars="0" w:right="0" w:rightChars="0" w:firstLine="320" w:firstLineChars="1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葛亚安，鹿泉区委办公室，科员</w:t>
      </w:r>
    </w:p>
    <w:p w14:paraId="19731BF8">
      <w:pPr>
        <w:keepNext w:val="0"/>
        <w:keepLines w:val="0"/>
        <w:pageBreakBefore w:val="0"/>
        <w:widowControl w:val="0"/>
        <w:kinsoku/>
        <w:wordWrap/>
        <w:overflowPunct/>
        <w:topLinePunct w:val="0"/>
        <w:autoSpaceDE/>
        <w:autoSpaceDN/>
        <w:bidi w:val="0"/>
        <w:spacing w:line="578" w:lineRule="exact"/>
        <w:ind w:left="0" w:leftChars="0" w:right="0" w:rightChars="0" w:firstLine="320" w:firstLineChars="100"/>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黄玉辉，鹿泉区委办公室，科员</w:t>
      </w:r>
    </w:p>
    <w:p w14:paraId="1743A0A2">
      <w:pPr>
        <w:keepNext w:val="0"/>
        <w:keepLines w:val="0"/>
        <w:pageBreakBefore w:val="0"/>
        <w:widowControl w:val="0"/>
        <w:kinsoku/>
        <w:wordWrap/>
        <w:overflowPunct/>
        <w:topLinePunct w:val="0"/>
        <w:autoSpaceDE/>
        <w:autoSpaceDN/>
        <w:bidi w:val="0"/>
        <w:spacing w:line="578" w:lineRule="exact"/>
        <w:ind w:right="0" w:rightChars="0" w:firstLine="640" w:firstLineChars="200"/>
        <w:textAlignment w:val="auto"/>
        <w:outlineLvl w:val="9"/>
        <w:rPr>
          <w:rFonts w:hint="eastAsia" w:ascii="仿宋_GB2312" w:eastAsia="仿宋_GB2312"/>
          <w:sz w:val="32"/>
          <w:szCs w:val="32"/>
          <w:lang w:eastAsia="zh-CN"/>
        </w:rPr>
      </w:pPr>
    </w:p>
    <w:p w14:paraId="47B5F11A">
      <w:pPr>
        <w:adjustRightInd w:val="0"/>
        <w:snapToGrid w:val="0"/>
        <w:spacing w:line="360" w:lineRule="auto"/>
        <w:ind w:firstLine="640" w:firstLineChars="200"/>
        <w:rPr>
          <w:rFonts w:hint="eastAsia" w:ascii="仿宋_GB2312" w:eastAsia="仿宋_GB2312"/>
          <w:sz w:val="32"/>
          <w:szCs w:val="32"/>
        </w:rPr>
      </w:pPr>
    </w:p>
    <w:p w14:paraId="08510051">
      <w:pPr>
        <w:adjustRightInd w:val="0"/>
        <w:snapToGrid w:val="0"/>
        <w:spacing w:line="360" w:lineRule="auto"/>
        <w:ind w:firstLine="640" w:firstLineChars="200"/>
        <w:rPr>
          <w:rFonts w:hint="eastAsia" w:ascii="仿宋_GB2312" w:eastAsia="仿宋_GB2312"/>
          <w:sz w:val="32"/>
          <w:szCs w:val="32"/>
        </w:rPr>
      </w:pPr>
    </w:p>
    <w:p w14:paraId="1CE78042">
      <w:pPr>
        <w:adjustRightInd w:val="0"/>
        <w:snapToGrid w:val="0"/>
        <w:spacing w:line="360" w:lineRule="auto"/>
        <w:ind w:firstLine="640" w:firstLineChars="200"/>
        <w:rPr>
          <w:rFonts w:hint="eastAsia" w:ascii="仿宋_GB2312" w:eastAsia="仿宋_GB2312"/>
          <w:sz w:val="32"/>
          <w:szCs w:val="32"/>
        </w:rPr>
      </w:pPr>
    </w:p>
    <w:p w14:paraId="44F7E222">
      <w:pPr>
        <w:adjustRightInd w:val="0"/>
        <w:snapToGrid w:val="0"/>
        <w:spacing w:line="360" w:lineRule="auto"/>
        <w:ind w:firstLine="640" w:firstLineChars="200"/>
        <w:rPr>
          <w:rFonts w:hint="eastAsia" w:ascii="仿宋_GB2312" w:eastAsia="仿宋_GB2312"/>
          <w:sz w:val="32"/>
          <w:szCs w:val="32"/>
        </w:rPr>
      </w:pPr>
    </w:p>
    <w:p w14:paraId="6CCF1345">
      <w:pPr>
        <w:adjustRightInd w:val="0"/>
        <w:snapToGrid w:val="0"/>
        <w:spacing w:line="360" w:lineRule="auto"/>
        <w:ind w:firstLine="640" w:firstLineChars="200"/>
        <w:rPr>
          <w:rFonts w:hint="eastAsia" w:ascii="仿宋_GB2312" w:eastAsia="仿宋_GB2312"/>
          <w:sz w:val="32"/>
          <w:szCs w:val="32"/>
        </w:rPr>
      </w:pPr>
    </w:p>
    <w:p w14:paraId="30C8FB26">
      <w:pPr>
        <w:adjustRightInd w:val="0"/>
        <w:snapToGrid w:val="0"/>
        <w:spacing w:line="360" w:lineRule="auto"/>
        <w:ind w:firstLine="640" w:firstLineChars="200"/>
        <w:rPr>
          <w:rFonts w:hint="eastAsia" w:ascii="仿宋_GB2312" w:eastAsia="仿宋_GB2312"/>
          <w:sz w:val="32"/>
          <w:szCs w:val="32"/>
        </w:rPr>
      </w:pPr>
    </w:p>
    <w:p w14:paraId="48E72075">
      <w:pPr>
        <w:adjustRightInd w:val="0"/>
        <w:snapToGrid w:val="0"/>
        <w:spacing w:line="360" w:lineRule="auto"/>
        <w:ind w:firstLine="640" w:firstLineChars="200"/>
        <w:rPr>
          <w:rFonts w:hint="eastAsia" w:ascii="仿宋_GB2312" w:eastAsia="仿宋_GB2312"/>
          <w:sz w:val="32"/>
          <w:szCs w:val="32"/>
        </w:rPr>
      </w:pPr>
    </w:p>
    <w:p w14:paraId="2AAFF67C">
      <w:pPr>
        <w:adjustRightInd w:val="0"/>
        <w:snapToGrid w:val="0"/>
        <w:spacing w:line="360" w:lineRule="auto"/>
        <w:ind w:firstLine="640" w:firstLineChars="200"/>
        <w:rPr>
          <w:rFonts w:hint="eastAsia" w:ascii="仿宋_GB2312" w:eastAsia="仿宋_GB2312"/>
          <w:sz w:val="32"/>
          <w:szCs w:val="32"/>
        </w:rPr>
      </w:pPr>
    </w:p>
    <w:p w14:paraId="035F1B2F">
      <w:pPr>
        <w:adjustRightInd w:val="0"/>
        <w:snapToGrid w:val="0"/>
        <w:spacing w:line="360" w:lineRule="auto"/>
        <w:ind w:firstLine="640" w:firstLineChars="200"/>
        <w:rPr>
          <w:rFonts w:hint="eastAsia" w:ascii="仿宋_GB2312" w:eastAsia="仿宋_GB2312"/>
          <w:sz w:val="32"/>
          <w:szCs w:val="32"/>
        </w:rPr>
      </w:pPr>
    </w:p>
    <w:p w14:paraId="382C9213">
      <w:pPr>
        <w:adjustRightInd w:val="0"/>
        <w:snapToGrid w:val="0"/>
        <w:spacing w:line="360" w:lineRule="auto"/>
        <w:ind w:firstLine="640" w:firstLineChars="200"/>
        <w:rPr>
          <w:rFonts w:hint="eastAsia" w:ascii="仿宋_GB2312" w:eastAsia="仿宋_GB2312"/>
          <w:sz w:val="32"/>
          <w:szCs w:val="32"/>
        </w:rPr>
      </w:pPr>
    </w:p>
    <w:p w14:paraId="1E252479">
      <w:pPr>
        <w:rPr>
          <w:rFonts w:hint="eastAsia" w:ascii="仿宋_GB2312" w:eastAsia="仿宋_GB2312"/>
          <w:sz w:val="32"/>
          <w:szCs w:val="32"/>
          <w:lang w:val="en-US" w:eastAsia="zh-CN"/>
        </w:rPr>
      </w:pPr>
    </w:p>
    <w:p w14:paraId="02925155">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附件：</w:t>
      </w:r>
      <w:r>
        <w:rPr>
          <w:rFonts w:hint="default" w:ascii="仿宋_GB2312" w:hAnsi="宋体" w:eastAsia="仿宋_GB2312"/>
          <w:sz w:val="32"/>
          <w:szCs w:val="32"/>
          <w:lang w:val="en-US" w:eastAsia="zh-CN"/>
        </w:rPr>
        <w:t>项目支出绩效评价共性指标体系框架</w:t>
      </w:r>
    </w:p>
    <w:p w14:paraId="0D68826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46641E90">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52F5FD89">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2CBA826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620DA11B">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1BBF02ED">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r>
        <w:rPr>
          <w:rFonts w:hint="eastAsia" w:ascii="黑体" w:hAnsi="黑体" w:eastAsia="黑体" w:cs="黑体"/>
          <w:sz w:val="32"/>
          <w:szCs w:val="32"/>
          <w:lang w:val="en-US" w:eastAsia="zh-CN"/>
        </w:rPr>
        <w:t>附件</w:t>
      </w:r>
    </w:p>
    <w:p w14:paraId="359145BC">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p>
    <w:p w14:paraId="7E427154">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3" w:firstLineChars="200"/>
        <w:jc w:val="both"/>
        <w:textAlignment w:val="auto"/>
        <w:outlineLvl w:val="9"/>
        <w:rPr>
          <w:rFonts w:hint="eastAsia" w:ascii="宋体" w:hAnsi="宋体" w:eastAsia="宋体"/>
          <w:b/>
          <w:i w:val="0"/>
          <w:snapToGrid/>
          <w:color w:val="000000"/>
          <w:sz w:val="32"/>
          <w:u w:val="none"/>
          <w:shd w:val="clear" w:color="auto" w:fill="FFFFFF"/>
          <w:lang w:val="en-US" w:eastAsia="zh-CN"/>
        </w:rPr>
      </w:pPr>
      <w:r>
        <w:rPr>
          <w:rFonts w:hint="eastAsia" w:ascii="宋体" w:hAnsi="宋体"/>
          <w:b/>
          <w:i w:val="0"/>
          <w:snapToGrid/>
          <w:color w:val="000000"/>
          <w:sz w:val="32"/>
          <w:u w:val="none"/>
          <w:shd w:val="clear" w:color="auto" w:fill="FFFFFF"/>
          <w:lang w:val="en-US" w:eastAsia="zh-CN"/>
        </w:rPr>
        <w:t xml:space="preserve">      </w:t>
      </w:r>
      <w:r>
        <w:rPr>
          <w:rFonts w:hint="default" w:ascii="宋体" w:hAnsi="宋体" w:eastAsia="宋体"/>
          <w:b/>
          <w:i w:val="0"/>
          <w:snapToGrid/>
          <w:color w:val="000000"/>
          <w:sz w:val="32"/>
          <w:u w:val="none"/>
          <w:shd w:val="clear" w:color="auto" w:fill="FFFFFF"/>
          <w:lang w:eastAsia="zh-CN"/>
        </w:rPr>
        <w:t>项目支出绩效评价共性指标体系框架</w:t>
      </w:r>
    </w:p>
    <w:tbl>
      <w:tblPr>
        <w:tblStyle w:val="4"/>
        <w:tblW w:w="8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778"/>
        <w:gridCol w:w="818"/>
        <w:gridCol w:w="2414"/>
        <w:gridCol w:w="3894"/>
      </w:tblGrid>
      <w:tr w14:paraId="1671C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blHeader/>
        </w:trPr>
        <w:tc>
          <w:tcPr>
            <w:tcW w:w="742"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81E5EAE">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一级</w:t>
            </w:r>
            <w:r>
              <w:rPr>
                <w:rFonts w:hint="default" w:ascii="楷体_GB2312" w:hAnsi="楷体_GB2312" w:eastAsia="楷体_GB2312"/>
                <w:b/>
                <w:i w:val="0"/>
                <w:snapToGrid/>
                <w:color w:val="000000"/>
                <w:sz w:val="24"/>
                <w:szCs w:val="28"/>
                <w:u w:val="none"/>
                <w:shd w:val="clear" w:color="auto" w:fill="FFFFFF"/>
                <w:lang w:eastAsia="zh-CN"/>
              </w:rPr>
              <w:br w:type="textWrapping"/>
            </w:r>
            <w:r>
              <w:rPr>
                <w:rFonts w:hint="default" w:ascii="楷体_GB2312" w:hAnsi="楷体_GB2312" w:eastAsia="楷体_GB2312"/>
                <w:b/>
                <w:i w:val="0"/>
                <w:snapToGrid/>
                <w:color w:val="000000"/>
                <w:sz w:val="24"/>
                <w:szCs w:val="28"/>
                <w:u w:val="none"/>
                <w:shd w:val="clear" w:color="auto" w:fill="FFFFFF"/>
                <w:lang w:eastAsia="zh-CN"/>
              </w:rPr>
              <w:t>指标</w:t>
            </w:r>
          </w:p>
        </w:tc>
        <w:tc>
          <w:tcPr>
            <w:tcW w:w="77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742D6E">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二级</w:t>
            </w:r>
            <w:r>
              <w:rPr>
                <w:rFonts w:hint="default" w:ascii="楷体_GB2312" w:hAnsi="楷体_GB2312" w:eastAsia="楷体_GB2312"/>
                <w:b/>
                <w:i w:val="0"/>
                <w:snapToGrid/>
                <w:color w:val="000000"/>
                <w:sz w:val="24"/>
                <w:szCs w:val="28"/>
                <w:u w:val="none"/>
                <w:shd w:val="clear" w:color="auto" w:fill="FFFFFF"/>
                <w:lang w:eastAsia="zh-CN"/>
              </w:rPr>
              <w:br w:type="textWrapping"/>
            </w:r>
            <w:r>
              <w:rPr>
                <w:rFonts w:hint="default" w:ascii="楷体_GB2312" w:hAnsi="楷体_GB2312" w:eastAsia="楷体_GB2312"/>
                <w:b/>
                <w:i w:val="0"/>
                <w:snapToGrid/>
                <w:color w:val="000000"/>
                <w:sz w:val="24"/>
                <w:szCs w:val="28"/>
                <w:u w:val="none"/>
                <w:shd w:val="clear" w:color="auto" w:fill="FFFFFF"/>
                <w:lang w:eastAsia="zh-CN"/>
              </w:rPr>
              <w:t>指标</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07958EA">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三级指标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E299759">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指标解释</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9275DC">
            <w:pPr>
              <w:shd w:val="solid" w:color="FFFFFF" w:fill="auto"/>
              <w:kinsoku/>
              <w:autoSpaceDE/>
              <w:autoSpaceDN w:val="0"/>
              <w:jc w:val="center"/>
              <w:textAlignment w:val="center"/>
              <w:rPr>
                <w:rFonts w:hint="default" w:ascii="楷体_GB2312" w:hAnsi="楷体_GB2312" w:eastAsia="楷体_GB2312"/>
                <w:b/>
                <w:i w:val="0"/>
                <w:snapToGrid/>
                <w:color w:val="000000"/>
                <w:sz w:val="24"/>
                <w:szCs w:val="28"/>
                <w:u w:val="none"/>
                <w:shd w:val="clear" w:color="auto" w:fill="FFFFFF"/>
                <w:lang w:eastAsia="zh-CN"/>
              </w:rPr>
            </w:pPr>
            <w:r>
              <w:rPr>
                <w:rFonts w:hint="default" w:ascii="楷体_GB2312" w:hAnsi="楷体_GB2312" w:eastAsia="楷体_GB2312"/>
                <w:b/>
                <w:i w:val="0"/>
                <w:snapToGrid/>
                <w:color w:val="000000"/>
                <w:sz w:val="24"/>
                <w:szCs w:val="28"/>
                <w:u w:val="none"/>
                <w:shd w:val="clear" w:color="auto" w:fill="FFFFFF"/>
                <w:lang w:eastAsia="zh-CN"/>
              </w:rPr>
              <w:t>指标说明</w:t>
            </w:r>
          </w:p>
        </w:tc>
      </w:tr>
      <w:tr w14:paraId="7D43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742"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D45DB4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投   入</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16179BF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立项</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8E4AA8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项目立项规范性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664BC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项目的申请、设立过程是否符合相关要求，用以反映和考核项目立项的规范情况。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E49FE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①项目是否按照规定的程序申请设立；</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②所提交的文件、材料是否符合相关要求；</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③事前是否已经过必要的可行性研究、专家论证、风险评估、集体决策等。</w:t>
            </w:r>
          </w:p>
        </w:tc>
      </w:tr>
      <w:tr w14:paraId="6FAB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5"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CC6305A">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7F7C0B8">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CCFE52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绩效目标合理性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0DA72E">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项目所设定的绩效目标是否依据充分，是否符合客观实际，用以反映和考核项目绩效目标与项目实施的相符情况。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865A3B">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①是否符合国家相关法律法规、国民经济发展规划和党委政府决策；</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②是否与项目实施单位或委托单位职责密切相关；</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③项目是否为促进事业发展所必需；</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④项目预期产出效益和效果是否符合正常的业绩水平。</w:t>
            </w:r>
          </w:p>
        </w:tc>
      </w:tr>
      <w:tr w14:paraId="45327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D451D1F">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2D953D9">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0908C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绩效指标明确性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E02D11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依据绩效目标设定的绩效指标是否清晰、细化、可衡量等，用以反映和考核项目绩效目标的明细化情况。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F0F4229">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①是否将项目绩效目标细化分解为具体的绩效指标；</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②是否通过清晰、可衡量的指标值予以体现；</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③是否与项目年度任务数或计划数相对应；</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④是否与预算确定的项目投资额或资金量相匹配。</w:t>
            </w:r>
          </w:p>
        </w:tc>
      </w:tr>
      <w:tr w14:paraId="41EEE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742"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76890E6">
            <w:pPr>
              <w:rPr>
                <w:rFonts w:hint="default"/>
                <w:sz w:val="22"/>
              </w:rPr>
            </w:pP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581885A0">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落实</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FD7859">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资金到位率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601E7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实际到位资金与计划投入资金的比率，用以反映和考核资金落实情况对项目实施的总体保障程度。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B54D938">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资金到位率=（实际到位资金/计划投入资金）×100%。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实际到位资金：一定时期（本年度或项目期）内实际落实到具体项目的资金。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计划投入资金：一定时期（本年度或项目期）内计划投入到具体项目的资金。</w:t>
            </w:r>
          </w:p>
        </w:tc>
      </w:tr>
      <w:tr w14:paraId="340A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7" w:hRule="atLeast"/>
        </w:trPr>
        <w:tc>
          <w:tcPr>
            <w:tcW w:w="742" w:type="dxa"/>
            <w:vMerge w:val="continue"/>
            <w:tcBorders>
              <w:top w:val="single" w:color="000000" w:sz="4" w:space="0"/>
              <w:left w:val="single" w:color="000000" w:sz="4" w:space="0"/>
              <w:bottom w:val="single" w:color="auto" w:sz="4" w:space="0"/>
              <w:right w:val="single" w:color="000000" w:sz="4" w:space="0"/>
            </w:tcBorders>
            <w:shd w:val="solid" w:color="FFFFFF" w:fill="auto"/>
            <w:vAlign w:val="center"/>
          </w:tcPr>
          <w:p w14:paraId="2262A15F">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F8B87E3">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B6782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到位及时率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104630">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及时到位资金与应到位资金的比率，用以反映和考核项目资金落实的及时性程度。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FDD8CA1">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到位及时率=（及时到位资金/应到位资金）×100%。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及时到位资金：截至规定时点实际落实到具体项目的资金。</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应到位资金：按照合同或项目进度要求截至规定时点应落实到具体项目的资金。</w:t>
            </w:r>
          </w:p>
        </w:tc>
      </w:tr>
      <w:tr w14:paraId="65FC9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742" w:type="dxa"/>
            <w:vMerge w:val="restart"/>
            <w:tcBorders>
              <w:top w:val="single" w:color="auto" w:sz="4" w:space="0"/>
              <w:left w:val="single" w:color="auto" w:sz="4" w:space="0"/>
              <w:bottom w:val="single" w:color="auto" w:sz="4" w:space="0"/>
              <w:right w:val="single" w:color="auto" w:sz="4" w:space="0"/>
            </w:tcBorders>
            <w:shd w:val="solid" w:color="FFFFFF" w:fill="auto"/>
            <w:vAlign w:val="center"/>
          </w:tcPr>
          <w:p w14:paraId="0171D0E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过   程</w:t>
            </w:r>
          </w:p>
          <w:p w14:paraId="78E0E08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p>
        </w:tc>
        <w:tc>
          <w:tcPr>
            <w:tcW w:w="778" w:type="dxa"/>
            <w:vMerge w:val="restart"/>
            <w:tcBorders>
              <w:top w:val="single" w:color="000000" w:sz="4" w:space="0"/>
              <w:left w:val="single" w:color="auto" w:sz="4" w:space="0"/>
              <w:bottom w:val="single" w:color="000000" w:sz="4" w:space="0"/>
              <w:right w:val="single" w:color="000000" w:sz="4" w:space="0"/>
            </w:tcBorders>
            <w:shd w:val="solid" w:color="FFFFFF" w:fill="auto"/>
            <w:vAlign w:val="center"/>
          </w:tcPr>
          <w:p w14:paraId="1027A57C">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业务</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管理</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1A2995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管理制度健全性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4E767D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项目实施单位的业务管理制度是否健全，用以反映和考核业务管理制度对项目顺利实施的保障情况。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77DEDA">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①是否已制定或具有相应的业务管理制度；</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②业务管理制度是否合法、合规、完整。</w:t>
            </w:r>
          </w:p>
        </w:tc>
      </w:tr>
      <w:tr w14:paraId="37AD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14017B73">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0B530482">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7231AA6">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制度执行有效性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B37AE7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项目实施是否符合相关业务管理规定，用以反映和考核业务管理制度的有效执行情况。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773386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①是否遵守相关法律法规和业务管理规定；</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②项目调整及支出调整手续是否完备；</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③项目合同书、验收报告、技术鉴定等资料是否齐全并及时归档；</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④项目实施的人员条件、场地设备、信息支撑等是否落实到位。</w:t>
            </w:r>
          </w:p>
        </w:tc>
      </w:tr>
      <w:tr w14:paraId="1AA0E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2CC5D477">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5A64B06F">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58CCD82">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项目质量可控性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D07D68F">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项目实施单位是否为达到项目质量要求而采取了必需的措施,用以反映和考核项目实施单位对项目质量的控制情况。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41AA673">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①是否已制定或具有相应的项目质量要求或标准；</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②是否采取了相应的项目质量检查、验收等必需的控制措施或手段。</w:t>
            </w:r>
          </w:p>
        </w:tc>
      </w:tr>
      <w:tr w14:paraId="11C0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0DF889CF">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p>
        </w:tc>
        <w:tc>
          <w:tcPr>
            <w:tcW w:w="778" w:type="dxa"/>
            <w:vMerge w:val="restart"/>
            <w:tcBorders>
              <w:top w:val="single" w:color="000000" w:sz="4" w:space="0"/>
              <w:left w:val="single" w:color="auto" w:sz="4" w:space="0"/>
              <w:bottom w:val="single" w:color="000000" w:sz="4" w:space="0"/>
              <w:right w:val="single" w:color="000000" w:sz="4" w:space="0"/>
            </w:tcBorders>
            <w:shd w:val="solid" w:color="FFFFFF" w:fill="auto"/>
            <w:vAlign w:val="center"/>
          </w:tcPr>
          <w:p w14:paraId="4AA2128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财务</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管理</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FD6A6F3">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管理制度健全性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242B33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项目实施单位的财务制度是否健全，用以反映和考核财务管理制度对资金规范、安全运行的保障情况。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76B6BA6">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①是否已制定或具有相应的项目资金管理办法；</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②项目资金管理办法是否符合相关财务会计制度的规定。</w:t>
            </w:r>
          </w:p>
        </w:tc>
      </w:tr>
      <w:tr w14:paraId="59E65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08C86F4F">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7A0681B9">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372D850">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资金使用合规性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7287785">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项目资金使用是否符合相关的财务管理制度规定，用以反映和考核项目资金的规范运行情况。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E1F408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①是否符合国家财经法规和财务管理制度以及有关专项资金管理办法的规定；</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②资金的拨付是否有完整的审批程序和手续；</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③项目的重大开支是否经过评估认证；</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④是否符合项目预算批复或合同规定的用途；</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⑤是否存在截留、挤占、挪用、虚列支出等情况。</w:t>
            </w:r>
          </w:p>
        </w:tc>
      </w:tr>
      <w:tr w14:paraId="7B9B1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42" w:type="dxa"/>
            <w:vMerge w:val="continue"/>
            <w:tcBorders>
              <w:top w:val="single" w:color="auto" w:sz="4" w:space="0"/>
              <w:left w:val="single" w:color="auto" w:sz="4" w:space="0"/>
              <w:bottom w:val="single" w:color="auto" w:sz="4" w:space="0"/>
              <w:right w:val="single" w:color="auto" w:sz="4" w:space="0"/>
            </w:tcBorders>
            <w:shd w:val="solid" w:color="FFFFFF" w:fill="auto"/>
            <w:vAlign w:val="center"/>
          </w:tcPr>
          <w:p w14:paraId="084CC66C">
            <w:pPr>
              <w:rPr>
                <w:rFonts w:hint="default"/>
                <w:sz w:val="22"/>
              </w:rPr>
            </w:pPr>
          </w:p>
        </w:tc>
        <w:tc>
          <w:tcPr>
            <w:tcW w:w="778" w:type="dxa"/>
            <w:vMerge w:val="continue"/>
            <w:tcBorders>
              <w:top w:val="single" w:color="000000" w:sz="4" w:space="0"/>
              <w:left w:val="single" w:color="auto" w:sz="4" w:space="0"/>
              <w:bottom w:val="single" w:color="000000" w:sz="4" w:space="0"/>
              <w:right w:val="single" w:color="000000" w:sz="4" w:space="0"/>
            </w:tcBorders>
            <w:shd w:val="solid" w:color="FFFFFF" w:fill="auto"/>
            <w:vAlign w:val="center"/>
          </w:tcPr>
          <w:p w14:paraId="10BDF8D8">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2AF1B81">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财务监控有效性</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9515D3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项目实施单位是否为保障资金的安全、规范运行而采取了必要的监控措施，用以反映和考核项目实施单位对资金运行的控制情况。</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836DF7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评价要点：</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①是否已制定或具有相应的监控机制；</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②是否采取了相应的财务检查等必要的监控措施或手段。</w:t>
            </w:r>
          </w:p>
        </w:tc>
      </w:tr>
      <w:tr w14:paraId="7D0EA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4" w:hRule="atLeast"/>
        </w:trPr>
        <w:tc>
          <w:tcPr>
            <w:tcW w:w="742" w:type="dxa"/>
            <w:vMerge w:val="restart"/>
            <w:tcBorders>
              <w:top w:val="single" w:color="auto" w:sz="4" w:space="0"/>
              <w:left w:val="single" w:color="000000" w:sz="4" w:space="0"/>
              <w:bottom w:val="single" w:color="auto" w:sz="4" w:space="0"/>
              <w:right w:val="single" w:color="000000" w:sz="4" w:space="0"/>
            </w:tcBorders>
            <w:shd w:val="solid" w:color="FFFFFF" w:fill="auto"/>
            <w:vAlign w:val="center"/>
          </w:tcPr>
          <w:p w14:paraId="21D3727B">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产   出</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43764AF0">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产出</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12014F4">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实际完成率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A1A6EE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项目实施的实际产出数与计划产出数的比率，用以反映和考核项目产出数量目标的实现程度。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679F63F">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实际完成率=（实际产出数/计划产出数）×100%。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实际产出数：一定时期（本年度或项目期）内项目实际产出的产品或提供的服务数量。</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计划产出数：项目绩效目标确定的在一定时期（本年度或项目期）内计划产出的产品或提供的服务数量。</w:t>
            </w:r>
          </w:p>
        </w:tc>
      </w:tr>
      <w:tr w14:paraId="0566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5"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49405805">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56743AC5">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634268">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完成及时率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EC3B357">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项目实际提前完成时间与计划完成时间的比率，用以反映和考核项目产出时效目标的实现程度。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1866CC3">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完成及时率=[（计划完成时间-实际完成时间）/计划完成时间]×100%。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实际完成时间：项目实施单位完成该项目实际所耗用的时间。</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计划完成时间：按照项目实施计划或相关规定完成该项目所需的时间。</w:t>
            </w:r>
          </w:p>
        </w:tc>
      </w:tr>
      <w:tr w14:paraId="0277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9"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4C236653">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33E5851D">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A72E97">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质量达标率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4F84F2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项目完成的质量达标产出数与实际产出数的比率，用以反映和考核项目产出质量目标的实现程度。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60499D5">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质量达标率=（质量达标产出数/实际产出数）×100%。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质量达标产出数：一定时期（本年度或项目期）内实际达到既定质量标准的产品或服务数量。</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既定质量标准是指项目实施单位设立绩效目标时依据计划标准、行业标准、历史标准或其他标准而设定的绩效指标值。</w:t>
            </w:r>
          </w:p>
        </w:tc>
      </w:tr>
      <w:tr w14:paraId="7C9D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6"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40F4D45D">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8581DEC">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BD6A11C">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成本节约率</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675AB5F">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完成项目计划工作目标的实际节约成本与计划成本的比率，用以反映和考核项目的成本节约程度。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A060A32">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成本节约率=[（计划成本-实际成本）/计划成本]×100%。</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实际成本：项目实施单位如期、保质、保量完成既定工作目标实际所耗费的支出。</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计划成本：项目实施单位为完成工作目标计划安排的支出，一般以项目预算为参考。</w:t>
            </w:r>
          </w:p>
        </w:tc>
      </w:tr>
      <w:tr w14:paraId="0412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1" w:hRule="atLeast"/>
        </w:trPr>
        <w:tc>
          <w:tcPr>
            <w:tcW w:w="742" w:type="dxa"/>
            <w:vMerge w:val="restart"/>
            <w:tcBorders>
              <w:top w:val="single" w:color="auto" w:sz="4" w:space="0"/>
              <w:left w:val="single" w:color="000000" w:sz="4" w:space="0"/>
              <w:bottom w:val="single" w:color="auto" w:sz="4" w:space="0"/>
              <w:right w:val="single" w:color="000000" w:sz="4" w:space="0"/>
            </w:tcBorders>
            <w:shd w:val="solid" w:color="FFFFFF" w:fill="auto"/>
            <w:vAlign w:val="center"/>
          </w:tcPr>
          <w:p w14:paraId="5711E4FE">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效   果</w:t>
            </w:r>
          </w:p>
        </w:tc>
        <w:tc>
          <w:tcPr>
            <w:tcW w:w="778"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D82F121">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w:t>
            </w:r>
            <w:r>
              <w:rPr>
                <w:rFonts w:hint="default" w:ascii="楷体_GB2312" w:hAnsi="楷体_GB2312" w:eastAsia="楷体_GB2312"/>
                <w:b w:val="0"/>
                <w:i w:val="0"/>
                <w:snapToGrid/>
                <w:color w:val="000000"/>
                <w:sz w:val="22"/>
                <w:u w:val="none"/>
                <w:shd w:val="clear" w:color="auto" w:fill="FFFFFF"/>
                <w:lang w:eastAsia="zh-CN"/>
              </w:rPr>
              <w:br w:type="textWrapping"/>
            </w:r>
            <w:r>
              <w:rPr>
                <w:rFonts w:hint="default" w:ascii="楷体_GB2312" w:hAnsi="楷体_GB2312" w:eastAsia="楷体_GB2312"/>
                <w:b w:val="0"/>
                <w:i w:val="0"/>
                <w:snapToGrid/>
                <w:color w:val="000000"/>
                <w:sz w:val="22"/>
                <w:u w:val="none"/>
                <w:shd w:val="clear" w:color="auto" w:fill="FFFFFF"/>
                <w:lang w:eastAsia="zh-CN"/>
              </w:rPr>
              <w:t>效益</w:t>
            </w: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EC4FAD">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经济效益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71D58BFA">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项目实施对经济发展所带来的直接或间接影响情况。</w:t>
            </w:r>
          </w:p>
        </w:tc>
        <w:tc>
          <w:tcPr>
            <w:tcW w:w="3894" w:type="dxa"/>
            <w:vMerge w:val="restart"/>
            <w:tcBorders>
              <w:top w:val="single" w:color="000000" w:sz="4" w:space="0"/>
              <w:left w:val="single" w:color="000000" w:sz="4" w:space="0"/>
              <w:bottom w:val="single" w:color="000000" w:sz="4" w:space="0"/>
              <w:right w:val="single" w:color="000000" w:sz="4" w:space="0"/>
            </w:tcBorders>
            <w:shd w:val="solid" w:color="FFFFFF" w:fill="auto"/>
            <w:vAlign w:val="center"/>
          </w:tcPr>
          <w:p w14:paraId="308807CC">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此四项指标为设置项目支出绩效评价指标时必须考虑的共性要素，可根据项目实际并结合绩效目标设立情况有选择的进行设置，并将其细化为相应的个性化指标。</w:t>
            </w:r>
          </w:p>
        </w:tc>
      </w:tr>
      <w:tr w14:paraId="137C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73A53597">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BAA1843">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29E2243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0DA78BF">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项目实施对社会发展所带来的直接或间接影响情况。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217875D6">
            <w:pPr>
              <w:kinsoku/>
              <w:autoSpaceDE/>
              <w:autoSpaceDN w:val="0"/>
              <w:textAlignment w:val="auto"/>
              <w:rPr>
                <w:rFonts w:hint="default"/>
                <w:snapToGrid/>
                <w:sz w:val="22"/>
                <w:lang w:eastAsia="zh-CN"/>
              </w:rPr>
            </w:pPr>
          </w:p>
        </w:tc>
      </w:tr>
      <w:tr w14:paraId="6846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57976143">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47BDE56C">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AE8E1E4">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生态效益</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6FADA4D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项目实施对生态环境所带来的直接或间接影响情况。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1F83CCBD">
            <w:pPr>
              <w:kinsoku/>
              <w:autoSpaceDE/>
              <w:autoSpaceDN w:val="0"/>
              <w:textAlignment w:val="auto"/>
              <w:rPr>
                <w:rFonts w:hint="default"/>
                <w:snapToGrid/>
                <w:sz w:val="22"/>
                <w:lang w:eastAsia="zh-CN"/>
              </w:rPr>
            </w:pPr>
          </w:p>
        </w:tc>
      </w:tr>
      <w:tr w14:paraId="47D7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2BD188DF">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7DA31B7D">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4EBCD8A">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可持续影响</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A61EBD">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项目后续运行及成效发挥的可持续影响情况。</w:t>
            </w:r>
          </w:p>
        </w:tc>
        <w:tc>
          <w:tcPr>
            <w:tcW w:w="3894"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63571F04">
            <w:pPr>
              <w:kinsoku/>
              <w:autoSpaceDE/>
              <w:autoSpaceDN w:val="0"/>
              <w:textAlignment w:val="auto"/>
              <w:rPr>
                <w:rFonts w:hint="default"/>
                <w:snapToGrid/>
                <w:sz w:val="22"/>
                <w:lang w:eastAsia="zh-CN"/>
              </w:rPr>
            </w:pPr>
          </w:p>
        </w:tc>
      </w:tr>
      <w:tr w14:paraId="1760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4" w:hRule="atLeast"/>
        </w:trPr>
        <w:tc>
          <w:tcPr>
            <w:tcW w:w="742" w:type="dxa"/>
            <w:vMerge w:val="continue"/>
            <w:tcBorders>
              <w:top w:val="single" w:color="auto" w:sz="4" w:space="0"/>
              <w:left w:val="single" w:color="000000" w:sz="4" w:space="0"/>
              <w:bottom w:val="single" w:color="auto" w:sz="4" w:space="0"/>
              <w:right w:val="single" w:color="000000" w:sz="4" w:space="0"/>
            </w:tcBorders>
            <w:shd w:val="solid" w:color="FFFFFF" w:fill="auto"/>
            <w:vAlign w:val="center"/>
          </w:tcPr>
          <w:p w14:paraId="0B76C7B3">
            <w:pPr>
              <w:rPr>
                <w:rFonts w:hint="default"/>
                <w:sz w:val="22"/>
              </w:rPr>
            </w:pPr>
          </w:p>
        </w:tc>
        <w:tc>
          <w:tcPr>
            <w:tcW w:w="778" w:type="dxa"/>
            <w:vMerge w:val="continue"/>
            <w:tcBorders>
              <w:top w:val="single" w:color="000000" w:sz="4" w:space="0"/>
              <w:left w:val="single" w:color="000000" w:sz="4" w:space="0"/>
              <w:bottom w:val="single" w:color="000000" w:sz="4" w:space="0"/>
              <w:right w:val="single" w:color="000000" w:sz="4" w:space="0"/>
            </w:tcBorders>
            <w:shd w:val="solid" w:color="FFFFFF" w:fill="auto"/>
            <w:vAlign w:val="center"/>
          </w:tcPr>
          <w:p w14:paraId="00AF95F2">
            <w:pPr>
              <w:rPr>
                <w:rFonts w:hint="default"/>
                <w:sz w:val="22"/>
              </w:rPr>
            </w:pPr>
          </w:p>
        </w:tc>
        <w:tc>
          <w:tcPr>
            <w:tcW w:w="818"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A23F763">
            <w:pPr>
              <w:shd w:val="solid" w:color="FFFFFF" w:fill="auto"/>
              <w:kinsoku/>
              <w:autoSpaceDE/>
              <w:autoSpaceDN w:val="0"/>
              <w:jc w:val="center"/>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社会公众或服务对象满意度</w:t>
            </w:r>
          </w:p>
        </w:tc>
        <w:tc>
          <w:tcPr>
            <w:tcW w:w="241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173A746">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社会公众或服务对象对项目实施效果的满意程度。</w:t>
            </w:r>
          </w:p>
        </w:tc>
        <w:tc>
          <w:tcPr>
            <w:tcW w:w="3894"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380B328">
            <w:pPr>
              <w:shd w:val="solid" w:color="FFFFFF" w:fill="auto"/>
              <w:kinsoku/>
              <w:autoSpaceDE/>
              <w:autoSpaceDN w:val="0"/>
              <w:jc w:val="left"/>
              <w:textAlignment w:val="center"/>
              <w:rPr>
                <w:rFonts w:hint="default" w:ascii="楷体_GB2312" w:hAnsi="楷体_GB2312" w:eastAsia="楷体_GB2312"/>
                <w:b w:val="0"/>
                <w:i w:val="0"/>
                <w:snapToGrid/>
                <w:color w:val="000000"/>
                <w:sz w:val="22"/>
                <w:u w:val="none"/>
                <w:shd w:val="clear" w:color="auto" w:fill="FFFFFF"/>
                <w:lang w:eastAsia="zh-CN"/>
              </w:rPr>
            </w:pPr>
            <w:r>
              <w:rPr>
                <w:rFonts w:hint="default" w:ascii="楷体_GB2312" w:hAnsi="楷体_GB2312" w:eastAsia="楷体_GB2312"/>
                <w:b w:val="0"/>
                <w:i w:val="0"/>
                <w:snapToGrid/>
                <w:color w:val="000000"/>
                <w:sz w:val="22"/>
                <w:u w:val="none"/>
                <w:shd w:val="clear" w:color="auto" w:fill="FFFFFF"/>
                <w:lang w:eastAsia="zh-CN"/>
              </w:rPr>
              <w:t>社会公众或服务对象是指因该项目实施而受到影响的部门（单位）、群体或个人。一般采取社会调查的方式。</w:t>
            </w:r>
          </w:p>
        </w:tc>
      </w:tr>
    </w:tbl>
    <w:p w14:paraId="28910683">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left="0" w:leftChars="0" w:right="0" w:rightChars="0" w:firstLine="640" w:firstLineChars="200"/>
        <w:jc w:val="both"/>
        <w:textAlignment w:val="auto"/>
        <w:outlineLvl w:val="9"/>
        <w:rPr>
          <w:rFonts w:hint="eastAsia" w:ascii="仿宋_GB2312" w:hAnsi="宋体" w:eastAsia="仿宋_GB2312"/>
          <w:sz w:val="32"/>
          <w:szCs w:val="32"/>
          <w:lang w:val="en-US" w:eastAsia="zh-CN"/>
        </w:rPr>
      </w:pPr>
    </w:p>
    <w:p w14:paraId="1E634EFF">
      <w:pPr>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right="0" w:rightChars="0"/>
        <w:jc w:val="both"/>
        <w:textAlignment w:val="auto"/>
        <w:outlineLvl w:val="9"/>
        <w:rPr>
          <w:rFonts w:hint="eastAsia" w:ascii="仿宋_GB2312" w:hAnsi="宋体" w:eastAsia="仿宋_GB2312"/>
          <w:sz w:val="32"/>
          <w:szCs w:val="32"/>
          <w:lang w:val="en-US" w:eastAsia="zh-CN"/>
        </w:rPr>
      </w:pPr>
    </w:p>
    <w:p w14:paraId="06A2B244"/>
    <w:sectPr>
      <w:headerReference r:id="rId3" w:type="first"/>
      <w:footerReference r:id="rId6" w:type="first"/>
      <w:footerReference r:id="rId4" w:type="default"/>
      <w:footerReference r:id="rId5" w:type="even"/>
      <w:pgSz w:w="11906" w:h="16838"/>
      <w:pgMar w:top="1361" w:right="1644" w:bottom="1361" w:left="1644"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64973">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7644C">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4</w:t>
    </w:r>
    <w:r>
      <w:fldChar w:fldCharType="end"/>
    </w:r>
  </w:p>
  <w:p w14:paraId="4BFDB06C">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CA5B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5E1B6">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6DB571"/>
    <w:multiLevelType w:val="singleLevel"/>
    <w:tmpl w:val="2D6DB57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941B7"/>
    <w:rsid w:val="00D7566C"/>
    <w:rsid w:val="05DD246D"/>
    <w:rsid w:val="14974099"/>
    <w:rsid w:val="22151481"/>
    <w:rsid w:val="2A2941B7"/>
    <w:rsid w:val="2C0B0146"/>
    <w:rsid w:val="3A443B62"/>
    <w:rsid w:val="40F33F4A"/>
    <w:rsid w:val="4C7A334E"/>
    <w:rsid w:val="6DDC4369"/>
    <w:rsid w:val="6F821B18"/>
    <w:rsid w:val="778255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默认段落字体 Para Char Char Char Char Char Char Char"/>
    <w:basedOn w:val="1"/>
    <w:link w:val="5"/>
    <w:qFormat/>
    <w:uiPriority w:val="0"/>
  </w:style>
  <w:style w:type="character" w:styleId="7">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3270</Words>
  <Characters>3330</Characters>
  <Lines>0</Lines>
  <Paragraphs>0</Paragraphs>
  <TotalTime>0</TotalTime>
  <ScaleCrop>false</ScaleCrop>
  <LinksUpToDate>false</LinksUpToDate>
  <CharactersWithSpaces>3369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2020-01-02T08:14:00Z</dcterms:created>
  <dc:creator>838</dc:creator>
  <cp:lastModifiedBy>动心</cp:lastModifiedBy>
  <dcterms:modified xsi:type="dcterms:W3CDTF">2026-10-22T06:12:00Z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A4F4612320834191A127701A691FC4EC_13</vt:lpwstr>
  </property>
  <property fmtid="{D5CDD505-2E9C-101B-9397-08002B2CF9AE}" pid="4" name="KSOTemplateDocerSaveRecord">
    <vt:lpwstr>eyJoZGlkIjoiOTM2OTA3NTc0MWJhNWUxMTExMTc0MTlkYTY3OGJlYjUiLCJ1c2VySWQiOiI2NDI4NjI3NTgifQ==</vt:lpwstr>
  </property>
</Properties>
</file>