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rPr>
        <w:drawing>
          <wp:anchor distT="0" distB="0" distL="114300" distR="114300" simplePos="0" relativeHeight="251661312" behindDoc="1" locked="0" layoutInCell="1" allowOverlap="1">
            <wp:simplePos x="0" y="0"/>
            <wp:positionH relativeFrom="column">
              <wp:posOffset>-887730</wp:posOffset>
            </wp:positionH>
            <wp:positionV relativeFrom="page">
              <wp:posOffset>-201295</wp:posOffset>
            </wp:positionV>
            <wp:extent cx="7569835" cy="10692130"/>
            <wp:effectExtent l="0" t="0" r="12065" b="13970"/>
            <wp:wrapNone/>
            <wp:docPr id="4" name="图片 4" descr="H:\稻壳儿相关资料\封面-非模\01.jpg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H:\稻壳儿相关资料\封面-非模\01.jpg01"/>
                    <pic:cNvPicPr>
                      <a:picLocks noChangeAspect="1"/>
                    </pic:cNvPicPr>
                  </pic:nvPicPr>
                  <pic:blipFill>
                    <a:blip r:embed="rId13"/>
                    <a:srcRect/>
                    <a:stretch>
                      <a:fillRect/>
                    </a:stretch>
                  </pic:blipFill>
                  <pic:spPr>
                    <a:xfrm>
                      <a:off x="0" y="0"/>
                      <a:ext cx="7569835" cy="10692130"/>
                    </a:xfrm>
                    <a:prstGeom prst="rect">
                      <a:avLst/>
                    </a:prstGeom>
                  </pic:spPr>
                </pic:pic>
              </a:graphicData>
            </a:graphic>
          </wp:anchor>
        </w:drawing>
      </w:r>
      <w:r>
        <mc:AlternateContent>
          <mc:Choice Requires="wps">
            <w:drawing>
              <wp:anchor distT="0" distB="0" distL="114300" distR="114300" simplePos="0" relativeHeight="251659264" behindDoc="0" locked="0" layoutInCell="1" allowOverlap="1">
                <wp:simplePos x="0" y="0"/>
                <wp:positionH relativeFrom="column">
                  <wp:posOffset>-472440</wp:posOffset>
                </wp:positionH>
                <wp:positionV relativeFrom="paragraph">
                  <wp:posOffset>-17145</wp:posOffset>
                </wp:positionV>
                <wp:extent cx="6431280" cy="2862580"/>
                <wp:effectExtent l="0" t="0" r="0" b="0"/>
                <wp:wrapNone/>
                <wp:docPr id="1" name="文本框 1" descr="7b0a2020202022776f7264617274223a20227b5c2269645c223a32353030323136362c5c227469645c223a5c225c227d220a7d0a"/>
                <wp:cNvGraphicFramePr/>
                <a:graphic xmlns:a="http://schemas.openxmlformats.org/drawingml/2006/main">
                  <a:graphicData uri="http://schemas.microsoft.com/office/word/2010/wordprocessingShape">
                    <wps:wsp>
                      <wps:cNvSpPr txBox="1"/>
                      <wps:spPr>
                        <a:xfrm>
                          <a:off x="0" y="0"/>
                          <a:ext cx="6431280" cy="2862580"/>
                        </a:xfrm>
                        <a:prstGeom prst="rect">
                          <a:avLst/>
                        </a:prstGeom>
                        <a:noFill/>
                        <a:ln>
                          <a:noFill/>
                        </a:ln>
                        <a:effectLst/>
                      </wps:spPr>
                      <wps:txbx>
                        <w:txbxContent>
                          <w:p>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wps:txbx>
                      <wps:bodyPr upright="1"/>
                    </wps:wsp>
                  </a:graphicData>
                </a:graphic>
              </wp:anchor>
            </w:drawing>
          </mc:Choice>
          <mc:Fallback>
            <w:pict>
              <v:shape id="_x0000_s1026" o:spid="_x0000_s1026" o:spt="202" alt="7b0a2020202022776f7264617274223a20227b5c2269645c223a32353030323136362c5c227469645c223a5c225c227d220a7d0a" type="#_x0000_t202" style="position:absolute;left:0pt;margin-left:-37.2pt;margin-top:-1.35pt;height:225.4pt;width:506.4pt;z-index:251659264;mso-width-relative:page;mso-height-relative:page;" filled="f" stroked="f" coordsize="21600,21600" o:gfxdata="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XKyc01wAAAAoBAAAPAAAAAAAA&#10;AAEAIAAAACIAAABkcnMvZG93bnJldi54bWxQSwECFAAUAAAACACHTuJAIFbv09oBAACAAwAADgAA&#10;AAAAAAABACAAAAAmAQAAZHJzL2Uyb0RvYy54bWxQSwUGAAAAAAYABgBZAQAAcgUAAAAA&#10;">
                <v:fill on="f" focussize="0,0"/>
                <v:stroke on="f"/>
                <v:imagedata o:title=""/>
                <o:lock v:ext="edit" aspectratio="f"/>
                <v:textbox>
                  <w:txbxContent>
                    <w:p>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v:textbox>
              </v:shape>
            </w:pict>
          </mc:Fallback>
        </mc:AlternateContent>
      </w: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both"/>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石家庄市鹿泉区医疗保险管理中心</w:t>
      </w: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预算代码：</w:t>
      </w:r>
      <w:r>
        <w:rPr>
          <w:rFonts w:hint="eastAsia" w:ascii="楷体_GB2312" w:hAnsi="楷体_GB2312" w:eastAsia="楷体_GB2312" w:cs="楷体_GB2312"/>
          <w:b/>
          <w:bCs/>
          <w:color w:val="0D0D0D" w:themeColor="text1" w:themeTint="F2"/>
          <w:kern w:val="2"/>
          <w:sz w:val="48"/>
          <w:szCs w:val="56"/>
          <w:lang w:val="en-US" w:eastAsia="zh-CN"/>
          <w14:textFill>
            <w14:solidFill>
              <w14:schemeClr w14:val="tx1">
                <w14:lumMod w14:val="95000"/>
                <w14:lumOff w14:val="5000"/>
              </w14:schemeClr>
            </w14:solidFill>
          </w14:textFill>
        </w:rPr>
        <w:t>365003</w:t>
      </w:r>
    </w:p>
    <w:p>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p>
    <w:p>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二〇二六年八月</w:t>
      </w:r>
    </w:p>
    <w:p>
      <w:pPr>
        <w:spacing w:line="600" w:lineRule="auto"/>
        <w:jc w:val="both"/>
        <w:rPr>
          <w:rFonts w:hint="eastAsia" w:ascii="楷体_GB2312" w:hAnsi="楷体_GB2312" w:eastAsia="楷体_GB2312" w:cs="楷体_GB2312"/>
          <w:color w:val="000000"/>
          <w:sz w:val="40"/>
          <w:szCs w:val="40"/>
        </w:rPr>
        <w:sectPr>
          <w:footerReference r:id="rId3" w:type="default"/>
          <w:pgSz w:w="11906" w:h="16838"/>
          <w:pgMar w:top="2098" w:right="1417" w:bottom="1871" w:left="1417" w:header="851" w:footer="992" w:gutter="0"/>
          <w:pgBorders>
            <w:top w:val="none" w:sz="0" w:space="0"/>
            <w:left w:val="none" w:sz="0" w:space="0"/>
            <w:bottom w:val="none" w:sz="0" w:space="0"/>
            <w:right w:val="none" w:sz="0" w:space="0"/>
          </w:pgBorders>
          <w:cols w:space="720" w:num="1"/>
          <w:docGrid w:type="lines" w:linePitch="312" w:charSpace="0"/>
        </w:sectPr>
      </w:pPr>
    </w:p>
    <w:p>
      <w:pPr>
        <w:spacing w:line="600" w:lineRule="auto"/>
        <w:jc w:val="center"/>
        <w:rPr>
          <w:rFonts w:hint="eastAsia" w:ascii="楷体_GB2312" w:hAnsi="楷体_GB2312" w:eastAsia="楷体_GB2312" w:cs="楷体_GB2312"/>
          <w:color w:val="000000"/>
          <w:sz w:val="40"/>
          <w:szCs w:val="40"/>
        </w:rPr>
      </w:pPr>
    </w:p>
    <w:p>
      <w:pPr>
        <w:rPr>
          <w:rFonts w:hint="eastAsia" w:ascii="黑体" w:hAnsi="黑体" w:eastAsia="黑体" w:cs="黑体"/>
          <w:b/>
          <w:bCs/>
          <w:sz w:val="32"/>
          <w:szCs w:val="36"/>
          <w:highlight w:val="yellow"/>
        </w:rPr>
      </w:pPr>
    </w:p>
    <w:p>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方正小标宋_GBK"/>
          <w:b w:val="0"/>
          <w:sz w:val="72"/>
          <w:szCs w:val="72"/>
        </w:rPr>
        <w:t>石家庄市鹿泉区医疗保险管理中心</w:t>
      </w:r>
    </w:p>
    <w:p>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仿宋_GB2312"/>
          <w:b w:val="0"/>
          <w:sz w:val="72"/>
          <w:szCs w:val="72"/>
        </w:rPr>
        <w:t>2025</w:t>
      </w:r>
      <w:r>
        <w:rPr>
          <w:rFonts w:ascii="Times New Roman" w:eastAsia="方正小标宋_GBK"/>
          <w:b w:val="0"/>
          <w:sz w:val="72"/>
          <w:szCs w:val="72"/>
        </w:rPr>
        <w:t>年度部门决算公开文本</w:t>
      </w:r>
    </w:p>
    <w:p>
      <w:pPr>
        <w:spacing w:line="360" w:lineRule="auto"/>
        <w:jc w:val="center"/>
        <w:rPr>
          <w:rFonts w:ascii="黑体" w:hAnsi="黑体" w:eastAsia="黑体" w:cs="黑体"/>
          <w:sz w:val="56"/>
          <w:szCs w:val="72"/>
        </w:rPr>
      </w:pPr>
    </w:p>
    <w:p>
      <w:pPr>
        <w:spacing w:line="480" w:lineRule="auto"/>
        <w:jc w:val="both"/>
        <w:rPr>
          <w:rFonts w:ascii="黑体" w:hAnsi="黑体" w:eastAsia="黑体" w:cs="黑体"/>
          <w:sz w:val="56"/>
          <w:szCs w:val="72"/>
        </w:rPr>
      </w:pPr>
    </w:p>
    <w:p>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石家庄市鹿泉区医疗保险管理中心</w:t>
      </w:r>
    </w:p>
    <w:p>
      <w:pPr>
        <w:widowControl/>
        <w:spacing w:before="0" w:beforeLines="0" w:beforeAutospacing="0" w:after="0" w:afterLines="0" w:afterAutospacing="0" w:line="240" w:lineRule="auto"/>
        <w:jc w:val="center"/>
        <w:rPr>
          <w:rFonts w:ascii="Times New Roman" w:eastAsia="楷体_GB2312"/>
          <w:sz w:val="44"/>
          <w:szCs w:val="44"/>
        </w:rPr>
      </w:pPr>
      <w:r>
        <w:rPr>
          <w:rFonts w:ascii="Times New Roman" w:eastAsia="楷体_GB2312"/>
          <w:b w:val="0"/>
          <w:sz w:val="44"/>
          <w:szCs w:val="44"/>
        </w:rPr>
        <w:t>(加盖公章）</w:t>
      </w:r>
    </w:p>
    <w:p>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二〇二六年八月</w:t>
      </w:r>
    </w:p>
    <w:p>
      <w:pPr>
        <w:rPr>
          <w:rFonts w:hint="eastAsia"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r>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br w:type="page"/>
      </w:r>
    </w:p>
    <w:p>
      <w:pPr>
        <w:snapToGrid w:val="0"/>
        <w:jc w:val="left"/>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sectPr>
          <w:footerReference r:id="rId4" w:type="default"/>
          <w:pgSz w:w="11906" w:h="16838"/>
          <w:pgMar w:top="1531" w:right="1984" w:bottom="1531" w:left="2098" w:header="851" w:footer="992" w:gutter="0"/>
          <w:pgBorders>
            <w:top w:val="none" w:sz="0" w:space="0"/>
            <w:left w:val="none" w:sz="0" w:space="0"/>
            <w:bottom w:val="none" w:sz="0" w:space="0"/>
            <w:right w:val="none" w:sz="0" w:space="0"/>
          </w:pgBorders>
          <w:pgNumType w:start="1"/>
          <w:cols w:space="720" w:num="1"/>
          <w:docGrid w:type="lines" w:linePitch="312" w:charSpace="0"/>
        </w:sectPr>
      </w:pP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目  录</w:t>
      </w:r>
    </w:p>
    <w:p>
      <w:pPr>
        <w:widowControl/>
        <w:spacing w:after="160" w:line="580" w:lineRule="exact"/>
        <w:ind w:firstLine="640" w:firstLineChars="200"/>
        <w:rPr>
          <w:rFonts w:ascii="Times New Roman" w:hAnsi="Times New Roman" w:eastAsia="黑体" w:cs="Times New Roman"/>
          <w:sz w:val="32"/>
          <w:szCs w:val="32"/>
        </w:rPr>
      </w:pPr>
    </w:p>
    <w:p>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第一部分单位概况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一、单位职责</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二、机构设置</w:t>
      </w:r>
    </w:p>
    <w:p>
      <w:pPr>
        <w:widowControl/>
        <w:spacing w:before="0" w:beforeLines="0" w:beforeAutospacing="0" w:after="0" w:afterLines="0" w:afterAutospacing="0" w:line="360" w:lineRule="auto"/>
        <w:jc w:val="left"/>
        <w:outlineLvl w:val="0"/>
        <w:rPr>
          <w:rFonts w:ascii="Times New Roman" w:eastAsia="黑体"/>
          <w:sz w:val="32"/>
          <w:szCs w:val="32"/>
        </w:rPr>
      </w:pPr>
      <w:r>
        <w:rPr>
          <w:rFonts w:ascii="Times New Roman" w:eastAsia="黑体"/>
          <w:b w:val="0"/>
          <w:sz w:val="32"/>
          <w:szCs w:val="32"/>
        </w:rPr>
        <w:t>第二部分 2025年度部门决算报表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五、一般公共预算财政拨款支出决算表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六、一般公共预算财政拨款基本支出决算明细表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七、政府性基金预算财政拨款收入支出决算表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八、国有资本经营预算财政拨款支出决算表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九、财政拨款“三公”经费支出决算表</w:t>
      </w:r>
    </w:p>
    <w:p>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第三部分 2025年度部门决算情况说明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一、收入支出决算总体情况说明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四、财政拨款收入支出决算总体情况说明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五、财政拨款“三公”经费支出决算情况说明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六、机关运行经费支出说明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七、政府采购支出说明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八、国有资产占用情况说明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九、关于2025年度绩效评价情况的说明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十、其他需要说明的情况</w:t>
      </w:r>
    </w:p>
    <w:p>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第四部分 名词解释</w:t>
      </w:r>
    </w:p>
    <w:p>
      <w:pPr>
        <w:widowControl/>
        <w:spacing w:after="160" w:line="580" w:lineRule="exact"/>
        <w:rPr>
          <w:rFonts w:hint="eastAsia" w:ascii="Times New Roman" w:hAnsi="Times New Roman" w:eastAsia="黑体" w:cs="Times New Roman"/>
          <w:sz w:val="32"/>
          <w:szCs w:val="32"/>
          <w:lang w:val="en-US" w:eastAsia="zh-CN"/>
        </w:rPr>
        <w:sectPr>
          <w:headerReference r:id="rId6" w:type="first"/>
          <w:footerReference r:id="rId8" w:type="first"/>
          <w:headerReference r:id="rId5" w:type="default"/>
          <w:footerReference r:id="rId7" w:type="default"/>
          <w:pgSz w:w="11906" w:h="16838"/>
          <w:pgMar w:top="1474" w:right="1531" w:bottom="1474" w:left="1531" w:header="851" w:footer="992" w:gutter="0"/>
          <w:pgBorders>
            <w:top w:val="none" w:sz="0" w:space="0"/>
            <w:left w:val="none" w:sz="0" w:space="0"/>
            <w:bottom w:val="none" w:sz="0" w:space="0"/>
            <w:right w:val="none" w:sz="0" w:space="0"/>
          </w:pgBorders>
          <w:cols w:space="0" w:num="1"/>
          <w:titlePg/>
          <w:docGrid w:type="lines" w:linePitch="312" w:charSpace="0"/>
        </w:sect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第一部分单位概况</w:t>
      </w: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outlineLvl w:val="1"/>
        <w:rPr>
          <w:rFonts w:hint="eastAsia" w:ascii="黑体" w:hAnsi="宋体" w:eastAsia="黑体" w:cs="黑体"/>
          <w:i w:val="0"/>
          <w:iCs w:val="0"/>
          <w:caps w:val="0"/>
          <w:color w:val="000000"/>
          <w:spacing w:val="0"/>
          <w:sz w:val="32"/>
          <w:szCs w:val="32"/>
          <w:highlight w:val="none"/>
          <w:shd w:val="clear" w:fill="FFFFFF"/>
          <w:lang w:val="en-US" w:eastAsia="zh-CN"/>
        </w:rPr>
      </w:pP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一、单位职责</w:t>
      </w:r>
    </w:p>
    <w:p>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根据《石家庄市鹿泉区医疗保障局职能配置、 内设 机构和人员编制规定》,石家庄市鹿泉区医疗保险管理中 心的主要职责是：</w:t>
      </w:r>
    </w:p>
    <w:p>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根据《中共石家庄市委办公厅、石家庄市人民政府 办公厅关于印发〈石家庄市鹿泉区机构改革方案〉 的通 知》（石办【2018】86 号），制定本规定。</w:t>
      </w:r>
    </w:p>
    <w:p>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石家庄市鹿泉区医疗保险管理中心贯彻落实党中央 和省、市、 区委关于医疗保障工作的方针政策和决策部 署，坚持和加强党对医疗保障工作的集中统一领导。</w:t>
      </w:r>
    </w:p>
    <w:p>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贯彻落实国家、省、市关于城镇职工和城乡居民</w:t>
      </w:r>
      <w:r>
        <w:rPr>
          <w:rFonts w:hint="eastAsia" w:ascii="Times New Roman" w:eastAsia="仿宋_GB2312"/>
          <w:b w:val="0"/>
          <w:sz w:val="32"/>
          <w:szCs w:val="32"/>
          <w:lang w:eastAsia="zh-CN"/>
        </w:rPr>
        <w:t>基本</w:t>
      </w:r>
      <w:r>
        <w:rPr>
          <w:rFonts w:ascii="Times New Roman" w:eastAsia="仿宋_GB2312"/>
          <w:b w:val="0"/>
          <w:sz w:val="32"/>
          <w:szCs w:val="32"/>
        </w:rPr>
        <w:t>医疗保险、生育保险、长期护理保险、 医疗救助等医疗保 障法规、规章以及政策、制度、规划和标准。按照政策 规定拟定本辖区具体医疗保障政策，并组织实施。</w:t>
      </w:r>
    </w:p>
    <w:p>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贯彻落实石家庄市城镇职工、城乡居民参保筹资和 保障等相关待遇政策。</w:t>
      </w:r>
    </w:p>
    <w:p>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贯彻落实长期护理保险制度及政 策并组织实施。 贯彻落实城乡统一的药品、 医用耗材、 医疗服务项 目、 医疗服务设施等医保支付标准。</w:t>
      </w:r>
    </w:p>
    <w:p>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贯彻落实石家庄市定点医疗机构协议和支付管理办 法。建立健全医疗保障信用评价体系和信息披露制度， 监督管理定点医药机构的医疗服务行为、 医药费用和医 药价格，依法查处医疗保障领域违法违规行为。</w:t>
      </w:r>
    </w:p>
    <w:p>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负责医疗保障经办管理、公共服务体系和信息化建 设。贯彻落实异地就医管理和费用结算政策、 医疗保障关系转移接续制度。</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完成区委、 区政府、区医保局交办的其他任务。</w:t>
      </w: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二、机构设置</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从决算编报单位构成看，纳入2025年度本部门决算汇编范围的独立核算单位（以下简称“单位”）共1个，具体情况如下：</w:t>
      </w:r>
    </w:p>
    <w:tbl>
      <w:tblPr>
        <w:tblStyle w:val="11"/>
        <w:tblpPr w:leftFromText="180" w:rightFromText="180" w:vertAnchor="text" w:horzAnchor="page" w:tblpXSpec="center" w:tblpY="10"/>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445"/>
        <w:gridCol w:w="26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98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序号</w:t>
            </w:r>
          </w:p>
        </w:tc>
        <w:tc>
          <w:tcPr>
            <w:tcW w:w="348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单位名称</w:t>
            </w:r>
          </w:p>
        </w:tc>
        <w:tc>
          <w:tcPr>
            <w:tcW w:w="244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单位基本性质</w:t>
            </w:r>
          </w:p>
        </w:tc>
        <w:tc>
          <w:tcPr>
            <w:tcW w:w="266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经费形式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1</w:t>
            </w:r>
          </w:p>
        </w:tc>
        <w:tc>
          <w:tcPr>
            <w:tcW w:w="3485" w:type="dxa"/>
          </w:tcPr>
          <w:p>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石家庄市鹿泉区医疗保险管理中心</w:t>
            </w:r>
          </w:p>
        </w:tc>
        <w:tc>
          <w:tcPr>
            <w:tcW w:w="2445" w:type="dxa"/>
          </w:tcPr>
          <w:p>
            <w:pPr>
              <w:spacing w:line="560" w:lineRule="exact"/>
              <w:jc w:val="center"/>
              <w:rPr>
                <w:rFonts w:hint="eastAsia" w:ascii="仿宋_GB2312" w:hAnsi="Calibri" w:eastAsia="仿宋_GB2312" w:cs="ArialUnicodeMS"/>
                <w:kern w:val="0"/>
                <w:sz w:val="28"/>
                <w:szCs w:val="28"/>
                <w:lang w:val="en-US" w:eastAsia="zh-CN"/>
              </w:rPr>
            </w:pPr>
            <w:r>
              <w:rPr>
                <w:rFonts w:hint="eastAsia" w:ascii="仿宋_GB2312" w:hAnsi="Calibri" w:eastAsia="仿宋_GB2312" w:cs="ArialUnicodeMS"/>
                <w:kern w:val="0"/>
                <w:sz w:val="28"/>
                <w:szCs w:val="28"/>
                <w:lang w:val="en-US" w:eastAsia="zh-CN"/>
              </w:rPr>
              <w:t>财政补助事业单位</w:t>
            </w:r>
          </w:p>
        </w:tc>
        <w:tc>
          <w:tcPr>
            <w:tcW w:w="2665" w:type="dxa"/>
          </w:tcPr>
          <w:p>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财政拨款</w:t>
            </w:r>
          </w:p>
        </w:tc>
      </w:tr>
    </w:tbl>
    <w:p>
      <w:pPr>
        <w:rPr>
          <w:rFonts w:hint="eastAsia" w:ascii="Times New Roman" w:hAnsi="Times New Roman" w:eastAsia="黑体" w:cs="Times New Roman"/>
          <w:sz w:val="32"/>
          <w:szCs w:val="32"/>
          <w:highlight w:val="yellow"/>
        </w:rPr>
      </w:pPr>
      <w:r>
        <w:rPr>
          <w:rFonts w:hint="eastAsia" w:ascii="Times New Roman" w:hAnsi="Times New Roman" w:eastAsia="黑体" w:cs="Times New Roman"/>
          <w:sz w:val="32"/>
          <w:szCs w:val="32"/>
          <w:highlight w:val="yellow"/>
        </w:rPr>
        <w:br w:type="page"/>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第二部分</w:t>
      </w:r>
      <w:r>
        <w:rPr>
          <w:rFonts w:ascii="Times New Roman" w:eastAsia="仿宋_GB2312"/>
          <w:b w:val="0"/>
          <w:sz w:val="44"/>
          <w:szCs w:val="44"/>
        </w:rPr>
        <w:t>2025</w:t>
      </w:r>
      <w:r>
        <w:rPr>
          <w:rFonts w:ascii="Times New Roman" w:eastAsia="黑体"/>
          <w:b w:val="0"/>
          <w:sz w:val="44"/>
          <w:szCs w:val="44"/>
        </w:rPr>
        <w:t>年度部门决算表</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bidi w:val="0"/>
        <w:rPr>
          <w:rFonts w:hint="default"/>
          <w:lang w:val="en-US" w:eastAsia="zh-CN"/>
        </w:rPr>
      </w:pPr>
    </w:p>
    <w:p>
      <w:pPr>
        <w:bidi w:val="0"/>
        <w:rPr>
          <w:rFonts w:hint="default"/>
          <w:lang w:val="en-US" w:eastAsia="zh-CN"/>
        </w:rPr>
      </w:pPr>
    </w:p>
    <w:tbl>
      <w:tblPr>
        <w:tblStyle w:val="11"/>
        <w:tblW w:w="7250" w:type="pct"/>
        <w:tblInd w:w="-181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46"/>
        <w:gridCol w:w="624"/>
        <w:gridCol w:w="611"/>
        <w:gridCol w:w="1154"/>
        <w:gridCol w:w="1791"/>
        <w:gridCol w:w="1300"/>
        <w:gridCol w:w="675"/>
        <w:gridCol w:w="2124"/>
        <w:gridCol w:w="3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61" w:hRule="atLeast"/>
        </w:trPr>
        <w:tc>
          <w:tcPr>
            <w:tcW w:w="4985" w:type="pct"/>
            <w:gridSpan w:val="8"/>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收入支出决算总表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7" w:hRule="atLeast"/>
        </w:trPr>
        <w:tc>
          <w:tcPr>
            <w:tcW w:w="4985" w:type="pct"/>
            <w:gridSpan w:val="8"/>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公开</w:t>
            </w:r>
            <w:r>
              <w:rPr>
                <w:rFonts w:hint="eastAsia" w:ascii="Times New Roman" w:hAnsi="Times New Roman" w:eastAsia="宋体" w:cs="Times New Roman"/>
                <w:i w:val="0"/>
                <w:iCs w:val="0"/>
                <w:color w:val="000000"/>
                <w:sz w:val="20"/>
                <w:szCs w:val="20"/>
                <w:highlight w:val="none"/>
                <w:u w:val="none"/>
                <w:lang w:val="en-US" w:eastAsia="zh-CN"/>
              </w:rPr>
              <w:t>01</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1" w:hRule="atLeast"/>
        </w:trPr>
        <w:tc>
          <w:tcPr>
            <w:tcW w:w="1964" w:type="pct"/>
            <w:gridSpan w:val="3"/>
            <w:tcBorders>
              <w:top w:val="nil"/>
              <w:left w:val="nil"/>
              <w:bottom w:val="single" w:color="000000" w:themeColor="text1" w:sz="8" w:space="0"/>
              <w:right w:val="nil"/>
            </w:tcBorders>
            <w:noWrap/>
            <w:vAlign w:val="bottom"/>
          </w:tcPr>
          <w:p>
            <w:pPr>
              <w:jc w:val="both"/>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部门（单位）：石家庄市鹿泉区医疗保险管理中心</w:t>
            </w:r>
          </w:p>
        </w:tc>
        <w:tc>
          <w:tcPr>
            <w:tcW w:w="1262" w:type="pct"/>
            <w:gridSpan w:val="2"/>
            <w:tcBorders>
              <w:top w:val="nil"/>
              <w:left w:val="nil"/>
              <w:bottom w:val="single" w:color="000000" w:themeColor="text1" w:sz="8" w:space="0"/>
              <w:right w:val="nil"/>
            </w:tcBorders>
            <w:noWrap/>
            <w:vAlign w:val="bottom"/>
          </w:tcPr>
          <w:p>
            <w:pPr>
              <w:jc w:val="center"/>
              <w:rPr>
                <w:rFonts w:hint="default" w:ascii="宋体" w:hAnsi="宋体" w:eastAsia="宋体" w:cs="宋体"/>
                <w:i w:val="0"/>
                <w:iCs w:val="0"/>
                <w:color w:val="000000"/>
                <w:kern w:val="0"/>
                <w:sz w:val="20"/>
                <w:szCs w:val="20"/>
                <w:highlight w:val="none"/>
                <w:u w:val="none"/>
                <w:lang w:val="en-US" w:eastAsia="zh-CN" w:bidi="ar"/>
              </w:rPr>
            </w:pPr>
            <w:r>
              <w:rPr>
                <w:rFonts w:hint="eastAsia" w:ascii="Times New Roman" w:hAnsi="Times New Roman" w:eastAsia="宋体" w:cs="Times New Roman"/>
                <w:i w:val="0"/>
                <w:iCs w:val="0"/>
                <w:color w:val="000000"/>
                <w:sz w:val="20"/>
                <w:szCs w:val="20"/>
                <w:highlight w:val="none"/>
                <w:u w:val="none"/>
                <w:lang w:val="en-US" w:eastAsia="zh-CN"/>
              </w:rPr>
              <w:t>2025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57" w:type="pct"/>
            <w:gridSpan w:val="3"/>
            <w:tcBorders>
              <w:top w:val="nil"/>
              <w:left w:val="nil"/>
              <w:bottom w:val="single" w:color="000000" w:themeColor="text1" w:sz="8" w:space="0"/>
              <w:right w:val="nil"/>
            </w:tcBorders>
            <w:noWrap/>
            <w:vAlign w:val="bottom"/>
          </w:tcPr>
          <w:p>
            <w:pPr>
              <w:jc w:val="right"/>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44" w:hRule="atLeast"/>
        </w:trPr>
        <w:tc>
          <w:tcPr>
            <w:tcW w:w="245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收入</w:t>
            </w:r>
          </w:p>
        </w:tc>
        <w:tc>
          <w:tcPr>
            <w:tcW w:w="2525"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1</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宋体" w:hAnsi="宋体" w:eastAsia="宋体" w:cs="宋体"/>
                <w:i w:val="0"/>
                <w:iCs w:val="0"/>
                <w:color w:val="000000"/>
                <w:sz w:val="20"/>
                <w:szCs w:val="20"/>
                <w:highlight w:val="none"/>
                <w:u w:val="none"/>
                <w:lang w:val="en-US" w:eastAsia="zh-CN"/>
              </w:rPr>
              <w:t>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5,548.49</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四、上级补助收入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五、事业收入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六、经营收入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七、附属单位上缴收入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八、其他收入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66.38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40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5,448.38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681"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78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9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50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33.73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二十二、灾害防治及应急管理支出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二十六、抗疫特别国债安排的支出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5,548.49</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5,548.49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使用非财政拨款结余（含专用结余）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结余分配</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60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5,548.49</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5,548.49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nil"/>
              <w:left w:val="nil"/>
              <w:bottom w:val="nil"/>
              <w:right w:val="nil"/>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注：1.本表反映部门本年度的总收支和年末结转结余情况。</w:t>
            </w:r>
          </w:p>
          <w:p>
            <w:pPr>
              <w:keepNext w:val="0"/>
              <w:keepLines w:val="0"/>
              <w:widowControl/>
              <w:suppressLineNumbers w:val="0"/>
              <w:ind w:firstLine="400" w:firstLineChars="20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2.本套报表金额转换时可能存在尾数误差。</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92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60"/>
        <w:gridCol w:w="1037"/>
        <w:gridCol w:w="1037"/>
        <w:gridCol w:w="1037"/>
        <w:gridCol w:w="964"/>
        <w:gridCol w:w="367"/>
        <w:gridCol w:w="597"/>
        <w:gridCol w:w="1027"/>
        <w:gridCol w:w="96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9230" w:type="dxa"/>
            <w:gridSpan w:val="10"/>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230" w:type="dxa"/>
            <w:gridSpan w:val="10"/>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eastAsia" w:ascii="Times New Roman" w:hAnsi="Times New Roman" w:eastAsia="宋体" w:cs="Times New Roman"/>
                <w:i w:val="0"/>
                <w:iCs w:val="0"/>
                <w:color w:val="000000"/>
                <w:sz w:val="20"/>
                <w:szCs w:val="20"/>
                <w:highlight w:val="none"/>
                <w:u w:val="none"/>
                <w:lang w:val="en-US" w:eastAsia="zh-CN"/>
              </w:rPr>
              <w:t>02</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237" w:type="dxa"/>
            <w:gridSpan w:val="3"/>
            <w:tcBorders>
              <w:top w:val="nil"/>
              <w:left w:val="nil"/>
              <w:bottom w:val="single" w:color="000000" w:themeColor="text1" w:sz="8" w:space="0"/>
              <w:right w:val="nil"/>
            </w:tcBorders>
            <w:noWrap/>
            <w:vAlign w:val="bottom"/>
          </w:tcPr>
          <w:p>
            <w:pP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部门（单位）：石家庄市鹿泉区医疗保险管理中心                                                                                                         </w:t>
            </w:r>
          </w:p>
        </w:tc>
        <w:tc>
          <w:tcPr>
            <w:tcW w:w="3405" w:type="dxa"/>
            <w:gridSpan w:val="4"/>
            <w:tcBorders>
              <w:top w:val="nil"/>
              <w:left w:val="nil"/>
              <w:bottom w:val="single" w:color="000000" w:themeColor="text1" w:sz="8" w:space="0"/>
              <w:right w:val="nil"/>
            </w:tcBorders>
            <w:noWrap/>
            <w:vAlign w:val="bottom"/>
          </w:tcPr>
          <w:p>
            <w:pPr>
              <w:jc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default" w:ascii="Times New Roman" w:hAnsi="Times New Roman" w:eastAsia="方正仿宋_GB2312" w:cs="Times New Roman"/>
                <w:i w:val="0"/>
                <w:iCs w:val="0"/>
                <w:color w:val="000000"/>
                <w:sz w:val="20"/>
                <w:szCs w:val="20"/>
                <w:highlight w:val="none"/>
                <w:u w:val="none"/>
                <w:lang w:val="en-US" w:eastAsia="zh-CN"/>
              </w:rPr>
              <w:t>202</w:t>
            </w:r>
            <w:r>
              <w:rPr>
                <w:rFonts w:hint="eastAsia" w:ascii="Times New Roman" w:hAnsi="Times New Roman" w:eastAsia="方正仿宋_GB2312" w:cs="Times New Roman"/>
                <w:i w:val="0"/>
                <w:iCs w:val="0"/>
                <w:color w:val="000000"/>
                <w:sz w:val="20"/>
                <w:szCs w:val="20"/>
                <w:highlight w:val="none"/>
                <w:u w:val="none"/>
                <w:lang w:val="en-US" w:eastAsia="zh-CN"/>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2588" w:type="dxa"/>
            <w:gridSpan w:val="3"/>
            <w:tcBorders>
              <w:top w:val="nil"/>
              <w:left w:val="nil"/>
              <w:bottom w:val="single" w:color="000000" w:themeColor="text1" w:sz="8" w:space="0"/>
              <w:right w:val="nil"/>
            </w:tcBorders>
            <w:noWrap/>
            <w:vAlign w:val="bottom"/>
          </w:tcPr>
          <w:p>
            <w:pPr>
              <w:jc w:val="right"/>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本年收入合计</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财政拨款收入</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上级补助收入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事业收入</w:t>
            </w:r>
          </w:p>
        </w:tc>
        <w:tc>
          <w:tcPr>
            <w:tcW w:w="964"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经营收入</w:t>
            </w:r>
          </w:p>
        </w:tc>
        <w:tc>
          <w:tcPr>
            <w:tcW w:w="102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附属单位上缴收入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其他收入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16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4</w:t>
            </w: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6</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5,548.49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5,548.49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社会保障和就业支出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66.38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66.38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行政事业单位养老支出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54.38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54.38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事业单位离退休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20.36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20.36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机关事业单位基本养老保险缴费支出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34.02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34.02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退役安置</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2080901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退役士兵安置</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卫生健康支出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5,448.38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5,448.38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18.59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18.59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事业单位医疗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18.59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18.59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财政对基本医疗保险基金的补助</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4,979.58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4,979.58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2101202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财政对城乡居民基本医疗保险基金的补助</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4,979.58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4,979.58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21014</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优抚对象医疗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2101499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其他优抚对象医疗支出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医疗保障管理事务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350.21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350.21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2101501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行政运行</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2101550</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事业运行</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346.71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346.71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住房保障支出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33.73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33.73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住房改革支出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33.73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33.73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住房公积金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33.73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33.73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230" w:type="dxa"/>
            <w:gridSpan w:val="10"/>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注：本表反映部门本年度取得的各项收入情况。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黑体" w:hAnsi="黑体" w:eastAsia="黑体" w:cs="宋体"/>
          <w:bCs/>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12"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87"/>
        <w:gridCol w:w="1128"/>
        <w:gridCol w:w="126"/>
        <w:gridCol w:w="1000"/>
        <w:gridCol w:w="1126"/>
        <w:gridCol w:w="497"/>
        <w:gridCol w:w="629"/>
        <w:gridCol w:w="1126"/>
        <w:gridCol w:w="148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5000" w:type="pct"/>
            <w:gridSpan w:val="10"/>
            <w:tcBorders>
              <w:top w:val="nil"/>
              <w:left w:val="nil"/>
              <w:bottom w:val="nil"/>
              <w:right w:val="nil"/>
            </w:tcBorders>
            <w:noWrap/>
            <w:vAlign w:val="bottom"/>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br w:type="page"/>
            </w:r>
            <w:r>
              <w:rPr>
                <w:rFonts w:hint="eastAsia" w:ascii="方正仿宋_GB2312" w:hAnsi="方正仿宋_GB2312" w:eastAsia="方正仿宋_GB2312" w:cs="方正仿宋_GB2312"/>
                <w:b w:val="0"/>
                <w:bCs/>
                <w:color w:val="auto"/>
                <w:kern w:val="0"/>
                <w:sz w:val="32"/>
                <w:szCs w:val="32"/>
                <w:highlight w:val="none"/>
                <w:lang w:val="en-US" w:eastAsia="zh-CN"/>
              </w:rPr>
              <w:t>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5000" w:type="pct"/>
            <w:gridSpan w:val="10"/>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03</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862" w:type="pct"/>
            <w:gridSpan w:val="4"/>
            <w:tcBorders>
              <w:top w:val="nil"/>
              <w:left w:val="nil"/>
              <w:bottom w:val="single" w:color="000000" w:themeColor="text1" w:sz="8" w:space="0"/>
              <w:right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部门（单位）：石家庄市鹿泉区医疗保险管理中心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1403" w:type="pct"/>
            <w:gridSpan w:val="3"/>
            <w:tcBorders>
              <w:top w:val="nil"/>
              <w:left w:val="nil"/>
              <w:bottom w:val="single" w:color="000000" w:themeColor="text1" w:sz="8" w:space="0"/>
              <w:right w:val="nil"/>
            </w:tcBorders>
            <w:noWrap/>
            <w:vAlign w:val="bottom"/>
          </w:tcPr>
          <w:p>
            <w:pPr>
              <w:keepNext w:val="0"/>
              <w:keepLines w:val="0"/>
              <w:widowControl/>
              <w:suppressLineNumbers w:val="0"/>
              <w:jc w:val="center"/>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34" w:type="pct"/>
            <w:gridSpan w:val="3"/>
            <w:tcBorders>
              <w:top w:val="nil"/>
              <w:left w:val="nil"/>
              <w:bottom w:val="single" w:color="000000" w:themeColor="text1" w:sz="8" w:space="0"/>
              <w:right w:val="nil"/>
            </w:tcBorders>
            <w:noWrap/>
            <w:vAlign w:val="bottom"/>
          </w:tcPr>
          <w:p>
            <w:pPr>
              <w:keepNext w:val="0"/>
              <w:keepLines w:val="0"/>
              <w:widowControl/>
              <w:suppressLineNumbers w:val="0"/>
              <w:jc w:val="right"/>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本年支出合计</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上缴上级支出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经营支出</w:t>
            </w:r>
          </w:p>
        </w:tc>
        <w:tc>
          <w:tcPr>
            <w:tcW w:w="79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对附属单位补助支出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6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5,548.49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456.91</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5,091.58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66.38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54.38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54.38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54.38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事业单位离退休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20.36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20.36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34.02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34.02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退役安置</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2080901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退役士兵安置</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5,448.38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368.80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5,079.58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18.59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18.59</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事业单位医疗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18.59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18.59</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财政对基本医疗保险基金的补助</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4,979.58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4,979.58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2101202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财政对城乡居民基本医疗保险基金的补助</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4,979.58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4,979.58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21014</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优抚对象医疗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2101499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其他优抚对象医疗支出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医疗保障管理事务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350.21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350.21</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2101501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3.50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3.50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2101550</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事业运行</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346.71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346.71</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33.73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33.73</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33.73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33.73</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33.73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33.73</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000" w:type="pct"/>
            <w:gridSpan w:val="10"/>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注：本表反映部门本年度各项支出情况。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7281" w:type="pct"/>
        <w:tblInd w:w="-18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84"/>
        <w:gridCol w:w="624"/>
        <w:gridCol w:w="1427"/>
        <w:gridCol w:w="1659"/>
        <w:gridCol w:w="439"/>
        <w:gridCol w:w="624"/>
        <w:gridCol w:w="458"/>
        <w:gridCol w:w="837"/>
        <w:gridCol w:w="1219"/>
        <w:gridCol w:w="1219"/>
        <w:gridCol w:w="121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1"/>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财政拨款收入支出决算总表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1"/>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31" w:type="pct"/>
            <w:gridSpan w:val="4"/>
            <w:tcBorders>
              <w:top w:val="nil"/>
              <w:left w:val="nil"/>
              <w:bottom w:val="single" w:color="000000" w:themeColor="text1" w:sz="8" w:space="0"/>
              <w:right w:val="nil"/>
            </w:tcBorders>
            <w:noWrap/>
            <w:vAlign w:val="bottom"/>
          </w:tcPr>
          <w:p>
            <w:pPr>
              <w:rPr>
                <w:rFonts w:hint="eastAsia" w:ascii="仿宋" w:hAnsi="仿宋" w:eastAsia="仿宋" w:cs="仿宋"/>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部门（单位）：石家庄市鹿泉区医疗保险管理中心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649" w:type="pct"/>
            <w:gridSpan w:val="3"/>
            <w:tcBorders>
              <w:top w:val="nil"/>
              <w:left w:val="nil"/>
              <w:bottom w:val="single" w:color="000000" w:themeColor="text1" w:sz="8" w:space="0"/>
              <w:right w:val="nil"/>
            </w:tcBorders>
            <w:noWrap/>
            <w:vAlign w:val="bottom"/>
          </w:tcPr>
          <w:p>
            <w:pPr>
              <w:jc w:val="center"/>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919" w:type="pct"/>
            <w:gridSpan w:val="4"/>
            <w:tcBorders>
              <w:top w:val="nil"/>
              <w:left w:val="nil"/>
              <w:bottom w:val="single" w:color="000000" w:themeColor="text1" w:sz="8" w:space="0"/>
              <w:right w:val="nil"/>
            </w:tcBorders>
            <w:noWrap/>
            <w:vAlign w:val="bottom"/>
          </w:tcPr>
          <w:p>
            <w:pPr>
              <w:jc w:val="right"/>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23"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收入</w:t>
            </w:r>
          </w:p>
        </w:tc>
        <w:tc>
          <w:tcPr>
            <w:tcW w:w="3276" w:type="pct"/>
            <w:gridSpan w:val="8"/>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    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60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金额</w:t>
            </w:r>
          </w:p>
        </w:tc>
        <w:tc>
          <w:tcPr>
            <w:tcW w:w="895"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55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合计</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一般公共预算财政拨款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政府性基金预算财政拨款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国有资本经营预算财政拨款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0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895"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5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5,548.49</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66.38</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66.38</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5,448.38</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5,448.38</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6"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33.73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33.73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二十二、灾害防治及应急管理支出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b/>
                <w:bCs/>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二十六、抗疫特别国债安排的支出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5,548.49</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5,548.49</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5,548.49</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both"/>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both"/>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5,548.49</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5,548.49</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cs="Times New Roman"/>
                <w:sz w:val="20"/>
                <w:szCs w:val="20"/>
                <w:highlight w:val="none"/>
              </w:rPr>
            </w:pPr>
          </w:p>
          <w:p>
            <w:pPr>
              <w:jc w:val="right"/>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5,548.49</w:t>
            </w:r>
          </w:p>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11"/>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注：本表反映部门本年度一般公共预算财政拨款、政府性基金预算财政拨款和国有资本经营预算财政拨款的总收支和年末结转结余情况。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348" w:type="pct"/>
        <w:tblInd w:w="-6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16"/>
        <w:gridCol w:w="3816"/>
        <w:gridCol w:w="321"/>
        <w:gridCol w:w="712"/>
        <w:gridCol w:w="936"/>
        <w:gridCol w:w="378"/>
        <w:gridCol w:w="152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7" w:hRule="atLeast"/>
        </w:trPr>
        <w:tc>
          <w:tcPr>
            <w:tcW w:w="5000" w:type="pct"/>
            <w:gridSpan w:val="7"/>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一般公共预算财政拨款支出决算表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5000" w:type="pct"/>
            <w:gridSpan w:val="7"/>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1868" w:type="pct"/>
            <w:gridSpan w:val="3"/>
            <w:tcBorders>
              <w:top w:val="nil"/>
              <w:left w:val="nil"/>
              <w:bottom w:val="single" w:color="000000" w:themeColor="text1" w:sz="8" w:space="0"/>
              <w:right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部门（单位）：石家庄市鹿泉区医疗保险管理中心</w:t>
            </w:r>
          </w:p>
        </w:tc>
        <w:tc>
          <w:tcPr>
            <w:tcW w:w="1541" w:type="pct"/>
            <w:gridSpan w:val="2"/>
            <w:tcBorders>
              <w:top w:val="nil"/>
              <w:left w:val="nil"/>
              <w:bottom w:val="single" w:color="000000" w:themeColor="text1" w:sz="8" w:space="0"/>
              <w:right w:val="nil"/>
            </w:tcBorders>
            <w:noWrap/>
            <w:vAlign w:val="bottom"/>
          </w:tcPr>
          <w:p>
            <w:pPr>
              <w:keepNext w:val="0"/>
              <w:keepLines w:val="0"/>
              <w:widowControl/>
              <w:suppressLineNumbers w:val="0"/>
              <w:jc w:val="center"/>
              <w:textAlignment w:val="bottom"/>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590" w:type="pct"/>
            <w:gridSpan w:val="2"/>
            <w:tcBorders>
              <w:top w:val="nil"/>
              <w:left w:val="nil"/>
              <w:bottom w:val="single" w:color="000000" w:themeColor="text1" w:sz="8" w:space="0"/>
              <w:right w:val="nil"/>
            </w:tcBorders>
            <w:noWrap/>
            <w:vAlign w:val="bottom"/>
          </w:tcPr>
          <w:p>
            <w:pPr>
              <w:keepNext w:val="0"/>
              <w:keepLines w:val="0"/>
              <w:widowControl/>
              <w:suppressLineNumbers w:val="0"/>
              <w:jc w:val="right"/>
              <w:textAlignment w:val="bottom"/>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3538" w:type="pct"/>
            <w:gridSpan w:val="5"/>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restart"/>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科目代码</w:t>
            </w:r>
          </w:p>
        </w:tc>
        <w:tc>
          <w:tcPr>
            <w:tcW w:w="7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1218" w:type="pct"/>
            <w:vMerge w:val="restart"/>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5,548.49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456.91</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5,091.58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66.38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54.38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54.38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54.38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事业单位离退休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20.36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20.36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34.02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34.02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退役安置</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2080901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退役士兵安置</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5,448.38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368.80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5,079.58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18.59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18.59</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事业单位医疗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18.59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18.59</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财政对基本医疗保险基金的补助</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4,979.58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4,979.58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2101202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财政对城乡居民基本医疗保险基金的补助</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4,979.58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4,979.58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21014</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优抚对象医疗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2101499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其他优抚对象医疗支出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医疗保障管理事务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350.21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350.21</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2101501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3.50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3.50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2101550</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事业运行</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346.71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346.71</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33.73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33.73</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33.73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33.73</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33.73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33.73</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5000" w:type="pct"/>
            <w:gridSpan w:val="7"/>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注：本表反映部门本年度一般公共预算财政拨款支出情况。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116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66"/>
        <w:gridCol w:w="1332"/>
        <w:gridCol w:w="1896"/>
        <w:gridCol w:w="666"/>
        <w:gridCol w:w="933"/>
        <w:gridCol w:w="122"/>
        <w:gridCol w:w="1774"/>
        <w:gridCol w:w="666"/>
        <w:gridCol w:w="1650"/>
        <w:gridCol w:w="189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pPr>
              <w:keepNext w:val="0"/>
              <w:keepLines w:val="0"/>
              <w:widowControl/>
              <w:suppressLineNumbers w:val="0"/>
              <w:snapToGrid w:val="0"/>
              <w:jc w:val="center"/>
              <w:textAlignment w:val="bottom"/>
              <w:rPr>
                <w:rFonts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一般公共预算财政拨款基本支出决算明细表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公开</w:t>
            </w:r>
            <w:r>
              <w:rPr>
                <w:rFonts w:hint="default" w:ascii="Times New Roman" w:hAnsi="Times New Roman" w:eastAsia="方正仿宋_GB2312" w:cs="Times New Roman"/>
                <w:i w:val="0"/>
                <w:iCs w:val="0"/>
                <w:color w:val="000000"/>
                <w:kern w:val="0"/>
                <w:sz w:val="18"/>
                <w:szCs w:val="18"/>
                <w:u w:val="none"/>
                <w:lang w:val="en-US" w:eastAsia="zh-CN" w:bidi="ar"/>
              </w:rPr>
              <w:t>06</w:t>
            </w:r>
            <w:r>
              <w:rPr>
                <w:rStyle w:val="25"/>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615" w:type="dxa"/>
            <w:gridSpan w:val="6"/>
            <w:tcBorders>
              <w:top w:val="nil"/>
              <w:left w:val="nil"/>
              <w:bottom w:val="single" w:color="000000" w:sz="8" w:space="0"/>
              <w:right w:val="nil"/>
            </w:tcBorders>
            <w:shd w:val="clear" w:color="auto" w:fill="auto"/>
            <w:noWrap/>
            <w:vAlign w:val="bottom"/>
          </w:tcPr>
          <w:p>
            <w:pPr>
              <w:keepNext w:val="0"/>
              <w:keepLines w:val="0"/>
              <w:widowControl/>
              <w:suppressLineNumbers w:val="0"/>
              <w:snapToGrid w:val="0"/>
              <w:jc w:val="both"/>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部门（单位）：石家庄市鹿泉区医疗保险管理中心 </w:t>
            </w:r>
            <w:r>
              <w:rPr>
                <w:rFonts w:hint="eastAsia" w:ascii="宋体" w:hAnsi="宋体" w:eastAsia="宋体" w:cs="宋体"/>
                <w:i w:val="0"/>
                <w:iCs w:val="0"/>
                <w:color w:val="000000"/>
                <w:kern w:val="0"/>
                <w:sz w:val="18"/>
                <w:szCs w:val="18"/>
                <w:u w:val="none"/>
                <w:lang w:val="en-US" w:eastAsia="zh-CN" w:bidi="ar"/>
              </w:rPr>
              <w:t xml:space="preserve">                                                                   </w:t>
            </w:r>
          </w:p>
        </w:tc>
        <w:tc>
          <w:tcPr>
            <w:tcW w:w="1774" w:type="dxa"/>
            <w:tcBorders>
              <w:top w:val="nil"/>
              <w:left w:val="nil"/>
              <w:bottom w:val="single" w:color="000000" w:sz="8" w:space="0"/>
              <w:right w:val="nil"/>
            </w:tcBorders>
            <w:shd w:val="clear" w:color="auto" w:fill="auto"/>
            <w:noWrap/>
            <w:vAlign w:val="bottom"/>
          </w:tcPr>
          <w:p>
            <w:pPr>
              <w:keepNext w:val="0"/>
              <w:keepLines w:val="0"/>
              <w:widowControl/>
              <w:suppressLineNumbers w:val="0"/>
              <w:snapToGrid w:val="0"/>
              <w:jc w:val="center"/>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2025</w:t>
            </w:r>
            <w:r>
              <w:rPr>
                <w:rStyle w:val="25"/>
                <w:lang w:val="en-US" w:eastAsia="zh-CN" w:bidi="ar"/>
              </w:rPr>
              <w:t>年度</w:t>
            </w:r>
          </w:p>
        </w:tc>
        <w:tc>
          <w:tcPr>
            <w:tcW w:w="4212" w:type="dxa"/>
            <w:gridSpan w:val="3"/>
            <w:tcBorders>
              <w:top w:val="nil"/>
              <w:left w:val="nil"/>
              <w:bottom w:val="single" w:color="000000" w:sz="8" w:space="0"/>
              <w:right w:val="nil"/>
            </w:tcBorders>
            <w:shd w:val="clear" w:color="auto" w:fill="auto"/>
            <w:noWrap/>
            <w:vAlign w:val="bottom"/>
          </w:tcPr>
          <w:p>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894" w:type="dxa"/>
            <w:gridSpan w:val="3"/>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w:t>
            </w:r>
          </w:p>
        </w:tc>
        <w:tc>
          <w:tcPr>
            <w:tcW w:w="7707" w:type="dxa"/>
            <w:gridSpan w:val="7"/>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055" w:type="dxa"/>
            <w:gridSpan w:val="2"/>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774" w:type="dxa"/>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650" w:type="dxa"/>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工资福利支出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378.27</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商品和服务支出</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58.78</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债务利息及费用支出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30101</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基本工资</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124.16</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30201</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8.25</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30701</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国内债务付息</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30102</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津贴补贴</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13.08</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30202</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印刷费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30702</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国外债务付息</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30103</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奖金</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30204</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手续费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30106</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伙食补助费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30205</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水费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0.33</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31001</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房屋建筑物购建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30107</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绩效工资</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152.67</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30206</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电费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2.75</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31002</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办公设备购置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30108</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机关事业单位基本养老保险缴费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34.02</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30207</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邮电费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31003</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专用设备购置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30109</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职业年金缴费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30208</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取暖费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31005</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基础设施建设</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30110</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职工基本医疗保险缴费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12.53</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30209</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物业管理费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31006</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大型修缮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30111</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公务员医疗补助缴费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6.06</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30211</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差旅费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31007</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信息网络及软件购置更新</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30112</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其他社会保障缴费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2.03</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30212</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因公出国（境）费用</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31008</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物资储备</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30113</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住房公积金</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33.73</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30213</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维修（护）费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土地补偿</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7"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30114</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30214</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租赁费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31010</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安置补助</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30199</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其他工资福利支出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30215</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会议费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31011</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地上附着物和青苗补偿</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19.86</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30216</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培训费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31012</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拆迁补偿</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30301</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离休费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30217</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公务接待费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31013</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30302</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退休费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19.86</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30218</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专用材料费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其他交通工具购置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30303</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退职（役）费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30224</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被装购置费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31021</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文物和陈列品购置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30304</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抚恤金</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30225</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专用燃料费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31022</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无形资产购置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30305</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生活补助</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30226</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劳务费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36.34</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31099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其他资本性支出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30306</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救济费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30227</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委托业务费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6"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30307</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医疗费补助</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30228</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工会经费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1.85</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39907</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国家赔偿费用支出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30308</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助学金</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30229</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福利费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2.31</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39908</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对民间非营利组织和群众性自治组织补贴</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30309</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奖励金</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30231</w:t>
            </w:r>
          </w:p>
        </w:tc>
        <w:tc>
          <w:tcPr>
            <w:tcW w:w="93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公务用车运行维护费</w:t>
            </w:r>
          </w:p>
        </w:tc>
        <w:tc>
          <w:tcPr>
            <w:tcW w:w="1896"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2.13</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经常性赠与</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30310</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个人农业生产补贴</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30239</w:t>
            </w:r>
          </w:p>
        </w:tc>
        <w:tc>
          <w:tcPr>
            <w:tcW w:w="93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其他交通费用</w:t>
            </w:r>
          </w:p>
        </w:tc>
        <w:tc>
          <w:tcPr>
            <w:tcW w:w="1896"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0.60</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39910</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资本性赠与</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30311</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代缴社会保险费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30240</w:t>
            </w:r>
          </w:p>
        </w:tc>
        <w:tc>
          <w:tcPr>
            <w:tcW w:w="93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税金及附加费用</w:t>
            </w:r>
          </w:p>
        </w:tc>
        <w:tc>
          <w:tcPr>
            <w:tcW w:w="1896"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39999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30399</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30299</w:t>
            </w:r>
          </w:p>
        </w:tc>
        <w:tc>
          <w:tcPr>
            <w:tcW w:w="93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其他商品和服务支出</w:t>
            </w:r>
          </w:p>
        </w:tc>
        <w:tc>
          <w:tcPr>
            <w:tcW w:w="1896"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4.21</w:t>
            </w:r>
          </w:p>
        </w:tc>
        <w:tc>
          <w:tcPr>
            <w:tcW w:w="666" w:type="dxa"/>
            <w:tcBorders>
              <w:top w:val="nil"/>
              <w:left w:val="nil"/>
              <w:bottom w:val="single" w:color="000000" w:sz="8" w:space="0"/>
              <w:right w:val="single" w:color="000000" w:sz="8" w:space="0"/>
            </w:tcBorders>
            <w:shd w:val="clear" w:color="auto" w:fill="auto"/>
            <w:noWrap/>
            <w:vAlign w:val="center"/>
          </w:tcPr>
          <w:p>
            <w:pPr>
              <w:snapToGrid w:val="0"/>
              <w:jc w:val="center"/>
              <w:rPr>
                <w:rFonts w:hint="default" w:ascii="Times New Roman" w:hAnsi="Times New Roman" w:eastAsia="宋体" w:cs="Times New Roman"/>
                <w:i w:val="0"/>
                <w:iCs w:val="0"/>
                <w:color w:val="000000"/>
                <w:sz w:val="18"/>
                <w:szCs w:val="18"/>
                <w:u w:val="none"/>
              </w:rPr>
            </w:pPr>
          </w:p>
        </w:tc>
        <w:tc>
          <w:tcPr>
            <w:tcW w:w="1650" w:type="dxa"/>
            <w:tcBorders>
              <w:top w:val="nil"/>
              <w:left w:val="nil"/>
              <w:bottom w:val="single" w:color="000000" w:sz="8" w:space="0"/>
              <w:right w:val="single" w:color="000000" w:sz="8" w:space="0"/>
            </w:tcBorders>
            <w:shd w:val="clear" w:color="auto" w:fill="auto"/>
            <w:noWrap/>
            <w:vAlign w:val="center"/>
          </w:tcPr>
          <w:p>
            <w:pPr>
              <w:snapToGrid w:val="0"/>
              <w:jc w:val="left"/>
              <w:rPr>
                <w:rFonts w:hint="eastAsia" w:ascii="方正仿宋_GB2312" w:hAnsi="方正仿宋_GB2312" w:eastAsia="方正仿宋_GB2312" w:cs="方正仿宋_GB2312"/>
                <w:i w:val="0"/>
                <w:iCs w:val="0"/>
                <w:color w:val="000000"/>
                <w:sz w:val="18"/>
                <w:szCs w:val="18"/>
                <w:u w:val="none"/>
              </w:rPr>
            </w:pPr>
          </w:p>
        </w:tc>
        <w:tc>
          <w:tcPr>
            <w:tcW w:w="1896" w:type="dxa"/>
            <w:tcBorders>
              <w:top w:val="nil"/>
              <w:left w:val="nil"/>
              <w:bottom w:val="single" w:color="000000" w:sz="8" w:space="0"/>
              <w:right w:val="single" w:color="000000" w:sz="8"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998" w:type="dxa"/>
            <w:gridSpan w:val="2"/>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人员经费合计</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398.13</w:t>
            </w:r>
          </w:p>
        </w:tc>
        <w:tc>
          <w:tcPr>
            <w:tcW w:w="5811" w:type="dxa"/>
            <w:gridSpan w:val="6"/>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公用经费合计</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58.78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注：本表反映部门本年度一般公共预算财政拨款基本支出明细情况。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6517" w:type="pct"/>
        <w:tblInd w:w="-14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60"/>
        <w:gridCol w:w="1474"/>
        <w:gridCol w:w="1306"/>
        <w:gridCol w:w="1027"/>
        <w:gridCol w:w="1107"/>
        <w:gridCol w:w="418"/>
        <w:gridCol w:w="702"/>
        <w:gridCol w:w="1146"/>
        <w:gridCol w:w="204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政府性基金预算财政拨款收入支出决算表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000" w:type="pct"/>
            <w:gridSpan w:val="9"/>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07</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27" w:type="pct"/>
            <w:gridSpan w:val="3"/>
            <w:tcBorders>
              <w:top w:val="nil"/>
              <w:left w:val="nil"/>
              <w:bottom w:val="single" w:color="000000" w:themeColor="text1" w:sz="8" w:space="0"/>
              <w:right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部门（单位）：石家庄市鹿泉区医疗保险管理中心 </w:t>
            </w:r>
            <w:r>
              <w:rPr>
                <w:rFonts w:hint="eastAsia" w:ascii="宋体" w:hAnsi="宋体" w:eastAsia="宋体" w:cs="宋体"/>
                <w:i w:val="0"/>
                <w:iCs w:val="0"/>
                <w:color w:val="000000"/>
                <w:kern w:val="0"/>
                <w:sz w:val="20"/>
                <w:szCs w:val="20"/>
                <w:highlight w:val="none"/>
                <w:u w:val="none"/>
                <w:lang w:val="en-US" w:eastAsia="zh-CN" w:bidi="ar"/>
              </w:rPr>
              <w:t xml:space="preserve">                                                                                     </w:t>
            </w:r>
          </w:p>
        </w:tc>
        <w:tc>
          <w:tcPr>
            <w:tcW w:w="1217" w:type="pct"/>
            <w:gridSpan w:val="3"/>
            <w:tcBorders>
              <w:top w:val="nil"/>
              <w:left w:val="nil"/>
              <w:bottom w:val="single" w:color="000000" w:themeColor="text1" w:sz="8" w:space="0"/>
              <w:right w:val="nil"/>
            </w:tcBorders>
            <w:noWrap/>
            <w:vAlign w:val="bottom"/>
          </w:tcPr>
          <w:p>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854" w:type="pct"/>
            <w:gridSpan w:val="3"/>
            <w:tcBorders>
              <w:top w:val="nil"/>
              <w:left w:val="nil"/>
              <w:bottom w:val="single" w:color="000000" w:themeColor="text1" w:sz="8" w:space="0"/>
              <w:right w:val="nil"/>
            </w:tcBorders>
            <w:noWrap/>
            <w:vAlign w:val="bottom"/>
          </w:tcPr>
          <w:p>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2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48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w:t>
            </w:r>
          </w:p>
        </w:tc>
        <w:tc>
          <w:tcPr>
            <w:tcW w:w="160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c>
          <w:tcPr>
            <w:tcW w:w="97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7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53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54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结转</w:t>
            </w:r>
          </w:p>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1</w:t>
            </w: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2</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3</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4</w:t>
            </w: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5</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lang w:val="en-US" w:eastAsia="zh-CN"/>
              </w:rPr>
            </w:pPr>
            <w:r>
              <w:rPr>
                <w:rFonts w:hint="default" w:ascii="Times New Roman" w:hAnsi="Times New Roman" w:eastAsia="方正仿宋_GB2312" w:cs="Times New Roman"/>
                <w:i w:val="0"/>
                <w:iCs w:val="0"/>
                <w:color w:val="000000"/>
                <w:sz w:val="20"/>
                <w:szCs w:val="20"/>
                <w:highlight w:val="none"/>
                <w:u w:val="none"/>
                <w:lang w:val="en-US" w:eastAsia="zh-CN"/>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9"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pPr>
              <w:spacing w:before="58" w:line="228" w:lineRule="auto"/>
              <w:ind w:left="131"/>
              <w:rPr>
                <w:rFonts w:ascii="仿宋" w:hAnsi="仿宋" w:eastAsia="仿宋" w:cs="仿宋"/>
                <w:sz w:val="19"/>
                <w:szCs w:val="19"/>
              </w:rPr>
            </w:pPr>
            <w:r>
              <w:rPr>
                <w:rFonts w:ascii="仿宋" w:hAnsi="仿宋" w:eastAsia="仿宋" w:cs="仿宋"/>
                <w:spacing w:val="9"/>
                <w:sz w:val="19"/>
                <w:szCs w:val="19"/>
              </w:rPr>
              <w:t>注：本单位本年度无相关收支及结转结余情况，按要求空表列</w:t>
            </w:r>
            <w:r>
              <w:rPr>
                <w:rFonts w:ascii="仿宋" w:hAnsi="仿宋" w:eastAsia="仿宋" w:cs="仿宋"/>
                <w:spacing w:val="8"/>
                <w:sz w:val="19"/>
                <w:szCs w:val="19"/>
              </w:rPr>
              <w:t>示。</w:t>
            </w:r>
          </w:p>
          <w:p>
            <w:pPr>
              <w:rPr>
                <w:rFonts w:hint="eastAsia" w:ascii="宋体" w:hAnsi="宋体" w:eastAsia="宋体" w:cs="宋体"/>
                <w:i w:val="0"/>
                <w:iCs w:val="0"/>
                <w:color w:val="000000"/>
                <w:sz w:val="20"/>
                <w:szCs w:val="20"/>
                <w:highlight w:val="none"/>
                <w:u w:val="none"/>
              </w:rPr>
            </w:pP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63" w:type="pct"/>
        <w:tblInd w:w="-97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993"/>
        <w:gridCol w:w="731"/>
        <w:gridCol w:w="1296"/>
        <w:gridCol w:w="1332"/>
        <w:gridCol w:w="5"/>
        <w:gridCol w:w="47"/>
        <w:gridCol w:w="1281"/>
        <w:gridCol w:w="10"/>
        <w:gridCol w:w="173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国有资本经营预算财政拨款支出决算表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9"/>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08</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74" w:type="pct"/>
            <w:gridSpan w:val="2"/>
            <w:tcBorders>
              <w:top w:val="nil"/>
              <w:left w:val="nil"/>
              <w:bottom w:val="single" w:color="000000" w:themeColor="text1" w:sz="8" w:space="0"/>
              <w:right w:val="nil"/>
            </w:tcBorders>
            <w:noWrap/>
            <w:vAlign w:val="bottom"/>
          </w:tcPr>
          <w:p>
            <w:pPr>
              <w:keepNext w:val="0"/>
              <w:keepLines w:val="0"/>
              <w:widowControl/>
              <w:suppressLineNumbers w:val="0"/>
              <w:jc w:val="both"/>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部门（单位）：石家庄市鹿泉区医疗保险管理中心</w:t>
            </w:r>
          </w:p>
        </w:tc>
        <w:tc>
          <w:tcPr>
            <w:tcW w:w="1421" w:type="pct"/>
            <w:gridSpan w:val="4"/>
            <w:tcBorders>
              <w:top w:val="nil"/>
              <w:left w:val="nil"/>
              <w:bottom w:val="single" w:color="000000" w:themeColor="text1" w:sz="8" w:space="0"/>
              <w:right w:val="nil"/>
            </w:tcBorders>
            <w:noWrap/>
            <w:vAlign w:val="bottom"/>
          </w:tcPr>
          <w:p>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603" w:type="pct"/>
            <w:gridSpan w:val="3"/>
            <w:tcBorders>
              <w:top w:val="nil"/>
              <w:left w:val="nil"/>
              <w:bottom w:val="single" w:color="000000" w:themeColor="text1" w:sz="8" w:space="0"/>
              <w:right w:val="nil"/>
            </w:tcBorders>
            <w:noWrap/>
            <w:vAlign w:val="bottom"/>
          </w:tcPr>
          <w:p>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项目</w:t>
            </w:r>
          </w:p>
        </w:tc>
        <w:tc>
          <w:tcPr>
            <w:tcW w:w="2337" w:type="pct"/>
            <w:gridSpan w:val="6"/>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本年支出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2337" w:type="pct"/>
            <w:gridSpan w:val="6"/>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07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科目名称</w:t>
            </w:r>
          </w:p>
        </w:tc>
        <w:tc>
          <w:tcPr>
            <w:tcW w:w="709"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合计</w:t>
            </w:r>
          </w:p>
        </w:tc>
        <w:tc>
          <w:tcPr>
            <w:tcW w:w="709"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基本支出</w:t>
            </w:r>
          </w:p>
        </w:tc>
        <w:tc>
          <w:tcPr>
            <w:tcW w:w="919" w:type="pct"/>
            <w:vMerge w:val="restart"/>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7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19" w:type="pct"/>
            <w:vMerge w:val="continue"/>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栏次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1</w:t>
            </w: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2</w:t>
            </w: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default"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合计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pPr>
              <w:spacing w:before="58" w:line="228" w:lineRule="auto"/>
              <w:ind w:left="131"/>
              <w:rPr>
                <w:rFonts w:ascii="仿宋" w:hAnsi="仿宋" w:eastAsia="仿宋" w:cs="仿宋"/>
                <w:sz w:val="19"/>
                <w:szCs w:val="19"/>
              </w:rPr>
            </w:pPr>
            <w:r>
              <w:rPr>
                <w:rFonts w:ascii="仿宋" w:hAnsi="仿宋" w:eastAsia="仿宋" w:cs="仿宋"/>
                <w:spacing w:val="9"/>
                <w:sz w:val="19"/>
                <w:szCs w:val="19"/>
              </w:rPr>
              <w:t>注：本单位本年度无相关收支及结转结余情况，按要求空表列</w:t>
            </w:r>
            <w:r>
              <w:rPr>
                <w:rFonts w:ascii="仿宋" w:hAnsi="仿宋" w:eastAsia="仿宋" w:cs="仿宋"/>
                <w:spacing w:val="8"/>
                <w:sz w:val="19"/>
                <w:szCs w:val="19"/>
              </w:rPr>
              <w:t>示。</w:t>
            </w:r>
          </w:p>
          <w:p>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pPr w:leftFromText="180" w:rightFromText="180" w:vertAnchor="text" w:horzAnchor="page" w:tblpX="282" w:tblpY="39"/>
        <w:tblOverlap w:val="never"/>
        <w:tblW w:w="721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87"/>
        <w:gridCol w:w="1226"/>
        <w:gridCol w:w="814"/>
        <w:gridCol w:w="946"/>
        <w:gridCol w:w="519"/>
        <w:gridCol w:w="544"/>
        <w:gridCol w:w="777"/>
        <w:gridCol w:w="845"/>
        <w:gridCol w:w="5"/>
        <w:gridCol w:w="1133"/>
        <w:gridCol w:w="640"/>
        <w:gridCol w:w="1027"/>
        <w:gridCol w:w="946"/>
        <w:gridCol w:w="118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4"/>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财政拨款“三公”经费支出决算表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5000" w:type="pct"/>
            <w:gridSpan w:val="14"/>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公开</w:t>
            </w:r>
            <w:r>
              <w:rPr>
                <w:rFonts w:hint="default" w:ascii="Times New Roman" w:hAnsi="Times New Roman" w:eastAsia="方正仿宋_GB2312" w:cs="Times New Roman"/>
                <w:i w:val="0"/>
                <w:iCs w:val="0"/>
                <w:color w:val="000000"/>
                <w:kern w:val="0"/>
                <w:sz w:val="18"/>
                <w:szCs w:val="18"/>
                <w:highlight w:val="none"/>
                <w:u w:val="none"/>
                <w:lang w:val="en-US" w:eastAsia="zh-CN" w:bidi="ar"/>
              </w:rPr>
              <w:t>09</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936" w:type="pct"/>
            <w:gridSpan w:val="5"/>
            <w:tcBorders>
              <w:top w:val="nil"/>
              <w:left w:val="nil"/>
              <w:bottom w:val="single" w:color="000000" w:themeColor="text1" w:sz="8" w:space="0"/>
              <w:right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部门（单位）：石家庄市鹿泉区医疗保险管理中心</w:t>
            </w:r>
          </w:p>
        </w:tc>
        <w:tc>
          <w:tcPr>
            <w:tcW w:w="933" w:type="pct"/>
            <w:gridSpan w:val="3"/>
            <w:tcBorders>
              <w:top w:val="nil"/>
              <w:left w:val="nil"/>
              <w:bottom w:val="single" w:color="000000" w:themeColor="text1" w:sz="8" w:space="0"/>
              <w:right w:val="nil"/>
            </w:tcBorders>
            <w:noWrap/>
            <w:vAlign w:val="bottom"/>
          </w:tcPr>
          <w:p>
            <w:pPr>
              <w:keepNext w:val="0"/>
              <w:keepLines w:val="0"/>
              <w:widowControl/>
              <w:suppressLineNumbers w:val="0"/>
              <w:jc w:val="center"/>
              <w:textAlignment w:val="bottom"/>
              <w:rPr>
                <w:rFonts w:hint="default" w:ascii="宋体" w:hAnsi="宋体" w:eastAsia="宋体" w:cs="宋体"/>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202</w:t>
            </w:r>
            <w:r>
              <w:rPr>
                <w:rFonts w:hint="eastAsia" w:ascii="Times New Roman" w:hAnsi="Times New Roman" w:eastAsia="宋体" w:cs="Times New Roman"/>
                <w:i w:val="0"/>
                <w:iCs w:val="0"/>
                <w:color w:val="000000"/>
                <w:kern w:val="0"/>
                <w:sz w:val="18"/>
                <w:szCs w:val="18"/>
                <w:highlight w:val="none"/>
                <w:u w:val="none"/>
                <w:lang w:val="en-US" w:eastAsia="zh-CN" w:bidi="ar"/>
              </w:rPr>
              <w:t>5</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年度</w:t>
            </w:r>
          </w:p>
        </w:tc>
        <w:tc>
          <w:tcPr>
            <w:tcW w:w="2129" w:type="pct"/>
            <w:gridSpan w:val="6"/>
            <w:tcBorders>
              <w:top w:val="nil"/>
              <w:left w:val="nil"/>
              <w:bottom w:val="single" w:color="000000" w:themeColor="text1" w:sz="8" w:space="0"/>
              <w:right w:val="nil"/>
            </w:tcBorders>
            <w:noWrap/>
            <w:vAlign w:val="bottom"/>
          </w:tcPr>
          <w:p>
            <w:pPr>
              <w:keepNext w:val="0"/>
              <w:keepLines w:val="0"/>
              <w:widowControl/>
              <w:suppressLineNumbers w:val="0"/>
              <w:jc w:val="right"/>
              <w:textAlignment w:val="bottom"/>
              <w:rPr>
                <w:rFonts w:hint="default" w:ascii="宋体" w:hAnsi="宋体" w:eastAsia="宋体" w:cs="宋体"/>
                <w:i w:val="0"/>
                <w:iCs w:val="0"/>
                <w:color w:val="000000"/>
                <w:kern w:val="0"/>
                <w:sz w:val="18"/>
                <w:szCs w:val="18"/>
                <w:highlight w:val="none"/>
                <w:u w:val="none"/>
                <w:lang w:val="en-US" w:eastAsia="zh-CN" w:bidi="ar"/>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2506"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预算数</w:t>
            </w:r>
          </w:p>
        </w:tc>
        <w:tc>
          <w:tcPr>
            <w:tcW w:w="2493"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217"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3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c>
          <w:tcPr>
            <w:tcW w:w="366"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48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12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51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3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66"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48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51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2</w:t>
            </w: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3</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4</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5</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6</w:t>
            </w: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7</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8</w:t>
            </w: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9</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10</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11</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2.13</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2.13</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2.13</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2.13</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2.13</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2.13</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5000" w:type="pct"/>
            <w:gridSpan w:val="14"/>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sectPr>
          <w:headerReference r:id="rId9" w:type="default"/>
          <w:footerReference r:id="rId10" w:type="default"/>
          <w:pgSz w:w="11906" w:h="16838"/>
          <w:pgMar w:top="1531" w:right="1984" w:bottom="1531" w:left="2098" w:header="851" w:footer="992" w:gutter="0"/>
          <w:pgBorders>
            <w:top w:val="none" w:sz="0" w:space="0"/>
            <w:left w:val="none" w:sz="0" w:space="0"/>
            <w:bottom w:val="none" w:sz="0" w:space="0"/>
            <w:right w:val="none" w:sz="0" w:space="0"/>
          </w:pgBorders>
          <w:cols w:space="720" w:num="1"/>
          <w:docGrid w:type="lines" w:linePitch="312" w:charSpace="0"/>
        </w:sect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第三部分</w:t>
      </w:r>
      <w:r>
        <w:rPr>
          <w:rFonts w:ascii="Times New Roman" w:eastAsia="仿宋_GB2312"/>
          <w:b w:val="0"/>
          <w:sz w:val="44"/>
          <w:szCs w:val="44"/>
        </w:rPr>
        <w:t>2025</w:t>
      </w:r>
      <w:r>
        <w:rPr>
          <w:rFonts w:ascii="Times New Roman" w:eastAsia="黑体"/>
          <w:b w:val="0"/>
          <w:sz w:val="44"/>
          <w:szCs w:val="44"/>
        </w:rPr>
        <w:t>年度部门决算情况说明</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sectPr>
          <w:footerReference r:id="rId11" w:type="default"/>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pP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一、收入支出决算总体情况说明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本单位2025年度收、支总计（含结转和结余）均为5,548.49万元。与2024年度决算相比，收支各增加146.49万元，增长2.7%，主要原因是</w:t>
      </w:r>
      <w:r>
        <w:rPr>
          <w:rFonts w:hint="eastAsia" w:ascii="Times New Roman" w:eastAsia="仿宋_GB2312"/>
          <w:b w:val="0"/>
          <w:sz w:val="32"/>
          <w:szCs w:val="32"/>
          <w:lang w:eastAsia="zh-CN"/>
        </w:rPr>
        <w:t>医保参保人员增加，城乡居民医疗补助增加</w:t>
      </w:r>
      <w:r>
        <w:rPr>
          <w:rFonts w:ascii="Times New Roman" w:eastAsia="仿宋_GB2312"/>
          <w:b w:val="0"/>
          <w:sz w:val="32"/>
          <w:szCs w:val="32"/>
        </w:rPr>
        <w:t>。</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Arial" w:cs="Times New Roman"/>
          <w:highlight w:val="none"/>
        </w:rPr>
      </w:pPr>
      <w:r>
        <w:rPr>
          <w:rFonts w:hint="eastAsia" w:ascii="Times New Roman" w:hAnsi="Times New Roman" w:eastAsia="宋体"/>
        </w:rPr>
        <w:drawing>
          <wp:inline distT="0" distB="0" distL="114300" distR="114300">
            <wp:extent cx="5256530" cy="2988310"/>
            <wp:effectExtent l="5080" t="4445" r="889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Pr>
          <w:rFonts w:hint="default" w:ascii="Times New Roman" w:hAnsi="Times New Roman" w:eastAsia="Arial" w:cs="Times New Roman"/>
          <w:i w:val="0"/>
          <w:iCs w:val="0"/>
          <w:caps w:val="0"/>
          <w:color w:val="000000"/>
          <w:spacing w:val="0"/>
          <w:sz w:val="18"/>
          <w:szCs w:val="18"/>
          <w:highlight w:val="none"/>
          <w:shd w:val="clear" w:fill="FFFFFF"/>
        </w:rPr>
        <w:t> </w:t>
      </w: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二、收入决算情况说明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本年收入合计5,548.49万元，其中：财政拨款收入5,548.49万元，占100.0%；上级补助收入0.00万元，占0.0%；事业收入0.00万元，占0.0%；经营收入0.00万元，占0.0%；附属单位上缴收入0.00万元，占0.0%；其他收入0.00万元，占0.0%。</w:t>
      </w:r>
    </w:p>
    <w:p>
      <w:pPr>
        <w:adjustRightInd w:val="0"/>
        <w:snapToGrid w:val="0"/>
        <w:spacing w:line="580" w:lineRule="exact"/>
        <w:jc w:val="both"/>
        <w:rPr>
          <w:rFonts w:hint="default" w:ascii="Times New Roman" w:hAnsi="Times New Roman" w:eastAsia="仿宋_GB2312" w:cs="Times New Roman"/>
          <w:kern w:val="2"/>
          <w:sz w:val="32"/>
          <w:szCs w:val="32"/>
          <w:highlight w:val="yellow"/>
          <w:lang w:val="zh-CN"/>
        </w:rPr>
      </w:pPr>
      <w:r>
        <w:rPr>
          <w:rFonts w:ascii="Times New Roman" w:hAnsi="Times New Roman" w:eastAsia="仿宋_GB2312"/>
          <w:kern w:val="2"/>
          <w:sz w:val="32"/>
          <w:szCs w:val="32"/>
          <w:highlight w:val="yellow"/>
          <w:lang w:val="zh-CN"/>
        </w:rPr>
        <w:drawing>
          <wp:anchor distT="0" distB="0" distL="114300" distR="114300" simplePos="0" relativeHeight="251660288" behindDoc="0" locked="0" layoutInCell="1" allowOverlap="1">
            <wp:simplePos x="0" y="0"/>
            <wp:positionH relativeFrom="column">
              <wp:posOffset>-16510</wp:posOffset>
            </wp:positionH>
            <wp:positionV relativeFrom="paragraph">
              <wp:posOffset>201930</wp:posOffset>
            </wp:positionV>
            <wp:extent cx="5256530" cy="2988310"/>
            <wp:effectExtent l="5080" t="4445" r="8890" b="17145"/>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三、支出决算情况说明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本单位2025年度本年支出合计5,548.49万元，其中：基本支出456.91万元，占8.2%；项目支出5,091.58万元，占91.8%；经营支出0.00万元，占0.0%；上缴上级支出0.00万元，占0.0%；对附属单位补助支出0.00万元，占0.0%。</w:t>
      </w:r>
    </w:p>
    <w:p>
      <w:pPr>
        <w:autoSpaceDE w:val="0"/>
        <w:autoSpaceDN w:val="0"/>
        <w:adjustRightInd w:val="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cs="Times New Roman"/>
          <w:sz w:val="32"/>
          <w:szCs w:val="32"/>
          <w:highlight w:val="none"/>
        </w:rPr>
        <w:drawing>
          <wp:inline distT="0" distB="0" distL="114300" distR="114300">
            <wp:extent cx="5256530" cy="2988310"/>
            <wp:effectExtent l="5080" t="4445" r="15240" b="1714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四、财政拨款收入支出决算总体情况说明</w:t>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（一）财政拨款收支与</w:t>
      </w:r>
      <w:r>
        <w:rPr>
          <w:rFonts w:ascii="Times New Roman" w:eastAsia="仿宋_GB2312"/>
          <w:b/>
          <w:sz w:val="32"/>
          <w:szCs w:val="32"/>
        </w:rPr>
        <w:t>2024</w:t>
      </w:r>
      <w:r>
        <w:rPr>
          <w:rFonts w:ascii="Times New Roman" w:eastAsia="楷体_GB2312"/>
          <w:b/>
          <w:sz w:val="32"/>
          <w:szCs w:val="32"/>
        </w:rPr>
        <w:t>年度决算对比情况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本单位2025年度财政拨款收、支总计（含结转和结余）均为5,548.49万元。与2024年度相比，财政拨款收支各增加146.49万元，增长2.7%，主要原因是</w:t>
      </w:r>
      <w:r>
        <w:rPr>
          <w:rFonts w:hint="eastAsia" w:ascii="Times New Roman" w:eastAsia="仿宋_GB2312"/>
          <w:b w:val="0"/>
          <w:sz w:val="32"/>
          <w:szCs w:val="32"/>
          <w:lang w:eastAsia="zh-CN"/>
        </w:rPr>
        <w:t>医保参保人员增加，城乡居民医疗补助增加</w:t>
      </w:r>
      <w:r>
        <w:rPr>
          <w:rFonts w:ascii="Times New Roman" w:eastAsia="仿宋_GB2312"/>
          <w:b w:val="0"/>
          <w:sz w:val="32"/>
          <w:szCs w:val="32"/>
        </w:rPr>
        <w:t>。</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本单位2025年度财政拨款本年收入5,548.49万元,比上年增加146.49万元，增长2.7%，主要原因是</w:t>
      </w:r>
      <w:r>
        <w:rPr>
          <w:rFonts w:hint="eastAsia" w:ascii="Times New Roman" w:eastAsia="仿宋_GB2312"/>
          <w:b w:val="0"/>
          <w:sz w:val="32"/>
          <w:szCs w:val="32"/>
          <w:lang w:eastAsia="zh-CN"/>
        </w:rPr>
        <w:t>医保参保人员增加，城乡居民医疗补助增加</w:t>
      </w:r>
      <w:r>
        <w:rPr>
          <w:rFonts w:ascii="Times New Roman" w:eastAsia="仿宋_GB2312"/>
          <w:b w:val="0"/>
          <w:sz w:val="32"/>
          <w:szCs w:val="32"/>
        </w:rPr>
        <w:t>；本年支出5,548.49万元，比上年增加146.49万元，增长2.7%，主要原因是</w:t>
      </w:r>
      <w:r>
        <w:rPr>
          <w:rFonts w:hint="eastAsia" w:ascii="Times New Roman" w:eastAsia="仿宋_GB2312"/>
          <w:b w:val="0"/>
          <w:sz w:val="32"/>
          <w:szCs w:val="32"/>
          <w:lang w:eastAsia="zh-CN"/>
        </w:rPr>
        <w:t>医保参保人员增加，城乡居民医疗补助增加</w:t>
      </w:r>
      <w:r>
        <w:rPr>
          <w:rFonts w:ascii="Times New Roman" w:eastAsia="仿宋_GB2312"/>
          <w:b w:val="0"/>
          <w:sz w:val="32"/>
          <w:szCs w:val="32"/>
        </w:rPr>
        <w:t>。具体情况如下：</w:t>
      </w:r>
    </w:p>
    <w:p>
      <w:pPr>
        <w:widowControl/>
        <w:spacing w:before="0" w:beforeLines="0" w:beforeAutospacing="0" w:after="0" w:afterLines="0" w:afterAutospacing="0" w:line="360" w:lineRule="auto"/>
        <w:ind w:firstLine="640" w:firstLineChars="200"/>
        <w:jc w:val="left"/>
        <w:outlineLvl w:val="1"/>
        <w:rPr>
          <w:rFonts w:ascii="Times New Roman" w:eastAsia="仿宋_GB2312"/>
          <w:sz w:val="32"/>
          <w:szCs w:val="32"/>
        </w:rPr>
      </w:pPr>
      <w:r>
        <w:rPr>
          <w:rFonts w:ascii="Times New Roman" w:eastAsia="仿宋_GB2312"/>
          <w:b w:val="0"/>
          <w:sz w:val="32"/>
          <w:szCs w:val="32"/>
        </w:rPr>
        <w:t>一般公共预算财政拨款本年收入5,548.49万元,比上年增加146.49万元，增长2.7%，主要原因是</w:t>
      </w:r>
      <w:r>
        <w:rPr>
          <w:rFonts w:hint="eastAsia" w:ascii="Times New Roman" w:eastAsia="仿宋_GB2312"/>
          <w:b w:val="0"/>
          <w:sz w:val="32"/>
          <w:szCs w:val="32"/>
          <w:lang w:eastAsia="zh-CN"/>
        </w:rPr>
        <w:t>医保参保人员增加，城乡居民医疗补助增加</w:t>
      </w:r>
      <w:r>
        <w:rPr>
          <w:rFonts w:ascii="Times New Roman" w:eastAsia="仿宋_GB2312"/>
          <w:b w:val="0"/>
          <w:sz w:val="32"/>
          <w:szCs w:val="32"/>
        </w:rPr>
        <w:t>；本年支出5,548.49万元，比上年增加146.49万元，增长2.7%，主要原因是</w:t>
      </w:r>
      <w:r>
        <w:rPr>
          <w:rFonts w:hint="eastAsia" w:ascii="Times New Roman" w:eastAsia="仿宋_GB2312"/>
          <w:b w:val="0"/>
          <w:sz w:val="32"/>
          <w:szCs w:val="32"/>
          <w:lang w:eastAsia="zh-CN"/>
        </w:rPr>
        <w:t>医保参保人员增加，城乡居民医疗补助增加</w:t>
      </w:r>
      <w:r>
        <w:rPr>
          <w:rFonts w:ascii="Times New Roman" w:eastAsia="仿宋_GB2312"/>
          <w:b w:val="0"/>
          <w:sz w:val="32"/>
          <w:szCs w:val="32"/>
        </w:rPr>
        <w:t>。</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sz w:val="32"/>
          <w:szCs w:val="32"/>
          <w:highlight w:val="none"/>
          <w:lang w:val="en-US" w:eastAsia="zh-CN"/>
        </w:rPr>
      </w:pPr>
      <w:r>
        <w:rPr>
          <w:rFonts w:ascii="Times New Roman" w:hAnsi="Times New Roman" w:eastAsia="仿宋_GB2312"/>
          <w:sz w:val="32"/>
          <w:szCs w:val="32"/>
        </w:rPr>
        <w:drawing>
          <wp:inline distT="0" distB="0" distL="114300" distR="114300">
            <wp:extent cx="5256530" cy="3189605"/>
            <wp:effectExtent l="4445" t="4445" r="6350" b="6350"/>
            <wp:docPr id="19"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（二）财政拨款收支与年初预算数对比情况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本单位2025年度财政拨款本年收入5,548.49万元，完成年初预算的94.5%，比年初预算减少325.32万元，决算数小于预算数主要原因是</w:t>
      </w:r>
      <w:r>
        <w:rPr>
          <w:rFonts w:hint="eastAsia" w:ascii="Times New Roman" w:eastAsia="仿宋_GB2312"/>
          <w:b w:val="0"/>
          <w:sz w:val="32"/>
          <w:szCs w:val="32"/>
          <w:lang w:eastAsia="zh-CN"/>
        </w:rPr>
        <w:t>离残人员药费减少</w:t>
      </w:r>
      <w:r>
        <w:rPr>
          <w:rFonts w:ascii="Times New Roman" w:eastAsia="仿宋_GB2312"/>
          <w:b w:val="0"/>
          <w:sz w:val="32"/>
          <w:szCs w:val="32"/>
        </w:rPr>
        <w:t>；本年支出5,548.49万元，完成年初预算的94.5%，比年初预算减少325.32万元，决算数小于预算数主要原因是</w:t>
      </w:r>
      <w:r>
        <w:rPr>
          <w:rFonts w:hint="eastAsia" w:ascii="Times New Roman" w:eastAsia="仿宋_GB2312"/>
          <w:b w:val="0"/>
          <w:sz w:val="32"/>
          <w:szCs w:val="32"/>
          <w:lang w:eastAsia="zh-CN"/>
        </w:rPr>
        <w:t>离残人员药费减少</w:t>
      </w:r>
      <w:r>
        <w:rPr>
          <w:rFonts w:ascii="Times New Roman" w:eastAsia="仿宋_GB2312"/>
          <w:b w:val="0"/>
          <w:sz w:val="32"/>
          <w:szCs w:val="32"/>
        </w:rPr>
        <w:t>。</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sz w:val="32"/>
          <w:szCs w:val="32"/>
          <w:highlight w:val="none"/>
        </w:rPr>
        <w:drawing>
          <wp:inline distT="0" distB="0" distL="114300" distR="114300">
            <wp:extent cx="5256530" cy="2988310"/>
            <wp:effectExtent l="5080" t="4445" r="8890" b="1714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（三）财政拨款支出决算结构情况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2025年度财政拨款支出5,548.49万元，主要用于以下方面：</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社会保障和就业 （类）支出66.38万元，占1.2%；卫生健康（类）支出5,448.38万元，占98.2%；住房保障（类）支出33.73万元，占0.6%；</w:t>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（四）一般公共预算财政拨款基本支出决算情况说明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2025年度财政拨款基本支出456.91万元，其中：</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人员经费398.13万元，主要包括基本工资、津贴补贴、奖金、伙食补助费、绩效工资、机关事业部门基本养老保险缴费、职业年金缴费、职工基本医疗保险缴费、公务员医疗补助缴费、住房公积金、医疗费、其他社会保障缴费、其他工资福利支出、离休费、 退休费、 抚恤金、生活补助、医疗费补助、奖励金</w:t>
      </w:r>
      <w:r>
        <w:rPr>
          <w:rFonts w:hint="eastAsia" w:ascii="Times New Roman" w:eastAsia="仿宋_GB2312"/>
          <w:b w:val="0"/>
          <w:sz w:val="32"/>
          <w:szCs w:val="32"/>
          <w:lang w:eastAsia="zh-CN"/>
        </w:rPr>
        <w:t>等</w:t>
      </w:r>
      <w:r>
        <w:rPr>
          <w:rFonts w:ascii="Times New Roman" w:eastAsia="仿宋_GB2312"/>
          <w:b w:val="0"/>
          <w:sz w:val="32"/>
          <w:szCs w:val="32"/>
        </w:rPr>
        <w:t>。</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公用经费58.78万元，主要包括办公费、印刷费、手续费、水费、电费、邮电费、取暖费、物业管理费、差旅费、维修（护）费、劳务费、委托业务费、工会经费、福利费、公务用车运行维护费、其他商品和服务支出、信息网络及软件购置更新</w:t>
      </w:r>
      <w:r>
        <w:rPr>
          <w:rFonts w:hint="eastAsia" w:ascii="Times New Roman" w:eastAsia="仿宋_GB2312"/>
          <w:b w:val="0"/>
          <w:sz w:val="32"/>
          <w:szCs w:val="32"/>
          <w:lang w:eastAsia="zh-CN"/>
        </w:rPr>
        <w:t>等。</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五、财政拨款“三公” 经费支出决算情况说明</w:t>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（一）“三公”经费财政拨款支出决算总体情况说明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本单位2025年度“三公”经费财政拨款支出预算为2.13万元，支出决算为2.13万元，完成预算的100.0%，较预算增加0.00万元，增长0.0%，主要原因是</w:t>
      </w:r>
      <w:r>
        <w:rPr>
          <w:rFonts w:hint="eastAsia" w:ascii="Times New Roman" w:eastAsia="仿宋_GB2312"/>
          <w:b w:val="0"/>
          <w:sz w:val="32"/>
          <w:szCs w:val="32"/>
          <w:lang w:eastAsia="zh-CN"/>
        </w:rPr>
        <w:t>与</w:t>
      </w:r>
      <w:r>
        <w:rPr>
          <w:rFonts w:hint="eastAsia" w:ascii="Times New Roman" w:eastAsia="仿宋_GB2312"/>
          <w:b w:val="0"/>
          <w:sz w:val="32"/>
          <w:szCs w:val="32"/>
          <w:lang w:val="en-US" w:eastAsia="zh-CN"/>
        </w:rPr>
        <w:t>年初预算持平；</w:t>
      </w:r>
      <w:r>
        <w:rPr>
          <w:rFonts w:ascii="Times New Roman" w:eastAsia="仿宋_GB2312"/>
          <w:b w:val="0"/>
          <w:sz w:val="32"/>
          <w:szCs w:val="32"/>
        </w:rPr>
        <w:t>较2024年度决算减少0.57万元，降低21.1%，主要原因是</w:t>
      </w:r>
      <w:r>
        <w:rPr>
          <w:rFonts w:hint="eastAsia" w:ascii="Times New Roman" w:eastAsia="仿宋_GB2312"/>
          <w:b w:val="0"/>
          <w:sz w:val="32"/>
          <w:szCs w:val="32"/>
          <w:lang w:eastAsia="zh-CN"/>
        </w:rPr>
        <w:t>严格落实“过紧日子”要求，压减三公经费支出</w:t>
      </w:r>
      <w:r>
        <w:rPr>
          <w:rFonts w:ascii="Times New Roman" w:eastAsia="仿宋_GB2312"/>
          <w:b w:val="0"/>
          <w:sz w:val="32"/>
          <w:szCs w:val="32"/>
        </w:rPr>
        <w:t>。</w:t>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（二）“三公”经费财政拨款支出决算具体情况说明</w:t>
      </w:r>
    </w:p>
    <w:p>
      <w:pPr>
        <w:widowControl/>
        <w:spacing w:before="0" w:beforeLines="0" w:beforeAutospacing="0" w:after="0" w:afterLines="0" w:afterAutospacing="0" w:line="360" w:lineRule="auto"/>
        <w:ind w:firstLine="643" w:firstLineChars="200"/>
        <w:jc w:val="left"/>
        <w:rPr>
          <w:rFonts w:hint="eastAsia" w:ascii="Times New Roman" w:eastAsia="仿宋_GB2312"/>
          <w:b w:val="0"/>
          <w:sz w:val="32"/>
          <w:szCs w:val="32"/>
          <w:lang w:eastAsia="zh-CN"/>
        </w:rPr>
      </w:pPr>
      <w:r>
        <w:rPr>
          <w:rFonts w:ascii="Times New Roman" w:eastAsia="楷体_GB2312"/>
          <w:b/>
          <w:sz w:val="32"/>
          <w:szCs w:val="32"/>
        </w:rPr>
        <w:t>1.因公出国（境）费支出情况。</w:t>
      </w:r>
      <w:r>
        <w:rPr>
          <w:rFonts w:ascii="Times New Roman" w:eastAsia="仿宋_GB2312"/>
          <w:b w:val="0"/>
          <w:sz w:val="32"/>
          <w:szCs w:val="32"/>
        </w:rPr>
        <w:t>本单位2025年度因公出国（境）费支出预算为0.00万元,支出决算0.00万元。完成预算的0.0%。因公出国（境）费支出较预算增加0.00万元，增长0.0%,主要原因是</w:t>
      </w:r>
      <w:r>
        <w:rPr>
          <w:rFonts w:hint="eastAsia" w:ascii="Times New Roman" w:eastAsia="仿宋_GB2312"/>
          <w:b w:val="0"/>
          <w:sz w:val="32"/>
          <w:szCs w:val="32"/>
          <w:lang w:eastAsia="zh-CN"/>
        </w:rPr>
        <w:t>未发生</w:t>
      </w:r>
      <w:r>
        <w:rPr>
          <w:rFonts w:ascii="Times New Roman" w:eastAsia="仿宋_GB2312"/>
          <w:b w:val="0"/>
          <w:sz w:val="32"/>
          <w:szCs w:val="32"/>
        </w:rPr>
        <w:t>因公出国（境）</w:t>
      </w:r>
      <w:r>
        <w:rPr>
          <w:rFonts w:hint="eastAsia" w:ascii="Times New Roman" w:eastAsia="仿宋_GB2312"/>
          <w:b w:val="0"/>
          <w:sz w:val="32"/>
          <w:szCs w:val="32"/>
          <w:lang w:eastAsia="zh-CN"/>
        </w:rPr>
        <w:t>情况。</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2.公务用车购置及运行维护费支出情况。</w:t>
      </w:r>
      <w:r>
        <w:rPr>
          <w:rFonts w:ascii="Times New Roman" w:eastAsia="仿宋_GB2312"/>
          <w:b w:val="0"/>
          <w:sz w:val="32"/>
          <w:szCs w:val="32"/>
        </w:rPr>
        <w:t>本单位2025年度公务用车购置及运行维护费预算为2.13万元，支出决算2.13万元，完成预算的100.0%,较预算增加0.00万元，增长0.0%,主要原因是</w:t>
      </w:r>
      <w:r>
        <w:rPr>
          <w:rFonts w:hint="eastAsia" w:ascii="Times New Roman" w:eastAsia="仿宋_GB2312"/>
          <w:b w:val="0"/>
          <w:sz w:val="32"/>
          <w:szCs w:val="32"/>
          <w:lang w:eastAsia="zh-CN"/>
        </w:rPr>
        <w:t>与</w:t>
      </w:r>
      <w:r>
        <w:rPr>
          <w:rFonts w:hint="eastAsia" w:ascii="Times New Roman" w:eastAsia="仿宋_GB2312"/>
          <w:b w:val="0"/>
          <w:sz w:val="32"/>
          <w:szCs w:val="32"/>
          <w:lang w:val="en-US" w:eastAsia="zh-CN"/>
        </w:rPr>
        <w:t>年初预算持平</w:t>
      </w:r>
      <w:r>
        <w:rPr>
          <w:rFonts w:ascii="Times New Roman" w:eastAsia="仿宋_GB2312"/>
          <w:b w:val="0"/>
          <w:sz w:val="32"/>
          <w:szCs w:val="32"/>
        </w:rPr>
        <w:t>；较上年减少0.57万元，降低21.1%,主要原因是</w:t>
      </w:r>
      <w:r>
        <w:rPr>
          <w:rFonts w:hint="eastAsia" w:ascii="Times New Roman" w:eastAsia="仿宋_GB2312"/>
          <w:b w:val="0"/>
          <w:sz w:val="32"/>
          <w:szCs w:val="32"/>
          <w:lang w:eastAsia="zh-CN"/>
        </w:rPr>
        <w:t>严格落实“过紧日子”要求，压减三公经费支出</w:t>
      </w:r>
      <w:r>
        <w:rPr>
          <w:rFonts w:ascii="Times New Roman" w:eastAsia="仿宋_GB2312"/>
          <w:b w:val="0"/>
          <w:sz w:val="32"/>
          <w:szCs w:val="32"/>
        </w:rPr>
        <w:t>。其中：</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公务用车购置费支出0.00万元：</w:t>
      </w:r>
      <w:r>
        <w:rPr>
          <w:rFonts w:ascii="Times New Roman" w:eastAsia="仿宋_GB2312"/>
          <w:b w:val="0"/>
          <w:sz w:val="32"/>
          <w:szCs w:val="32"/>
        </w:rPr>
        <w:t>本单位2025年度公务用车购置量0辆，发生“公务用车购置”经费支出0.00万元。公务用车购置费支出较预算增加0.00万元，增长0.0%,主要原因是未发生“公务用车购置”经费支出；较上年增加0.00万元，增长0.00%,主要原因是未发生“公务用车购置”经费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公务用车运行维护费支出2.13万元：</w:t>
      </w:r>
      <w:r>
        <w:rPr>
          <w:rFonts w:ascii="Times New Roman" w:eastAsia="仿宋_GB2312"/>
          <w:b w:val="0"/>
          <w:sz w:val="32"/>
          <w:szCs w:val="32"/>
        </w:rPr>
        <w:t>本单位2025年度单位公务用车保有量1辆，发生运行维护费支出2.13万元。公车运行维护费支出较预算增加0.00万元，增长0.0%,主要原因是</w:t>
      </w:r>
      <w:r>
        <w:rPr>
          <w:rFonts w:hint="eastAsia" w:ascii="Times New Roman" w:eastAsia="仿宋_GB2312"/>
          <w:b w:val="0"/>
          <w:sz w:val="32"/>
          <w:szCs w:val="32"/>
          <w:lang w:val="en-US" w:eastAsia="zh-CN"/>
        </w:rPr>
        <w:t>年初预算持平</w:t>
      </w:r>
      <w:r>
        <w:rPr>
          <w:rFonts w:ascii="Times New Roman" w:eastAsia="仿宋_GB2312"/>
          <w:b w:val="0"/>
          <w:sz w:val="32"/>
          <w:szCs w:val="32"/>
        </w:rPr>
        <w:t>；较上年减少0.57万元，降低21.1%，主要原因是</w:t>
      </w:r>
      <w:r>
        <w:rPr>
          <w:rFonts w:hint="eastAsia" w:ascii="Times New Roman" w:eastAsia="仿宋_GB2312"/>
          <w:b w:val="0"/>
          <w:sz w:val="32"/>
          <w:szCs w:val="32"/>
          <w:lang w:eastAsia="zh-CN"/>
        </w:rPr>
        <w:t>严格落实“过紧日子”要求，压减三公经费支出</w:t>
      </w:r>
      <w:r>
        <w:rPr>
          <w:rFonts w:ascii="Times New Roman" w:eastAsia="仿宋_GB2312"/>
          <w:b w:val="0"/>
          <w:sz w:val="32"/>
          <w:szCs w:val="32"/>
        </w:rPr>
        <w:t>。</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3.公务接待费支出情况。</w:t>
      </w:r>
      <w:r>
        <w:rPr>
          <w:rFonts w:ascii="Times New Roman" w:eastAsia="仿宋_GB2312"/>
          <w:b w:val="0"/>
          <w:sz w:val="32"/>
          <w:szCs w:val="32"/>
        </w:rPr>
        <w:t>本单位2025年度公务接待费支出预算为0.00万元，支出决算0.00万元，完成预算的0.0%。公务接待费支出较预算增加0.00万元，增长0.0%,主要原因是</w:t>
      </w:r>
      <w:r>
        <w:rPr>
          <w:rFonts w:hint="eastAsia" w:ascii="Times New Roman" w:eastAsia="仿宋_GB2312"/>
          <w:b w:val="0"/>
          <w:sz w:val="32"/>
          <w:szCs w:val="32"/>
          <w:lang w:eastAsia="zh-CN"/>
        </w:rPr>
        <w:t>未发生公务接待费</w:t>
      </w:r>
      <w:r>
        <w:rPr>
          <w:rFonts w:ascii="Times New Roman" w:eastAsia="仿宋_GB2312"/>
          <w:b w:val="0"/>
          <w:sz w:val="32"/>
          <w:szCs w:val="32"/>
        </w:rPr>
        <w:t>；较上年度增加0.00万元，增长0.00%,主要原因是</w:t>
      </w:r>
      <w:r>
        <w:rPr>
          <w:rFonts w:hint="eastAsia" w:ascii="Times New Roman" w:eastAsia="仿宋_GB2312"/>
          <w:b w:val="0"/>
          <w:sz w:val="32"/>
          <w:szCs w:val="32"/>
          <w:lang w:eastAsia="zh-CN"/>
        </w:rPr>
        <w:t>未发生公务接待费</w:t>
      </w:r>
      <w:r>
        <w:rPr>
          <w:rFonts w:ascii="Times New Roman" w:eastAsia="仿宋_GB2312"/>
          <w:b w:val="0"/>
          <w:sz w:val="32"/>
          <w:szCs w:val="32"/>
        </w:rPr>
        <w:t>。本年度共发生公务接待0批次、0人次。</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六、机关运行经费支出说明</w:t>
      </w:r>
    </w:p>
    <w:p>
      <w:pPr>
        <w:widowControl/>
        <w:spacing w:before="0" w:beforeLines="0" w:beforeAutospacing="0" w:after="0" w:afterLines="0" w:afterAutospacing="0" w:line="360" w:lineRule="auto"/>
        <w:ind w:firstLine="640" w:firstLineChars="200"/>
        <w:jc w:val="left"/>
        <w:outlineLvl w:val="1"/>
        <w:rPr>
          <w:rFonts w:hint="eastAsia" w:ascii="Times New Roman" w:eastAsia="仿宋_GB2312"/>
          <w:b w:val="0"/>
          <w:sz w:val="32"/>
          <w:szCs w:val="32"/>
        </w:rPr>
      </w:pPr>
      <w:r>
        <w:rPr>
          <w:rFonts w:hint="eastAsia" w:ascii="Times New Roman" w:eastAsia="仿宋_GB2312"/>
          <w:b w:val="0"/>
          <w:sz w:val="32"/>
          <w:szCs w:val="32"/>
        </w:rPr>
        <w:t>本单位无机关运行经费，与上年度持平。</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七、政府采购支出说明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政府采购支出总额2.08万元，从采购类型来看，政府采购货物支出0.27万元、政府采购工程支出0.00万元、政府采购服务支出1.82万元。授予中小企业合同金额1.78万元，占政府采购支出总额的85.6%，其中授予小微企业合同金额1.55万元，占政府采购支出总额的74.5%。</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八、国有资产占用情况说明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截至2025年12月31日，本单位共有车辆1辆，比上年增加0辆，主要是</w:t>
      </w:r>
      <w:r>
        <w:rPr>
          <w:rFonts w:hint="eastAsia" w:ascii="Times New Roman" w:eastAsia="仿宋_GB2312"/>
          <w:b w:val="0"/>
          <w:sz w:val="32"/>
          <w:szCs w:val="32"/>
          <w:lang w:eastAsia="zh-CN"/>
        </w:rPr>
        <w:t>较上年无变化</w:t>
      </w:r>
      <w:r>
        <w:rPr>
          <w:rFonts w:ascii="Times New Roman" w:eastAsia="仿宋_GB2312"/>
          <w:b w:val="0"/>
          <w:sz w:val="32"/>
          <w:szCs w:val="32"/>
        </w:rPr>
        <w:t>。其中，副部（省）级及以上领导用车0辆，主要负责人用车0辆，机要通信用车0辆，应急保障用车0辆，执法执勤用车0辆，特种专业技术用车0辆，离退休干部用车0辆，其他用车1辆，其他用车主要是</w:t>
      </w:r>
      <w:r>
        <w:rPr>
          <w:rFonts w:hint="eastAsia" w:ascii="Times New Roman" w:eastAsia="仿宋_GB2312"/>
          <w:b w:val="0"/>
          <w:sz w:val="32"/>
          <w:szCs w:val="32"/>
          <w:lang w:eastAsia="zh-CN"/>
        </w:rPr>
        <w:t>公务用车</w:t>
      </w:r>
      <w:r>
        <w:rPr>
          <w:rFonts w:ascii="Times New Roman" w:eastAsia="仿宋_GB2312"/>
          <w:b w:val="0"/>
          <w:sz w:val="32"/>
          <w:szCs w:val="32"/>
        </w:rPr>
        <w:t>。单位价值100万元（含）以上设备（不含车辆）0台（套）。</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九、关于2025年度绩效评价情况的说明</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（一）绩效评价工作开展情况</w:t>
      </w:r>
    </w:p>
    <w:p>
      <w:pPr>
        <w:widowControl/>
        <w:spacing w:before="0" w:beforeLines="0" w:beforeAutospacing="0" w:after="0" w:afterLines="0" w:afterAutospacing="0" w:line="360" w:lineRule="auto"/>
        <w:ind w:firstLine="640" w:firstLineChars="200"/>
        <w:jc w:val="left"/>
        <w:rPr>
          <w:rFonts w:hint="eastAsia" w:ascii="Times New Roman" w:eastAsia="仿宋_GB2312"/>
          <w:sz w:val="32"/>
          <w:szCs w:val="32"/>
          <w:lang w:eastAsia="zh-CN"/>
        </w:rPr>
      </w:pPr>
      <w:r>
        <w:rPr>
          <w:rFonts w:ascii="Times New Roman" w:eastAsia="仿宋_GB2312"/>
          <w:b w:val="0"/>
          <w:sz w:val="32"/>
          <w:szCs w:val="32"/>
        </w:rPr>
        <w:t>根据预算绩效管理要求，本单位组织对2025年度本级预算项目支出全面开展绩效自评，共涉及资金</w:t>
      </w:r>
      <w:r>
        <w:rPr>
          <w:rFonts w:hint="eastAsia" w:ascii="Times New Roman" w:eastAsia="仿宋_GB2312"/>
          <w:b w:val="0"/>
          <w:sz w:val="32"/>
          <w:szCs w:val="32"/>
          <w:lang w:val="en-US" w:eastAsia="zh-CN"/>
        </w:rPr>
        <w:t>5091.58</w:t>
      </w:r>
      <w:r>
        <w:rPr>
          <w:rFonts w:ascii="Times New Roman" w:eastAsia="仿宋_GB2312"/>
          <w:b w:val="0"/>
          <w:sz w:val="32"/>
          <w:szCs w:val="32"/>
        </w:rPr>
        <w:t>万元（决算金额）。其中，一般公共预算项目</w:t>
      </w:r>
      <w:r>
        <w:rPr>
          <w:rFonts w:hint="eastAsia" w:ascii="Times New Roman" w:eastAsia="仿宋_GB2312"/>
          <w:b w:val="0"/>
          <w:sz w:val="32"/>
          <w:szCs w:val="32"/>
          <w:lang w:val="en-US" w:eastAsia="zh-CN"/>
        </w:rPr>
        <w:t>4</w:t>
      </w:r>
      <w:r>
        <w:rPr>
          <w:rFonts w:ascii="Times New Roman" w:eastAsia="仿宋_GB2312"/>
          <w:b w:val="0"/>
          <w:sz w:val="32"/>
          <w:szCs w:val="32"/>
        </w:rPr>
        <w:t>个，涉及资金</w:t>
      </w:r>
      <w:r>
        <w:rPr>
          <w:rFonts w:hint="eastAsia" w:ascii="Times New Roman" w:eastAsia="仿宋_GB2312"/>
          <w:b w:val="0"/>
          <w:sz w:val="32"/>
          <w:szCs w:val="32"/>
          <w:lang w:val="en-US" w:eastAsia="zh-CN"/>
        </w:rPr>
        <w:t>5091.58</w:t>
      </w:r>
      <w:r>
        <w:rPr>
          <w:rFonts w:ascii="Times New Roman" w:eastAsia="仿宋_GB2312"/>
          <w:b w:val="0"/>
          <w:sz w:val="32"/>
          <w:szCs w:val="32"/>
        </w:rPr>
        <w:t>万元，占一般公共预算项目支出总额的</w:t>
      </w:r>
      <w:r>
        <w:rPr>
          <w:rFonts w:hint="eastAsia" w:ascii="Times New Roman" w:eastAsia="仿宋_GB2312"/>
          <w:b w:val="0"/>
          <w:sz w:val="32"/>
          <w:szCs w:val="32"/>
          <w:lang w:val="en-US" w:eastAsia="zh-CN"/>
        </w:rPr>
        <w:t>100</w:t>
      </w:r>
      <w:r>
        <w:rPr>
          <w:rFonts w:ascii="Times New Roman" w:eastAsia="仿宋_GB2312"/>
          <w:b w:val="0"/>
          <w:sz w:val="32"/>
          <w:szCs w:val="32"/>
        </w:rPr>
        <w:t>%</w:t>
      </w:r>
      <w:r>
        <w:rPr>
          <w:rFonts w:hint="eastAsia" w:ascii="Times New Roman" w:eastAsia="仿宋_GB2312"/>
          <w:b w:val="0"/>
          <w:sz w:val="32"/>
          <w:szCs w:val="32"/>
          <w:lang w:eastAsia="zh-CN"/>
        </w:rPr>
        <w:t>。</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组织对“</w:t>
      </w:r>
      <w:r>
        <w:rPr>
          <w:rFonts w:hint="eastAsia" w:ascii="Times New Roman" w:eastAsia="仿宋_GB2312"/>
          <w:b w:val="0"/>
          <w:sz w:val="32"/>
          <w:szCs w:val="32"/>
          <w:lang w:eastAsia="zh-CN"/>
        </w:rPr>
        <w:t>医保中心</w:t>
      </w:r>
      <w:r>
        <w:rPr>
          <w:rFonts w:ascii="Times New Roman" w:eastAsia="仿宋_GB2312"/>
          <w:b w:val="0"/>
          <w:sz w:val="32"/>
          <w:szCs w:val="32"/>
        </w:rPr>
        <w:t>长期护理保险财政补助”“</w:t>
      </w:r>
      <w:r>
        <w:rPr>
          <w:rFonts w:hint="eastAsia" w:ascii="Times New Roman" w:eastAsia="仿宋_GB2312"/>
          <w:b w:val="0"/>
          <w:sz w:val="32"/>
          <w:szCs w:val="32"/>
          <w:lang w:eastAsia="zh-CN"/>
        </w:rPr>
        <w:t>医保中心城乡居民基本医疗保险</w:t>
      </w:r>
      <w:r>
        <w:rPr>
          <w:rFonts w:ascii="Times New Roman" w:eastAsia="仿宋_GB2312"/>
          <w:b w:val="0"/>
          <w:sz w:val="32"/>
          <w:szCs w:val="32"/>
        </w:rPr>
        <w:t>本级补助”</w:t>
      </w:r>
      <w:r>
        <w:rPr>
          <w:rFonts w:hint="eastAsia" w:ascii="Times New Roman" w:eastAsia="仿宋_GB2312"/>
          <w:b w:val="0"/>
          <w:sz w:val="32"/>
          <w:szCs w:val="32"/>
          <w:lang w:eastAsia="zh-CN"/>
        </w:rPr>
        <w:t>等</w:t>
      </w:r>
      <w:r>
        <w:rPr>
          <w:rFonts w:hint="eastAsia" w:ascii="Times New Roman" w:eastAsia="仿宋_GB2312"/>
          <w:b w:val="0"/>
          <w:sz w:val="32"/>
          <w:szCs w:val="32"/>
          <w:lang w:val="en-US" w:eastAsia="zh-CN"/>
        </w:rPr>
        <w:t>4</w:t>
      </w:r>
      <w:r>
        <w:rPr>
          <w:rFonts w:ascii="Times New Roman" w:eastAsia="仿宋_GB2312"/>
          <w:b w:val="0"/>
          <w:sz w:val="32"/>
          <w:szCs w:val="32"/>
        </w:rPr>
        <w:t>个项目开展了部门重点评价，涉及一般公共预算支出</w:t>
      </w:r>
      <w:r>
        <w:rPr>
          <w:rFonts w:hint="eastAsia" w:ascii="Times New Roman" w:eastAsia="仿宋_GB2312"/>
          <w:b w:val="0"/>
          <w:sz w:val="32"/>
          <w:szCs w:val="32"/>
          <w:lang w:val="en-US" w:eastAsia="zh-CN"/>
        </w:rPr>
        <w:t>5091.58</w:t>
      </w:r>
      <w:r>
        <w:rPr>
          <w:rFonts w:ascii="Times New Roman" w:eastAsia="仿宋_GB2312"/>
          <w:b w:val="0"/>
          <w:sz w:val="32"/>
          <w:szCs w:val="32"/>
        </w:rPr>
        <w:t>万元，从评价情况来看，202</w:t>
      </w:r>
      <w:r>
        <w:rPr>
          <w:rFonts w:hint="eastAsia" w:ascii="Times New Roman" w:eastAsia="仿宋_GB2312"/>
          <w:b w:val="0"/>
          <w:sz w:val="32"/>
          <w:szCs w:val="32"/>
          <w:lang w:val="en-US" w:eastAsia="zh-CN"/>
        </w:rPr>
        <w:t>5</w:t>
      </w:r>
      <w:r>
        <w:rPr>
          <w:rFonts w:ascii="Times New Roman" w:eastAsia="仿宋_GB2312"/>
          <w:b w:val="0"/>
          <w:sz w:val="32"/>
          <w:szCs w:val="32"/>
        </w:rPr>
        <w:t xml:space="preserve">年本部门绩效自评项目共 </w:t>
      </w:r>
      <w:r>
        <w:rPr>
          <w:rFonts w:hint="eastAsia" w:ascii="Times New Roman" w:eastAsia="仿宋_GB2312"/>
          <w:b w:val="0"/>
          <w:sz w:val="32"/>
          <w:szCs w:val="32"/>
          <w:lang w:val="en-US" w:eastAsia="zh-CN"/>
        </w:rPr>
        <w:t>4</w:t>
      </w:r>
      <w:r>
        <w:rPr>
          <w:rFonts w:ascii="Times New Roman" w:eastAsia="仿宋_GB2312"/>
          <w:b w:val="0"/>
          <w:sz w:val="32"/>
          <w:szCs w:val="32"/>
        </w:rPr>
        <w:t xml:space="preserve"> 个，其中评价等级为“优”项目 </w:t>
      </w:r>
      <w:r>
        <w:rPr>
          <w:rFonts w:hint="eastAsia" w:ascii="Times New Roman" w:eastAsia="仿宋_GB2312"/>
          <w:b w:val="0"/>
          <w:sz w:val="32"/>
          <w:szCs w:val="32"/>
          <w:lang w:val="en-US" w:eastAsia="zh-CN"/>
        </w:rPr>
        <w:t>4</w:t>
      </w:r>
      <w:r>
        <w:rPr>
          <w:rFonts w:ascii="Times New Roman" w:eastAsia="仿宋_GB2312"/>
          <w:b w:val="0"/>
          <w:sz w:val="32"/>
          <w:szCs w:val="32"/>
        </w:rPr>
        <w:t>个，评优率为 100%。</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（二）部门决算中项目绩效自评结果</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本单位在今年部门决算公开中反映</w:t>
      </w:r>
      <w:r>
        <w:rPr>
          <w:rFonts w:hint="eastAsia" w:ascii="Times New Roman" w:eastAsia="仿宋_GB2312"/>
          <w:b w:val="0"/>
          <w:sz w:val="32"/>
          <w:szCs w:val="32"/>
          <w:lang w:eastAsia="zh-CN"/>
        </w:rPr>
        <w:t>医保中心涉军劳务派遣人员经费</w:t>
      </w:r>
      <w:r>
        <w:rPr>
          <w:rFonts w:ascii="Times New Roman" w:eastAsia="仿宋_GB2312"/>
          <w:b w:val="0"/>
          <w:sz w:val="32"/>
          <w:szCs w:val="32"/>
        </w:rPr>
        <w:t>项目绩效自评结果。</w:t>
      </w:r>
    </w:p>
    <w:p>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项目绩效自评情况：根据年初设定的绩效目标，</w:t>
      </w:r>
      <w:r>
        <w:rPr>
          <w:rFonts w:hint="eastAsia" w:ascii="Times New Roman" w:eastAsia="仿宋_GB2312"/>
          <w:b w:val="0"/>
          <w:sz w:val="32"/>
          <w:szCs w:val="32"/>
          <w:lang w:eastAsia="zh-CN"/>
        </w:rPr>
        <w:t>医保中心涉军劳务派遣人员经费</w:t>
      </w:r>
      <w:r>
        <w:rPr>
          <w:rFonts w:ascii="Times New Roman" w:eastAsia="仿宋_GB2312"/>
          <w:b w:val="0"/>
          <w:sz w:val="32"/>
          <w:szCs w:val="32"/>
        </w:rPr>
        <w:t>项目绩效自评得分为</w:t>
      </w:r>
      <w:r>
        <w:rPr>
          <w:rFonts w:hint="eastAsia" w:ascii="Times New Roman" w:eastAsia="仿宋_GB2312"/>
          <w:b w:val="0"/>
          <w:sz w:val="32"/>
          <w:szCs w:val="32"/>
          <w:lang w:val="en-US" w:eastAsia="zh-CN"/>
        </w:rPr>
        <w:t>100</w:t>
      </w:r>
      <w:r>
        <w:rPr>
          <w:rFonts w:ascii="Times New Roman" w:eastAsia="仿宋_GB2312"/>
          <w:b w:val="0"/>
          <w:sz w:val="32"/>
          <w:szCs w:val="32"/>
        </w:rPr>
        <w:t>分（绩效自评表附后）。全年预算数为</w:t>
      </w:r>
      <w:r>
        <w:rPr>
          <w:rFonts w:hint="eastAsia" w:ascii="Times New Roman" w:eastAsia="仿宋_GB2312"/>
          <w:b w:val="0"/>
          <w:sz w:val="32"/>
          <w:szCs w:val="32"/>
          <w:lang w:val="en-US" w:eastAsia="zh-CN"/>
        </w:rPr>
        <w:t>12</w:t>
      </w:r>
      <w:r>
        <w:rPr>
          <w:rFonts w:ascii="Times New Roman" w:eastAsia="仿宋_GB2312"/>
          <w:b w:val="0"/>
          <w:sz w:val="32"/>
          <w:szCs w:val="32"/>
        </w:rPr>
        <w:t>万元，执行数为</w:t>
      </w:r>
      <w:r>
        <w:rPr>
          <w:rFonts w:hint="eastAsia" w:ascii="Times New Roman" w:eastAsia="仿宋_GB2312"/>
          <w:b w:val="0"/>
          <w:sz w:val="32"/>
          <w:szCs w:val="32"/>
          <w:lang w:val="en-US" w:eastAsia="zh-CN"/>
        </w:rPr>
        <w:t>12</w:t>
      </w:r>
      <w:r>
        <w:rPr>
          <w:rFonts w:ascii="Times New Roman" w:eastAsia="仿宋_GB2312"/>
          <w:b w:val="0"/>
          <w:sz w:val="32"/>
          <w:szCs w:val="32"/>
        </w:rPr>
        <w:t>万元，完成预算的</w:t>
      </w:r>
      <w:r>
        <w:rPr>
          <w:rFonts w:hint="eastAsia" w:ascii="Times New Roman" w:eastAsia="仿宋_GB2312"/>
          <w:b w:val="0"/>
          <w:sz w:val="32"/>
          <w:szCs w:val="32"/>
          <w:lang w:val="en-US" w:eastAsia="zh-CN"/>
        </w:rPr>
        <w:t>100</w:t>
      </w:r>
      <w:r>
        <w:rPr>
          <w:rFonts w:ascii="Times New Roman" w:eastAsia="仿宋_GB2312"/>
          <w:b w:val="0"/>
          <w:sz w:val="32"/>
          <w:szCs w:val="32"/>
        </w:rPr>
        <w:t>%。项目绩效目标完成情况：对符合政府安排工作条件的退役士兵 2 名，帮扶救助，加大就业援助。</w:t>
      </w:r>
    </w:p>
    <w:tbl>
      <w:tblPr>
        <w:tblStyle w:val="27"/>
        <w:tblW w:w="888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55"/>
        <w:gridCol w:w="898"/>
        <w:gridCol w:w="1"/>
        <w:gridCol w:w="845"/>
        <w:gridCol w:w="970"/>
        <w:gridCol w:w="1219"/>
        <w:gridCol w:w="1165"/>
        <w:gridCol w:w="933"/>
        <w:gridCol w:w="1795"/>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33" w:hRule="atLeast"/>
        </w:trPr>
        <w:tc>
          <w:tcPr>
            <w:tcW w:w="1055" w:type="dxa"/>
            <w:vAlign w:val="top"/>
          </w:tcPr>
          <w:p>
            <w:pPr>
              <w:spacing w:before="61" w:line="273" w:lineRule="auto"/>
              <w:ind w:left="116" w:right="341" w:firstLine="1"/>
              <w:rPr>
                <w:rFonts w:ascii="宋体" w:hAnsi="宋体" w:eastAsia="宋体" w:cs="宋体"/>
                <w:sz w:val="19"/>
                <w:szCs w:val="19"/>
              </w:rPr>
            </w:pPr>
            <w:r>
              <w:rPr>
                <w:rFonts w:ascii="宋体" w:hAnsi="宋体" w:eastAsia="宋体" w:cs="宋体"/>
                <w:spacing w:val="6"/>
                <w:sz w:val="19"/>
                <w:szCs w:val="19"/>
              </w:rPr>
              <w:t>填报单</w:t>
            </w:r>
            <w:r>
              <w:rPr>
                <w:rFonts w:ascii="宋体" w:hAnsi="宋体" w:eastAsia="宋体" w:cs="宋体"/>
                <w:spacing w:val="1"/>
                <w:sz w:val="19"/>
                <w:szCs w:val="19"/>
              </w:rPr>
              <w:t xml:space="preserve"> </w:t>
            </w:r>
            <w:r>
              <w:rPr>
                <w:rFonts w:ascii="宋体" w:hAnsi="宋体" w:eastAsia="宋体" w:cs="宋体"/>
                <w:sz w:val="19"/>
                <w:szCs w:val="19"/>
              </w:rPr>
              <w:t>位：</w:t>
            </w:r>
          </w:p>
        </w:tc>
        <w:tc>
          <w:tcPr>
            <w:tcW w:w="2714" w:type="dxa"/>
            <w:gridSpan w:val="4"/>
            <w:vAlign w:val="top"/>
          </w:tcPr>
          <w:p>
            <w:pPr>
              <w:spacing w:before="217" w:line="228" w:lineRule="auto"/>
              <w:ind w:left="460"/>
              <w:rPr>
                <w:rFonts w:hint="eastAsia" w:ascii="宋体" w:hAnsi="宋体" w:eastAsia="宋体" w:cs="宋体"/>
                <w:sz w:val="19"/>
                <w:szCs w:val="19"/>
                <w:lang w:eastAsia="zh-CN"/>
              </w:rPr>
            </w:pPr>
            <w:r>
              <w:rPr>
                <w:rFonts w:ascii="宋体" w:hAnsi="宋体" w:eastAsia="宋体" w:cs="宋体"/>
                <w:spacing w:val="9"/>
                <w:sz w:val="19"/>
                <w:szCs w:val="19"/>
              </w:rPr>
              <w:t>鹿泉区医疗</w:t>
            </w:r>
            <w:r>
              <w:rPr>
                <w:rFonts w:hint="eastAsia" w:ascii="宋体" w:hAnsi="宋体" w:eastAsia="宋体" w:cs="宋体"/>
                <w:spacing w:val="9"/>
                <w:sz w:val="19"/>
                <w:szCs w:val="19"/>
                <w:lang w:eastAsia="zh-CN"/>
              </w:rPr>
              <w:t>保险管理中心</w:t>
            </w:r>
          </w:p>
        </w:tc>
        <w:tc>
          <w:tcPr>
            <w:tcW w:w="1219" w:type="dxa"/>
            <w:vAlign w:val="top"/>
          </w:tcPr>
          <w:p>
            <w:pPr>
              <w:pStyle w:val="28"/>
            </w:pPr>
          </w:p>
        </w:tc>
        <w:tc>
          <w:tcPr>
            <w:tcW w:w="1165" w:type="dxa"/>
            <w:vAlign w:val="top"/>
          </w:tcPr>
          <w:p>
            <w:pPr>
              <w:pStyle w:val="28"/>
            </w:pPr>
          </w:p>
        </w:tc>
        <w:tc>
          <w:tcPr>
            <w:tcW w:w="933" w:type="dxa"/>
            <w:vAlign w:val="top"/>
          </w:tcPr>
          <w:p>
            <w:pPr>
              <w:pStyle w:val="28"/>
            </w:pPr>
          </w:p>
        </w:tc>
        <w:tc>
          <w:tcPr>
            <w:tcW w:w="1795" w:type="dxa"/>
            <w:vAlign w:val="top"/>
          </w:tcPr>
          <w:p>
            <w:pPr>
              <w:spacing w:before="217" w:line="228" w:lineRule="auto"/>
              <w:ind w:left="202"/>
              <w:rPr>
                <w:rFonts w:ascii="宋体" w:hAnsi="宋体" w:eastAsia="宋体" w:cs="宋体"/>
                <w:sz w:val="19"/>
                <w:szCs w:val="19"/>
              </w:rPr>
            </w:pPr>
            <w:r>
              <w:rPr>
                <w:rFonts w:ascii="宋体" w:hAnsi="宋体" w:eastAsia="宋体" w:cs="宋体"/>
                <w:spacing w:val="8"/>
                <w:sz w:val="19"/>
                <w:szCs w:val="19"/>
              </w:rPr>
              <w:t>金额单位：万元</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1055" w:type="dxa"/>
            <w:vAlign w:val="top"/>
          </w:tcPr>
          <w:p>
            <w:pPr>
              <w:spacing w:before="60" w:line="271" w:lineRule="auto"/>
              <w:ind w:left="116" w:right="109" w:firstLine="2"/>
              <w:rPr>
                <w:rFonts w:ascii="宋体" w:hAnsi="宋体" w:eastAsia="宋体" w:cs="宋体"/>
                <w:sz w:val="19"/>
                <w:szCs w:val="19"/>
              </w:rPr>
            </w:pPr>
            <w:r>
              <w:rPr>
                <w:rFonts w:ascii="宋体" w:hAnsi="宋体" w:eastAsia="宋体" w:cs="宋体"/>
                <w:spacing w:val="2"/>
                <w:sz w:val="19"/>
                <w:szCs w:val="19"/>
              </w:rPr>
              <w:t>一、</w:t>
            </w:r>
            <w:r>
              <w:rPr>
                <w:rFonts w:ascii="宋体" w:hAnsi="宋体" w:eastAsia="宋体" w:cs="宋体"/>
                <w:spacing w:val="-43"/>
                <w:sz w:val="19"/>
                <w:szCs w:val="19"/>
              </w:rPr>
              <w:t xml:space="preserve"> </w:t>
            </w:r>
            <w:r>
              <w:rPr>
                <w:rFonts w:ascii="宋体" w:hAnsi="宋体" w:eastAsia="宋体" w:cs="宋体"/>
                <w:spacing w:val="2"/>
                <w:sz w:val="19"/>
                <w:szCs w:val="19"/>
              </w:rPr>
              <w:t>基本</w:t>
            </w:r>
            <w:r>
              <w:rPr>
                <w:rFonts w:ascii="宋体" w:hAnsi="宋体" w:eastAsia="宋体" w:cs="宋体"/>
                <w:sz w:val="19"/>
                <w:szCs w:val="19"/>
              </w:rPr>
              <w:t xml:space="preserve"> </w:t>
            </w:r>
            <w:r>
              <w:rPr>
                <w:rFonts w:ascii="宋体" w:hAnsi="宋体" w:eastAsia="宋体" w:cs="宋体"/>
                <w:spacing w:val="4"/>
                <w:sz w:val="19"/>
                <w:szCs w:val="19"/>
              </w:rPr>
              <w:t>情况</w:t>
            </w:r>
          </w:p>
        </w:tc>
        <w:tc>
          <w:tcPr>
            <w:tcW w:w="899" w:type="dxa"/>
            <w:gridSpan w:val="2"/>
            <w:vAlign w:val="top"/>
          </w:tcPr>
          <w:p>
            <w:pPr>
              <w:spacing w:before="60" w:line="271" w:lineRule="auto"/>
              <w:ind w:left="351" w:right="148" w:hanging="195"/>
              <w:rPr>
                <w:rFonts w:ascii="宋体" w:hAnsi="宋体" w:eastAsia="宋体" w:cs="宋体"/>
                <w:sz w:val="19"/>
                <w:szCs w:val="19"/>
              </w:rPr>
            </w:pPr>
            <w:r>
              <w:rPr>
                <w:rFonts w:ascii="宋体" w:hAnsi="宋体" w:eastAsia="宋体" w:cs="宋体"/>
                <w:spacing w:val="6"/>
                <w:sz w:val="19"/>
                <w:szCs w:val="19"/>
              </w:rPr>
              <w:t>项目名</w:t>
            </w:r>
            <w:r>
              <w:rPr>
                <w:rFonts w:ascii="宋体" w:hAnsi="宋体" w:eastAsia="宋体" w:cs="宋体"/>
                <w:sz w:val="19"/>
                <w:szCs w:val="19"/>
              </w:rPr>
              <w:t xml:space="preserve"> </w:t>
            </w:r>
            <w:r>
              <w:rPr>
                <w:rFonts w:ascii="宋体" w:hAnsi="宋体" w:eastAsia="宋体" w:cs="宋体"/>
                <w:spacing w:val="2"/>
                <w:sz w:val="19"/>
                <w:szCs w:val="19"/>
              </w:rPr>
              <w:t>称</w:t>
            </w:r>
          </w:p>
        </w:tc>
        <w:tc>
          <w:tcPr>
            <w:tcW w:w="1815" w:type="dxa"/>
            <w:gridSpan w:val="2"/>
            <w:vAlign w:val="top"/>
          </w:tcPr>
          <w:p>
            <w:pPr>
              <w:spacing w:before="60" w:line="271" w:lineRule="auto"/>
              <w:ind w:left="313" w:right="106" w:hanging="193"/>
              <w:rPr>
                <w:rFonts w:hint="default" w:ascii="宋体" w:hAnsi="宋体" w:eastAsia="宋体" w:cs="宋体"/>
                <w:sz w:val="19"/>
                <w:szCs w:val="19"/>
                <w:lang w:val="en-US" w:eastAsia="zh-CN"/>
              </w:rPr>
            </w:pPr>
            <w:r>
              <w:rPr>
                <w:rFonts w:hint="eastAsia" w:ascii="宋体" w:hAnsi="宋体" w:eastAsia="宋体" w:cs="宋体"/>
                <w:spacing w:val="7"/>
                <w:sz w:val="19"/>
                <w:szCs w:val="19"/>
                <w:lang w:eastAsia="zh-CN"/>
              </w:rPr>
              <w:t>涉军劳务派遣人员经费</w:t>
            </w:r>
            <w:r>
              <w:rPr>
                <w:rFonts w:hint="eastAsia" w:ascii="宋体" w:hAnsi="宋体" w:eastAsia="宋体" w:cs="宋体"/>
                <w:spacing w:val="7"/>
                <w:sz w:val="19"/>
                <w:szCs w:val="19"/>
                <w:lang w:val="en-US" w:eastAsia="zh-CN"/>
              </w:rPr>
              <w:t>2025</w:t>
            </w:r>
          </w:p>
        </w:tc>
        <w:tc>
          <w:tcPr>
            <w:tcW w:w="1219" w:type="dxa"/>
            <w:vAlign w:val="top"/>
          </w:tcPr>
          <w:p>
            <w:pPr>
              <w:spacing w:before="59" w:line="228" w:lineRule="auto"/>
              <w:ind w:left="117"/>
              <w:rPr>
                <w:rFonts w:ascii="宋体" w:hAnsi="宋体" w:eastAsia="宋体" w:cs="宋体"/>
                <w:sz w:val="19"/>
                <w:szCs w:val="19"/>
              </w:rPr>
            </w:pPr>
            <w:r>
              <w:rPr>
                <w:rFonts w:ascii="宋体" w:hAnsi="宋体" w:eastAsia="宋体" w:cs="宋体"/>
                <w:spacing w:val="4"/>
                <w:sz w:val="19"/>
                <w:szCs w:val="19"/>
              </w:rPr>
              <w:t>实施(主管）</w:t>
            </w:r>
          </w:p>
          <w:p>
            <w:pPr>
              <w:spacing w:before="77" w:line="229" w:lineRule="auto"/>
              <w:ind w:left="416"/>
              <w:rPr>
                <w:rFonts w:ascii="宋体" w:hAnsi="宋体" w:eastAsia="宋体" w:cs="宋体"/>
                <w:sz w:val="19"/>
                <w:szCs w:val="19"/>
              </w:rPr>
            </w:pPr>
            <w:r>
              <w:rPr>
                <w:rFonts w:ascii="宋体" w:hAnsi="宋体" w:eastAsia="宋体" w:cs="宋体"/>
                <w:spacing w:val="4"/>
                <w:sz w:val="19"/>
                <w:szCs w:val="19"/>
              </w:rPr>
              <w:t>单位</w:t>
            </w:r>
          </w:p>
        </w:tc>
        <w:tc>
          <w:tcPr>
            <w:tcW w:w="3893" w:type="dxa"/>
            <w:gridSpan w:val="3"/>
            <w:vAlign w:val="top"/>
          </w:tcPr>
          <w:p>
            <w:pPr>
              <w:spacing w:before="215" w:line="228" w:lineRule="auto"/>
              <w:ind w:left="1051"/>
              <w:rPr>
                <w:rFonts w:hint="eastAsia" w:ascii="宋体" w:hAnsi="宋体" w:eastAsia="宋体" w:cs="宋体"/>
                <w:sz w:val="19"/>
                <w:szCs w:val="19"/>
                <w:lang w:eastAsia="zh-CN"/>
              </w:rPr>
            </w:pPr>
            <w:r>
              <w:rPr>
                <w:rFonts w:ascii="宋体" w:hAnsi="宋体" w:eastAsia="宋体" w:cs="宋体"/>
                <w:spacing w:val="9"/>
                <w:sz w:val="19"/>
                <w:szCs w:val="19"/>
              </w:rPr>
              <w:t>鹿泉区医疗</w:t>
            </w:r>
            <w:r>
              <w:rPr>
                <w:rFonts w:hint="eastAsia" w:ascii="宋体" w:hAnsi="宋体" w:eastAsia="宋体" w:cs="宋体"/>
                <w:spacing w:val="9"/>
                <w:sz w:val="19"/>
                <w:szCs w:val="19"/>
                <w:lang w:eastAsia="zh-CN"/>
              </w:rPr>
              <w:t>保险管理中心</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1055" w:type="dxa"/>
            <w:vMerge w:val="restart"/>
            <w:tcBorders>
              <w:bottom w:val="nil"/>
            </w:tcBorders>
            <w:vAlign w:val="top"/>
          </w:tcPr>
          <w:p>
            <w:pPr>
              <w:pStyle w:val="28"/>
              <w:spacing w:line="314" w:lineRule="auto"/>
            </w:pPr>
          </w:p>
          <w:p>
            <w:pPr>
              <w:pStyle w:val="28"/>
              <w:spacing w:line="314" w:lineRule="auto"/>
            </w:pPr>
          </w:p>
          <w:p>
            <w:pPr>
              <w:pStyle w:val="28"/>
              <w:spacing w:line="315" w:lineRule="auto"/>
            </w:pPr>
          </w:p>
          <w:p>
            <w:pPr>
              <w:spacing w:before="62" w:line="228" w:lineRule="auto"/>
              <w:ind w:left="136"/>
              <w:rPr>
                <w:rFonts w:ascii="宋体" w:hAnsi="宋体" w:eastAsia="宋体" w:cs="宋体"/>
                <w:sz w:val="19"/>
                <w:szCs w:val="19"/>
              </w:rPr>
            </w:pPr>
            <w:r>
              <w:rPr>
                <w:rFonts w:ascii="宋体" w:hAnsi="宋体" w:eastAsia="宋体" w:cs="宋体"/>
                <w:spacing w:val="7"/>
                <w:sz w:val="19"/>
                <w:szCs w:val="19"/>
              </w:rPr>
              <w:t>二、预算</w:t>
            </w:r>
          </w:p>
          <w:p>
            <w:pPr>
              <w:spacing w:before="77" w:line="228" w:lineRule="auto"/>
              <w:ind w:left="132"/>
              <w:rPr>
                <w:rFonts w:ascii="宋体" w:hAnsi="宋体" w:eastAsia="宋体" w:cs="宋体"/>
                <w:sz w:val="19"/>
                <w:szCs w:val="19"/>
              </w:rPr>
            </w:pPr>
            <w:r>
              <w:rPr>
                <w:rFonts w:ascii="宋体" w:hAnsi="宋体" w:eastAsia="宋体" w:cs="宋体"/>
                <w:spacing w:val="7"/>
                <w:sz w:val="19"/>
                <w:szCs w:val="19"/>
              </w:rPr>
              <w:t>执行情况</w:t>
            </w:r>
          </w:p>
        </w:tc>
        <w:tc>
          <w:tcPr>
            <w:tcW w:w="1744" w:type="dxa"/>
            <w:gridSpan w:val="3"/>
            <w:vAlign w:val="top"/>
          </w:tcPr>
          <w:p>
            <w:pPr>
              <w:spacing w:before="60" w:line="228" w:lineRule="auto"/>
              <w:ind w:left="113"/>
              <w:rPr>
                <w:rFonts w:ascii="宋体" w:hAnsi="宋体" w:eastAsia="宋体" w:cs="宋体"/>
                <w:sz w:val="19"/>
                <w:szCs w:val="19"/>
              </w:rPr>
            </w:pPr>
            <w:r>
              <w:rPr>
                <w:rFonts w:ascii="宋体" w:hAnsi="宋体" w:eastAsia="宋体" w:cs="宋体"/>
                <w:spacing w:val="-1"/>
                <w:sz w:val="19"/>
                <w:szCs w:val="19"/>
              </w:rPr>
              <w:t>预算安排情况（调</w:t>
            </w:r>
          </w:p>
          <w:p>
            <w:pPr>
              <w:spacing w:before="77" w:line="229" w:lineRule="auto"/>
              <w:ind w:left="576"/>
              <w:rPr>
                <w:rFonts w:ascii="宋体" w:hAnsi="宋体" w:eastAsia="宋体" w:cs="宋体"/>
                <w:sz w:val="19"/>
                <w:szCs w:val="19"/>
              </w:rPr>
            </w:pPr>
            <w:r>
              <w:rPr>
                <w:rFonts w:ascii="宋体" w:hAnsi="宋体" w:eastAsia="宋体" w:cs="宋体"/>
                <w:spacing w:val="3"/>
                <w:sz w:val="19"/>
                <w:szCs w:val="19"/>
              </w:rPr>
              <w:t>整后）</w:t>
            </w:r>
          </w:p>
        </w:tc>
        <w:tc>
          <w:tcPr>
            <w:tcW w:w="2189" w:type="dxa"/>
            <w:gridSpan w:val="2"/>
            <w:vAlign w:val="top"/>
          </w:tcPr>
          <w:p>
            <w:pPr>
              <w:spacing w:before="216" w:line="229" w:lineRule="auto"/>
              <w:ind w:left="508"/>
              <w:rPr>
                <w:rFonts w:ascii="宋体" w:hAnsi="宋体" w:eastAsia="宋体" w:cs="宋体"/>
                <w:sz w:val="19"/>
                <w:szCs w:val="19"/>
              </w:rPr>
            </w:pPr>
            <w:r>
              <w:rPr>
                <w:rFonts w:ascii="宋体" w:hAnsi="宋体" w:eastAsia="宋体" w:cs="宋体"/>
                <w:spacing w:val="7"/>
                <w:sz w:val="19"/>
                <w:szCs w:val="19"/>
              </w:rPr>
              <w:t>资金到位情况</w:t>
            </w:r>
          </w:p>
        </w:tc>
        <w:tc>
          <w:tcPr>
            <w:tcW w:w="2098" w:type="dxa"/>
            <w:gridSpan w:val="2"/>
            <w:vAlign w:val="top"/>
          </w:tcPr>
          <w:p>
            <w:pPr>
              <w:spacing w:before="216" w:line="228" w:lineRule="auto"/>
              <w:ind w:left="464"/>
              <w:rPr>
                <w:rFonts w:ascii="宋体" w:hAnsi="宋体" w:eastAsia="宋体" w:cs="宋体"/>
                <w:sz w:val="19"/>
                <w:szCs w:val="19"/>
              </w:rPr>
            </w:pPr>
            <w:r>
              <w:rPr>
                <w:rFonts w:ascii="宋体" w:hAnsi="宋体" w:eastAsia="宋体" w:cs="宋体"/>
                <w:spacing w:val="7"/>
                <w:sz w:val="19"/>
                <w:szCs w:val="19"/>
              </w:rPr>
              <w:t>资金执行情况</w:t>
            </w:r>
          </w:p>
        </w:tc>
        <w:tc>
          <w:tcPr>
            <w:tcW w:w="1795" w:type="dxa"/>
            <w:vAlign w:val="top"/>
          </w:tcPr>
          <w:p>
            <w:pPr>
              <w:spacing w:before="216" w:line="228" w:lineRule="auto"/>
              <w:ind w:left="303"/>
              <w:rPr>
                <w:rFonts w:ascii="宋体" w:hAnsi="宋体" w:eastAsia="宋体" w:cs="宋体"/>
                <w:sz w:val="19"/>
                <w:szCs w:val="19"/>
              </w:rPr>
            </w:pPr>
            <w:r>
              <w:rPr>
                <w:rFonts w:ascii="宋体" w:hAnsi="宋体" w:eastAsia="宋体" w:cs="宋体"/>
                <w:spacing w:val="8"/>
                <w:sz w:val="19"/>
                <w:szCs w:val="19"/>
              </w:rPr>
              <w:t>预算执行进度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1055" w:type="dxa"/>
            <w:vMerge w:val="continue"/>
            <w:tcBorders>
              <w:top w:val="nil"/>
              <w:bottom w:val="nil"/>
            </w:tcBorders>
            <w:vAlign w:val="top"/>
          </w:tcPr>
          <w:p>
            <w:pPr>
              <w:pStyle w:val="28"/>
            </w:pPr>
          </w:p>
        </w:tc>
        <w:tc>
          <w:tcPr>
            <w:tcW w:w="899" w:type="dxa"/>
            <w:gridSpan w:val="2"/>
            <w:vAlign w:val="top"/>
          </w:tcPr>
          <w:p>
            <w:pPr>
              <w:spacing w:before="60" w:line="271" w:lineRule="auto"/>
              <w:ind w:left="113" w:right="391"/>
              <w:rPr>
                <w:rFonts w:ascii="宋体" w:hAnsi="宋体" w:eastAsia="宋体" w:cs="宋体"/>
                <w:sz w:val="19"/>
                <w:szCs w:val="19"/>
              </w:rPr>
            </w:pPr>
            <w:r>
              <w:rPr>
                <w:rFonts w:ascii="宋体" w:hAnsi="宋体" w:eastAsia="宋体" w:cs="宋体"/>
                <w:spacing w:val="4"/>
                <w:sz w:val="19"/>
                <w:szCs w:val="19"/>
              </w:rPr>
              <w:t>预算</w:t>
            </w:r>
            <w:r>
              <w:rPr>
                <w:rFonts w:ascii="宋体" w:hAnsi="宋体" w:eastAsia="宋体" w:cs="宋体"/>
                <w:sz w:val="19"/>
                <w:szCs w:val="19"/>
              </w:rPr>
              <w:t xml:space="preserve"> </w:t>
            </w:r>
            <w:r>
              <w:rPr>
                <w:rFonts w:ascii="宋体" w:hAnsi="宋体" w:eastAsia="宋体" w:cs="宋体"/>
                <w:spacing w:val="-1"/>
                <w:sz w:val="19"/>
                <w:szCs w:val="19"/>
              </w:rPr>
              <w:t>数：</w:t>
            </w:r>
          </w:p>
        </w:tc>
        <w:tc>
          <w:tcPr>
            <w:tcW w:w="845" w:type="dxa"/>
            <w:vAlign w:val="top"/>
          </w:tcPr>
          <w:p>
            <w:pPr>
              <w:spacing w:before="204"/>
              <w:rPr>
                <w:rFonts w:hint="default" w:ascii="宋体" w:hAnsi="宋体" w:eastAsia="宋体" w:cs="宋体"/>
                <w:sz w:val="22"/>
                <w:szCs w:val="22"/>
                <w:lang w:val="en-US" w:eastAsia="zh-CN"/>
              </w:rPr>
            </w:pPr>
            <w:r>
              <w:rPr>
                <w:rFonts w:hint="eastAsia" w:ascii="宋体" w:hAnsi="宋体" w:eastAsia="宋体" w:cs="宋体"/>
                <w:sz w:val="22"/>
                <w:szCs w:val="22"/>
                <w:lang w:val="en-US" w:eastAsia="zh-CN"/>
              </w:rPr>
              <w:t>12</w:t>
            </w:r>
          </w:p>
        </w:tc>
        <w:tc>
          <w:tcPr>
            <w:tcW w:w="970" w:type="dxa"/>
            <w:vAlign w:val="top"/>
          </w:tcPr>
          <w:p>
            <w:pPr>
              <w:spacing w:before="216" w:line="228" w:lineRule="auto"/>
              <w:ind w:left="116"/>
              <w:rPr>
                <w:rFonts w:ascii="宋体" w:hAnsi="宋体" w:eastAsia="宋体" w:cs="宋体"/>
                <w:sz w:val="19"/>
                <w:szCs w:val="19"/>
              </w:rPr>
            </w:pPr>
            <w:r>
              <w:rPr>
                <w:rFonts w:ascii="宋体" w:hAnsi="宋体" w:eastAsia="宋体" w:cs="宋体"/>
                <w:spacing w:val="4"/>
                <w:sz w:val="19"/>
                <w:szCs w:val="19"/>
              </w:rPr>
              <w:t>到位数：</w:t>
            </w:r>
          </w:p>
        </w:tc>
        <w:tc>
          <w:tcPr>
            <w:tcW w:w="1219" w:type="dxa"/>
            <w:vAlign w:val="top"/>
          </w:tcPr>
          <w:p>
            <w:pPr>
              <w:spacing w:before="204"/>
              <w:rPr>
                <w:rFonts w:hint="default" w:ascii="宋体" w:hAnsi="宋体" w:eastAsia="宋体" w:cs="宋体"/>
                <w:sz w:val="22"/>
                <w:szCs w:val="22"/>
                <w:lang w:val="en-US" w:eastAsia="zh-CN"/>
              </w:rPr>
            </w:pPr>
            <w:r>
              <w:rPr>
                <w:rFonts w:hint="eastAsia" w:ascii="宋体" w:hAnsi="宋体" w:eastAsia="宋体" w:cs="宋体"/>
                <w:sz w:val="22"/>
                <w:szCs w:val="22"/>
                <w:lang w:val="en-US" w:eastAsia="zh-CN"/>
              </w:rPr>
              <w:t>12</w:t>
            </w:r>
          </w:p>
        </w:tc>
        <w:tc>
          <w:tcPr>
            <w:tcW w:w="1165" w:type="dxa"/>
            <w:vAlign w:val="top"/>
          </w:tcPr>
          <w:p>
            <w:pPr>
              <w:spacing w:before="216" w:line="228" w:lineRule="auto"/>
              <w:ind w:left="112"/>
              <w:rPr>
                <w:rFonts w:ascii="宋体" w:hAnsi="宋体" w:eastAsia="宋体" w:cs="宋体"/>
                <w:sz w:val="19"/>
                <w:szCs w:val="19"/>
              </w:rPr>
            </w:pPr>
            <w:r>
              <w:rPr>
                <w:rFonts w:ascii="宋体" w:hAnsi="宋体" w:eastAsia="宋体" w:cs="宋体"/>
                <w:spacing w:val="5"/>
                <w:sz w:val="19"/>
                <w:szCs w:val="19"/>
              </w:rPr>
              <w:t>执行数：</w:t>
            </w:r>
          </w:p>
        </w:tc>
        <w:tc>
          <w:tcPr>
            <w:tcW w:w="933" w:type="dxa"/>
            <w:vAlign w:val="top"/>
          </w:tcPr>
          <w:p>
            <w:pPr>
              <w:spacing w:before="204"/>
              <w:rPr>
                <w:rFonts w:hint="default" w:ascii="宋体" w:hAnsi="宋体" w:eastAsia="宋体" w:cs="宋体"/>
                <w:sz w:val="22"/>
                <w:szCs w:val="22"/>
                <w:lang w:val="en-US" w:eastAsia="zh-CN"/>
              </w:rPr>
            </w:pPr>
            <w:r>
              <w:rPr>
                <w:rFonts w:hint="eastAsia" w:ascii="宋体" w:hAnsi="宋体" w:eastAsia="宋体" w:cs="宋体"/>
                <w:sz w:val="22"/>
                <w:szCs w:val="22"/>
                <w:lang w:val="en-US" w:eastAsia="zh-CN"/>
              </w:rPr>
              <w:t>12</w:t>
            </w:r>
          </w:p>
        </w:tc>
        <w:tc>
          <w:tcPr>
            <w:tcW w:w="1795" w:type="dxa"/>
            <w:vMerge w:val="restart"/>
            <w:tcBorders>
              <w:bottom w:val="nil"/>
            </w:tcBorders>
            <w:vAlign w:val="top"/>
          </w:tcPr>
          <w:p>
            <w:pPr>
              <w:pStyle w:val="28"/>
              <w:spacing w:line="261" w:lineRule="auto"/>
            </w:pPr>
          </w:p>
          <w:p>
            <w:pPr>
              <w:pStyle w:val="28"/>
              <w:spacing w:line="261" w:lineRule="auto"/>
            </w:pPr>
          </w:p>
          <w:p>
            <w:pPr>
              <w:pStyle w:val="28"/>
              <w:spacing w:line="261" w:lineRule="auto"/>
            </w:pPr>
          </w:p>
          <w:p>
            <w:pPr>
              <w:spacing w:before="61" w:line="256" w:lineRule="exact"/>
              <w:ind w:left="717"/>
              <w:rPr>
                <w:rFonts w:ascii="宋体" w:hAnsi="宋体" w:eastAsia="宋体" w:cs="宋体"/>
                <w:sz w:val="19"/>
                <w:szCs w:val="19"/>
              </w:rPr>
            </w:pPr>
            <w:r>
              <w:rPr>
                <w:rFonts w:ascii="宋体" w:hAnsi="宋体" w:eastAsia="宋体" w:cs="宋体"/>
                <w:spacing w:val="-1"/>
                <w:position w:val="1"/>
                <w:sz w:val="19"/>
                <w:szCs w:val="19"/>
              </w:rPr>
              <w:t>100%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0" w:hRule="atLeast"/>
        </w:trPr>
        <w:tc>
          <w:tcPr>
            <w:tcW w:w="1055" w:type="dxa"/>
            <w:vMerge w:val="continue"/>
            <w:tcBorders>
              <w:top w:val="nil"/>
              <w:bottom w:val="nil"/>
            </w:tcBorders>
            <w:vAlign w:val="top"/>
          </w:tcPr>
          <w:p>
            <w:pPr>
              <w:pStyle w:val="28"/>
            </w:pPr>
          </w:p>
        </w:tc>
        <w:tc>
          <w:tcPr>
            <w:tcW w:w="899" w:type="dxa"/>
            <w:gridSpan w:val="2"/>
            <w:vAlign w:val="top"/>
          </w:tcPr>
          <w:p>
            <w:pPr>
              <w:spacing w:before="60" w:line="303" w:lineRule="auto"/>
              <w:ind w:left="194" w:right="108"/>
              <w:rPr>
                <w:rFonts w:ascii="宋体" w:hAnsi="宋体" w:eastAsia="宋体" w:cs="宋体"/>
                <w:sz w:val="19"/>
                <w:szCs w:val="19"/>
              </w:rPr>
            </w:pPr>
            <w:r>
              <w:rPr>
                <w:rFonts w:ascii="宋体" w:hAnsi="宋体" w:eastAsia="宋体" w:cs="宋体"/>
                <w:spacing w:val="3"/>
                <w:sz w:val="19"/>
                <w:szCs w:val="19"/>
              </w:rPr>
              <w:t>其中：</w:t>
            </w:r>
            <w:r>
              <w:rPr>
                <w:rFonts w:ascii="宋体" w:hAnsi="宋体" w:eastAsia="宋体" w:cs="宋体"/>
                <w:sz w:val="19"/>
                <w:szCs w:val="19"/>
              </w:rPr>
              <w:t xml:space="preserve"> </w:t>
            </w:r>
            <w:r>
              <w:rPr>
                <w:rFonts w:ascii="宋体" w:hAnsi="宋体" w:eastAsia="宋体" w:cs="宋体"/>
                <w:spacing w:val="7"/>
                <w:sz w:val="19"/>
                <w:szCs w:val="19"/>
              </w:rPr>
              <w:t>财政资</w:t>
            </w:r>
          </w:p>
          <w:p>
            <w:pPr>
              <w:spacing w:line="234" w:lineRule="auto"/>
              <w:ind w:left="596"/>
              <w:rPr>
                <w:rFonts w:ascii="宋体" w:hAnsi="宋体" w:eastAsia="宋体" w:cs="宋体"/>
                <w:sz w:val="19"/>
                <w:szCs w:val="19"/>
              </w:rPr>
            </w:pPr>
            <w:r>
              <w:rPr>
                <w:rFonts w:ascii="宋体" w:hAnsi="宋体" w:eastAsia="宋体" w:cs="宋体"/>
                <w:sz w:val="19"/>
                <w:szCs w:val="19"/>
              </w:rPr>
              <w:t>金</w:t>
            </w:r>
          </w:p>
        </w:tc>
        <w:tc>
          <w:tcPr>
            <w:tcW w:w="845" w:type="dxa"/>
            <w:vAlign w:val="top"/>
          </w:tcPr>
          <w:p>
            <w:pPr>
              <w:pStyle w:val="28"/>
              <w:spacing w:line="288" w:lineRule="auto"/>
            </w:pPr>
          </w:p>
          <w:p>
            <w:pPr>
              <w:spacing w:before="71"/>
              <w:rPr>
                <w:rFonts w:hint="default" w:ascii="宋体" w:hAnsi="宋体" w:eastAsia="宋体" w:cs="宋体"/>
                <w:sz w:val="22"/>
                <w:szCs w:val="22"/>
                <w:lang w:val="en-US" w:eastAsia="zh-CN"/>
              </w:rPr>
            </w:pPr>
            <w:r>
              <w:rPr>
                <w:rFonts w:hint="eastAsia" w:ascii="宋体" w:hAnsi="宋体" w:eastAsia="宋体" w:cs="宋体"/>
                <w:sz w:val="22"/>
                <w:szCs w:val="22"/>
                <w:lang w:val="en-US" w:eastAsia="zh-CN"/>
              </w:rPr>
              <w:t>12</w:t>
            </w:r>
          </w:p>
        </w:tc>
        <w:tc>
          <w:tcPr>
            <w:tcW w:w="970" w:type="dxa"/>
            <w:vAlign w:val="top"/>
          </w:tcPr>
          <w:p>
            <w:pPr>
              <w:spacing w:before="217" w:line="305" w:lineRule="auto"/>
              <w:ind w:left="265" w:right="106" w:hanging="154"/>
              <w:rPr>
                <w:rFonts w:ascii="宋体" w:hAnsi="宋体" w:eastAsia="宋体" w:cs="宋体"/>
                <w:sz w:val="19"/>
                <w:szCs w:val="19"/>
              </w:rPr>
            </w:pPr>
            <w:r>
              <w:rPr>
                <w:rFonts w:ascii="宋体" w:hAnsi="宋体" w:eastAsia="宋体" w:cs="宋体"/>
                <w:spacing w:val="-4"/>
                <w:sz w:val="19"/>
                <w:szCs w:val="19"/>
              </w:rPr>
              <w:t>其中：财</w:t>
            </w:r>
            <w:r>
              <w:rPr>
                <w:rFonts w:ascii="宋体" w:hAnsi="宋体" w:eastAsia="宋体" w:cs="宋体"/>
                <w:spacing w:val="2"/>
                <w:sz w:val="19"/>
                <w:szCs w:val="19"/>
              </w:rPr>
              <w:t xml:space="preserve"> </w:t>
            </w:r>
            <w:r>
              <w:rPr>
                <w:rFonts w:ascii="宋体" w:hAnsi="宋体" w:eastAsia="宋体" w:cs="宋体"/>
                <w:spacing w:val="7"/>
                <w:sz w:val="19"/>
                <w:szCs w:val="19"/>
              </w:rPr>
              <w:t>政资金</w:t>
            </w:r>
          </w:p>
        </w:tc>
        <w:tc>
          <w:tcPr>
            <w:tcW w:w="1219" w:type="dxa"/>
            <w:vAlign w:val="top"/>
          </w:tcPr>
          <w:p>
            <w:pPr>
              <w:pStyle w:val="28"/>
              <w:spacing w:line="288" w:lineRule="auto"/>
            </w:pPr>
          </w:p>
          <w:p>
            <w:pPr>
              <w:spacing w:before="71"/>
              <w:rPr>
                <w:rFonts w:hint="default" w:ascii="宋体" w:hAnsi="宋体" w:eastAsia="宋体" w:cs="宋体"/>
                <w:sz w:val="22"/>
                <w:szCs w:val="22"/>
                <w:lang w:val="en-US" w:eastAsia="zh-CN"/>
              </w:rPr>
            </w:pPr>
            <w:r>
              <w:rPr>
                <w:rFonts w:hint="eastAsia" w:ascii="宋体" w:hAnsi="宋体" w:eastAsia="宋体" w:cs="宋体"/>
                <w:sz w:val="22"/>
                <w:szCs w:val="22"/>
                <w:lang w:val="en-US" w:eastAsia="zh-CN"/>
              </w:rPr>
              <w:t>12</w:t>
            </w:r>
          </w:p>
        </w:tc>
        <w:tc>
          <w:tcPr>
            <w:tcW w:w="1165" w:type="dxa"/>
            <w:vAlign w:val="top"/>
          </w:tcPr>
          <w:p>
            <w:pPr>
              <w:spacing w:before="217" w:line="305" w:lineRule="auto"/>
              <w:ind w:left="670" w:right="107" w:hanging="557"/>
              <w:rPr>
                <w:rFonts w:ascii="宋体" w:hAnsi="宋体" w:eastAsia="宋体" w:cs="宋体"/>
                <w:sz w:val="19"/>
                <w:szCs w:val="19"/>
              </w:rPr>
            </w:pPr>
            <w:r>
              <w:rPr>
                <w:rFonts w:ascii="宋体" w:hAnsi="宋体" w:eastAsia="宋体" w:cs="宋体"/>
                <w:spacing w:val="-3"/>
                <w:sz w:val="19"/>
                <w:szCs w:val="19"/>
              </w:rPr>
              <w:t>其中：财政</w:t>
            </w:r>
            <w:r>
              <w:rPr>
                <w:rFonts w:ascii="宋体" w:hAnsi="宋体" w:eastAsia="宋体" w:cs="宋体"/>
                <w:spacing w:val="3"/>
                <w:sz w:val="19"/>
                <w:szCs w:val="19"/>
              </w:rPr>
              <w:t xml:space="preserve"> </w:t>
            </w:r>
            <w:r>
              <w:rPr>
                <w:rFonts w:ascii="宋体" w:hAnsi="宋体" w:eastAsia="宋体" w:cs="宋体"/>
                <w:sz w:val="19"/>
                <w:szCs w:val="19"/>
              </w:rPr>
              <w:t>资金</w:t>
            </w:r>
          </w:p>
        </w:tc>
        <w:tc>
          <w:tcPr>
            <w:tcW w:w="933" w:type="dxa"/>
            <w:vAlign w:val="top"/>
          </w:tcPr>
          <w:p>
            <w:pPr>
              <w:pStyle w:val="28"/>
              <w:spacing w:line="288" w:lineRule="auto"/>
            </w:pPr>
          </w:p>
          <w:p>
            <w:pPr>
              <w:spacing w:before="71"/>
              <w:rPr>
                <w:rFonts w:hint="default" w:ascii="宋体" w:hAnsi="宋体" w:eastAsia="宋体" w:cs="宋体"/>
                <w:sz w:val="22"/>
                <w:szCs w:val="22"/>
                <w:lang w:val="en-US" w:eastAsia="zh-CN"/>
              </w:rPr>
            </w:pPr>
            <w:r>
              <w:rPr>
                <w:rFonts w:hint="eastAsia" w:ascii="宋体" w:hAnsi="宋体" w:eastAsia="宋体" w:cs="宋体"/>
                <w:sz w:val="22"/>
                <w:szCs w:val="22"/>
                <w:lang w:val="en-US" w:eastAsia="zh-CN"/>
              </w:rPr>
              <w:t>12</w:t>
            </w:r>
          </w:p>
        </w:tc>
        <w:tc>
          <w:tcPr>
            <w:tcW w:w="1795" w:type="dxa"/>
            <w:vMerge w:val="continue"/>
            <w:tcBorders>
              <w:top w:val="nil"/>
              <w:bottom w:val="nil"/>
            </w:tcBorders>
            <w:vAlign w:val="top"/>
          </w:tcPr>
          <w:p>
            <w:pPr>
              <w:pStyle w:val="28"/>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055" w:type="dxa"/>
            <w:vMerge w:val="continue"/>
            <w:tcBorders>
              <w:top w:val="nil"/>
            </w:tcBorders>
            <w:vAlign w:val="top"/>
          </w:tcPr>
          <w:p>
            <w:pPr>
              <w:pStyle w:val="28"/>
            </w:pPr>
          </w:p>
        </w:tc>
        <w:tc>
          <w:tcPr>
            <w:tcW w:w="899" w:type="dxa"/>
            <w:gridSpan w:val="2"/>
            <w:vAlign w:val="top"/>
          </w:tcPr>
          <w:p>
            <w:pPr>
              <w:spacing w:before="61" w:line="229" w:lineRule="auto"/>
              <w:ind w:left="396"/>
              <w:rPr>
                <w:rFonts w:ascii="宋体" w:hAnsi="宋体" w:eastAsia="宋体" w:cs="宋体"/>
                <w:sz w:val="19"/>
                <w:szCs w:val="19"/>
              </w:rPr>
            </w:pPr>
            <w:r>
              <w:rPr>
                <w:rFonts w:ascii="宋体" w:hAnsi="宋体" w:eastAsia="宋体" w:cs="宋体"/>
                <w:spacing w:val="4"/>
                <w:sz w:val="19"/>
                <w:szCs w:val="19"/>
              </w:rPr>
              <w:t>其他</w:t>
            </w:r>
          </w:p>
        </w:tc>
        <w:tc>
          <w:tcPr>
            <w:tcW w:w="845" w:type="dxa"/>
            <w:vAlign w:val="top"/>
          </w:tcPr>
          <w:p>
            <w:pPr>
              <w:pStyle w:val="28"/>
            </w:pPr>
          </w:p>
        </w:tc>
        <w:tc>
          <w:tcPr>
            <w:tcW w:w="970" w:type="dxa"/>
            <w:vAlign w:val="top"/>
          </w:tcPr>
          <w:p>
            <w:pPr>
              <w:spacing w:before="61" w:line="229" w:lineRule="auto"/>
              <w:ind w:left="466"/>
              <w:rPr>
                <w:rFonts w:ascii="宋体" w:hAnsi="宋体" w:eastAsia="宋体" w:cs="宋体"/>
                <w:sz w:val="19"/>
                <w:szCs w:val="19"/>
              </w:rPr>
            </w:pPr>
            <w:r>
              <w:rPr>
                <w:rFonts w:ascii="宋体" w:hAnsi="宋体" w:eastAsia="宋体" w:cs="宋体"/>
                <w:spacing w:val="4"/>
                <w:sz w:val="19"/>
                <w:szCs w:val="19"/>
              </w:rPr>
              <w:t>其他</w:t>
            </w:r>
          </w:p>
        </w:tc>
        <w:tc>
          <w:tcPr>
            <w:tcW w:w="1219" w:type="dxa"/>
            <w:vAlign w:val="top"/>
          </w:tcPr>
          <w:p>
            <w:pPr>
              <w:pStyle w:val="28"/>
            </w:pPr>
          </w:p>
        </w:tc>
        <w:tc>
          <w:tcPr>
            <w:tcW w:w="1165" w:type="dxa"/>
            <w:vAlign w:val="top"/>
          </w:tcPr>
          <w:p>
            <w:pPr>
              <w:spacing w:before="61" w:line="229" w:lineRule="auto"/>
              <w:ind w:left="663"/>
              <w:rPr>
                <w:rFonts w:ascii="宋体" w:hAnsi="宋体" w:eastAsia="宋体" w:cs="宋体"/>
                <w:sz w:val="19"/>
                <w:szCs w:val="19"/>
              </w:rPr>
            </w:pPr>
            <w:r>
              <w:rPr>
                <w:rFonts w:ascii="宋体" w:hAnsi="宋体" w:eastAsia="宋体" w:cs="宋体"/>
                <w:spacing w:val="4"/>
                <w:sz w:val="19"/>
                <w:szCs w:val="19"/>
              </w:rPr>
              <w:t>其他</w:t>
            </w:r>
          </w:p>
        </w:tc>
        <w:tc>
          <w:tcPr>
            <w:tcW w:w="933" w:type="dxa"/>
            <w:vAlign w:val="top"/>
          </w:tcPr>
          <w:p>
            <w:pPr>
              <w:pStyle w:val="28"/>
            </w:pPr>
          </w:p>
        </w:tc>
        <w:tc>
          <w:tcPr>
            <w:tcW w:w="1795" w:type="dxa"/>
            <w:vMerge w:val="continue"/>
            <w:tcBorders>
              <w:top w:val="nil"/>
            </w:tcBorders>
            <w:vAlign w:val="top"/>
          </w:tcPr>
          <w:p>
            <w:pPr>
              <w:pStyle w:val="28"/>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055" w:type="dxa"/>
            <w:vMerge w:val="restart"/>
            <w:tcBorders>
              <w:bottom w:val="nil"/>
            </w:tcBorders>
            <w:vAlign w:val="top"/>
          </w:tcPr>
          <w:p>
            <w:pPr>
              <w:pStyle w:val="28"/>
              <w:spacing w:line="471" w:lineRule="auto"/>
            </w:pPr>
          </w:p>
          <w:p>
            <w:pPr>
              <w:spacing w:before="61" w:line="229" w:lineRule="auto"/>
              <w:ind w:left="132"/>
              <w:rPr>
                <w:rFonts w:ascii="宋体" w:hAnsi="宋体" w:eastAsia="宋体" w:cs="宋体"/>
                <w:sz w:val="19"/>
                <w:szCs w:val="19"/>
              </w:rPr>
            </w:pPr>
            <w:r>
              <w:rPr>
                <w:rFonts w:ascii="宋体" w:hAnsi="宋体" w:eastAsia="宋体" w:cs="宋体"/>
                <w:spacing w:val="-6"/>
                <w:sz w:val="19"/>
                <w:szCs w:val="19"/>
              </w:rPr>
              <w:t>三、</w:t>
            </w:r>
            <w:r>
              <w:rPr>
                <w:rFonts w:ascii="宋体" w:hAnsi="宋体" w:eastAsia="宋体" w:cs="宋体"/>
                <w:spacing w:val="-41"/>
                <w:sz w:val="19"/>
                <w:szCs w:val="19"/>
              </w:rPr>
              <w:t xml:space="preserve"> </w:t>
            </w:r>
            <w:r>
              <w:rPr>
                <w:rFonts w:ascii="宋体" w:hAnsi="宋体" w:eastAsia="宋体" w:cs="宋体"/>
                <w:spacing w:val="-6"/>
                <w:sz w:val="19"/>
                <w:szCs w:val="19"/>
              </w:rPr>
              <w:t>目标</w:t>
            </w:r>
          </w:p>
          <w:p>
            <w:pPr>
              <w:spacing w:before="76" w:line="228" w:lineRule="auto"/>
              <w:ind w:left="134"/>
              <w:rPr>
                <w:rFonts w:ascii="宋体" w:hAnsi="宋体" w:eastAsia="宋体" w:cs="宋体"/>
                <w:sz w:val="19"/>
                <w:szCs w:val="19"/>
              </w:rPr>
            </w:pPr>
            <w:r>
              <w:rPr>
                <w:rFonts w:ascii="宋体" w:hAnsi="宋体" w:eastAsia="宋体" w:cs="宋体"/>
                <w:spacing w:val="7"/>
                <w:sz w:val="19"/>
                <w:szCs w:val="19"/>
              </w:rPr>
              <w:t>完成情况</w:t>
            </w:r>
          </w:p>
        </w:tc>
        <w:tc>
          <w:tcPr>
            <w:tcW w:w="2714" w:type="dxa"/>
            <w:gridSpan w:val="4"/>
            <w:vAlign w:val="top"/>
          </w:tcPr>
          <w:p>
            <w:pPr>
              <w:spacing w:before="60" w:line="228" w:lineRule="auto"/>
              <w:ind w:left="761"/>
              <w:rPr>
                <w:rFonts w:ascii="宋体" w:hAnsi="宋体" w:eastAsia="宋体" w:cs="宋体"/>
                <w:sz w:val="19"/>
                <w:szCs w:val="19"/>
              </w:rPr>
            </w:pPr>
            <w:r>
              <w:rPr>
                <w:rFonts w:ascii="宋体" w:hAnsi="宋体" w:eastAsia="宋体" w:cs="宋体"/>
                <w:spacing w:val="8"/>
                <w:sz w:val="19"/>
                <w:szCs w:val="19"/>
              </w:rPr>
              <w:t>年度预期目标</w:t>
            </w:r>
          </w:p>
        </w:tc>
        <w:tc>
          <w:tcPr>
            <w:tcW w:w="3317" w:type="dxa"/>
            <w:gridSpan w:val="3"/>
            <w:vAlign w:val="top"/>
          </w:tcPr>
          <w:p>
            <w:pPr>
              <w:spacing w:before="60" w:line="228" w:lineRule="auto"/>
              <w:ind w:left="1069"/>
              <w:rPr>
                <w:rFonts w:ascii="宋体" w:hAnsi="宋体" w:eastAsia="宋体" w:cs="宋体"/>
                <w:sz w:val="19"/>
                <w:szCs w:val="19"/>
              </w:rPr>
            </w:pPr>
            <w:r>
              <w:rPr>
                <w:rFonts w:ascii="宋体" w:hAnsi="宋体" w:eastAsia="宋体" w:cs="宋体"/>
                <w:spacing w:val="8"/>
                <w:sz w:val="19"/>
                <w:szCs w:val="19"/>
              </w:rPr>
              <w:t>具体完成情况</w:t>
            </w:r>
          </w:p>
        </w:tc>
        <w:tc>
          <w:tcPr>
            <w:tcW w:w="1795" w:type="dxa"/>
            <w:vAlign w:val="top"/>
          </w:tcPr>
          <w:p>
            <w:pPr>
              <w:spacing w:before="60" w:line="228" w:lineRule="auto"/>
              <w:ind w:left="408"/>
              <w:rPr>
                <w:rFonts w:ascii="宋体" w:hAnsi="宋体" w:eastAsia="宋体" w:cs="宋体"/>
                <w:sz w:val="19"/>
                <w:szCs w:val="19"/>
              </w:rPr>
            </w:pPr>
            <w:r>
              <w:rPr>
                <w:rFonts w:ascii="宋体" w:hAnsi="宋体" w:eastAsia="宋体" w:cs="宋体"/>
                <w:spacing w:val="7"/>
                <w:sz w:val="19"/>
                <w:szCs w:val="19"/>
              </w:rPr>
              <w:t>总体完成率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2" w:hRule="atLeast"/>
        </w:trPr>
        <w:tc>
          <w:tcPr>
            <w:tcW w:w="1055" w:type="dxa"/>
            <w:vMerge w:val="continue"/>
            <w:tcBorders>
              <w:top w:val="nil"/>
            </w:tcBorders>
            <w:vAlign w:val="top"/>
          </w:tcPr>
          <w:p>
            <w:pPr>
              <w:pStyle w:val="28"/>
            </w:pPr>
          </w:p>
        </w:tc>
        <w:tc>
          <w:tcPr>
            <w:tcW w:w="2714" w:type="dxa"/>
            <w:gridSpan w:val="4"/>
            <w:vAlign w:val="top"/>
          </w:tcPr>
          <w:p>
            <w:pPr>
              <w:spacing w:before="63" w:line="227" w:lineRule="auto"/>
              <w:ind w:left="159"/>
              <w:rPr>
                <w:rFonts w:ascii="宋体" w:hAnsi="宋体" w:eastAsia="宋体" w:cs="宋体"/>
                <w:sz w:val="19"/>
                <w:szCs w:val="19"/>
              </w:rPr>
            </w:pPr>
            <w:r>
              <w:rPr>
                <w:rFonts w:ascii="宋体" w:hAnsi="宋体" w:eastAsia="宋体" w:cs="宋体"/>
                <w:spacing w:val="9"/>
                <w:sz w:val="19"/>
                <w:szCs w:val="19"/>
              </w:rPr>
              <w:t>对符合政府安排工作条件的</w:t>
            </w:r>
          </w:p>
          <w:p>
            <w:pPr>
              <w:spacing w:before="78" w:line="228" w:lineRule="auto"/>
              <w:ind w:left="161"/>
              <w:rPr>
                <w:rFonts w:ascii="宋体" w:hAnsi="宋体" w:eastAsia="宋体" w:cs="宋体"/>
                <w:sz w:val="19"/>
                <w:szCs w:val="19"/>
              </w:rPr>
            </w:pPr>
            <w:r>
              <w:rPr>
                <w:rFonts w:ascii="宋体" w:hAnsi="宋体" w:eastAsia="宋体" w:cs="宋体"/>
                <w:spacing w:val="6"/>
                <w:sz w:val="19"/>
                <w:szCs w:val="19"/>
              </w:rPr>
              <w:t>退役士兵</w:t>
            </w:r>
            <w:r>
              <w:rPr>
                <w:rFonts w:ascii="宋体" w:hAnsi="宋体" w:eastAsia="宋体" w:cs="宋体"/>
                <w:spacing w:val="-33"/>
                <w:sz w:val="19"/>
                <w:szCs w:val="19"/>
              </w:rPr>
              <w:t xml:space="preserve"> </w:t>
            </w:r>
            <w:r>
              <w:rPr>
                <w:rFonts w:ascii="宋体" w:hAnsi="宋体" w:eastAsia="宋体" w:cs="宋体"/>
                <w:spacing w:val="6"/>
                <w:sz w:val="19"/>
                <w:szCs w:val="19"/>
              </w:rPr>
              <w:t>2</w:t>
            </w:r>
            <w:r>
              <w:rPr>
                <w:rFonts w:ascii="宋体" w:hAnsi="宋体" w:eastAsia="宋体" w:cs="宋体"/>
                <w:spacing w:val="-34"/>
                <w:sz w:val="19"/>
                <w:szCs w:val="19"/>
              </w:rPr>
              <w:t xml:space="preserve"> </w:t>
            </w:r>
            <w:r>
              <w:rPr>
                <w:rFonts w:ascii="宋体" w:hAnsi="宋体" w:eastAsia="宋体" w:cs="宋体"/>
                <w:spacing w:val="6"/>
                <w:sz w:val="19"/>
                <w:szCs w:val="19"/>
              </w:rPr>
              <w:t>名，帮扶救助，</w:t>
            </w:r>
          </w:p>
          <w:p>
            <w:pPr>
              <w:spacing w:before="77" w:line="229" w:lineRule="auto"/>
              <w:ind w:left="160"/>
              <w:rPr>
                <w:rFonts w:ascii="宋体" w:hAnsi="宋体" w:eastAsia="宋体" w:cs="宋体"/>
                <w:sz w:val="19"/>
                <w:szCs w:val="19"/>
              </w:rPr>
            </w:pPr>
            <w:r>
              <w:rPr>
                <w:rFonts w:ascii="宋体" w:hAnsi="宋体" w:eastAsia="宋体" w:cs="宋体"/>
                <w:spacing w:val="9"/>
                <w:sz w:val="19"/>
                <w:szCs w:val="19"/>
              </w:rPr>
              <w:t>加大就业援助</w:t>
            </w:r>
            <w:r>
              <w:rPr>
                <w:rFonts w:ascii="宋体" w:hAnsi="宋体" w:eastAsia="宋体" w:cs="宋体"/>
                <w:spacing w:val="6"/>
                <w:sz w:val="19"/>
                <w:szCs w:val="19"/>
              </w:rPr>
              <w:t>。</w:t>
            </w:r>
          </w:p>
        </w:tc>
        <w:tc>
          <w:tcPr>
            <w:tcW w:w="3317" w:type="dxa"/>
            <w:gridSpan w:val="3"/>
            <w:vAlign w:val="top"/>
          </w:tcPr>
          <w:p>
            <w:pPr>
              <w:spacing w:before="219" w:line="227" w:lineRule="auto"/>
              <w:ind w:left="164"/>
              <w:rPr>
                <w:rFonts w:ascii="宋体" w:hAnsi="宋体" w:eastAsia="宋体" w:cs="宋体"/>
                <w:sz w:val="19"/>
                <w:szCs w:val="19"/>
              </w:rPr>
            </w:pPr>
            <w:r>
              <w:rPr>
                <w:rFonts w:ascii="宋体" w:hAnsi="宋体" w:eastAsia="宋体" w:cs="宋体"/>
                <w:spacing w:val="9"/>
                <w:sz w:val="19"/>
                <w:szCs w:val="19"/>
              </w:rPr>
              <w:t>对符合政府安排工作条件的退役士</w:t>
            </w:r>
          </w:p>
          <w:p>
            <w:pPr>
              <w:spacing w:before="77" w:line="228" w:lineRule="auto"/>
              <w:ind w:left="568"/>
              <w:rPr>
                <w:rFonts w:ascii="宋体" w:hAnsi="宋体" w:eastAsia="宋体" w:cs="宋体"/>
                <w:sz w:val="19"/>
                <w:szCs w:val="19"/>
              </w:rPr>
            </w:pPr>
            <w:r>
              <w:rPr>
                <w:rFonts w:ascii="宋体" w:hAnsi="宋体" w:eastAsia="宋体" w:cs="宋体"/>
                <w:spacing w:val="6"/>
                <w:sz w:val="19"/>
                <w:szCs w:val="19"/>
              </w:rPr>
              <w:t>兵</w:t>
            </w:r>
            <w:r>
              <w:rPr>
                <w:rFonts w:ascii="宋体" w:hAnsi="宋体" w:eastAsia="宋体" w:cs="宋体"/>
                <w:spacing w:val="-20"/>
                <w:sz w:val="19"/>
                <w:szCs w:val="19"/>
              </w:rPr>
              <w:t xml:space="preserve"> </w:t>
            </w:r>
            <w:r>
              <w:rPr>
                <w:rFonts w:ascii="宋体" w:hAnsi="宋体" w:eastAsia="宋体" w:cs="宋体"/>
                <w:spacing w:val="6"/>
                <w:sz w:val="19"/>
                <w:szCs w:val="19"/>
              </w:rPr>
              <w:t>2</w:t>
            </w:r>
            <w:r>
              <w:rPr>
                <w:rFonts w:ascii="宋体" w:hAnsi="宋体" w:eastAsia="宋体" w:cs="宋体"/>
                <w:spacing w:val="-33"/>
                <w:sz w:val="19"/>
                <w:szCs w:val="19"/>
              </w:rPr>
              <w:t xml:space="preserve"> </w:t>
            </w:r>
            <w:r>
              <w:rPr>
                <w:rFonts w:ascii="宋体" w:hAnsi="宋体" w:eastAsia="宋体" w:cs="宋体"/>
                <w:spacing w:val="6"/>
                <w:sz w:val="19"/>
                <w:szCs w:val="19"/>
              </w:rPr>
              <w:t>名，帮扶救助，加大就业援助</w:t>
            </w:r>
            <w:bookmarkStart w:id="0" w:name="_GoBack"/>
            <w:bookmarkEnd w:id="0"/>
            <w:r>
              <w:rPr>
                <w:rFonts w:ascii="宋体" w:hAnsi="宋体" w:eastAsia="宋体" w:cs="宋体"/>
                <w:spacing w:val="7"/>
                <w:sz w:val="19"/>
                <w:szCs w:val="19"/>
              </w:rPr>
              <w:t>。</w:t>
            </w:r>
          </w:p>
        </w:tc>
        <w:tc>
          <w:tcPr>
            <w:tcW w:w="1795" w:type="dxa"/>
            <w:vAlign w:val="top"/>
          </w:tcPr>
          <w:p>
            <w:pPr>
              <w:pStyle w:val="28"/>
              <w:spacing w:line="466" w:lineRule="auto"/>
            </w:pPr>
          </w:p>
          <w:p>
            <w:pPr>
              <w:spacing w:before="61" w:line="256" w:lineRule="exact"/>
              <w:ind w:left="717"/>
              <w:rPr>
                <w:rFonts w:ascii="宋体" w:hAnsi="宋体" w:eastAsia="宋体" w:cs="宋体"/>
                <w:sz w:val="19"/>
                <w:szCs w:val="19"/>
              </w:rPr>
            </w:pPr>
            <w:r>
              <w:rPr>
                <w:rFonts w:ascii="宋体" w:hAnsi="宋体" w:eastAsia="宋体" w:cs="宋体"/>
                <w:spacing w:val="-1"/>
                <w:position w:val="1"/>
                <w:sz w:val="19"/>
                <w:szCs w:val="19"/>
              </w:rPr>
              <w:t>100%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1055" w:type="dxa"/>
            <w:vMerge w:val="restart"/>
            <w:tcBorders>
              <w:bottom w:val="nil"/>
            </w:tcBorders>
            <w:vAlign w:val="top"/>
          </w:tcPr>
          <w:p>
            <w:pPr>
              <w:pStyle w:val="28"/>
              <w:spacing w:line="263" w:lineRule="auto"/>
            </w:pPr>
          </w:p>
          <w:p>
            <w:pPr>
              <w:pStyle w:val="28"/>
              <w:spacing w:line="264" w:lineRule="auto"/>
            </w:pPr>
          </w:p>
          <w:p>
            <w:pPr>
              <w:pStyle w:val="28"/>
              <w:spacing w:line="264" w:lineRule="auto"/>
            </w:pPr>
          </w:p>
          <w:p>
            <w:pPr>
              <w:spacing w:before="62" w:line="228" w:lineRule="auto"/>
              <w:ind w:left="134"/>
              <w:rPr>
                <w:rFonts w:ascii="宋体" w:hAnsi="宋体" w:eastAsia="宋体" w:cs="宋体"/>
                <w:sz w:val="19"/>
                <w:szCs w:val="19"/>
              </w:rPr>
            </w:pPr>
            <w:r>
              <w:rPr>
                <w:rFonts w:ascii="宋体" w:hAnsi="宋体" w:eastAsia="宋体" w:cs="宋体"/>
                <w:spacing w:val="-2"/>
                <w:sz w:val="19"/>
                <w:szCs w:val="19"/>
              </w:rPr>
              <w:t>四、</w:t>
            </w:r>
            <w:r>
              <w:rPr>
                <w:rFonts w:ascii="宋体" w:hAnsi="宋体" w:eastAsia="宋体" w:cs="宋体"/>
                <w:spacing w:val="-42"/>
                <w:sz w:val="19"/>
                <w:szCs w:val="19"/>
              </w:rPr>
              <w:t xml:space="preserve"> </w:t>
            </w:r>
            <w:r>
              <w:rPr>
                <w:rFonts w:ascii="宋体" w:hAnsi="宋体" w:eastAsia="宋体" w:cs="宋体"/>
                <w:spacing w:val="-2"/>
                <w:sz w:val="19"/>
                <w:szCs w:val="19"/>
              </w:rPr>
              <w:t>年度</w:t>
            </w:r>
          </w:p>
          <w:p>
            <w:pPr>
              <w:spacing w:before="77" w:line="229" w:lineRule="auto"/>
              <w:ind w:left="136"/>
              <w:rPr>
                <w:rFonts w:ascii="宋体" w:hAnsi="宋体" w:eastAsia="宋体" w:cs="宋体"/>
                <w:sz w:val="19"/>
                <w:szCs w:val="19"/>
              </w:rPr>
            </w:pPr>
            <w:r>
              <w:rPr>
                <w:rFonts w:ascii="宋体" w:hAnsi="宋体" w:eastAsia="宋体" w:cs="宋体"/>
                <w:spacing w:val="7"/>
                <w:sz w:val="19"/>
                <w:szCs w:val="19"/>
              </w:rPr>
              <w:t>绩效指标</w:t>
            </w:r>
          </w:p>
          <w:p>
            <w:pPr>
              <w:spacing w:before="76" w:line="228" w:lineRule="auto"/>
              <w:ind w:left="134"/>
              <w:rPr>
                <w:rFonts w:ascii="宋体" w:hAnsi="宋体" w:eastAsia="宋体" w:cs="宋体"/>
                <w:sz w:val="19"/>
                <w:szCs w:val="19"/>
              </w:rPr>
            </w:pPr>
            <w:r>
              <w:rPr>
                <w:rFonts w:ascii="宋体" w:hAnsi="宋体" w:eastAsia="宋体" w:cs="宋体"/>
                <w:spacing w:val="7"/>
                <w:sz w:val="19"/>
                <w:szCs w:val="19"/>
              </w:rPr>
              <w:t>完成情况</w:t>
            </w:r>
          </w:p>
        </w:tc>
        <w:tc>
          <w:tcPr>
            <w:tcW w:w="899" w:type="dxa"/>
            <w:gridSpan w:val="2"/>
            <w:vAlign w:val="top"/>
          </w:tcPr>
          <w:p>
            <w:pPr>
              <w:spacing w:before="63" w:line="270" w:lineRule="auto"/>
              <w:ind w:left="352" w:right="148" w:hanging="196"/>
              <w:rPr>
                <w:rFonts w:ascii="宋体" w:hAnsi="宋体" w:eastAsia="宋体" w:cs="宋体"/>
                <w:sz w:val="19"/>
                <w:szCs w:val="19"/>
              </w:rPr>
            </w:pPr>
            <w:r>
              <w:rPr>
                <w:rFonts w:ascii="宋体" w:hAnsi="宋体" w:eastAsia="宋体" w:cs="宋体"/>
                <w:spacing w:val="6"/>
                <w:sz w:val="19"/>
                <w:szCs w:val="19"/>
              </w:rPr>
              <w:t>一级指</w:t>
            </w:r>
            <w:r>
              <w:rPr>
                <w:rFonts w:ascii="宋体" w:hAnsi="宋体" w:eastAsia="宋体" w:cs="宋体"/>
                <w:sz w:val="19"/>
                <w:szCs w:val="19"/>
              </w:rPr>
              <w:t xml:space="preserve"> 标</w:t>
            </w:r>
          </w:p>
        </w:tc>
        <w:tc>
          <w:tcPr>
            <w:tcW w:w="845" w:type="dxa"/>
            <w:vAlign w:val="top"/>
          </w:tcPr>
          <w:p>
            <w:pPr>
              <w:spacing w:before="63" w:line="270" w:lineRule="auto"/>
              <w:ind w:left="324" w:right="122" w:hanging="196"/>
              <w:rPr>
                <w:rFonts w:ascii="宋体" w:hAnsi="宋体" w:eastAsia="宋体" w:cs="宋体"/>
                <w:sz w:val="19"/>
                <w:szCs w:val="19"/>
              </w:rPr>
            </w:pPr>
            <w:r>
              <w:rPr>
                <w:rFonts w:ascii="宋体" w:hAnsi="宋体" w:eastAsia="宋体" w:cs="宋体"/>
                <w:spacing w:val="6"/>
                <w:sz w:val="19"/>
                <w:szCs w:val="19"/>
              </w:rPr>
              <w:t>二级指</w:t>
            </w:r>
            <w:r>
              <w:rPr>
                <w:rFonts w:ascii="宋体" w:hAnsi="宋体" w:eastAsia="宋体" w:cs="宋体"/>
                <w:sz w:val="19"/>
                <w:szCs w:val="19"/>
              </w:rPr>
              <w:t xml:space="preserve"> 标</w:t>
            </w:r>
          </w:p>
        </w:tc>
        <w:tc>
          <w:tcPr>
            <w:tcW w:w="2189" w:type="dxa"/>
            <w:gridSpan w:val="2"/>
            <w:vAlign w:val="top"/>
          </w:tcPr>
          <w:p>
            <w:pPr>
              <w:spacing w:before="219" w:line="229" w:lineRule="auto"/>
              <w:ind w:left="698"/>
              <w:rPr>
                <w:rFonts w:ascii="宋体" w:hAnsi="宋体" w:eastAsia="宋体" w:cs="宋体"/>
                <w:sz w:val="19"/>
                <w:szCs w:val="19"/>
              </w:rPr>
            </w:pPr>
            <w:r>
              <w:rPr>
                <w:rFonts w:ascii="宋体" w:hAnsi="宋体" w:eastAsia="宋体" w:cs="宋体"/>
                <w:spacing w:val="7"/>
                <w:sz w:val="19"/>
                <w:szCs w:val="19"/>
              </w:rPr>
              <w:t>三级指标</w:t>
            </w:r>
          </w:p>
        </w:tc>
        <w:tc>
          <w:tcPr>
            <w:tcW w:w="1165" w:type="dxa"/>
            <w:vAlign w:val="top"/>
          </w:tcPr>
          <w:p>
            <w:pPr>
              <w:spacing w:before="63" w:line="229" w:lineRule="auto"/>
              <w:ind w:left="188"/>
              <w:rPr>
                <w:rFonts w:ascii="宋体" w:hAnsi="宋体" w:eastAsia="宋体" w:cs="宋体"/>
                <w:sz w:val="19"/>
                <w:szCs w:val="19"/>
              </w:rPr>
            </w:pPr>
            <w:r>
              <w:rPr>
                <w:rFonts w:ascii="宋体" w:hAnsi="宋体" w:eastAsia="宋体" w:cs="宋体"/>
                <w:spacing w:val="7"/>
                <w:sz w:val="19"/>
                <w:szCs w:val="19"/>
              </w:rPr>
              <w:t>预期指标</w:t>
            </w:r>
          </w:p>
          <w:p>
            <w:pPr>
              <w:spacing w:before="76" w:line="228" w:lineRule="auto"/>
              <w:ind w:left="487"/>
              <w:rPr>
                <w:rFonts w:ascii="宋体" w:hAnsi="宋体" w:eastAsia="宋体" w:cs="宋体"/>
                <w:sz w:val="19"/>
                <w:szCs w:val="19"/>
              </w:rPr>
            </w:pPr>
            <w:r>
              <w:rPr>
                <w:rFonts w:ascii="宋体" w:hAnsi="宋体" w:eastAsia="宋体" w:cs="宋体"/>
                <w:spacing w:val="1"/>
                <w:sz w:val="19"/>
                <w:szCs w:val="19"/>
              </w:rPr>
              <w:t>值</w:t>
            </w:r>
          </w:p>
        </w:tc>
        <w:tc>
          <w:tcPr>
            <w:tcW w:w="933" w:type="dxa"/>
            <w:vAlign w:val="top"/>
          </w:tcPr>
          <w:p>
            <w:pPr>
              <w:spacing w:before="63" w:line="270" w:lineRule="auto"/>
              <w:ind w:left="274" w:right="161" w:hanging="95"/>
              <w:rPr>
                <w:rFonts w:ascii="宋体" w:hAnsi="宋体" w:eastAsia="宋体" w:cs="宋体"/>
                <w:sz w:val="19"/>
                <w:szCs w:val="19"/>
              </w:rPr>
            </w:pPr>
            <w:r>
              <w:rPr>
                <w:rFonts w:ascii="宋体" w:hAnsi="宋体" w:eastAsia="宋体" w:cs="宋体"/>
                <w:spacing w:val="5"/>
                <w:sz w:val="19"/>
                <w:szCs w:val="19"/>
              </w:rPr>
              <w:t>实际完</w:t>
            </w:r>
            <w:r>
              <w:rPr>
                <w:rFonts w:ascii="宋体" w:hAnsi="宋体" w:eastAsia="宋体" w:cs="宋体"/>
                <w:spacing w:val="1"/>
                <w:sz w:val="19"/>
                <w:szCs w:val="19"/>
              </w:rPr>
              <w:t xml:space="preserve"> </w:t>
            </w:r>
            <w:r>
              <w:rPr>
                <w:rFonts w:ascii="宋体" w:hAnsi="宋体" w:eastAsia="宋体" w:cs="宋体"/>
                <w:spacing w:val="4"/>
                <w:sz w:val="19"/>
                <w:szCs w:val="19"/>
              </w:rPr>
              <w:t>成值</w:t>
            </w:r>
          </w:p>
        </w:tc>
        <w:tc>
          <w:tcPr>
            <w:tcW w:w="1795" w:type="dxa"/>
            <w:vAlign w:val="top"/>
          </w:tcPr>
          <w:p>
            <w:pPr>
              <w:spacing w:before="219" w:line="228" w:lineRule="auto"/>
              <w:ind w:left="533"/>
              <w:rPr>
                <w:rFonts w:ascii="宋体" w:hAnsi="宋体" w:eastAsia="宋体" w:cs="宋体"/>
                <w:sz w:val="19"/>
                <w:szCs w:val="19"/>
              </w:rPr>
            </w:pPr>
            <w:r>
              <w:rPr>
                <w:rFonts w:ascii="宋体" w:hAnsi="宋体" w:eastAsia="宋体" w:cs="宋体"/>
                <w:spacing w:val="-1"/>
                <w:sz w:val="19"/>
                <w:szCs w:val="19"/>
              </w:rPr>
              <w:t>自评得分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1055" w:type="dxa"/>
            <w:vMerge w:val="continue"/>
            <w:tcBorders>
              <w:top w:val="nil"/>
              <w:bottom w:val="nil"/>
            </w:tcBorders>
            <w:vAlign w:val="top"/>
          </w:tcPr>
          <w:p>
            <w:pPr>
              <w:pStyle w:val="28"/>
            </w:pPr>
          </w:p>
        </w:tc>
        <w:tc>
          <w:tcPr>
            <w:tcW w:w="899" w:type="dxa"/>
            <w:gridSpan w:val="2"/>
            <w:vMerge w:val="restart"/>
            <w:tcBorders>
              <w:bottom w:val="nil"/>
            </w:tcBorders>
            <w:vAlign w:val="top"/>
          </w:tcPr>
          <w:p>
            <w:pPr>
              <w:pStyle w:val="28"/>
              <w:spacing w:line="315" w:lineRule="auto"/>
            </w:pPr>
          </w:p>
          <w:p>
            <w:pPr>
              <w:pStyle w:val="28"/>
              <w:spacing w:line="315" w:lineRule="auto"/>
            </w:pPr>
          </w:p>
          <w:p>
            <w:pPr>
              <w:spacing w:before="62" w:line="305" w:lineRule="auto"/>
              <w:ind w:left="113" w:right="24" w:firstLine="40"/>
              <w:rPr>
                <w:rFonts w:ascii="宋体" w:hAnsi="宋体" w:eastAsia="宋体" w:cs="宋体"/>
                <w:sz w:val="19"/>
                <w:szCs w:val="19"/>
              </w:rPr>
            </w:pPr>
            <w:r>
              <w:rPr>
                <w:rFonts w:ascii="宋体" w:hAnsi="宋体" w:eastAsia="宋体" w:cs="宋体"/>
                <w:spacing w:val="7"/>
                <w:sz w:val="19"/>
                <w:szCs w:val="19"/>
              </w:rPr>
              <w:t>产出指</w:t>
            </w:r>
            <w:r>
              <w:rPr>
                <w:rFonts w:ascii="宋体" w:hAnsi="宋体" w:eastAsia="宋体" w:cs="宋体"/>
                <w:sz w:val="19"/>
                <w:szCs w:val="19"/>
              </w:rPr>
              <w:t xml:space="preserve">  </w:t>
            </w:r>
            <w:r>
              <w:rPr>
                <w:rFonts w:ascii="宋体" w:hAnsi="宋体" w:eastAsia="宋体" w:cs="宋体"/>
                <w:spacing w:val="-1"/>
                <w:sz w:val="19"/>
                <w:szCs w:val="19"/>
              </w:rPr>
              <w:t>标（50）</w:t>
            </w:r>
          </w:p>
        </w:tc>
        <w:tc>
          <w:tcPr>
            <w:tcW w:w="845" w:type="dxa"/>
            <w:vAlign w:val="top"/>
          </w:tcPr>
          <w:p>
            <w:pPr>
              <w:spacing w:before="63" w:line="270" w:lineRule="auto"/>
              <w:ind w:left="324" w:right="122" w:hanging="198"/>
              <w:rPr>
                <w:rFonts w:ascii="宋体" w:hAnsi="宋体" w:eastAsia="宋体" w:cs="宋体"/>
                <w:sz w:val="19"/>
                <w:szCs w:val="19"/>
              </w:rPr>
            </w:pPr>
            <w:r>
              <w:rPr>
                <w:rFonts w:ascii="宋体" w:hAnsi="宋体" w:eastAsia="宋体" w:cs="宋体"/>
                <w:spacing w:val="6"/>
                <w:sz w:val="19"/>
                <w:szCs w:val="19"/>
              </w:rPr>
              <w:t>数量指</w:t>
            </w:r>
            <w:r>
              <w:rPr>
                <w:rFonts w:ascii="宋体" w:hAnsi="宋体" w:eastAsia="宋体" w:cs="宋体"/>
                <w:spacing w:val="1"/>
                <w:sz w:val="19"/>
                <w:szCs w:val="19"/>
              </w:rPr>
              <w:t xml:space="preserve"> </w:t>
            </w:r>
            <w:r>
              <w:rPr>
                <w:rFonts w:ascii="宋体" w:hAnsi="宋体" w:eastAsia="宋体" w:cs="宋体"/>
                <w:sz w:val="19"/>
                <w:szCs w:val="19"/>
              </w:rPr>
              <w:t>标</w:t>
            </w:r>
          </w:p>
        </w:tc>
        <w:tc>
          <w:tcPr>
            <w:tcW w:w="2189" w:type="dxa"/>
            <w:gridSpan w:val="2"/>
            <w:vAlign w:val="top"/>
          </w:tcPr>
          <w:p>
            <w:pPr>
              <w:spacing w:before="219" w:line="228" w:lineRule="auto"/>
              <w:ind w:left="111"/>
              <w:rPr>
                <w:rFonts w:ascii="宋体" w:hAnsi="宋体" w:eastAsia="宋体" w:cs="宋体"/>
                <w:sz w:val="19"/>
                <w:szCs w:val="19"/>
              </w:rPr>
            </w:pPr>
            <w:r>
              <w:rPr>
                <w:rFonts w:ascii="宋体" w:hAnsi="宋体" w:eastAsia="宋体" w:cs="宋体"/>
                <w:spacing w:val="8"/>
                <w:sz w:val="19"/>
                <w:szCs w:val="19"/>
              </w:rPr>
              <w:t>退役士兵人数</w:t>
            </w:r>
          </w:p>
        </w:tc>
        <w:tc>
          <w:tcPr>
            <w:tcW w:w="1165" w:type="dxa"/>
            <w:vAlign w:val="top"/>
          </w:tcPr>
          <w:p>
            <w:pPr>
              <w:spacing w:before="219" w:line="231" w:lineRule="auto"/>
              <w:ind w:left="132"/>
              <w:rPr>
                <w:rFonts w:ascii="宋体" w:hAnsi="宋体" w:eastAsia="宋体" w:cs="宋体"/>
                <w:sz w:val="19"/>
                <w:szCs w:val="19"/>
              </w:rPr>
            </w:pPr>
            <w:r>
              <w:rPr>
                <w:rFonts w:ascii="宋体" w:hAnsi="宋体" w:eastAsia="宋体" w:cs="宋体"/>
                <w:spacing w:val="15"/>
                <w:sz w:val="19"/>
                <w:szCs w:val="19"/>
              </w:rPr>
              <w:t>≥2人</w:t>
            </w:r>
          </w:p>
        </w:tc>
        <w:tc>
          <w:tcPr>
            <w:tcW w:w="933" w:type="dxa"/>
            <w:vAlign w:val="top"/>
          </w:tcPr>
          <w:p>
            <w:pPr>
              <w:spacing w:before="219" w:line="228" w:lineRule="auto"/>
              <w:ind w:left="196"/>
              <w:rPr>
                <w:rFonts w:ascii="宋体" w:hAnsi="宋体" w:eastAsia="宋体" w:cs="宋体"/>
                <w:sz w:val="19"/>
                <w:szCs w:val="19"/>
              </w:rPr>
            </w:pPr>
            <w:r>
              <w:rPr>
                <w:rFonts w:ascii="宋体" w:hAnsi="宋体" w:eastAsia="宋体" w:cs="宋体"/>
                <w:sz w:val="19"/>
                <w:szCs w:val="19"/>
              </w:rPr>
              <w:t>已完成</w:t>
            </w:r>
          </w:p>
        </w:tc>
        <w:tc>
          <w:tcPr>
            <w:tcW w:w="1795" w:type="dxa"/>
            <w:vAlign w:val="top"/>
          </w:tcPr>
          <w:p>
            <w:pPr>
              <w:spacing w:before="219" w:line="255" w:lineRule="exact"/>
              <w:ind w:left="816"/>
              <w:rPr>
                <w:rFonts w:ascii="宋体" w:hAnsi="宋体" w:eastAsia="宋体" w:cs="宋体"/>
                <w:sz w:val="19"/>
                <w:szCs w:val="19"/>
              </w:rPr>
            </w:pPr>
            <w:r>
              <w:rPr>
                <w:rFonts w:ascii="宋体" w:hAnsi="宋体" w:eastAsia="宋体" w:cs="宋体"/>
                <w:spacing w:val="-7"/>
                <w:position w:val="1"/>
                <w:sz w:val="19"/>
                <w:szCs w:val="19"/>
              </w:rPr>
              <w:t>10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1055" w:type="dxa"/>
            <w:vMerge w:val="continue"/>
            <w:tcBorders>
              <w:top w:val="nil"/>
              <w:bottom w:val="nil"/>
            </w:tcBorders>
            <w:vAlign w:val="top"/>
          </w:tcPr>
          <w:p>
            <w:pPr>
              <w:pStyle w:val="28"/>
            </w:pPr>
          </w:p>
        </w:tc>
        <w:tc>
          <w:tcPr>
            <w:tcW w:w="899" w:type="dxa"/>
            <w:gridSpan w:val="2"/>
            <w:vMerge w:val="continue"/>
            <w:tcBorders>
              <w:top w:val="nil"/>
              <w:bottom w:val="nil"/>
            </w:tcBorders>
            <w:vAlign w:val="top"/>
          </w:tcPr>
          <w:p>
            <w:pPr>
              <w:pStyle w:val="28"/>
            </w:pPr>
          </w:p>
        </w:tc>
        <w:tc>
          <w:tcPr>
            <w:tcW w:w="845" w:type="dxa"/>
            <w:vAlign w:val="top"/>
          </w:tcPr>
          <w:p>
            <w:pPr>
              <w:spacing w:before="62" w:line="229" w:lineRule="auto"/>
              <w:ind w:left="126"/>
              <w:rPr>
                <w:rFonts w:ascii="宋体" w:hAnsi="宋体" w:eastAsia="宋体" w:cs="宋体"/>
                <w:sz w:val="19"/>
                <w:szCs w:val="19"/>
              </w:rPr>
            </w:pPr>
            <w:r>
              <w:rPr>
                <w:rFonts w:ascii="宋体" w:hAnsi="宋体" w:eastAsia="宋体" w:cs="宋体"/>
                <w:spacing w:val="7"/>
                <w:sz w:val="19"/>
                <w:szCs w:val="19"/>
              </w:rPr>
              <w:t>质量指</w:t>
            </w:r>
          </w:p>
          <w:p>
            <w:pPr>
              <w:spacing w:before="76" w:line="229" w:lineRule="auto"/>
              <w:ind w:left="325"/>
              <w:rPr>
                <w:rFonts w:ascii="宋体" w:hAnsi="宋体" w:eastAsia="宋体" w:cs="宋体"/>
                <w:sz w:val="19"/>
                <w:szCs w:val="19"/>
              </w:rPr>
            </w:pPr>
            <w:r>
              <w:rPr>
                <w:rFonts w:ascii="宋体" w:hAnsi="宋体" w:eastAsia="宋体" w:cs="宋体"/>
                <w:sz w:val="19"/>
                <w:szCs w:val="19"/>
              </w:rPr>
              <w:t>标</w:t>
            </w:r>
          </w:p>
        </w:tc>
        <w:tc>
          <w:tcPr>
            <w:tcW w:w="2189" w:type="dxa"/>
            <w:gridSpan w:val="2"/>
            <w:vAlign w:val="top"/>
          </w:tcPr>
          <w:p>
            <w:pPr>
              <w:spacing w:before="218" w:line="228" w:lineRule="auto"/>
              <w:ind w:left="113"/>
              <w:rPr>
                <w:rFonts w:ascii="宋体" w:hAnsi="宋体" w:eastAsia="宋体" w:cs="宋体"/>
                <w:sz w:val="19"/>
                <w:szCs w:val="19"/>
              </w:rPr>
            </w:pPr>
            <w:r>
              <w:rPr>
                <w:rFonts w:ascii="宋体" w:hAnsi="宋体" w:eastAsia="宋体" w:cs="宋体"/>
                <w:spacing w:val="8"/>
                <w:sz w:val="19"/>
                <w:szCs w:val="19"/>
              </w:rPr>
              <w:t>工资发放完成率</w:t>
            </w:r>
          </w:p>
        </w:tc>
        <w:tc>
          <w:tcPr>
            <w:tcW w:w="1165" w:type="dxa"/>
            <w:vAlign w:val="top"/>
          </w:tcPr>
          <w:p>
            <w:pPr>
              <w:spacing w:before="218" w:line="256" w:lineRule="exact"/>
              <w:ind w:left="127"/>
              <w:rPr>
                <w:rFonts w:ascii="宋体" w:hAnsi="宋体" w:eastAsia="宋体" w:cs="宋体"/>
                <w:sz w:val="19"/>
                <w:szCs w:val="19"/>
              </w:rPr>
            </w:pPr>
            <w:r>
              <w:rPr>
                <w:rFonts w:ascii="宋体" w:hAnsi="宋体" w:eastAsia="宋体" w:cs="宋体"/>
                <w:spacing w:val="-1"/>
                <w:position w:val="1"/>
                <w:sz w:val="19"/>
                <w:szCs w:val="19"/>
              </w:rPr>
              <w:t>100%</w:t>
            </w:r>
          </w:p>
        </w:tc>
        <w:tc>
          <w:tcPr>
            <w:tcW w:w="933" w:type="dxa"/>
            <w:vAlign w:val="top"/>
          </w:tcPr>
          <w:p>
            <w:pPr>
              <w:spacing w:before="218" w:line="228" w:lineRule="auto"/>
              <w:ind w:left="196"/>
              <w:rPr>
                <w:rFonts w:ascii="宋体" w:hAnsi="宋体" w:eastAsia="宋体" w:cs="宋体"/>
                <w:sz w:val="19"/>
                <w:szCs w:val="19"/>
              </w:rPr>
            </w:pPr>
            <w:r>
              <w:rPr>
                <w:rFonts w:ascii="宋体" w:hAnsi="宋体" w:eastAsia="宋体" w:cs="宋体"/>
                <w:sz w:val="19"/>
                <w:szCs w:val="19"/>
              </w:rPr>
              <w:t>已完成</w:t>
            </w:r>
          </w:p>
        </w:tc>
        <w:tc>
          <w:tcPr>
            <w:tcW w:w="1795" w:type="dxa"/>
            <w:vAlign w:val="top"/>
          </w:tcPr>
          <w:p>
            <w:pPr>
              <w:spacing w:before="218" w:line="256" w:lineRule="exact"/>
              <w:ind w:left="816"/>
              <w:rPr>
                <w:rFonts w:ascii="宋体" w:hAnsi="宋体" w:eastAsia="宋体" w:cs="宋体"/>
                <w:sz w:val="19"/>
                <w:szCs w:val="19"/>
              </w:rPr>
            </w:pPr>
            <w:r>
              <w:rPr>
                <w:rFonts w:ascii="宋体" w:hAnsi="宋体" w:eastAsia="宋体" w:cs="宋体"/>
                <w:spacing w:val="-7"/>
                <w:position w:val="1"/>
                <w:sz w:val="19"/>
                <w:szCs w:val="19"/>
              </w:rPr>
              <w:t>10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1055" w:type="dxa"/>
            <w:vMerge w:val="continue"/>
            <w:tcBorders>
              <w:top w:val="nil"/>
            </w:tcBorders>
            <w:vAlign w:val="top"/>
          </w:tcPr>
          <w:p>
            <w:pPr>
              <w:pStyle w:val="28"/>
            </w:pPr>
          </w:p>
        </w:tc>
        <w:tc>
          <w:tcPr>
            <w:tcW w:w="899" w:type="dxa"/>
            <w:gridSpan w:val="2"/>
            <w:vMerge w:val="continue"/>
            <w:tcBorders>
              <w:top w:val="nil"/>
              <w:bottom w:val="nil"/>
            </w:tcBorders>
            <w:vAlign w:val="top"/>
          </w:tcPr>
          <w:p>
            <w:pPr>
              <w:pStyle w:val="28"/>
            </w:pPr>
          </w:p>
        </w:tc>
        <w:tc>
          <w:tcPr>
            <w:tcW w:w="845" w:type="dxa"/>
            <w:vAlign w:val="top"/>
          </w:tcPr>
          <w:p>
            <w:pPr>
              <w:spacing w:before="63" w:line="271" w:lineRule="auto"/>
              <w:ind w:left="324" w:right="122" w:hanging="190"/>
              <w:rPr>
                <w:rFonts w:ascii="宋体" w:hAnsi="宋体" w:eastAsia="宋体" w:cs="宋体"/>
                <w:sz w:val="19"/>
                <w:szCs w:val="19"/>
              </w:rPr>
            </w:pPr>
            <w:r>
              <w:rPr>
                <w:rFonts w:ascii="宋体" w:hAnsi="宋体" w:eastAsia="宋体" w:cs="宋体"/>
                <w:spacing w:val="4"/>
                <w:sz w:val="19"/>
                <w:szCs w:val="19"/>
              </w:rPr>
              <w:t>时效指</w:t>
            </w:r>
            <w:r>
              <w:rPr>
                <w:rFonts w:ascii="宋体" w:hAnsi="宋体" w:eastAsia="宋体" w:cs="宋体"/>
                <w:sz w:val="19"/>
                <w:szCs w:val="19"/>
              </w:rPr>
              <w:t xml:space="preserve"> 标</w:t>
            </w:r>
          </w:p>
        </w:tc>
        <w:tc>
          <w:tcPr>
            <w:tcW w:w="2189" w:type="dxa"/>
            <w:gridSpan w:val="2"/>
            <w:vAlign w:val="top"/>
          </w:tcPr>
          <w:p>
            <w:pPr>
              <w:spacing w:before="218" w:line="229" w:lineRule="auto"/>
              <w:ind w:left="113"/>
              <w:rPr>
                <w:rFonts w:ascii="宋体" w:hAnsi="宋体" w:eastAsia="宋体" w:cs="宋体"/>
                <w:sz w:val="19"/>
                <w:szCs w:val="19"/>
              </w:rPr>
            </w:pPr>
            <w:r>
              <w:rPr>
                <w:rFonts w:ascii="宋体" w:hAnsi="宋体" w:eastAsia="宋体" w:cs="宋体"/>
                <w:spacing w:val="8"/>
                <w:sz w:val="19"/>
                <w:szCs w:val="19"/>
              </w:rPr>
              <w:t>工资发放标准</w:t>
            </w:r>
          </w:p>
        </w:tc>
        <w:tc>
          <w:tcPr>
            <w:tcW w:w="1165" w:type="dxa"/>
            <w:vAlign w:val="top"/>
          </w:tcPr>
          <w:p>
            <w:pPr>
              <w:spacing w:before="218" w:line="228" w:lineRule="auto"/>
              <w:ind w:left="116"/>
              <w:rPr>
                <w:rFonts w:hint="default" w:ascii="宋体" w:hAnsi="宋体" w:eastAsia="宋体" w:cs="宋体"/>
                <w:sz w:val="19"/>
                <w:szCs w:val="19"/>
                <w:lang w:val="en-US" w:eastAsia="zh-CN"/>
              </w:rPr>
            </w:pPr>
            <w:r>
              <w:rPr>
                <w:rFonts w:ascii="宋体" w:hAnsi="宋体" w:eastAsia="宋体" w:cs="宋体"/>
                <w:spacing w:val="15"/>
                <w:sz w:val="19"/>
                <w:szCs w:val="19"/>
              </w:rPr>
              <w:t>≥</w:t>
            </w:r>
            <w:r>
              <w:rPr>
                <w:rFonts w:hint="eastAsia" w:ascii="宋体" w:hAnsi="宋体" w:eastAsia="宋体" w:cs="宋体"/>
                <w:spacing w:val="15"/>
                <w:sz w:val="19"/>
                <w:szCs w:val="19"/>
                <w:lang w:val="en-US" w:eastAsia="zh-CN"/>
              </w:rPr>
              <w:t>60000元/人</w:t>
            </w:r>
          </w:p>
        </w:tc>
        <w:tc>
          <w:tcPr>
            <w:tcW w:w="933" w:type="dxa"/>
            <w:vAlign w:val="top"/>
          </w:tcPr>
          <w:p>
            <w:pPr>
              <w:spacing w:before="218" w:line="228" w:lineRule="auto"/>
              <w:ind w:left="196"/>
              <w:rPr>
                <w:rFonts w:ascii="宋体" w:hAnsi="宋体" w:eastAsia="宋体" w:cs="宋体"/>
                <w:sz w:val="19"/>
                <w:szCs w:val="19"/>
              </w:rPr>
            </w:pPr>
            <w:r>
              <w:rPr>
                <w:rFonts w:ascii="宋体" w:hAnsi="宋体" w:eastAsia="宋体" w:cs="宋体"/>
                <w:sz w:val="19"/>
                <w:szCs w:val="19"/>
              </w:rPr>
              <w:t>已完成</w:t>
            </w:r>
          </w:p>
        </w:tc>
        <w:tc>
          <w:tcPr>
            <w:tcW w:w="1795" w:type="dxa"/>
            <w:vAlign w:val="top"/>
          </w:tcPr>
          <w:p>
            <w:pPr>
              <w:spacing w:before="218" w:line="255" w:lineRule="exact"/>
              <w:ind w:left="803"/>
              <w:rPr>
                <w:rFonts w:ascii="宋体" w:hAnsi="宋体" w:eastAsia="宋体" w:cs="宋体"/>
                <w:sz w:val="19"/>
                <w:szCs w:val="19"/>
              </w:rPr>
            </w:pPr>
            <w:r>
              <w:rPr>
                <w:rFonts w:ascii="宋体" w:hAnsi="宋体" w:eastAsia="宋体" w:cs="宋体"/>
                <w:position w:val="1"/>
                <w:sz w:val="19"/>
                <w:szCs w:val="19"/>
              </w:rPr>
              <w:t>20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2" w:hRule="atLeast"/>
        </w:trPr>
        <w:tc>
          <w:tcPr>
            <w:tcW w:w="1055" w:type="dxa"/>
            <w:vMerge w:val="restart"/>
            <w:tcBorders>
              <w:bottom w:val="nil"/>
            </w:tcBorders>
            <w:vAlign w:val="top"/>
          </w:tcPr>
          <w:p>
            <w:pPr>
              <w:pStyle w:val="28"/>
            </w:pPr>
          </w:p>
        </w:tc>
        <w:tc>
          <w:tcPr>
            <w:tcW w:w="898" w:type="dxa"/>
            <w:vMerge w:val="restart"/>
            <w:tcBorders>
              <w:bottom w:val="nil"/>
            </w:tcBorders>
            <w:vAlign w:val="top"/>
          </w:tcPr>
          <w:p>
            <w:pPr>
              <w:pStyle w:val="28"/>
            </w:pPr>
          </w:p>
        </w:tc>
        <w:tc>
          <w:tcPr>
            <w:tcW w:w="846" w:type="dxa"/>
            <w:gridSpan w:val="2"/>
            <w:tcBorders>
              <w:top w:val="nil"/>
            </w:tcBorders>
            <w:vAlign w:val="top"/>
          </w:tcPr>
          <w:p>
            <w:pPr>
              <w:spacing w:before="62" w:line="272" w:lineRule="auto"/>
              <w:ind w:left="229" w:right="121" w:hanging="102"/>
              <w:rPr>
                <w:rFonts w:ascii="宋体" w:hAnsi="宋体" w:eastAsia="宋体" w:cs="宋体"/>
                <w:sz w:val="19"/>
                <w:szCs w:val="19"/>
              </w:rPr>
            </w:pPr>
            <w:r>
              <w:rPr>
                <w:rFonts w:ascii="宋体" w:hAnsi="宋体" w:eastAsia="宋体" w:cs="宋体"/>
                <w:spacing w:val="6"/>
                <w:sz w:val="19"/>
                <w:szCs w:val="19"/>
              </w:rPr>
              <w:t>预算执</w:t>
            </w:r>
            <w:r>
              <w:rPr>
                <w:rFonts w:ascii="宋体" w:hAnsi="宋体" w:eastAsia="宋体" w:cs="宋体"/>
                <w:spacing w:val="1"/>
                <w:sz w:val="19"/>
                <w:szCs w:val="19"/>
              </w:rPr>
              <w:t xml:space="preserve"> </w:t>
            </w:r>
            <w:r>
              <w:rPr>
                <w:rFonts w:ascii="宋体" w:hAnsi="宋体" w:eastAsia="宋体" w:cs="宋体"/>
                <w:spacing w:val="3"/>
                <w:sz w:val="19"/>
                <w:szCs w:val="19"/>
              </w:rPr>
              <w:t>行率</w:t>
            </w:r>
          </w:p>
        </w:tc>
        <w:tc>
          <w:tcPr>
            <w:tcW w:w="2189" w:type="dxa"/>
            <w:gridSpan w:val="2"/>
            <w:vAlign w:val="top"/>
          </w:tcPr>
          <w:p>
            <w:pPr>
              <w:spacing w:before="218" w:line="228" w:lineRule="auto"/>
              <w:ind w:left="113"/>
              <w:rPr>
                <w:rFonts w:ascii="宋体" w:hAnsi="宋体" w:eastAsia="宋体" w:cs="宋体"/>
                <w:sz w:val="19"/>
                <w:szCs w:val="19"/>
              </w:rPr>
            </w:pPr>
            <w:r>
              <w:rPr>
                <w:rFonts w:ascii="宋体" w:hAnsi="宋体" w:eastAsia="宋体" w:cs="宋体"/>
                <w:spacing w:val="7"/>
                <w:sz w:val="19"/>
                <w:szCs w:val="19"/>
              </w:rPr>
              <w:t>预算执行率</w:t>
            </w:r>
          </w:p>
        </w:tc>
        <w:tc>
          <w:tcPr>
            <w:tcW w:w="1165" w:type="dxa"/>
            <w:vAlign w:val="top"/>
          </w:tcPr>
          <w:p>
            <w:pPr>
              <w:spacing w:before="218" w:line="256" w:lineRule="exact"/>
              <w:ind w:left="127"/>
              <w:rPr>
                <w:rFonts w:ascii="宋体" w:hAnsi="宋体" w:eastAsia="宋体" w:cs="宋体"/>
                <w:sz w:val="19"/>
                <w:szCs w:val="19"/>
              </w:rPr>
            </w:pPr>
            <w:r>
              <w:rPr>
                <w:rFonts w:ascii="宋体" w:hAnsi="宋体" w:eastAsia="宋体" w:cs="宋体"/>
                <w:spacing w:val="-1"/>
                <w:position w:val="1"/>
                <w:sz w:val="19"/>
                <w:szCs w:val="19"/>
              </w:rPr>
              <w:t>100%</w:t>
            </w:r>
          </w:p>
        </w:tc>
        <w:tc>
          <w:tcPr>
            <w:tcW w:w="933" w:type="dxa"/>
            <w:vAlign w:val="top"/>
          </w:tcPr>
          <w:p>
            <w:pPr>
              <w:spacing w:before="218" w:line="228" w:lineRule="auto"/>
              <w:ind w:left="196"/>
              <w:rPr>
                <w:rFonts w:ascii="宋体" w:hAnsi="宋体" w:eastAsia="宋体" w:cs="宋体"/>
                <w:sz w:val="19"/>
                <w:szCs w:val="19"/>
              </w:rPr>
            </w:pPr>
            <w:r>
              <w:rPr>
                <w:rFonts w:ascii="宋体" w:hAnsi="宋体" w:eastAsia="宋体" w:cs="宋体"/>
                <w:sz w:val="19"/>
                <w:szCs w:val="19"/>
              </w:rPr>
              <w:t>已完成</w:t>
            </w:r>
          </w:p>
        </w:tc>
        <w:tc>
          <w:tcPr>
            <w:tcW w:w="1795" w:type="dxa"/>
            <w:vAlign w:val="top"/>
          </w:tcPr>
          <w:p>
            <w:pPr>
              <w:spacing w:before="218" w:line="256" w:lineRule="exact"/>
              <w:ind w:left="816"/>
              <w:rPr>
                <w:rFonts w:ascii="宋体" w:hAnsi="宋体" w:eastAsia="宋体" w:cs="宋体"/>
                <w:sz w:val="19"/>
                <w:szCs w:val="19"/>
              </w:rPr>
            </w:pPr>
            <w:r>
              <w:rPr>
                <w:rFonts w:ascii="宋体" w:hAnsi="宋体" w:eastAsia="宋体" w:cs="宋体"/>
                <w:spacing w:val="-7"/>
                <w:position w:val="1"/>
                <w:sz w:val="19"/>
                <w:szCs w:val="19"/>
              </w:rPr>
              <w:t>10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1055" w:type="dxa"/>
            <w:vMerge w:val="continue"/>
            <w:tcBorders>
              <w:top w:val="nil"/>
              <w:bottom w:val="nil"/>
            </w:tcBorders>
            <w:vAlign w:val="top"/>
          </w:tcPr>
          <w:p>
            <w:pPr>
              <w:pStyle w:val="28"/>
            </w:pPr>
          </w:p>
        </w:tc>
        <w:tc>
          <w:tcPr>
            <w:tcW w:w="898" w:type="dxa"/>
            <w:vMerge w:val="continue"/>
            <w:tcBorders>
              <w:top w:val="nil"/>
              <w:bottom w:val="nil"/>
            </w:tcBorders>
            <w:vAlign w:val="top"/>
          </w:tcPr>
          <w:p>
            <w:pPr>
              <w:pStyle w:val="28"/>
            </w:pPr>
          </w:p>
        </w:tc>
        <w:tc>
          <w:tcPr>
            <w:tcW w:w="846" w:type="dxa"/>
            <w:gridSpan w:val="2"/>
            <w:vAlign w:val="top"/>
          </w:tcPr>
          <w:p>
            <w:pPr>
              <w:spacing w:before="59" w:line="227" w:lineRule="auto"/>
              <w:ind w:left="127"/>
              <w:rPr>
                <w:rFonts w:ascii="宋体" w:hAnsi="宋体" w:eastAsia="宋体" w:cs="宋体"/>
                <w:sz w:val="19"/>
                <w:szCs w:val="19"/>
              </w:rPr>
            </w:pPr>
            <w:r>
              <w:rPr>
                <w:rFonts w:ascii="宋体" w:hAnsi="宋体" w:eastAsia="宋体" w:cs="宋体"/>
                <w:spacing w:val="6"/>
                <w:sz w:val="19"/>
                <w:szCs w:val="19"/>
              </w:rPr>
              <w:t>社会效</w:t>
            </w:r>
          </w:p>
          <w:p>
            <w:pPr>
              <w:spacing w:before="77" w:line="229" w:lineRule="auto"/>
              <w:ind w:left="127"/>
              <w:rPr>
                <w:rFonts w:ascii="宋体" w:hAnsi="宋体" w:eastAsia="宋体" w:cs="宋体"/>
                <w:sz w:val="19"/>
                <w:szCs w:val="19"/>
              </w:rPr>
            </w:pPr>
            <w:r>
              <w:rPr>
                <w:rFonts w:ascii="宋体" w:hAnsi="宋体" w:eastAsia="宋体" w:cs="宋体"/>
                <w:spacing w:val="6"/>
                <w:sz w:val="19"/>
                <w:szCs w:val="19"/>
              </w:rPr>
              <w:t>益指标</w:t>
            </w:r>
          </w:p>
        </w:tc>
        <w:tc>
          <w:tcPr>
            <w:tcW w:w="2189" w:type="dxa"/>
            <w:gridSpan w:val="2"/>
            <w:vAlign w:val="top"/>
          </w:tcPr>
          <w:p>
            <w:pPr>
              <w:spacing w:before="215" w:line="228" w:lineRule="auto"/>
              <w:ind w:left="111"/>
              <w:rPr>
                <w:rFonts w:ascii="宋体" w:hAnsi="宋体" w:eastAsia="宋体" w:cs="宋体"/>
                <w:sz w:val="19"/>
                <w:szCs w:val="19"/>
              </w:rPr>
            </w:pPr>
            <w:r>
              <w:rPr>
                <w:rFonts w:ascii="宋体" w:hAnsi="宋体" w:eastAsia="宋体" w:cs="宋体"/>
                <w:spacing w:val="8"/>
                <w:sz w:val="19"/>
                <w:szCs w:val="19"/>
              </w:rPr>
              <w:t>托管安置人数</w:t>
            </w:r>
          </w:p>
        </w:tc>
        <w:tc>
          <w:tcPr>
            <w:tcW w:w="1165" w:type="dxa"/>
            <w:vAlign w:val="top"/>
          </w:tcPr>
          <w:p>
            <w:pPr>
              <w:spacing w:before="215" w:line="231" w:lineRule="auto"/>
              <w:ind w:left="132"/>
              <w:rPr>
                <w:rFonts w:ascii="宋体" w:hAnsi="宋体" w:eastAsia="宋体" w:cs="宋体"/>
                <w:sz w:val="19"/>
                <w:szCs w:val="19"/>
              </w:rPr>
            </w:pPr>
            <w:r>
              <w:rPr>
                <w:rFonts w:ascii="宋体" w:hAnsi="宋体" w:eastAsia="宋体" w:cs="宋体"/>
                <w:spacing w:val="15"/>
                <w:sz w:val="19"/>
                <w:szCs w:val="19"/>
              </w:rPr>
              <w:t>≥2人</w:t>
            </w:r>
          </w:p>
        </w:tc>
        <w:tc>
          <w:tcPr>
            <w:tcW w:w="933" w:type="dxa"/>
            <w:vAlign w:val="top"/>
          </w:tcPr>
          <w:p>
            <w:pPr>
              <w:spacing w:before="215" w:line="228" w:lineRule="auto"/>
              <w:ind w:left="196"/>
              <w:rPr>
                <w:rFonts w:ascii="宋体" w:hAnsi="宋体" w:eastAsia="宋体" w:cs="宋体"/>
                <w:sz w:val="19"/>
                <w:szCs w:val="19"/>
              </w:rPr>
            </w:pPr>
            <w:r>
              <w:rPr>
                <w:rFonts w:ascii="宋体" w:hAnsi="宋体" w:eastAsia="宋体" w:cs="宋体"/>
                <w:sz w:val="19"/>
                <w:szCs w:val="19"/>
              </w:rPr>
              <w:t>已完成</w:t>
            </w:r>
          </w:p>
        </w:tc>
        <w:tc>
          <w:tcPr>
            <w:tcW w:w="1795" w:type="dxa"/>
            <w:vAlign w:val="top"/>
          </w:tcPr>
          <w:p>
            <w:pPr>
              <w:spacing w:before="215" w:line="255" w:lineRule="exact"/>
              <w:ind w:left="800"/>
              <w:rPr>
                <w:rFonts w:ascii="宋体" w:hAnsi="宋体" w:eastAsia="宋体" w:cs="宋体"/>
                <w:sz w:val="19"/>
                <w:szCs w:val="19"/>
              </w:rPr>
            </w:pPr>
            <w:r>
              <w:rPr>
                <w:rFonts w:ascii="宋体" w:hAnsi="宋体" w:eastAsia="宋体" w:cs="宋体"/>
                <w:spacing w:val="1"/>
                <w:position w:val="1"/>
                <w:sz w:val="19"/>
                <w:szCs w:val="19"/>
              </w:rPr>
              <w:t>40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7" w:hRule="atLeast"/>
        </w:trPr>
        <w:tc>
          <w:tcPr>
            <w:tcW w:w="1055" w:type="dxa"/>
            <w:vMerge w:val="continue"/>
            <w:tcBorders>
              <w:top w:val="nil"/>
              <w:bottom w:val="nil"/>
            </w:tcBorders>
            <w:vAlign w:val="top"/>
          </w:tcPr>
          <w:p>
            <w:pPr>
              <w:pStyle w:val="28"/>
            </w:pPr>
          </w:p>
        </w:tc>
        <w:tc>
          <w:tcPr>
            <w:tcW w:w="898" w:type="dxa"/>
            <w:vMerge w:val="continue"/>
            <w:tcBorders>
              <w:top w:val="nil"/>
            </w:tcBorders>
            <w:vAlign w:val="top"/>
          </w:tcPr>
          <w:p>
            <w:pPr>
              <w:pStyle w:val="28"/>
            </w:pPr>
          </w:p>
        </w:tc>
        <w:tc>
          <w:tcPr>
            <w:tcW w:w="846" w:type="dxa"/>
            <w:gridSpan w:val="2"/>
            <w:vAlign w:val="top"/>
          </w:tcPr>
          <w:p>
            <w:pPr>
              <w:spacing w:before="59" w:line="271" w:lineRule="auto"/>
              <w:ind w:left="229" w:right="121" w:hanging="103"/>
              <w:rPr>
                <w:rFonts w:ascii="宋体" w:hAnsi="宋体" w:eastAsia="宋体" w:cs="宋体"/>
                <w:sz w:val="19"/>
                <w:szCs w:val="19"/>
              </w:rPr>
            </w:pPr>
            <w:r>
              <w:rPr>
                <w:rFonts w:ascii="宋体" w:hAnsi="宋体" w:eastAsia="宋体" w:cs="宋体"/>
                <w:spacing w:val="7"/>
                <w:sz w:val="19"/>
                <w:szCs w:val="19"/>
              </w:rPr>
              <w:t>满意度</w:t>
            </w:r>
            <w:r>
              <w:rPr>
                <w:rFonts w:ascii="宋体" w:hAnsi="宋体" w:eastAsia="宋体" w:cs="宋体"/>
                <w:sz w:val="19"/>
                <w:szCs w:val="19"/>
              </w:rPr>
              <w:t xml:space="preserve"> </w:t>
            </w:r>
            <w:r>
              <w:rPr>
                <w:rFonts w:ascii="宋体" w:hAnsi="宋体" w:eastAsia="宋体" w:cs="宋体"/>
                <w:spacing w:val="4"/>
                <w:sz w:val="19"/>
                <w:szCs w:val="19"/>
              </w:rPr>
              <w:t>指标</w:t>
            </w:r>
          </w:p>
        </w:tc>
        <w:tc>
          <w:tcPr>
            <w:tcW w:w="2189" w:type="dxa"/>
            <w:gridSpan w:val="2"/>
            <w:vAlign w:val="top"/>
          </w:tcPr>
          <w:p>
            <w:pPr>
              <w:spacing w:before="215" w:line="228" w:lineRule="auto"/>
              <w:ind w:left="111"/>
              <w:rPr>
                <w:rFonts w:ascii="宋体" w:hAnsi="宋体" w:eastAsia="宋体" w:cs="宋体"/>
                <w:sz w:val="19"/>
                <w:szCs w:val="19"/>
              </w:rPr>
            </w:pPr>
            <w:r>
              <w:rPr>
                <w:rFonts w:ascii="宋体" w:hAnsi="宋体" w:eastAsia="宋体" w:cs="宋体"/>
                <w:spacing w:val="8"/>
                <w:sz w:val="19"/>
                <w:szCs w:val="19"/>
              </w:rPr>
              <w:t>群众满意度</w:t>
            </w:r>
          </w:p>
        </w:tc>
        <w:tc>
          <w:tcPr>
            <w:tcW w:w="1165" w:type="dxa"/>
            <w:vAlign w:val="top"/>
          </w:tcPr>
          <w:p>
            <w:pPr>
              <w:spacing w:before="215" w:line="256" w:lineRule="exact"/>
              <w:ind w:left="127"/>
              <w:rPr>
                <w:rFonts w:ascii="宋体" w:hAnsi="宋体" w:eastAsia="宋体" w:cs="宋体"/>
                <w:sz w:val="19"/>
                <w:szCs w:val="19"/>
              </w:rPr>
            </w:pPr>
            <w:r>
              <w:rPr>
                <w:rFonts w:ascii="宋体" w:hAnsi="宋体" w:eastAsia="宋体" w:cs="宋体"/>
                <w:spacing w:val="-1"/>
                <w:position w:val="1"/>
                <w:sz w:val="19"/>
                <w:szCs w:val="19"/>
              </w:rPr>
              <w:t>100%</w:t>
            </w:r>
          </w:p>
        </w:tc>
        <w:tc>
          <w:tcPr>
            <w:tcW w:w="933" w:type="dxa"/>
            <w:vAlign w:val="top"/>
          </w:tcPr>
          <w:p>
            <w:pPr>
              <w:spacing w:before="215" w:line="228" w:lineRule="auto"/>
              <w:ind w:left="196"/>
              <w:rPr>
                <w:rFonts w:ascii="宋体" w:hAnsi="宋体" w:eastAsia="宋体" w:cs="宋体"/>
                <w:sz w:val="19"/>
                <w:szCs w:val="19"/>
              </w:rPr>
            </w:pPr>
            <w:r>
              <w:rPr>
                <w:rFonts w:ascii="宋体" w:hAnsi="宋体" w:eastAsia="宋体" w:cs="宋体"/>
                <w:sz w:val="19"/>
                <w:szCs w:val="19"/>
              </w:rPr>
              <w:t>已完成</w:t>
            </w:r>
          </w:p>
        </w:tc>
        <w:tc>
          <w:tcPr>
            <w:tcW w:w="1795" w:type="dxa"/>
            <w:vAlign w:val="top"/>
          </w:tcPr>
          <w:p>
            <w:pPr>
              <w:spacing w:before="215" w:line="256" w:lineRule="exact"/>
              <w:ind w:left="816"/>
              <w:rPr>
                <w:rFonts w:ascii="宋体" w:hAnsi="宋体" w:eastAsia="宋体" w:cs="宋体"/>
                <w:sz w:val="19"/>
                <w:szCs w:val="19"/>
              </w:rPr>
            </w:pPr>
            <w:r>
              <w:rPr>
                <w:rFonts w:ascii="宋体" w:hAnsi="宋体" w:eastAsia="宋体" w:cs="宋体"/>
                <w:spacing w:val="-7"/>
                <w:position w:val="1"/>
                <w:sz w:val="19"/>
                <w:szCs w:val="19"/>
              </w:rPr>
              <w:t>10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1055" w:type="dxa"/>
            <w:vMerge w:val="continue"/>
            <w:tcBorders>
              <w:top w:val="nil"/>
            </w:tcBorders>
            <w:vAlign w:val="top"/>
          </w:tcPr>
          <w:p>
            <w:pPr>
              <w:pStyle w:val="28"/>
            </w:pPr>
          </w:p>
        </w:tc>
        <w:tc>
          <w:tcPr>
            <w:tcW w:w="6031" w:type="dxa"/>
            <w:gridSpan w:val="7"/>
            <w:vAlign w:val="top"/>
          </w:tcPr>
          <w:p>
            <w:pPr>
              <w:spacing w:before="63" w:line="229" w:lineRule="auto"/>
              <w:ind w:left="2824"/>
              <w:rPr>
                <w:rFonts w:ascii="宋体" w:hAnsi="宋体" w:eastAsia="宋体" w:cs="宋体"/>
                <w:sz w:val="19"/>
                <w:szCs w:val="19"/>
              </w:rPr>
            </w:pPr>
            <w:r>
              <w:rPr>
                <w:rFonts w:ascii="宋体" w:hAnsi="宋体" w:eastAsia="宋体" w:cs="宋体"/>
                <w:spacing w:val="2"/>
                <w:sz w:val="19"/>
                <w:szCs w:val="19"/>
              </w:rPr>
              <w:t>总分</w:t>
            </w:r>
          </w:p>
        </w:tc>
        <w:tc>
          <w:tcPr>
            <w:tcW w:w="1795" w:type="dxa"/>
            <w:vAlign w:val="top"/>
          </w:tcPr>
          <w:p>
            <w:pPr>
              <w:spacing w:before="63"/>
              <w:ind w:left="768"/>
              <w:rPr>
                <w:rFonts w:ascii="宋体" w:hAnsi="宋体" w:eastAsia="宋体" w:cs="宋体"/>
                <w:sz w:val="19"/>
                <w:szCs w:val="19"/>
              </w:rPr>
            </w:pPr>
            <w:r>
              <w:rPr>
                <w:rFonts w:ascii="宋体" w:hAnsi="宋体" w:eastAsia="宋体" w:cs="宋体"/>
                <w:spacing w:val="-3"/>
                <w:sz w:val="19"/>
                <w:szCs w:val="19"/>
              </w:rPr>
              <w:t>100</w:t>
            </w:r>
          </w:p>
        </w:tc>
      </w:tr>
    </w:tbl>
    <w:p>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（三）部门评价项目绩效评价结果（如有）</w:t>
      </w:r>
    </w:p>
    <w:p>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1、资金到位，使用合规。资金拨付程序从申请、审核、 审查、审批到最后发放都按照省、市、区相关财政政策实施，使用符合财务管理规定。</w:t>
      </w:r>
    </w:p>
    <w:p>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2、管理规范，监督有效。为进一步规范财务管理，我中心制定并印发《医保中心财务管理规定》，严格资金使用程序，健全资金管理制度，定期对资金使用情况进行检查， 严格确保项目质量。</w:t>
      </w:r>
    </w:p>
    <w:p>
      <w:pPr>
        <w:widowControl/>
        <w:spacing w:before="0" w:beforeLines="0" w:beforeAutospacing="0" w:after="0" w:afterLines="0" w:afterAutospacing="0" w:line="360" w:lineRule="auto"/>
        <w:ind w:firstLine="640" w:firstLineChars="200"/>
        <w:jc w:val="left"/>
        <w:rPr>
          <w:rFonts w:ascii="Times New Roman" w:eastAsia="黑体"/>
          <w:sz w:val="32"/>
          <w:szCs w:val="32"/>
        </w:rPr>
      </w:pPr>
      <w:r>
        <w:rPr>
          <w:rFonts w:ascii="Times New Roman" w:eastAsia="黑体"/>
          <w:b w:val="0"/>
          <w:sz w:val="32"/>
          <w:szCs w:val="32"/>
        </w:rPr>
        <w:t>十、其他需要说明的情况</w:t>
      </w:r>
    </w:p>
    <w:p>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1.本单位2024年度政府性基金预算财政拨款收入支出决算表（公开07表）、国有资本经营预算财政拨款支出决算表（公开08表）无相应收支，故空表列示</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由于决算公开表格中金额数值应当保留两位小数，公开数据为四舍五入计算结果，个别数据合计项与分项之和存在小数点后差额，特此说明。</w:t>
      </w:r>
    </w:p>
    <w:p>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br w:type="page"/>
      </w: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第四部分 名词解释</w:t>
      </w: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default"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一、财政拨款收入：</w:t>
      </w:r>
      <w:r>
        <w:rPr>
          <w:rFonts w:ascii="Times New Roman" w:eastAsia="仿宋_GB2312"/>
          <w:b w:val="0"/>
          <w:sz w:val="32"/>
          <w:szCs w:val="32"/>
        </w:rPr>
        <w:t>指单位从同级财政部门取得的财政预算资金。</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二、事业收入：</w:t>
      </w:r>
      <w:r>
        <w:rPr>
          <w:rFonts w:ascii="Times New Roman" w:eastAsia="仿宋_GB2312"/>
          <w:b w:val="0"/>
          <w:sz w:val="32"/>
          <w:szCs w:val="32"/>
        </w:rPr>
        <w:t>指事业单位开展专业业务活动及辅助活动取得的收入。</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三、经营收入：</w:t>
      </w:r>
      <w:r>
        <w:rPr>
          <w:rFonts w:ascii="Times New Roman" w:eastAsia="仿宋_GB2312"/>
          <w:b w:val="0"/>
          <w:sz w:val="32"/>
          <w:szCs w:val="32"/>
        </w:rPr>
        <w:t>指事业单位在专业业务活动及其辅助活动之外开展非独立核算经营活动取得的收入。</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四、其他收入：</w:t>
      </w:r>
      <w:r>
        <w:rPr>
          <w:rFonts w:ascii="Times New Roman" w:eastAsia="仿宋_GB2312"/>
          <w:b w:val="0"/>
          <w:sz w:val="32"/>
          <w:szCs w:val="32"/>
        </w:rPr>
        <w:t>指单位取得的除上述收入以外的各项收入。主要是事业单位固定资产出租收入、存款利息收入等。</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五、使用非财政拨款结余（含专用结余）：</w:t>
      </w:r>
      <w:r>
        <w:rPr>
          <w:rFonts w:ascii="Times New Roman" w:eastAsia="仿宋_GB2312"/>
          <w:b w:val="0"/>
          <w:sz w:val="32"/>
          <w:szCs w:val="32"/>
        </w:rPr>
        <w:t>指事业单位按照预算管理要求使用非财政拨款结余弥补收支差额的金额，以及使用专用结余安排支出的金额。</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六、年初结转和结余：</w:t>
      </w:r>
      <w:r>
        <w:rPr>
          <w:rFonts w:ascii="Times New Roman" w:eastAsia="仿宋_GB2312"/>
          <w:b w:val="0"/>
          <w:sz w:val="32"/>
          <w:szCs w:val="32"/>
        </w:rPr>
        <w:t>指单位以前年度尚未完成、结转到本年仍按原规定用途继续使用的资金，或项目已完成等产生的结余资金。</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七、结余分配：</w:t>
      </w:r>
      <w:r>
        <w:rPr>
          <w:rFonts w:ascii="Times New Roman" w:eastAsia="仿宋_GB2312"/>
          <w:b w:val="0"/>
          <w:sz w:val="32"/>
          <w:szCs w:val="32"/>
        </w:rPr>
        <w:t>指事业单位按照会计制度规定缴纳的所得税、提取的专用结余以及转入非财政拨款结余的金额等。</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八、年末结转和结余：</w:t>
      </w:r>
      <w:r>
        <w:rPr>
          <w:rFonts w:ascii="Times New Roman" w:eastAsia="仿宋_GB2312"/>
          <w:b w:val="0"/>
          <w:sz w:val="32"/>
          <w:szCs w:val="32"/>
        </w:rPr>
        <w:t>指单位按有关规定结转到下年或以后年度继续使用的资金，或项目已完成等产生的结余资金。</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九、基本支出：</w:t>
      </w:r>
      <w:r>
        <w:rPr>
          <w:rFonts w:ascii="Times New Roman" w:eastAsia="仿宋_GB2312"/>
          <w:b w:val="0"/>
          <w:sz w:val="32"/>
          <w:szCs w:val="32"/>
        </w:rPr>
        <w:t>指为保障机构正常运转、完成日常工作任务而发生的人员支出和公用支出。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十、项目支出：</w:t>
      </w:r>
      <w:r>
        <w:rPr>
          <w:rFonts w:ascii="Times New Roman" w:eastAsia="仿宋_GB2312"/>
          <w:b w:val="0"/>
          <w:sz w:val="32"/>
          <w:szCs w:val="32"/>
        </w:rPr>
        <w:t>指在基本支出之外为完成特定行政任务和事业发展目标所发生的支出。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十一、经营支出 ：</w:t>
      </w:r>
      <w:r>
        <w:rPr>
          <w:rFonts w:ascii="Times New Roman" w:eastAsia="仿宋_GB2312"/>
          <w:b w:val="0"/>
          <w:sz w:val="32"/>
          <w:szCs w:val="32"/>
        </w:rPr>
        <w:t>指事业单位在专业业务活动及其辅助活动之外开展非独立核算经营活动发生的支出。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十二、基本建设支出：</w:t>
      </w:r>
      <w:r>
        <w:rPr>
          <w:rFonts w:ascii="Times New Roman" w:eastAsia="仿宋_GB2312"/>
          <w:b w:val="0"/>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十三、其他资本性支出：</w:t>
      </w:r>
      <w:r>
        <w:rPr>
          <w:rFonts w:ascii="Times New Roman" w:eastAsia="仿宋_GB2312"/>
          <w:b w:val="0"/>
          <w:sz w:val="32"/>
          <w:szCs w:val="32"/>
        </w:rPr>
        <w:t>填列由各级非发展与改革部门集中安排的用于购置固定资产、战备性和应急性储备、土地和无形资产，以及购建基础设施、大型修缮和财政支持企业更新改造所发生的支出。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十四、“三公”经费：</w:t>
      </w:r>
      <w:r>
        <w:rPr>
          <w:rFonts w:ascii="Times New Roman" w:eastAsia="仿宋_GB2312"/>
          <w:b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十五、其他交通费用：</w:t>
      </w:r>
      <w:r>
        <w:rPr>
          <w:rFonts w:ascii="Times New Roman" w:eastAsia="仿宋_GB2312"/>
          <w:b w:val="0"/>
          <w:sz w:val="32"/>
          <w:szCs w:val="32"/>
        </w:rPr>
        <w:t>填列单位除公务用车运行维护费以外的其他交通费用。如公务交通补贴、租车费用、出租车费用，飞机、船舶等燃料费、维修费、保险费等。</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十六、公务用车购置：</w:t>
      </w:r>
      <w:r>
        <w:rPr>
          <w:rFonts w:ascii="Times New Roman" w:eastAsia="仿宋_GB2312"/>
          <w:b w:val="0"/>
          <w:sz w:val="32"/>
          <w:szCs w:val="32"/>
        </w:rPr>
        <w:t>填列单位公务用车车辆购置支出（含车辆购置税、牌照费）。</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十七、其他交通工具购置：</w:t>
      </w:r>
      <w:r>
        <w:rPr>
          <w:rFonts w:ascii="Times New Roman" w:eastAsia="仿宋_GB2312"/>
          <w:b w:val="0"/>
          <w:sz w:val="32"/>
          <w:szCs w:val="32"/>
        </w:rPr>
        <w:t>填列单位除公务用车外的其他各类交通工具（如船舶、飞机等）购置支出（含车辆购置税、牌照费）。</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十八、机关运行经费：</w:t>
      </w:r>
      <w:r>
        <w:rPr>
          <w:rFonts w:ascii="Times New Roman" w:eastAsia="仿宋_GB2312"/>
          <w:b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sectPr>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5860A5E5-AA70-4424-B4EB-BEB267EB7738}"/>
  </w:font>
  <w:font w:name="黑体">
    <w:panose1 w:val="02010609060101010101"/>
    <w:charset w:val="86"/>
    <w:family w:val="auto"/>
    <w:pitch w:val="default"/>
    <w:sig w:usb0="800002BF" w:usb1="38CF7CFA" w:usb2="00000016" w:usb3="00000000" w:csb0="00040001" w:csb1="00000000"/>
    <w:embedRegular r:id="rId2" w:fontKey="{9716C986-FC8D-4519-B74D-9781F93A1D2D}"/>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3" w:fontKey="{8BE524ED-5774-41D6-B49F-B8491AEF842F}"/>
  </w:font>
  <w:font w:name="仿宋">
    <w:panose1 w:val="02010609060101010101"/>
    <w:charset w:val="86"/>
    <w:family w:val="modern"/>
    <w:pitch w:val="default"/>
    <w:sig w:usb0="800002BF" w:usb1="38CF7CFA" w:usb2="00000016" w:usb3="00000000" w:csb0="00040001" w:csb1="00000000"/>
    <w:embedRegular r:id="rId4" w:fontKey="{C8A3EFBD-7009-40A1-8AE4-99774FCD6F64}"/>
  </w:font>
  <w:font w:name="Calibri Light">
    <w:panose1 w:val="020F0302020204030204"/>
    <w:charset w:val="00"/>
    <w:family w:val="auto"/>
    <w:pitch w:val="default"/>
    <w:sig w:usb0="A00002EF" w:usb1="4000207B" w:usb2="00000000" w:usb3="00000000" w:csb0="2000019F" w:csb1="00000000"/>
  </w:font>
  <w:font w:name="华文中宋">
    <w:altName w:val="宋体"/>
    <w:panose1 w:val="02010600040101010101"/>
    <w:charset w:val="86"/>
    <w:family w:val="auto"/>
    <w:pitch w:val="default"/>
    <w:sig w:usb0="00000000" w:usb1="00000000" w:usb2="00000000" w:usb3="00000000" w:csb0="0004009F" w:csb1="DFD70000"/>
  </w:font>
  <w:font w:name="方正仿宋_GB2312">
    <w:panose1 w:val="02000000000000000000"/>
    <w:charset w:val="86"/>
    <w:family w:val="auto"/>
    <w:pitch w:val="default"/>
    <w:sig w:usb0="00000000" w:usb1="00000000" w:usb2="00000000" w:usb3="00000000" w:csb0="00000000" w:csb1="00000000"/>
    <w:embedRegular r:id="rId5" w:fontKey="{AF3752F2-79E8-4B75-A49E-CDF708DFA9C1}"/>
  </w:font>
  <w:font w:name="楷体_GB2312">
    <w:panose1 w:val="02010609030101010101"/>
    <w:charset w:val="86"/>
    <w:family w:val="auto"/>
    <w:pitch w:val="default"/>
    <w:sig w:usb0="00000000" w:usb1="00000000" w:usb2="00000000" w:usb3="00000000" w:csb0="00000000" w:csb1="00000000"/>
    <w:embedRegular r:id="rId6" w:fontKey="{AB8DA370-D00D-47C2-AE1F-D08EC9417A76}"/>
  </w:font>
  <w:font w:name="微软雅黑">
    <w:panose1 w:val="020B0503020204020204"/>
    <w:charset w:val="86"/>
    <w:family w:val="auto"/>
    <w:pitch w:val="default"/>
    <w:sig w:usb0="80000287" w:usb1="280F3C52" w:usb2="00000016" w:usb3="00000000" w:csb0="0004001F" w:csb1="00000000"/>
    <w:embedRegular r:id="rId7" w:fontKey="{64C4872B-BD30-4A2C-898B-0B21C708D1EF}"/>
  </w:font>
  <w:font w:name="方正小标宋_GBK">
    <w:panose1 w:val="02000000000000000000"/>
    <w:charset w:val="86"/>
    <w:family w:val="script"/>
    <w:pitch w:val="default"/>
    <w:sig w:usb0="00000000" w:usb1="00000000" w:usb2="00000000" w:usb3="00000000" w:csb0="00000000" w:csb1="00000000"/>
    <w:embedRegular r:id="rId8" w:fontKey="{F58AE114-B481-4F08-8D97-08A7AC242CC4}"/>
  </w:font>
  <w:font w:name="仿宋_GB2312">
    <w:panose1 w:val="02010609030101010101"/>
    <w:charset w:val="86"/>
    <w:family w:val="auto"/>
    <w:pitch w:val="default"/>
    <w:sig w:usb0="00000000" w:usb1="00000000" w:usb2="00000000" w:usb3="00000000" w:csb0="00000000" w:csb1="00000000"/>
    <w:embedRegular r:id="rId9" w:fontKey="{63117967-8197-4D79-931F-514EDCD97524}"/>
  </w:font>
  <w:font w:name="ArialUnicodeMS">
    <w:altName w:val="Malgun Gothic"/>
    <w:panose1 w:val="00000000000000000000"/>
    <w:charset w:val="81"/>
    <w:family w:val="auto"/>
    <w:pitch w:val="default"/>
    <w:sig w:usb0="00000000" w:usb1="00000000" w:usb2="00000010" w:usb3="00000000" w:csb0="00080001" w:csb1="00000000"/>
    <w:embedRegular r:id="rId10" w:fontKey="{CA42648D-9034-4716-B668-78D185C62075}"/>
  </w:font>
  <w:font w:name="Malgun Gothic">
    <w:panose1 w:val="020B0503020000020004"/>
    <w:charset w:val="81"/>
    <w:family w:val="auto"/>
    <w:pitch w:val="default"/>
    <w:sig w:usb0="900002AF" w:usb1="01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center"/>
    </w:pPr>
  </w:p>
  <w:p>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F16A424"/>
    <w:multiLevelType w:val="multilevel"/>
    <w:tmpl w:val="5F16A424"/>
    <w:lvl w:ilvl="0" w:tentative="0">
      <w:start w:val="1"/>
      <w:numFmt w:val="decimal"/>
      <w:pStyle w:val="2"/>
      <w:lvlText w:val="%1."/>
      <w:lvlJc w:val="left"/>
      <w:pPr>
        <w:ind w:left="425" w:hanging="425"/>
      </w:pPr>
      <w:rPr>
        <w:rFonts w:hint="default"/>
      </w:rPr>
    </w:lvl>
    <w:lvl w:ilvl="1" w:tentative="0">
      <w:start w:val="1"/>
      <w:numFmt w:val="decimal"/>
      <w:pStyle w:val="3"/>
      <w:lvlText w:val="%1.%2."/>
      <w:lvlJc w:val="left"/>
      <w:pPr>
        <w:ind w:left="567" w:hanging="567"/>
      </w:pPr>
      <w:rPr>
        <w:rFonts w:hint="default"/>
      </w:rPr>
    </w:lvl>
    <w:lvl w:ilvl="2" w:tentative="0">
      <w:start w:val="1"/>
      <w:numFmt w:val="decimal"/>
      <w:pStyle w:val="4"/>
      <w:lvlText w:val="%1.%2.%3."/>
      <w:lvlJc w:val="left"/>
      <w:pPr>
        <w:ind w:left="709" w:hanging="709"/>
      </w:pPr>
      <w:rPr>
        <w:rFonts w:hint="default"/>
      </w:rPr>
    </w:lvl>
    <w:lvl w:ilvl="3" w:tentative="0">
      <w:start w:val="1"/>
      <w:numFmt w:val="decimal"/>
      <w:pStyle w:val="5"/>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isplayBackgroundShape w:val="1"/>
  <w:embedTrueTypeFonts/>
  <w:saveSubsetFonts/>
  <w:bordersDoNotSurroundHeader w:val="0"/>
  <w:bordersDoNotSurroundFooter w:val="0"/>
  <w:documentProtection w:enforcement="0"/>
  <w:defaultTabStop w:val="420"/>
  <w:drawingGridVerticalSpacing w:val="16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jb3VudCI6NjksImhkaWQiOiJiMzk2N2EzZjUyYWViODRjZjJhMDZjM2YyYjk4MTExMiIsInVzZXJDb3VudCI6MX0="/>
  </w:docVars>
  <w:rsids>
    <w:rsidRoot w:val="00172A27"/>
    <w:rsid w:val="00086151"/>
    <w:rsid w:val="00236F8C"/>
    <w:rsid w:val="00822154"/>
    <w:rsid w:val="00C65689"/>
    <w:rsid w:val="00CC2C8E"/>
    <w:rsid w:val="0179546C"/>
    <w:rsid w:val="01A03C5A"/>
    <w:rsid w:val="01A5267D"/>
    <w:rsid w:val="01AE3368"/>
    <w:rsid w:val="01AF6A8D"/>
    <w:rsid w:val="024808A2"/>
    <w:rsid w:val="025C3821"/>
    <w:rsid w:val="02DA3B1B"/>
    <w:rsid w:val="02E57B4D"/>
    <w:rsid w:val="03450B90"/>
    <w:rsid w:val="037B12D4"/>
    <w:rsid w:val="03804D63"/>
    <w:rsid w:val="03F5128D"/>
    <w:rsid w:val="03FB73B0"/>
    <w:rsid w:val="04642795"/>
    <w:rsid w:val="04806B11"/>
    <w:rsid w:val="049C1B9D"/>
    <w:rsid w:val="04BD008C"/>
    <w:rsid w:val="04C55939"/>
    <w:rsid w:val="04DA28BB"/>
    <w:rsid w:val="04F528BE"/>
    <w:rsid w:val="050E10CE"/>
    <w:rsid w:val="054F2DFB"/>
    <w:rsid w:val="05991C82"/>
    <w:rsid w:val="05CD1EC8"/>
    <w:rsid w:val="05E57574"/>
    <w:rsid w:val="061416A9"/>
    <w:rsid w:val="061D60A6"/>
    <w:rsid w:val="06236884"/>
    <w:rsid w:val="06B07006"/>
    <w:rsid w:val="06FC7C2A"/>
    <w:rsid w:val="070B57B7"/>
    <w:rsid w:val="07533AFE"/>
    <w:rsid w:val="07AC18F2"/>
    <w:rsid w:val="07B3657A"/>
    <w:rsid w:val="07C857D0"/>
    <w:rsid w:val="081163FE"/>
    <w:rsid w:val="083F3A0A"/>
    <w:rsid w:val="08AB5AAF"/>
    <w:rsid w:val="08C65EBD"/>
    <w:rsid w:val="08D24C32"/>
    <w:rsid w:val="09012C64"/>
    <w:rsid w:val="093B2E99"/>
    <w:rsid w:val="095D7943"/>
    <w:rsid w:val="09C006C6"/>
    <w:rsid w:val="0A10621F"/>
    <w:rsid w:val="0A464C4F"/>
    <w:rsid w:val="0A6729A3"/>
    <w:rsid w:val="0A694877"/>
    <w:rsid w:val="0AA954BE"/>
    <w:rsid w:val="0AE70639"/>
    <w:rsid w:val="0AEC32FF"/>
    <w:rsid w:val="0B4F5E6D"/>
    <w:rsid w:val="0B52270F"/>
    <w:rsid w:val="0B753AE2"/>
    <w:rsid w:val="0BB67D0A"/>
    <w:rsid w:val="0BC56230"/>
    <w:rsid w:val="0BCF21BD"/>
    <w:rsid w:val="0C481041"/>
    <w:rsid w:val="0C4E53E8"/>
    <w:rsid w:val="0C6712D6"/>
    <w:rsid w:val="0C7F7845"/>
    <w:rsid w:val="0C9F7900"/>
    <w:rsid w:val="0CB20B1A"/>
    <w:rsid w:val="0CB23317"/>
    <w:rsid w:val="0CEB161D"/>
    <w:rsid w:val="0D101068"/>
    <w:rsid w:val="0D4E13BE"/>
    <w:rsid w:val="0D7557DF"/>
    <w:rsid w:val="0D853E34"/>
    <w:rsid w:val="0D9C2A57"/>
    <w:rsid w:val="0DC3019B"/>
    <w:rsid w:val="0DE47D04"/>
    <w:rsid w:val="0DFA5D82"/>
    <w:rsid w:val="0E1E52CE"/>
    <w:rsid w:val="0E866524"/>
    <w:rsid w:val="0E9268D3"/>
    <w:rsid w:val="0E957F1F"/>
    <w:rsid w:val="0F0E7284"/>
    <w:rsid w:val="0F28110F"/>
    <w:rsid w:val="0F37083F"/>
    <w:rsid w:val="0F4351D1"/>
    <w:rsid w:val="0F7470AF"/>
    <w:rsid w:val="0F8751F8"/>
    <w:rsid w:val="0F891DB8"/>
    <w:rsid w:val="0F8D3287"/>
    <w:rsid w:val="0FAA3B86"/>
    <w:rsid w:val="0FC769EB"/>
    <w:rsid w:val="10191346"/>
    <w:rsid w:val="102A01A6"/>
    <w:rsid w:val="105A290D"/>
    <w:rsid w:val="10754A6C"/>
    <w:rsid w:val="108B537D"/>
    <w:rsid w:val="10B11DB1"/>
    <w:rsid w:val="11177F57"/>
    <w:rsid w:val="11217C97"/>
    <w:rsid w:val="113076C2"/>
    <w:rsid w:val="11365128"/>
    <w:rsid w:val="11464C20"/>
    <w:rsid w:val="115E4926"/>
    <w:rsid w:val="118A1FFA"/>
    <w:rsid w:val="11E35B5A"/>
    <w:rsid w:val="11E42DD6"/>
    <w:rsid w:val="125F5A1B"/>
    <w:rsid w:val="126979D6"/>
    <w:rsid w:val="129E45A7"/>
    <w:rsid w:val="13074404"/>
    <w:rsid w:val="136A5C00"/>
    <w:rsid w:val="13B97B08"/>
    <w:rsid w:val="13C527AC"/>
    <w:rsid w:val="14711797"/>
    <w:rsid w:val="147B6F17"/>
    <w:rsid w:val="14D42061"/>
    <w:rsid w:val="15081C8B"/>
    <w:rsid w:val="15090D5C"/>
    <w:rsid w:val="151666D2"/>
    <w:rsid w:val="15CC19E2"/>
    <w:rsid w:val="15CF053D"/>
    <w:rsid w:val="15E0131A"/>
    <w:rsid w:val="15E11DC0"/>
    <w:rsid w:val="16457D9F"/>
    <w:rsid w:val="17223EFF"/>
    <w:rsid w:val="17AA5F28"/>
    <w:rsid w:val="17B713F6"/>
    <w:rsid w:val="184350A0"/>
    <w:rsid w:val="18935485"/>
    <w:rsid w:val="18A34206"/>
    <w:rsid w:val="18DE3B2C"/>
    <w:rsid w:val="18EF453A"/>
    <w:rsid w:val="19015F35"/>
    <w:rsid w:val="1906685D"/>
    <w:rsid w:val="19111683"/>
    <w:rsid w:val="19353916"/>
    <w:rsid w:val="193E101D"/>
    <w:rsid w:val="19C10AF1"/>
    <w:rsid w:val="1A017CDA"/>
    <w:rsid w:val="1A2672DE"/>
    <w:rsid w:val="1AA81D42"/>
    <w:rsid w:val="1AB433D9"/>
    <w:rsid w:val="1AEE2FA0"/>
    <w:rsid w:val="1AFB6D70"/>
    <w:rsid w:val="1B1B11EE"/>
    <w:rsid w:val="1B3719E0"/>
    <w:rsid w:val="1B6261C3"/>
    <w:rsid w:val="1B731730"/>
    <w:rsid w:val="1B882BB5"/>
    <w:rsid w:val="1B9B33C7"/>
    <w:rsid w:val="1B9D7FEC"/>
    <w:rsid w:val="1BA55461"/>
    <w:rsid w:val="1BE74496"/>
    <w:rsid w:val="1BFB1448"/>
    <w:rsid w:val="1C3D67D1"/>
    <w:rsid w:val="1C40731A"/>
    <w:rsid w:val="1C506572"/>
    <w:rsid w:val="1C560392"/>
    <w:rsid w:val="1C581532"/>
    <w:rsid w:val="1C9F2E05"/>
    <w:rsid w:val="1CA15E03"/>
    <w:rsid w:val="1CA24F0C"/>
    <w:rsid w:val="1CB3615E"/>
    <w:rsid w:val="1CF8716C"/>
    <w:rsid w:val="1D1638FE"/>
    <w:rsid w:val="1D1E545A"/>
    <w:rsid w:val="1D4B1F5B"/>
    <w:rsid w:val="1D6C5CA0"/>
    <w:rsid w:val="1D725586"/>
    <w:rsid w:val="1D745B4F"/>
    <w:rsid w:val="1D867987"/>
    <w:rsid w:val="1D944010"/>
    <w:rsid w:val="1DD70E85"/>
    <w:rsid w:val="1DE74AD7"/>
    <w:rsid w:val="1DF60A19"/>
    <w:rsid w:val="1DFA6713"/>
    <w:rsid w:val="1E050843"/>
    <w:rsid w:val="1E2D3FB0"/>
    <w:rsid w:val="1E2E50F1"/>
    <w:rsid w:val="1E3B4E26"/>
    <w:rsid w:val="1ED22D79"/>
    <w:rsid w:val="1EDF707D"/>
    <w:rsid w:val="1F394761"/>
    <w:rsid w:val="1F65664C"/>
    <w:rsid w:val="1F7C149A"/>
    <w:rsid w:val="1F84140D"/>
    <w:rsid w:val="1F9B7FFD"/>
    <w:rsid w:val="1F9C7614"/>
    <w:rsid w:val="1FBE1971"/>
    <w:rsid w:val="2008768D"/>
    <w:rsid w:val="204B327F"/>
    <w:rsid w:val="204C2B10"/>
    <w:rsid w:val="207D30AD"/>
    <w:rsid w:val="209064B9"/>
    <w:rsid w:val="20970D81"/>
    <w:rsid w:val="20D165D5"/>
    <w:rsid w:val="210878E6"/>
    <w:rsid w:val="210E1408"/>
    <w:rsid w:val="211069AD"/>
    <w:rsid w:val="21573FAB"/>
    <w:rsid w:val="2172069C"/>
    <w:rsid w:val="21834E87"/>
    <w:rsid w:val="21987BC4"/>
    <w:rsid w:val="21BE314A"/>
    <w:rsid w:val="220451AB"/>
    <w:rsid w:val="2237486E"/>
    <w:rsid w:val="223D1378"/>
    <w:rsid w:val="22451BC7"/>
    <w:rsid w:val="22940650"/>
    <w:rsid w:val="22AD4B1E"/>
    <w:rsid w:val="22C43743"/>
    <w:rsid w:val="22D31DF3"/>
    <w:rsid w:val="22FD3CF7"/>
    <w:rsid w:val="232C221B"/>
    <w:rsid w:val="2356249E"/>
    <w:rsid w:val="236E713A"/>
    <w:rsid w:val="23700968"/>
    <w:rsid w:val="238761A6"/>
    <w:rsid w:val="23920578"/>
    <w:rsid w:val="23BB6F9A"/>
    <w:rsid w:val="23FC3864"/>
    <w:rsid w:val="24857B00"/>
    <w:rsid w:val="24F25212"/>
    <w:rsid w:val="25087C0C"/>
    <w:rsid w:val="251B0465"/>
    <w:rsid w:val="254B0AC6"/>
    <w:rsid w:val="25571AB6"/>
    <w:rsid w:val="2561056D"/>
    <w:rsid w:val="2577160A"/>
    <w:rsid w:val="259C5A45"/>
    <w:rsid w:val="25B40AD6"/>
    <w:rsid w:val="25BE7872"/>
    <w:rsid w:val="25BF702A"/>
    <w:rsid w:val="26390459"/>
    <w:rsid w:val="264D2D17"/>
    <w:rsid w:val="26661BB3"/>
    <w:rsid w:val="26773DC1"/>
    <w:rsid w:val="26D50E55"/>
    <w:rsid w:val="271A539C"/>
    <w:rsid w:val="273823FA"/>
    <w:rsid w:val="274972D4"/>
    <w:rsid w:val="27AA3D97"/>
    <w:rsid w:val="280A3758"/>
    <w:rsid w:val="28292E99"/>
    <w:rsid w:val="284E28FF"/>
    <w:rsid w:val="289057C5"/>
    <w:rsid w:val="28A67C7A"/>
    <w:rsid w:val="28EA3248"/>
    <w:rsid w:val="28F72F97"/>
    <w:rsid w:val="28F879DA"/>
    <w:rsid w:val="294B7731"/>
    <w:rsid w:val="29514455"/>
    <w:rsid w:val="29D21FF2"/>
    <w:rsid w:val="2A611B0F"/>
    <w:rsid w:val="2AC1762B"/>
    <w:rsid w:val="2AE845D0"/>
    <w:rsid w:val="2B4975FB"/>
    <w:rsid w:val="2B695031"/>
    <w:rsid w:val="2B735A8F"/>
    <w:rsid w:val="2BA7478D"/>
    <w:rsid w:val="2BB038DB"/>
    <w:rsid w:val="2BB761E0"/>
    <w:rsid w:val="2BB812F9"/>
    <w:rsid w:val="2BE35C27"/>
    <w:rsid w:val="2BFA504B"/>
    <w:rsid w:val="2C681F1F"/>
    <w:rsid w:val="2C8608DC"/>
    <w:rsid w:val="2CA4764A"/>
    <w:rsid w:val="2CC42ECA"/>
    <w:rsid w:val="2CCC7A22"/>
    <w:rsid w:val="2CDA4349"/>
    <w:rsid w:val="2D225539"/>
    <w:rsid w:val="2D4618D2"/>
    <w:rsid w:val="2D5F021B"/>
    <w:rsid w:val="2D655633"/>
    <w:rsid w:val="2D6E1286"/>
    <w:rsid w:val="2D70583E"/>
    <w:rsid w:val="2DA07759"/>
    <w:rsid w:val="2E0725DC"/>
    <w:rsid w:val="2E1B4BB8"/>
    <w:rsid w:val="2E256CB6"/>
    <w:rsid w:val="2E5F27E4"/>
    <w:rsid w:val="2EBD223E"/>
    <w:rsid w:val="2EC10AD1"/>
    <w:rsid w:val="2ECB6A5A"/>
    <w:rsid w:val="2EE65418"/>
    <w:rsid w:val="2EFC0112"/>
    <w:rsid w:val="2F0F45A5"/>
    <w:rsid w:val="2F0F6197"/>
    <w:rsid w:val="2F2B730D"/>
    <w:rsid w:val="2F6A001E"/>
    <w:rsid w:val="2F9F3DC1"/>
    <w:rsid w:val="2FFC7AC2"/>
    <w:rsid w:val="301430AF"/>
    <w:rsid w:val="30630612"/>
    <w:rsid w:val="308E59B0"/>
    <w:rsid w:val="30B10568"/>
    <w:rsid w:val="30E070F0"/>
    <w:rsid w:val="30E55DD3"/>
    <w:rsid w:val="30E60399"/>
    <w:rsid w:val="31356AA5"/>
    <w:rsid w:val="313E22F0"/>
    <w:rsid w:val="31B0194C"/>
    <w:rsid w:val="31CE17D1"/>
    <w:rsid w:val="31FD161E"/>
    <w:rsid w:val="32270449"/>
    <w:rsid w:val="323E4515"/>
    <w:rsid w:val="326A4E14"/>
    <w:rsid w:val="3286389B"/>
    <w:rsid w:val="32994FDB"/>
    <w:rsid w:val="32CF5C94"/>
    <w:rsid w:val="32D337C7"/>
    <w:rsid w:val="32E200EC"/>
    <w:rsid w:val="32E5408B"/>
    <w:rsid w:val="32EB0D70"/>
    <w:rsid w:val="330E785B"/>
    <w:rsid w:val="332824BC"/>
    <w:rsid w:val="332868BB"/>
    <w:rsid w:val="333211F3"/>
    <w:rsid w:val="33504B41"/>
    <w:rsid w:val="338B4A07"/>
    <w:rsid w:val="33944811"/>
    <w:rsid w:val="33BE79A7"/>
    <w:rsid w:val="33CE0488"/>
    <w:rsid w:val="341D31EE"/>
    <w:rsid w:val="34262463"/>
    <w:rsid w:val="34296F31"/>
    <w:rsid w:val="34340A27"/>
    <w:rsid w:val="346A2989"/>
    <w:rsid w:val="348865E9"/>
    <w:rsid w:val="348F70D5"/>
    <w:rsid w:val="349D2BAD"/>
    <w:rsid w:val="34B25886"/>
    <w:rsid w:val="34DA2AF7"/>
    <w:rsid w:val="34E538E1"/>
    <w:rsid w:val="35277FF8"/>
    <w:rsid w:val="35763460"/>
    <w:rsid w:val="35776F72"/>
    <w:rsid w:val="35997371"/>
    <w:rsid w:val="35BC359E"/>
    <w:rsid w:val="35DA3A24"/>
    <w:rsid w:val="35DD4D47"/>
    <w:rsid w:val="360134DF"/>
    <w:rsid w:val="360B1E2F"/>
    <w:rsid w:val="360D500F"/>
    <w:rsid w:val="36330424"/>
    <w:rsid w:val="369F55F7"/>
    <w:rsid w:val="36FE3ABA"/>
    <w:rsid w:val="37072BDE"/>
    <w:rsid w:val="37455334"/>
    <w:rsid w:val="37527C32"/>
    <w:rsid w:val="37731921"/>
    <w:rsid w:val="37E509C0"/>
    <w:rsid w:val="37E96FB8"/>
    <w:rsid w:val="38222D85"/>
    <w:rsid w:val="38767A34"/>
    <w:rsid w:val="38803721"/>
    <w:rsid w:val="38925A62"/>
    <w:rsid w:val="389F5F4F"/>
    <w:rsid w:val="38C36BA2"/>
    <w:rsid w:val="38D34E55"/>
    <w:rsid w:val="38E11CEF"/>
    <w:rsid w:val="38F6595C"/>
    <w:rsid w:val="391702A7"/>
    <w:rsid w:val="39286EB6"/>
    <w:rsid w:val="39601DF4"/>
    <w:rsid w:val="396960F3"/>
    <w:rsid w:val="39840D35"/>
    <w:rsid w:val="39A97DAF"/>
    <w:rsid w:val="39BF365D"/>
    <w:rsid w:val="39C1327B"/>
    <w:rsid w:val="39CD1330"/>
    <w:rsid w:val="39DD1AFF"/>
    <w:rsid w:val="3A2510B9"/>
    <w:rsid w:val="3A2B0CF2"/>
    <w:rsid w:val="3A2B1DFC"/>
    <w:rsid w:val="3AA6422C"/>
    <w:rsid w:val="3AAF46D5"/>
    <w:rsid w:val="3ADB61B4"/>
    <w:rsid w:val="3AF562AE"/>
    <w:rsid w:val="3B135A0E"/>
    <w:rsid w:val="3B183213"/>
    <w:rsid w:val="3B272BBC"/>
    <w:rsid w:val="3B374FEE"/>
    <w:rsid w:val="3B4410EE"/>
    <w:rsid w:val="3B46744C"/>
    <w:rsid w:val="3B56159C"/>
    <w:rsid w:val="3B596DF7"/>
    <w:rsid w:val="3B7D732B"/>
    <w:rsid w:val="3BD30423"/>
    <w:rsid w:val="3C14299D"/>
    <w:rsid w:val="3C6C0B58"/>
    <w:rsid w:val="3C945583"/>
    <w:rsid w:val="3CBE41D5"/>
    <w:rsid w:val="3D052DB6"/>
    <w:rsid w:val="3D0D1598"/>
    <w:rsid w:val="3D446B0E"/>
    <w:rsid w:val="3D745844"/>
    <w:rsid w:val="3D8626D0"/>
    <w:rsid w:val="3D8C1AA8"/>
    <w:rsid w:val="3D953A6B"/>
    <w:rsid w:val="3DBB5979"/>
    <w:rsid w:val="3DD56F21"/>
    <w:rsid w:val="3DEF6699"/>
    <w:rsid w:val="3E1057AF"/>
    <w:rsid w:val="3E6C0DFA"/>
    <w:rsid w:val="3E740322"/>
    <w:rsid w:val="3E7F4380"/>
    <w:rsid w:val="3E8D171B"/>
    <w:rsid w:val="3EA5630D"/>
    <w:rsid w:val="3EBA731B"/>
    <w:rsid w:val="3EE33949"/>
    <w:rsid w:val="3EFB5800"/>
    <w:rsid w:val="3F3B4E59"/>
    <w:rsid w:val="3F6E677C"/>
    <w:rsid w:val="3F712F46"/>
    <w:rsid w:val="3FBC0EF7"/>
    <w:rsid w:val="3FCD2AB9"/>
    <w:rsid w:val="3FCD4B44"/>
    <w:rsid w:val="3FD17600"/>
    <w:rsid w:val="3FFF0C57"/>
    <w:rsid w:val="402E7C36"/>
    <w:rsid w:val="4050218A"/>
    <w:rsid w:val="405C7868"/>
    <w:rsid w:val="406B3BF6"/>
    <w:rsid w:val="408B24EB"/>
    <w:rsid w:val="408D1DBF"/>
    <w:rsid w:val="40C652D1"/>
    <w:rsid w:val="40F40090"/>
    <w:rsid w:val="417044B8"/>
    <w:rsid w:val="41A203A0"/>
    <w:rsid w:val="41A25D3E"/>
    <w:rsid w:val="41C77987"/>
    <w:rsid w:val="41D878D4"/>
    <w:rsid w:val="41E83F8C"/>
    <w:rsid w:val="421C17EA"/>
    <w:rsid w:val="422D1842"/>
    <w:rsid w:val="425B7C31"/>
    <w:rsid w:val="427D66D0"/>
    <w:rsid w:val="42BC7E02"/>
    <w:rsid w:val="42C82575"/>
    <w:rsid w:val="43022EE1"/>
    <w:rsid w:val="431A5F8F"/>
    <w:rsid w:val="431F247A"/>
    <w:rsid w:val="43335E8F"/>
    <w:rsid w:val="433F2968"/>
    <w:rsid w:val="43655F7F"/>
    <w:rsid w:val="43676E20"/>
    <w:rsid w:val="43A31040"/>
    <w:rsid w:val="43BF774E"/>
    <w:rsid w:val="43CD062F"/>
    <w:rsid w:val="43E214F9"/>
    <w:rsid w:val="43F06264"/>
    <w:rsid w:val="44223AB6"/>
    <w:rsid w:val="44404C8E"/>
    <w:rsid w:val="447537F1"/>
    <w:rsid w:val="44870D07"/>
    <w:rsid w:val="44D33826"/>
    <w:rsid w:val="45344EFF"/>
    <w:rsid w:val="453950E7"/>
    <w:rsid w:val="45513D03"/>
    <w:rsid w:val="45541E1C"/>
    <w:rsid w:val="457A71B8"/>
    <w:rsid w:val="45FE7734"/>
    <w:rsid w:val="461F0A8B"/>
    <w:rsid w:val="4648721E"/>
    <w:rsid w:val="46663E71"/>
    <w:rsid w:val="466A37AC"/>
    <w:rsid w:val="468A1A00"/>
    <w:rsid w:val="46CB071B"/>
    <w:rsid w:val="46DE140B"/>
    <w:rsid w:val="46E77334"/>
    <w:rsid w:val="46F22E29"/>
    <w:rsid w:val="46F7142F"/>
    <w:rsid w:val="47107AE3"/>
    <w:rsid w:val="473C62ED"/>
    <w:rsid w:val="47617242"/>
    <w:rsid w:val="478C16C9"/>
    <w:rsid w:val="47BD246B"/>
    <w:rsid w:val="47CB2B0C"/>
    <w:rsid w:val="47E773CE"/>
    <w:rsid w:val="47EE2C9A"/>
    <w:rsid w:val="47F00499"/>
    <w:rsid w:val="48015FF5"/>
    <w:rsid w:val="482A4397"/>
    <w:rsid w:val="483820D2"/>
    <w:rsid w:val="48692CD0"/>
    <w:rsid w:val="48AE3D01"/>
    <w:rsid w:val="48B96318"/>
    <w:rsid w:val="49067B2F"/>
    <w:rsid w:val="49100B80"/>
    <w:rsid w:val="49677E31"/>
    <w:rsid w:val="496C2225"/>
    <w:rsid w:val="49A35E02"/>
    <w:rsid w:val="49AE2880"/>
    <w:rsid w:val="49F42EAF"/>
    <w:rsid w:val="4A337323"/>
    <w:rsid w:val="4A5B28DC"/>
    <w:rsid w:val="4AA06B93"/>
    <w:rsid w:val="4ADB18EB"/>
    <w:rsid w:val="4B3A6FE7"/>
    <w:rsid w:val="4B96118E"/>
    <w:rsid w:val="4BAE1B66"/>
    <w:rsid w:val="4BBF6159"/>
    <w:rsid w:val="4BC806E6"/>
    <w:rsid w:val="4BED4708"/>
    <w:rsid w:val="4BF133DC"/>
    <w:rsid w:val="4C1A4AD9"/>
    <w:rsid w:val="4C2E4987"/>
    <w:rsid w:val="4C4117A4"/>
    <w:rsid w:val="4C507D4A"/>
    <w:rsid w:val="4CD60F91"/>
    <w:rsid w:val="4CDF5563"/>
    <w:rsid w:val="4CFB2214"/>
    <w:rsid w:val="4D2C4D26"/>
    <w:rsid w:val="4D335E0E"/>
    <w:rsid w:val="4D4759EB"/>
    <w:rsid w:val="4D4E4EA3"/>
    <w:rsid w:val="4D9A5B1B"/>
    <w:rsid w:val="4DA12ACC"/>
    <w:rsid w:val="4DA55D85"/>
    <w:rsid w:val="4DBB20DB"/>
    <w:rsid w:val="4DDC3F22"/>
    <w:rsid w:val="4DE66FB2"/>
    <w:rsid w:val="4DEC6CB8"/>
    <w:rsid w:val="4E1040C7"/>
    <w:rsid w:val="4E1760BF"/>
    <w:rsid w:val="4E30647F"/>
    <w:rsid w:val="4E353A96"/>
    <w:rsid w:val="4E5D2C75"/>
    <w:rsid w:val="4EBA03C3"/>
    <w:rsid w:val="4EBC5459"/>
    <w:rsid w:val="4ED94CB0"/>
    <w:rsid w:val="4EEC2ED3"/>
    <w:rsid w:val="4F0E56EA"/>
    <w:rsid w:val="4F2E11BC"/>
    <w:rsid w:val="4F3C4343"/>
    <w:rsid w:val="4F416688"/>
    <w:rsid w:val="4F5620B0"/>
    <w:rsid w:val="4F616EB4"/>
    <w:rsid w:val="4F6654EE"/>
    <w:rsid w:val="4F7379C6"/>
    <w:rsid w:val="4F872BDB"/>
    <w:rsid w:val="4FA033E9"/>
    <w:rsid w:val="4FA743DA"/>
    <w:rsid w:val="4FB3565A"/>
    <w:rsid w:val="4FC4714D"/>
    <w:rsid w:val="4FD571A2"/>
    <w:rsid w:val="503D1C79"/>
    <w:rsid w:val="507A6406"/>
    <w:rsid w:val="50853863"/>
    <w:rsid w:val="508A4590"/>
    <w:rsid w:val="50F1461D"/>
    <w:rsid w:val="50FE5411"/>
    <w:rsid w:val="510B072E"/>
    <w:rsid w:val="511B0BF4"/>
    <w:rsid w:val="51264306"/>
    <w:rsid w:val="514E62C9"/>
    <w:rsid w:val="516123CE"/>
    <w:rsid w:val="51932FAD"/>
    <w:rsid w:val="51B177A9"/>
    <w:rsid w:val="51E066EB"/>
    <w:rsid w:val="52640E8B"/>
    <w:rsid w:val="5267570A"/>
    <w:rsid w:val="52707792"/>
    <w:rsid w:val="52734B8D"/>
    <w:rsid w:val="528D02F2"/>
    <w:rsid w:val="52A12CDC"/>
    <w:rsid w:val="52DF0C92"/>
    <w:rsid w:val="52E1159C"/>
    <w:rsid w:val="52E34D6A"/>
    <w:rsid w:val="530C1269"/>
    <w:rsid w:val="531E524E"/>
    <w:rsid w:val="534072EB"/>
    <w:rsid w:val="537648BE"/>
    <w:rsid w:val="53825A80"/>
    <w:rsid w:val="538E2D0B"/>
    <w:rsid w:val="53922782"/>
    <w:rsid w:val="539C1424"/>
    <w:rsid w:val="53A639C0"/>
    <w:rsid w:val="53F00A24"/>
    <w:rsid w:val="53F63DBA"/>
    <w:rsid w:val="53FF492A"/>
    <w:rsid w:val="54261D4F"/>
    <w:rsid w:val="5448624E"/>
    <w:rsid w:val="54492049"/>
    <w:rsid w:val="546E2B1A"/>
    <w:rsid w:val="5482555F"/>
    <w:rsid w:val="54A31DD8"/>
    <w:rsid w:val="54AA6F8B"/>
    <w:rsid w:val="54D26583"/>
    <w:rsid w:val="55363E67"/>
    <w:rsid w:val="556E6DF7"/>
    <w:rsid w:val="55965CE3"/>
    <w:rsid w:val="559D47CE"/>
    <w:rsid w:val="55BE1959"/>
    <w:rsid w:val="56232437"/>
    <w:rsid w:val="56541A75"/>
    <w:rsid w:val="56755377"/>
    <w:rsid w:val="568832FC"/>
    <w:rsid w:val="568C4181"/>
    <w:rsid w:val="570725A9"/>
    <w:rsid w:val="5714693E"/>
    <w:rsid w:val="571D0C9C"/>
    <w:rsid w:val="573A16CE"/>
    <w:rsid w:val="57482A8C"/>
    <w:rsid w:val="578D049F"/>
    <w:rsid w:val="579C7F80"/>
    <w:rsid w:val="57B30D7C"/>
    <w:rsid w:val="58166B03"/>
    <w:rsid w:val="583E3C94"/>
    <w:rsid w:val="58721734"/>
    <w:rsid w:val="58900246"/>
    <w:rsid w:val="58977358"/>
    <w:rsid w:val="58CB5DC0"/>
    <w:rsid w:val="58D53944"/>
    <w:rsid w:val="58D65478"/>
    <w:rsid w:val="58F52487"/>
    <w:rsid w:val="58F9403E"/>
    <w:rsid w:val="590422E6"/>
    <w:rsid w:val="592257E5"/>
    <w:rsid w:val="59635CB4"/>
    <w:rsid w:val="59655E33"/>
    <w:rsid w:val="5970233D"/>
    <w:rsid w:val="59CF5BD9"/>
    <w:rsid w:val="59E20C3C"/>
    <w:rsid w:val="59E3512D"/>
    <w:rsid w:val="5A001BC6"/>
    <w:rsid w:val="5A1D5B0A"/>
    <w:rsid w:val="5A2447F3"/>
    <w:rsid w:val="5A3B4B4E"/>
    <w:rsid w:val="5A4804CA"/>
    <w:rsid w:val="5A594C85"/>
    <w:rsid w:val="5A8842AA"/>
    <w:rsid w:val="5AEB1E3C"/>
    <w:rsid w:val="5B2507CA"/>
    <w:rsid w:val="5B2A474A"/>
    <w:rsid w:val="5B2D237E"/>
    <w:rsid w:val="5B612747"/>
    <w:rsid w:val="5B830730"/>
    <w:rsid w:val="5BBB2DD6"/>
    <w:rsid w:val="5BD6009C"/>
    <w:rsid w:val="5BE263B6"/>
    <w:rsid w:val="5C8E5C5A"/>
    <w:rsid w:val="5C965E61"/>
    <w:rsid w:val="5CD839BA"/>
    <w:rsid w:val="5CF0089C"/>
    <w:rsid w:val="5CF5796F"/>
    <w:rsid w:val="5D242A11"/>
    <w:rsid w:val="5D9217C2"/>
    <w:rsid w:val="5DAD06BF"/>
    <w:rsid w:val="5DC92CE9"/>
    <w:rsid w:val="5DE23CB3"/>
    <w:rsid w:val="5DE97EEC"/>
    <w:rsid w:val="5DFA5EB0"/>
    <w:rsid w:val="5E000E4D"/>
    <w:rsid w:val="5E0B583E"/>
    <w:rsid w:val="5E201A7B"/>
    <w:rsid w:val="5EA45884"/>
    <w:rsid w:val="5EBD0484"/>
    <w:rsid w:val="5F2C5C7C"/>
    <w:rsid w:val="5F36141C"/>
    <w:rsid w:val="5FC5273F"/>
    <w:rsid w:val="5FD64459"/>
    <w:rsid w:val="5FE33352"/>
    <w:rsid w:val="5FEB6B83"/>
    <w:rsid w:val="604F6C39"/>
    <w:rsid w:val="60806DF2"/>
    <w:rsid w:val="60B12264"/>
    <w:rsid w:val="61072DA5"/>
    <w:rsid w:val="611C0817"/>
    <w:rsid w:val="61224A52"/>
    <w:rsid w:val="61300818"/>
    <w:rsid w:val="61380475"/>
    <w:rsid w:val="61520CCB"/>
    <w:rsid w:val="61851A29"/>
    <w:rsid w:val="61DC6C21"/>
    <w:rsid w:val="61DF7484"/>
    <w:rsid w:val="622D1522"/>
    <w:rsid w:val="622E0574"/>
    <w:rsid w:val="62683B6B"/>
    <w:rsid w:val="6275761C"/>
    <w:rsid w:val="62816E52"/>
    <w:rsid w:val="62AB7BE6"/>
    <w:rsid w:val="62AC5944"/>
    <w:rsid w:val="62F6490D"/>
    <w:rsid w:val="632F3F8A"/>
    <w:rsid w:val="63332842"/>
    <w:rsid w:val="63716241"/>
    <w:rsid w:val="637279B4"/>
    <w:rsid w:val="63817D2B"/>
    <w:rsid w:val="63BD1FA9"/>
    <w:rsid w:val="63D175D1"/>
    <w:rsid w:val="63D27965"/>
    <w:rsid w:val="63F4667E"/>
    <w:rsid w:val="64095516"/>
    <w:rsid w:val="641A2468"/>
    <w:rsid w:val="64372F20"/>
    <w:rsid w:val="648944D0"/>
    <w:rsid w:val="64DC72D7"/>
    <w:rsid w:val="64FA42B4"/>
    <w:rsid w:val="653619A6"/>
    <w:rsid w:val="65610A02"/>
    <w:rsid w:val="658C0E37"/>
    <w:rsid w:val="65A11EA3"/>
    <w:rsid w:val="65AC3D66"/>
    <w:rsid w:val="65BB5334"/>
    <w:rsid w:val="663E1DBA"/>
    <w:rsid w:val="665D0213"/>
    <w:rsid w:val="667B2BE2"/>
    <w:rsid w:val="668506C7"/>
    <w:rsid w:val="669D1B3A"/>
    <w:rsid w:val="669E59F1"/>
    <w:rsid w:val="66A2024B"/>
    <w:rsid w:val="66CB5E2D"/>
    <w:rsid w:val="6704732B"/>
    <w:rsid w:val="670F6731"/>
    <w:rsid w:val="67585CB0"/>
    <w:rsid w:val="67770F0C"/>
    <w:rsid w:val="679E649A"/>
    <w:rsid w:val="67B03535"/>
    <w:rsid w:val="68174F69"/>
    <w:rsid w:val="682C436A"/>
    <w:rsid w:val="68382778"/>
    <w:rsid w:val="68391F41"/>
    <w:rsid w:val="68436B8C"/>
    <w:rsid w:val="68797358"/>
    <w:rsid w:val="6884624F"/>
    <w:rsid w:val="68A519DF"/>
    <w:rsid w:val="68BF2482"/>
    <w:rsid w:val="68C4160B"/>
    <w:rsid w:val="68C41C30"/>
    <w:rsid w:val="68CF3BA4"/>
    <w:rsid w:val="69257FA7"/>
    <w:rsid w:val="693F26C7"/>
    <w:rsid w:val="697E12B2"/>
    <w:rsid w:val="69C8706D"/>
    <w:rsid w:val="6A0E3FB4"/>
    <w:rsid w:val="6A292754"/>
    <w:rsid w:val="6A5E3B28"/>
    <w:rsid w:val="6A6B1EBE"/>
    <w:rsid w:val="6A8F43F7"/>
    <w:rsid w:val="6AD625F3"/>
    <w:rsid w:val="6B5B46E4"/>
    <w:rsid w:val="6B7218BE"/>
    <w:rsid w:val="6B750BA9"/>
    <w:rsid w:val="6BB93285"/>
    <w:rsid w:val="6C0C698C"/>
    <w:rsid w:val="6C222401"/>
    <w:rsid w:val="6C56267F"/>
    <w:rsid w:val="6C826EF9"/>
    <w:rsid w:val="6CAE4C93"/>
    <w:rsid w:val="6CB14F16"/>
    <w:rsid w:val="6CEC2069"/>
    <w:rsid w:val="6D0B1869"/>
    <w:rsid w:val="6D65402D"/>
    <w:rsid w:val="6D683822"/>
    <w:rsid w:val="6D8D136C"/>
    <w:rsid w:val="6D9A2BE7"/>
    <w:rsid w:val="6DBF2759"/>
    <w:rsid w:val="6DC96F36"/>
    <w:rsid w:val="6DED00D0"/>
    <w:rsid w:val="6DFA3EBF"/>
    <w:rsid w:val="6E3E63D2"/>
    <w:rsid w:val="6E5F7BE6"/>
    <w:rsid w:val="6E6918C6"/>
    <w:rsid w:val="6EEB4AC4"/>
    <w:rsid w:val="6F212DD6"/>
    <w:rsid w:val="6F3B5912"/>
    <w:rsid w:val="6FA14A81"/>
    <w:rsid w:val="6FA3261F"/>
    <w:rsid w:val="6FB44BAA"/>
    <w:rsid w:val="700D6539"/>
    <w:rsid w:val="704203E3"/>
    <w:rsid w:val="7058046B"/>
    <w:rsid w:val="707F2079"/>
    <w:rsid w:val="70922734"/>
    <w:rsid w:val="70CD16CB"/>
    <w:rsid w:val="70CE6DC7"/>
    <w:rsid w:val="710B3646"/>
    <w:rsid w:val="711759F2"/>
    <w:rsid w:val="713C4ED8"/>
    <w:rsid w:val="71407642"/>
    <w:rsid w:val="71641210"/>
    <w:rsid w:val="71D95B7C"/>
    <w:rsid w:val="71EA6A50"/>
    <w:rsid w:val="71FE31A8"/>
    <w:rsid w:val="720C30AE"/>
    <w:rsid w:val="721A7983"/>
    <w:rsid w:val="721F6113"/>
    <w:rsid w:val="7233782C"/>
    <w:rsid w:val="725400DF"/>
    <w:rsid w:val="726A729D"/>
    <w:rsid w:val="73177841"/>
    <w:rsid w:val="733774FE"/>
    <w:rsid w:val="735231C7"/>
    <w:rsid w:val="73617E1B"/>
    <w:rsid w:val="736D7653"/>
    <w:rsid w:val="738035CB"/>
    <w:rsid w:val="73852C46"/>
    <w:rsid w:val="7396335C"/>
    <w:rsid w:val="73F46595"/>
    <w:rsid w:val="73F47FAE"/>
    <w:rsid w:val="74283FA2"/>
    <w:rsid w:val="742C135B"/>
    <w:rsid w:val="74463733"/>
    <w:rsid w:val="748A2F40"/>
    <w:rsid w:val="74D84FF7"/>
    <w:rsid w:val="74F85778"/>
    <w:rsid w:val="75272439"/>
    <w:rsid w:val="758F1E9B"/>
    <w:rsid w:val="75CE266B"/>
    <w:rsid w:val="75E538F2"/>
    <w:rsid w:val="76120141"/>
    <w:rsid w:val="76510960"/>
    <w:rsid w:val="768216BE"/>
    <w:rsid w:val="76C23B43"/>
    <w:rsid w:val="76FD6F97"/>
    <w:rsid w:val="770218E8"/>
    <w:rsid w:val="779469CE"/>
    <w:rsid w:val="77C875A5"/>
    <w:rsid w:val="77D777E8"/>
    <w:rsid w:val="78A27DF6"/>
    <w:rsid w:val="79285B3A"/>
    <w:rsid w:val="79490B03"/>
    <w:rsid w:val="795C7113"/>
    <w:rsid w:val="79625CA9"/>
    <w:rsid w:val="79A91196"/>
    <w:rsid w:val="7A0B32D3"/>
    <w:rsid w:val="7AC13CD3"/>
    <w:rsid w:val="7AE10264"/>
    <w:rsid w:val="7AE4248E"/>
    <w:rsid w:val="7AF0303E"/>
    <w:rsid w:val="7B4A207F"/>
    <w:rsid w:val="7B7122A7"/>
    <w:rsid w:val="7B936F45"/>
    <w:rsid w:val="7BA47419"/>
    <w:rsid w:val="7BB10D45"/>
    <w:rsid w:val="7BB44151"/>
    <w:rsid w:val="7C067CC4"/>
    <w:rsid w:val="7C656A39"/>
    <w:rsid w:val="7CAE7D7C"/>
    <w:rsid w:val="7CB93996"/>
    <w:rsid w:val="7CBE0F99"/>
    <w:rsid w:val="7D4E45F1"/>
    <w:rsid w:val="7DFB6D82"/>
    <w:rsid w:val="7E1D71D1"/>
    <w:rsid w:val="7E246254"/>
    <w:rsid w:val="7E553215"/>
    <w:rsid w:val="7E6D090F"/>
    <w:rsid w:val="7E7E2263"/>
    <w:rsid w:val="7E97206A"/>
    <w:rsid w:val="7ECC66B2"/>
    <w:rsid w:val="7F2914C3"/>
    <w:rsid w:val="7F5F2ED6"/>
    <w:rsid w:val="7FA837EF"/>
    <w:rsid w:val="7FC36955"/>
    <w:rsid w:val="7FE903A0"/>
    <w:rsid w:val="7FF07065"/>
    <w:rsid w:val="7FF97946"/>
    <w:rsid w:val="7FFE78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宋体" w:asciiTheme="minorHAnsi" w:hAnsiTheme="minorHAnsi" w:eastAsiaTheme="minorEastAsia"/>
      <w:color w:val="auto"/>
      <w:kern w:val="0"/>
      <w:sz w:val="24"/>
      <w:szCs w:val="24"/>
      <w:lang w:val="en-US" w:eastAsia="zh-CN" w:bidi="ar-SA"/>
    </w:rPr>
  </w:style>
  <w:style w:type="paragraph" w:styleId="2">
    <w:name w:val="heading 1"/>
    <w:basedOn w:val="1"/>
    <w:next w:val="1"/>
    <w:qFormat/>
    <w:uiPriority w:val="0"/>
    <w:pPr>
      <w:keepNext/>
      <w:keepLines/>
      <w:numPr>
        <w:ilvl w:val="0"/>
        <w:numId w:val="1"/>
      </w:numPr>
      <w:adjustRightInd w:val="0"/>
      <w:snapToGrid w:val="0"/>
      <w:spacing w:before="340" w:after="50" w:afterLines="50" w:line="578" w:lineRule="auto"/>
      <w:ind w:left="425" w:hanging="425"/>
      <w:jc w:val="left"/>
      <w:outlineLvl w:val="0"/>
    </w:pPr>
    <w:rPr>
      <w:rFonts w:ascii="Times New Roman" w:hAnsi="Times New Roman" w:eastAsia="仿宋" w:cs="Times New Roman"/>
      <w:b/>
      <w:bCs/>
      <w:kern w:val="44"/>
      <w:sz w:val="36"/>
      <w:szCs w:val="44"/>
    </w:rPr>
  </w:style>
  <w:style w:type="paragraph" w:styleId="3">
    <w:name w:val="heading 2"/>
    <w:basedOn w:val="1"/>
    <w:next w:val="1"/>
    <w:link w:val="15"/>
    <w:semiHidden/>
    <w:unhideWhenUsed/>
    <w:qFormat/>
    <w:uiPriority w:val="9"/>
    <w:pPr>
      <w:widowControl w:val="0"/>
      <w:numPr>
        <w:ilvl w:val="1"/>
        <w:numId w:val="1"/>
      </w:numPr>
      <w:spacing w:line="416" w:lineRule="auto"/>
      <w:ind w:left="567" w:hanging="567"/>
      <w:outlineLvl w:val="1"/>
    </w:pPr>
    <w:rPr>
      <w:rFonts w:ascii="Calibri Light" w:hAnsi="Calibri Light" w:eastAsia="宋体" w:cs="Times New Roman"/>
      <w:b/>
      <w:bCs/>
      <w:sz w:val="28"/>
      <w:szCs w:val="32"/>
    </w:rPr>
  </w:style>
  <w:style w:type="paragraph" w:styleId="4">
    <w:name w:val="heading 3"/>
    <w:basedOn w:val="1"/>
    <w:next w:val="1"/>
    <w:semiHidden/>
    <w:unhideWhenUsed/>
    <w:qFormat/>
    <w:uiPriority w:val="9"/>
    <w:pPr>
      <w:keepNext/>
      <w:keepLines/>
      <w:numPr>
        <w:ilvl w:val="2"/>
        <w:numId w:val="1"/>
      </w:numPr>
      <w:spacing w:before="50" w:beforeLines="50" w:after="50" w:afterLines="50" w:line="416" w:lineRule="auto"/>
      <w:outlineLvl w:val="2"/>
    </w:pPr>
    <w:rPr>
      <w:rFonts w:ascii="宋体" w:hAnsi="宋体" w:eastAsia="宋体" w:cs="宋体"/>
      <w:b/>
      <w:bCs/>
      <w:sz w:val="32"/>
    </w:rPr>
  </w:style>
  <w:style w:type="paragraph" w:styleId="5">
    <w:name w:val="heading 4"/>
    <w:basedOn w:val="1"/>
    <w:next w:val="1"/>
    <w:semiHidden/>
    <w:unhideWhenUsed/>
    <w:qFormat/>
    <w:uiPriority w:val="9"/>
    <w:pPr>
      <w:keepNext/>
      <w:keepLines/>
      <w:numPr>
        <w:ilvl w:val="3"/>
        <w:numId w:val="1"/>
      </w:numPr>
      <w:spacing w:before="120" w:after="120"/>
      <w:outlineLvl w:val="3"/>
    </w:pPr>
    <w:rPr>
      <w:rFonts w:ascii="Calibri Light" w:hAnsi="Calibri Light" w:eastAsia="宋体" w:cs="Times New Roman"/>
      <w:b/>
      <w:bCs/>
      <w:sz w:val="28"/>
      <w:szCs w:val="28"/>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semiHidden/>
    <w:unhideWhenUsed/>
    <w:qFormat/>
    <w:uiPriority w:val="99"/>
    <w:pPr>
      <w:jc w:val="left"/>
    </w:pPr>
  </w:style>
  <w:style w:type="paragraph" w:styleId="7">
    <w:name w:val="Balloon Text"/>
    <w:basedOn w:val="1"/>
    <w:link w:val="24"/>
    <w:unhideWhenUsed/>
    <w:qFormat/>
    <w:uiPriority w:val="99"/>
    <w:rPr>
      <w:rFonts w:cstheme="minorBidi"/>
      <w:kern w:val="2"/>
      <w:sz w:val="18"/>
      <w:szCs w:val="18"/>
    </w:rPr>
  </w:style>
  <w:style w:type="paragraph" w:styleId="8">
    <w:name w:val="footer"/>
    <w:basedOn w:val="1"/>
    <w:link w:val="16"/>
    <w:qFormat/>
    <w:uiPriority w:val="99"/>
    <w:pPr>
      <w:tabs>
        <w:tab w:val="center" w:pos="4153"/>
        <w:tab w:val="right" w:pos="8306"/>
      </w:tabs>
      <w:snapToGrid w:val="0"/>
      <w:jc w:val="left"/>
    </w:pPr>
    <w:rPr>
      <w:rFonts w:cstheme="minorBidi"/>
      <w:kern w:val="2"/>
      <w:sz w:val="18"/>
      <w:szCs w:val="18"/>
    </w:rPr>
  </w:style>
  <w:style w:type="paragraph" w:styleId="9">
    <w:name w:val="header"/>
    <w:basedOn w:val="1"/>
    <w:link w:val="17"/>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rFonts w:cstheme="minorBidi"/>
      <w:kern w:val="2"/>
      <w:sz w:val="18"/>
      <w:szCs w:val="18"/>
    </w:rPr>
  </w:style>
  <w:style w:type="paragraph" w:styleId="10">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2">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4">
    <w:name w:val="Strong"/>
    <w:basedOn w:val="13"/>
    <w:qFormat/>
    <w:uiPriority w:val="22"/>
    <w:rPr>
      <w:b/>
    </w:rPr>
  </w:style>
  <w:style w:type="character" w:customStyle="1" w:styleId="15">
    <w:name w:val="标题 2 Char"/>
    <w:link w:val="3"/>
    <w:qFormat/>
    <w:uiPriority w:val="0"/>
    <w:rPr>
      <w:rFonts w:ascii="Calibri Light" w:hAnsi="Calibri Light" w:eastAsia="宋体" w:cs="Times New Roman"/>
      <w:b/>
      <w:bCs/>
      <w:sz w:val="28"/>
      <w:szCs w:val="32"/>
    </w:rPr>
  </w:style>
  <w:style w:type="character" w:customStyle="1" w:styleId="16">
    <w:name w:val="页脚 Char"/>
    <w:basedOn w:val="13"/>
    <w:link w:val="8"/>
    <w:qFormat/>
    <w:uiPriority w:val="99"/>
    <w:rPr>
      <w:rFonts w:asciiTheme="minorHAnsi" w:hAnsiTheme="minorHAnsi" w:eastAsiaTheme="minorEastAsia" w:cstheme="minorBidi"/>
      <w:sz w:val="18"/>
      <w:szCs w:val="18"/>
      <w:lang w:val="en-US" w:eastAsia="zh-CN" w:bidi="ar-SA"/>
    </w:rPr>
  </w:style>
  <w:style w:type="character" w:customStyle="1" w:styleId="17">
    <w:name w:val="页眉 Char"/>
    <w:basedOn w:val="13"/>
    <w:link w:val="9"/>
    <w:qFormat/>
    <w:uiPriority w:val="0"/>
    <w:rPr>
      <w:rFonts w:asciiTheme="minorHAnsi" w:hAnsiTheme="minorHAnsi" w:eastAsiaTheme="minorEastAsia" w:cstheme="minorBidi"/>
      <w:sz w:val="18"/>
      <w:szCs w:val="18"/>
      <w:lang w:val="en-US" w:eastAsia="zh-CN" w:bidi="ar-SA"/>
    </w:rPr>
  </w:style>
  <w:style w:type="character" w:customStyle="1" w:styleId="18">
    <w:name w:val="font11"/>
    <w:basedOn w:val="13"/>
    <w:qFormat/>
    <w:uiPriority w:val="0"/>
    <w:rPr>
      <w:rFonts w:hint="eastAsia" w:ascii="宋体" w:hAnsi="宋体" w:eastAsia="宋体" w:cs="宋体"/>
      <w:color w:val="000000"/>
      <w:sz w:val="20"/>
      <w:szCs w:val="20"/>
      <w:u w:val="none"/>
      <w:lang w:val="en-US" w:eastAsia="zh-CN" w:bidi="ar-SA"/>
    </w:rPr>
  </w:style>
  <w:style w:type="character" w:customStyle="1" w:styleId="19">
    <w:name w:val="font01"/>
    <w:basedOn w:val="13"/>
    <w:qFormat/>
    <w:uiPriority w:val="0"/>
    <w:rPr>
      <w:rFonts w:hint="eastAsia" w:ascii="宋体" w:hAnsi="宋体" w:eastAsia="宋体" w:cs="宋体"/>
      <w:color w:val="000000"/>
      <w:sz w:val="22"/>
      <w:szCs w:val="22"/>
      <w:u w:val="none"/>
      <w:lang w:val="en-US" w:eastAsia="zh-CN" w:bidi="ar-SA"/>
    </w:rPr>
  </w:style>
  <w:style w:type="character" w:customStyle="1" w:styleId="20">
    <w:name w:val="font41"/>
    <w:basedOn w:val="13"/>
    <w:qFormat/>
    <w:uiPriority w:val="0"/>
    <w:rPr>
      <w:rFonts w:hint="eastAsia" w:ascii="宋体" w:hAnsi="宋体" w:eastAsia="宋体" w:cs="宋体"/>
      <w:color w:val="000000"/>
      <w:sz w:val="24"/>
      <w:szCs w:val="24"/>
      <w:u w:val="none"/>
      <w:lang w:val="en-US" w:eastAsia="zh-CN" w:bidi="ar-SA"/>
    </w:rPr>
  </w:style>
  <w:style w:type="character" w:customStyle="1" w:styleId="21">
    <w:name w:val="font3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2">
    <w:name w:val="font9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3">
    <w:name w:val="font51"/>
    <w:basedOn w:val="13"/>
    <w:qFormat/>
    <w:uiPriority w:val="0"/>
    <w:rPr>
      <w:rFonts w:hint="eastAsia" w:ascii="宋体" w:hAnsi="宋体" w:eastAsia="宋体" w:cs="宋体"/>
      <w:color w:val="000000"/>
      <w:sz w:val="24"/>
      <w:szCs w:val="24"/>
      <w:u w:val="none"/>
      <w:lang w:val="en-US" w:eastAsia="zh-CN" w:bidi="ar-SA"/>
    </w:rPr>
  </w:style>
  <w:style w:type="character" w:customStyle="1" w:styleId="24">
    <w:name w:val="批注框文本 Char"/>
    <w:basedOn w:val="13"/>
    <w:link w:val="7"/>
    <w:semiHidden/>
    <w:qFormat/>
    <w:uiPriority w:val="99"/>
    <w:rPr>
      <w:rFonts w:asciiTheme="minorHAnsi" w:hAnsiTheme="minorHAnsi" w:eastAsiaTheme="minorEastAsia" w:cstheme="minorBidi"/>
      <w:sz w:val="18"/>
      <w:szCs w:val="18"/>
      <w:lang w:val="en-US" w:eastAsia="zh-CN" w:bidi="ar-SA"/>
    </w:rPr>
  </w:style>
  <w:style w:type="character" w:customStyle="1" w:styleId="25">
    <w:name w:val="font21"/>
    <w:basedOn w:val="13"/>
    <w:qFormat/>
    <w:uiPriority w:val="0"/>
    <w:rPr>
      <w:rFonts w:hint="eastAsia" w:ascii="方正仿宋_GB2312" w:hAnsi="方正仿宋_GB2312" w:eastAsia="方正仿宋_GB2312" w:cs="方正仿宋_GB2312"/>
      <w:color w:val="000000"/>
      <w:sz w:val="18"/>
      <w:szCs w:val="18"/>
      <w:u w:val="none"/>
    </w:rPr>
  </w:style>
  <w:style w:type="character" w:customStyle="1" w:styleId="26">
    <w:name w:val="font61"/>
    <w:basedOn w:val="13"/>
    <w:qFormat/>
    <w:uiPriority w:val="0"/>
    <w:rPr>
      <w:rFonts w:hint="eastAsia" w:ascii="方正仿宋_GB2312" w:hAnsi="方正仿宋_GB2312" w:eastAsia="方正仿宋_GB2312" w:cs="方正仿宋_GB2312"/>
      <w:color w:val="000000"/>
      <w:sz w:val="20"/>
      <w:szCs w:val="20"/>
      <w:u w:val="none"/>
    </w:rPr>
  </w:style>
  <w:style w:type="table" w:customStyle="1" w:styleId="27">
    <w:name w:val="Table Normal"/>
    <w:semiHidden/>
    <w:unhideWhenUsed/>
    <w:qFormat/>
    <w:uiPriority w:val="0"/>
    <w:tblPr>
      <w:tblCellMar>
        <w:top w:w="0" w:type="dxa"/>
        <w:left w:w="0" w:type="dxa"/>
        <w:bottom w:w="0" w:type="dxa"/>
        <w:right w:w="0" w:type="dxa"/>
      </w:tblCellMar>
    </w:tblPr>
  </w:style>
  <w:style w:type="paragraph" w:customStyle="1" w:styleId="28">
    <w:name w:val="Table Text"/>
    <w:basedOn w:val="1"/>
    <w:semiHidden/>
    <w:qFormat/>
    <w:uiPriority w:val="0"/>
    <w:rPr>
      <w:rFonts w:ascii="Arial" w:hAnsi="Arial" w:eastAsia="Arial" w:cs="Arial"/>
      <w:sz w:val="21"/>
      <w:szCs w:val="21"/>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chart" Target="charts/chart5.xml"/><Relationship Id="rId17" Type="http://schemas.openxmlformats.org/officeDocument/2006/relationships/chart" Target="charts/chart4.xml"/><Relationship Id="rId16" Type="http://schemas.openxmlformats.org/officeDocument/2006/relationships/chart" Target="charts/chart3.xml"/><Relationship Id="rId15" Type="http://schemas.openxmlformats.org/officeDocument/2006/relationships/chart" Target="charts/chart2.xml"/><Relationship Id="rId14" Type="http://schemas.openxmlformats.org/officeDocument/2006/relationships/chart" Target="charts/chart1.xml"/><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1 </a:t>
            </a:r>
            <a:r>
              <a:rPr lang="zh-CN" altLang="en-US"/>
              <a:t>： </a:t>
            </a:r>
            <a:r>
              <a:rPr lang="en-US" altLang="zh-CN"/>
              <a:t>2024-2025</a:t>
            </a:r>
            <a:r>
              <a:rPr lang="zh-CN" altLang="en-US"/>
              <a:t>年收支总计对比图（万元）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收支总计</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Sheet1!$B$2:$B$3</c:f>
              <c:numCache>
                <c:formatCode>General</c:formatCode>
                <c:ptCount val="2"/>
                <c:pt idx="0">
                  <c:v>5548.49</c:v>
                </c:pt>
                <c:pt idx="1">
                  <c:v>5402</c:v>
                </c:pt>
              </c:numCache>
            </c:numRef>
          </c:val>
        </c:ser>
        <c:dLbls>
          <c:showLegendKey val="0"/>
          <c:showVal val="1"/>
          <c:showCatName val="0"/>
          <c:showSerName val="0"/>
          <c:showPercent val="0"/>
          <c:showBubbleSize val="0"/>
        </c:dLbls>
        <c:gapWidth val="246"/>
        <c:overlap val="-28"/>
        <c:axId val="817088452"/>
        <c:axId val="587069473"/>
      </c:barChart>
      <c:catAx>
        <c:axId val="81708845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7069473"/>
        <c:crosses val="autoZero"/>
        <c:auto val="1"/>
        <c:lblAlgn val="ctr"/>
        <c:lblOffset val="100"/>
        <c:noMultiLvlLbl val="0"/>
      </c:catAx>
      <c:valAx>
        <c:axId val="587069473"/>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708845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2 </a:t>
            </a:r>
            <a:r>
              <a:rPr lang="zh-CN" altLang="en-US"/>
              <a:t>：收入决算构成情况图</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Lbls>
            <c:dLbl>
              <c:idx val="0"/>
              <c:layout>
                <c:manualLayout>
                  <c:x val="0.320125539403024"/>
                  <c:y val="0.72690713982147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308045516407558"/>
                  <c:y val="0.63914683382912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405411836540074"/>
                  <c:y val="0.17185507862305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37059073523162"/>
                    </c:manualLayout>
                  </c15:layout>
                </c:ext>
              </c:extLst>
            </c:dLbl>
            <c:dLbl>
              <c:idx val="3"/>
              <c:layout>
                <c:manualLayout>
                  <c:x val="-0.286905148238858"/>
                  <c:y val="0.27025074373138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709732256694"/>
                    </c:manualLayout>
                  </c15:layout>
                </c:ext>
              </c:extLst>
            </c:dLbl>
            <c:dLbl>
              <c:idx val="4"/>
              <c:layout>
                <c:manualLayout>
                  <c:x val="-0.298985360795255"/>
                  <c:y val="0.44916064598386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211403720706"/>
                      <c:h val="0.154908627284318"/>
                    </c:manualLayout>
                  </c15:layout>
                </c:ext>
              </c:extLst>
            </c:dLbl>
            <c:dLbl>
              <c:idx val="5"/>
              <c:layout>
                <c:manualLayout>
                  <c:x val="-0.288475575878384"/>
                  <c:y val="0.124165958351015"/>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922226944326"/>
                    </c:manualLayout>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财政拨款收入</c:v>
                </c:pt>
                <c:pt idx="1">
                  <c:v>上级补助收入</c:v>
                </c:pt>
                <c:pt idx="2">
                  <c:v>事业收入</c:v>
                </c:pt>
                <c:pt idx="3">
                  <c:v>经营收入</c:v>
                </c:pt>
                <c:pt idx="4">
                  <c:v>附属单位上缴收入</c:v>
                </c:pt>
                <c:pt idx="5">
                  <c:v>其他收入</c:v>
                </c:pt>
              </c:strCache>
            </c:strRef>
          </c:cat>
          <c:val>
            <c:numRef>
              <c:f>Sheet1!$B$2:$B$7</c:f>
              <c:numCache>
                <c:formatCode>General</c:formatCode>
                <c:ptCount val="6"/>
                <c:pt idx="0">
                  <c:v>55484893.02</c:v>
                </c:pt>
                <c:pt idx="1">
                  <c:v>0</c:v>
                </c:pt>
                <c:pt idx="2">
                  <c:v>0</c:v>
                </c:pt>
                <c:pt idx="3">
                  <c:v>0</c:v>
                </c:pt>
                <c:pt idx="4">
                  <c:v>0</c:v>
                </c:pt>
                <c:pt idx="5">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0" i="0" u="none" strike="noStrike" kern="1200" baseline="0">
                <a:solidFill>
                  <a:schemeClr val="tx1">
                    <a:lumMod val="75000"/>
                    <a:lumOff val="25000"/>
                  </a:schemeClr>
                </a:solidFill>
                <a:latin typeface="+mn-lt"/>
                <a:ea typeface="+mn-ea"/>
                <a:cs typeface="+mn-cs"/>
              </a:defRPr>
            </a:pPr>
            <a:r>
              <a:rPr lang="zh-CN" altLang="en-US" sz="960" b="1"/>
              <a:t>图 </a:t>
            </a:r>
            <a:r>
              <a:rPr lang="en-US" altLang="zh-CN" sz="960" b="1"/>
              <a:t>3 </a:t>
            </a:r>
            <a:r>
              <a:rPr lang="zh-CN" altLang="en-US" sz="960" b="1"/>
              <a:t>：支出决算构成情况图</a:t>
            </a:r>
            <a:endParaRPr lang="zh-CN" altLang="en-US" sz="960" b="1"/>
          </a:p>
        </c:rich>
      </c:tx>
      <c:layout/>
      <c:overlay val="0"/>
      <c:spPr>
        <a:noFill/>
        <a:ln>
          <a:noFill/>
        </a:ln>
        <a:effectLst/>
      </c:spPr>
    </c:title>
    <c:autoTitleDeleted val="0"/>
    <c:plotArea>
      <c:layout>
        <c:manualLayout>
          <c:layoutTarget val="inner"/>
          <c:xMode val="edge"/>
          <c:yMode val="edge"/>
          <c:x val="0.298441652573085"/>
          <c:y val="0.225244368890778"/>
          <c:w val="0.412297656438753"/>
          <c:h val="0.725244368890778"/>
        </c:manualLayout>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Lbl>
              <c:idx val="0"/>
              <c:layout>
                <c:manualLayout>
                  <c:x val="-0.28690513020387"/>
                  <c:y val="0.19983531661706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29910614494173"/>
                  <c:y val="0.091038036549065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309494957582572"/>
                  <c:y val="0.18921058223542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335225819300842"/>
                  <c:y val="0.058951338716511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323024782424836"/>
                  <c:y val="0.28504568635782"/>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none" lIns="0" tIns="0" rIns="0" bIns="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4569093.02</c:v>
                </c:pt>
                <c:pt idx="1">
                  <c:v>50915800</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egendEntry>
        <c:idx val="0"/>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3"/>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4"/>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4 </a:t>
            </a:r>
            <a:r>
              <a:rPr lang="zh-CN" altLang="en-US"/>
              <a:t>：</a:t>
            </a:r>
            <a:r>
              <a:rPr lang="en-US" altLang="zh-CN"/>
              <a:t>2024-2025</a:t>
            </a:r>
            <a:r>
              <a:rPr lang="zh-CN" altLang="en-US"/>
              <a:t>年财政拨款收支对比图（万元）</a:t>
            </a:r>
            <a:endParaRPr lang="zh-CN" altLang="en-US"/>
          </a:p>
        </c:rich>
      </c:tx>
      <c:layout>
        <c:manualLayout>
          <c:xMode val="edge"/>
          <c:yMode val="edge"/>
          <c:x val="0.133244745107514"/>
          <c:y val="0.0254993625159371"/>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5402</c:v>
                </c:pt>
                <c:pt idx="1">
                  <c:v>5402</c:v>
                </c:pt>
                <c:pt idx="2">
                  <c:v>5402</c:v>
                </c:pt>
                <c:pt idx="3">
                  <c:v>5402</c:v>
                </c:pt>
                <c:pt idx="4">
                  <c:v>0</c:v>
                </c:pt>
                <c:pt idx="5">
                  <c:v>0</c:v>
                </c:pt>
                <c:pt idx="6">
                  <c:v>0</c:v>
                </c:pt>
                <c:pt idx="7">
                  <c:v>0</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5548.49</c:v>
                </c:pt>
                <c:pt idx="1">
                  <c:v>5548.49</c:v>
                </c:pt>
                <c:pt idx="2">
                  <c:v>5548.49</c:v>
                </c:pt>
                <c:pt idx="3">
                  <c:v>5548.49</c:v>
                </c:pt>
                <c:pt idx="4">
                  <c:v>0</c:v>
                </c:pt>
                <c:pt idx="5">
                  <c:v>0</c:v>
                </c:pt>
                <c:pt idx="6">
                  <c:v>0</c:v>
                </c:pt>
                <c:pt idx="7">
                  <c:v>0</c:v>
                </c:pt>
              </c:numCache>
            </c:numRef>
          </c:val>
        </c:ser>
        <c:dLbls>
          <c:showLegendKey val="0"/>
          <c:showVal val="1"/>
          <c:showCatName val="0"/>
          <c:showSerName val="0"/>
          <c:showPercent val="0"/>
          <c:showBubbleSize val="0"/>
        </c:dLbls>
        <c:gapWidth val="246"/>
        <c:overlap val="-28"/>
        <c:axId val="40225855"/>
        <c:axId val="660958640"/>
      </c:barChart>
      <c:catAx>
        <c:axId val="40225855"/>
        <c:scaling>
          <c:orientation val="minMax"/>
        </c:scaling>
        <c:delete val="0"/>
        <c:axPos val="b"/>
        <c:numFmt formatCode="General"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0958640"/>
        <c:crosses val="autoZero"/>
        <c:auto val="1"/>
        <c:lblAlgn val="ctr"/>
        <c:lblOffset val="100"/>
        <c:noMultiLvlLbl val="0"/>
      </c:catAx>
      <c:valAx>
        <c:axId val="660958640"/>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22585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1" i="0" u="none" strike="noStrike" kern="1200" baseline="0">
                <a:solidFill>
                  <a:schemeClr val="tx1">
                    <a:lumMod val="75000"/>
                    <a:lumOff val="25000"/>
                  </a:schemeClr>
                </a:solidFill>
                <a:latin typeface="+mn-lt"/>
                <a:ea typeface="+mn-ea"/>
                <a:cs typeface="+mn-cs"/>
              </a:defRPr>
            </a:pPr>
            <a:r>
              <a:rPr lang="zh-CN" altLang="en-US" sz="960"/>
              <a:t>图 </a:t>
            </a:r>
            <a:r>
              <a:rPr lang="en-US" altLang="zh-CN" sz="960"/>
              <a:t>5 :</a:t>
            </a:r>
            <a:r>
              <a:rPr lang="zh-CN" altLang="en-US" sz="960"/>
              <a:t>财政拨款收支预算对比图（万元）</a:t>
            </a:r>
            <a:endParaRPr lang="zh-CN" altLang="en-US" sz="960"/>
          </a:p>
        </c:rich>
      </c:tx>
      <c:layout/>
      <c:overlay val="0"/>
      <c:spPr>
        <a:noFill/>
        <a:ln>
          <a:noFill/>
        </a:ln>
        <a:effectLst/>
      </c:spPr>
    </c:title>
    <c:autoTitleDeleted val="0"/>
    <c:plotArea>
      <c:layout>
        <c:manualLayout>
          <c:layoutTarget val="inner"/>
          <c:xMode val="edge"/>
          <c:yMode val="edge"/>
          <c:x val="0.17641942498188"/>
          <c:y val="0.160433489162771"/>
          <c:w val="0.795796086011114"/>
          <c:h val="0.474330641733957"/>
        </c:manualLayout>
      </c:layout>
      <c:barChart>
        <c:barDir val="col"/>
        <c:grouping val="clustered"/>
        <c:varyColors val="0"/>
        <c:ser>
          <c:idx val="0"/>
          <c:order val="0"/>
          <c:tx>
            <c:strRef>
              <c:f>Sheet1!$B$1</c:f>
              <c:strCache>
                <c:ptCount val="1"/>
                <c:pt idx="0">
                  <c:v>年初预算数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5873.81</c:v>
                </c:pt>
                <c:pt idx="1">
                  <c:v>5873.81</c:v>
                </c:pt>
                <c:pt idx="2">
                  <c:v>5873.81</c:v>
                </c:pt>
                <c:pt idx="3">
                  <c:v>5873.81</c:v>
                </c:pt>
                <c:pt idx="4">
                  <c:v>0</c:v>
                </c:pt>
                <c:pt idx="5">
                  <c:v>0</c:v>
                </c:pt>
                <c:pt idx="6">
                  <c:v>0</c:v>
                </c:pt>
                <c:pt idx="7">
                  <c:v>0</c:v>
                </c:pt>
              </c:numCache>
            </c:numRef>
          </c:val>
        </c:ser>
        <c:ser>
          <c:idx val="1"/>
          <c:order val="1"/>
          <c:tx>
            <c:strRef>
              <c:f>Sheet1!$C$1</c:f>
              <c:strCache>
                <c:ptCount val="1"/>
                <c:pt idx="0">
                  <c:v>决算数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65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5548.49</c:v>
                </c:pt>
                <c:pt idx="1">
                  <c:v>5548.49</c:v>
                </c:pt>
                <c:pt idx="2">
                  <c:v>5548.49</c:v>
                </c:pt>
                <c:pt idx="3">
                  <c:v>5548.49</c:v>
                </c:pt>
                <c:pt idx="4">
                  <c:v>0</c:v>
                </c:pt>
                <c:pt idx="5">
                  <c:v>0</c:v>
                </c:pt>
                <c:pt idx="6">
                  <c:v>0</c:v>
                </c:pt>
                <c:pt idx="7">
                  <c:v>0</c:v>
                </c:pt>
              </c:numCache>
            </c:numRef>
          </c:val>
        </c:ser>
        <c:dLbls>
          <c:showLegendKey val="0"/>
          <c:showVal val="1"/>
          <c:showCatName val="0"/>
          <c:showSerName val="0"/>
          <c:showPercent val="0"/>
          <c:showBubbleSize val="0"/>
        </c:dLbls>
        <c:gapWidth val="150"/>
        <c:axId val="136214206"/>
        <c:axId val="897256872"/>
      </c:barChart>
      <c:catAx>
        <c:axId val="13621420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897256872"/>
        <c:crosses val="autoZero"/>
        <c:auto val="1"/>
        <c:lblAlgn val="ctr"/>
        <c:lblOffset val="100"/>
        <c:noMultiLvlLbl val="0"/>
      </c:catAx>
      <c:valAx>
        <c:axId val="89725687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13621420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29</Pages>
  <Words>1660</Words>
  <Characters>6225</Characters>
  <Lines>86</Lines>
  <Paragraphs>24</Paragraphs>
  <TotalTime>1</TotalTime>
  <ScaleCrop>false</ScaleCrop>
  <LinksUpToDate>false</LinksUpToDate>
  <CharactersWithSpaces>6550</CharactersWithSpaces>
  <Application>WPS Office_11.8.6.8810_F1E327BC-269C-435d-A152-05C5408002CA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2023-08-04T07:55:00Z</dcterms:created>
  <dc:creator>王明新TIAD</dc:creator>
  <cp:lastModifiedBy>Administrator</cp:lastModifiedBy>
  <cp:lastPrinted>2023-08-04T01:00:00Z</cp:lastPrinted>
  <dcterms:modified xsi:type="dcterms:W3CDTF">2026-09-24T01:47:59Z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2052-11.8.6.8810</vt:lpwstr>
  </property>
  <property fmtid="{D5CDD505-2E9C-101B-9397-08002B2CF9AE}" pid="3" name="ICV">
    <vt:lpwstr>5C1B136609854E18BDF3455763276D05_13</vt:lpwstr>
  </property>
  <property fmtid="{D5CDD505-2E9C-101B-9397-08002B2CF9AE}" pid="4" name="KSOTemplateUUID">
    <vt:lpwstr>v1.0_mb_S7ajbG3IpAnL1wSthNCxfw==</vt:lpwstr>
  </property>
  <property fmtid="{D5CDD505-2E9C-101B-9397-08002B2CF9AE}" pid="5" name="KSOTemplateDocerSaveRecord">
    <vt:lpwstr>eyJoZGlkIjoiMGUwMDdiZjE4MTAzNDUzMDk3OTAyNWU5OGVmNGE2MmMiLCJ1c2VySWQiOiIxNTIwMzY1OTkzIn0=</vt:lpwstr>
  </property>
</Properties>
</file>