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djustRightInd w:val="0"/>
        <w:snapToGrid w:val="0"/>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rPr>
        <w:t>附件</w:t>
      </w:r>
      <w:r>
        <w:rPr>
          <w:rFonts w:hint="eastAsia" w:ascii="黑体" w:hAnsi="黑体" w:eastAsia="黑体" w:cs="黑体"/>
          <w:sz w:val="32"/>
          <w:szCs w:val="32"/>
          <w:lang w:val="en-US" w:eastAsia="zh-CN"/>
        </w:rPr>
        <w:t>2</w:t>
      </w:r>
    </w:p>
    <w:p>
      <w:pPr>
        <w:adjustRightInd w:val="0"/>
        <w:snapToGrid w:val="0"/>
        <w:spacing w:line="560" w:lineRule="exact"/>
        <w:jc w:val="center"/>
        <w:rPr>
          <w:rFonts w:hint="eastAsia" w:ascii="宋体" w:hAnsi="宋体" w:cs="宋体"/>
          <w:b/>
          <w:bCs/>
          <w:sz w:val="36"/>
          <w:szCs w:val="36"/>
          <w:lang w:eastAsia="zh-CN"/>
        </w:rPr>
      </w:pPr>
      <w:r>
        <w:rPr>
          <w:rFonts w:hint="eastAsia" w:ascii="宋体" w:hAnsi="宋体" w:cs="宋体"/>
          <w:b/>
          <w:bCs/>
          <w:sz w:val="36"/>
          <w:szCs w:val="36"/>
          <w:lang w:eastAsia="zh-CN"/>
        </w:rPr>
        <w:t>《关于下达2025年医疗服务与保障能力提升（公立医院综合改革）补助资金预算的通知》项目自评报告</w:t>
      </w:r>
    </w:p>
    <w:p>
      <w:pPr>
        <w:spacing w:line="560" w:lineRule="exact"/>
        <w:jc w:val="center"/>
        <w:rPr>
          <w:rFonts w:hint="eastAsia" w:ascii="宋体" w:hAnsi="宋体" w:cs="宋体"/>
          <w:b/>
          <w:bCs/>
          <w:sz w:val="44"/>
          <w:szCs w:val="44"/>
        </w:rPr>
      </w:pPr>
    </w:p>
    <w:p>
      <w:pPr>
        <w:adjustRightInd w:val="0"/>
        <w:snapToGrid w:val="0"/>
        <w:spacing w:line="560" w:lineRule="exact"/>
        <w:ind w:firstLine="640" w:firstLineChars="200"/>
        <w:rPr>
          <w:rFonts w:ascii="仿宋" w:hAnsi="仿宋" w:eastAsia="仿宋"/>
          <w:sz w:val="32"/>
          <w:szCs w:val="32"/>
        </w:rPr>
      </w:pPr>
      <w:r>
        <w:rPr>
          <w:rFonts w:hint="eastAsia" w:ascii="仿宋" w:hAnsi="仿宋" w:eastAsia="仿宋"/>
          <w:sz w:val="32"/>
          <w:szCs w:val="32"/>
        </w:rPr>
        <w:t>根据</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鹿泉区区</w:t>
      </w:r>
      <w:r>
        <w:rPr>
          <w:rFonts w:hint="eastAsia" w:ascii="仿宋_GB2312" w:hAnsi="仿宋_GB2312" w:eastAsia="仿宋_GB2312" w:cs="仿宋_GB2312"/>
          <w:sz w:val="32"/>
          <w:szCs w:val="32"/>
        </w:rPr>
        <w:t>级部门项目绩效自评管理办法》（</w:t>
      </w:r>
      <w:r>
        <w:rPr>
          <w:rFonts w:hint="eastAsia" w:ascii="仿宋_GB2312" w:hAnsi="仿宋_GB2312" w:eastAsia="仿宋_GB2312" w:cs="仿宋_GB2312"/>
          <w:sz w:val="32"/>
          <w:szCs w:val="32"/>
          <w:lang w:eastAsia="zh-CN"/>
        </w:rPr>
        <w:t>鹿财字</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val="en-US" w:eastAsia="zh-CN"/>
        </w:rPr>
        <w:t>18</w:t>
      </w:r>
      <w:r>
        <w:rPr>
          <w:rFonts w:hint="eastAsia" w:ascii="仿宋_GB2312" w:hAnsi="仿宋_GB2312" w:eastAsia="仿宋_GB2312" w:cs="仿宋_GB2312"/>
          <w:sz w:val="32"/>
          <w:szCs w:val="32"/>
        </w:rPr>
        <w:t>号）</w:t>
      </w:r>
      <w:r>
        <w:rPr>
          <w:rFonts w:hint="eastAsia" w:ascii="仿宋" w:hAnsi="仿宋" w:eastAsia="仿宋"/>
          <w:sz w:val="32"/>
          <w:szCs w:val="32"/>
        </w:rPr>
        <w:t>，</w:t>
      </w:r>
      <w:r>
        <w:rPr>
          <w:rFonts w:hint="eastAsia" w:ascii="仿宋" w:hAnsi="仿宋" w:eastAsia="仿宋" w:cs="仿宋"/>
          <w:sz w:val="32"/>
          <w:szCs w:val="32"/>
        </w:rPr>
        <w:t>遵循全面覆盖、程序简便、客观公正、公开透明的原则</w:t>
      </w:r>
      <w:r>
        <w:rPr>
          <w:rFonts w:hint="eastAsia" w:ascii="仿宋" w:hAnsi="仿宋" w:eastAsia="仿宋"/>
          <w:sz w:val="32"/>
          <w:szCs w:val="32"/>
        </w:rPr>
        <w:t>，对</w:t>
      </w:r>
      <w:r>
        <w:rPr>
          <w:rFonts w:hint="eastAsia" w:ascii="仿宋" w:hAnsi="仿宋" w:eastAsia="仿宋"/>
          <w:sz w:val="32"/>
          <w:szCs w:val="32"/>
          <w:lang w:eastAsia="zh-CN"/>
        </w:rPr>
        <w:t>《</w:t>
      </w:r>
      <w:r>
        <w:rPr>
          <w:rFonts w:hint="eastAsia" w:ascii="仿宋" w:hAnsi="仿宋" w:eastAsia="仿宋"/>
          <w:sz w:val="32"/>
          <w:szCs w:val="32"/>
          <w:lang w:val="en-US" w:eastAsia="zh-CN"/>
        </w:rPr>
        <w:t>关于下达2025年医疗服务与保障能力提升（公立医院综合改革）补助资金预算的通知</w:t>
      </w:r>
      <w:r>
        <w:rPr>
          <w:rFonts w:hint="eastAsia" w:ascii="仿宋" w:hAnsi="仿宋" w:eastAsia="仿宋"/>
          <w:sz w:val="32"/>
          <w:szCs w:val="32"/>
          <w:lang w:eastAsia="zh-CN"/>
        </w:rPr>
        <w:t>》（</w:t>
      </w:r>
      <w:r>
        <w:rPr>
          <w:rFonts w:hint="eastAsia" w:ascii="仿宋" w:hAnsi="仿宋" w:eastAsia="仿宋"/>
          <w:sz w:val="32"/>
          <w:szCs w:val="32"/>
          <w:lang w:val="en-US" w:eastAsia="zh-CN"/>
        </w:rPr>
        <w:t>石财社【2025】21号）</w:t>
      </w:r>
      <w:r>
        <w:rPr>
          <w:rFonts w:hint="eastAsia" w:ascii="仿宋" w:hAnsi="仿宋" w:eastAsia="仿宋"/>
          <w:sz w:val="32"/>
          <w:szCs w:val="32"/>
        </w:rPr>
        <w:t>项目实施了财政绩效自评价，形成本评价报告。</w:t>
      </w:r>
    </w:p>
    <w:p>
      <w:pPr>
        <w:adjustRightInd w:val="0"/>
        <w:snapToGrid w:val="0"/>
        <w:spacing w:line="560" w:lineRule="exact"/>
        <w:ind w:firstLine="640" w:firstLineChars="200"/>
        <w:rPr>
          <w:rFonts w:ascii="黑体" w:hAnsi="黑体" w:eastAsia="黑体"/>
          <w:b/>
          <w:bCs/>
          <w:sz w:val="32"/>
          <w:szCs w:val="36"/>
        </w:rPr>
      </w:pPr>
      <w:r>
        <w:rPr>
          <w:rFonts w:hint="eastAsia" w:ascii="黑体" w:hAnsi="黑体" w:eastAsia="黑体"/>
          <w:sz w:val="32"/>
          <w:szCs w:val="32"/>
        </w:rPr>
        <w:t>一、项目</w:t>
      </w:r>
      <w:r>
        <w:rPr>
          <w:rFonts w:hint="eastAsia" w:ascii="黑体" w:hAnsi="黑体" w:eastAsia="黑体"/>
          <w:sz w:val="32"/>
          <w:szCs w:val="36"/>
        </w:rPr>
        <w:t>基本情况</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（一）项目概况</w:t>
      </w:r>
    </w:p>
    <w:p>
      <w:pPr>
        <w:adjustRightInd w:val="0"/>
        <w:snapToGrid w:val="0"/>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根据 《</w:t>
      </w:r>
      <w:r>
        <w:rPr>
          <w:rFonts w:hint="eastAsia" w:ascii="仿宋" w:hAnsi="仿宋" w:eastAsia="仿宋"/>
          <w:sz w:val="32"/>
          <w:szCs w:val="32"/>
          <w:lang w:val="en-US" w:eastAsia="zh-CN"/>
        </w:rPr>
        <w:t>关于下达2025年医疗服务与保障能力提升（公立医院综合改革）补助资金预算的通知</w:t>
      </w:r>
      <w:r>
        <w:rPr>
          <w:rFonts w:hint="eastAsia" w:ascii="仿宋" w:hAnsi="仿宋" w:eastAsia="仿宋"/>
          <w:sz w:val="32"/>
          <w:szCs w:val="32"/>
          <w:lang w:eastAsia="zh-CN"/>
        </w:rPr>
        <w:t>》（</w:t>
      </w:r>
      <w:r>
        <w:rPr>
          <w:rFonts w:hint="eastAsia" w:ascii="仿宋" w:hAnsi="仿宋" w:eastAsia="仿宋"/>
          <w:sz w:val="32"/>
          <w:szCs w:val="32"/>
          <w:lang w:val="en-US" w:eastAsia="zh-CN"/>
        </w:rPr>
        <w:t>石财社【2025】21号）</w:t>
      </w:r>
      <w:r>
        <w:rPr>
          <w:rFonts w:hint="eastAsia" w:ascii="仿宋" w:hAnsi="仿宋" w:eastAsia="仿宋"/>
          <w:sz w:val="32"/>
          <w:szCs w:val="32"/>
          <w:lang w:eastAsia="zh-CN"/>
        </w:rPr>
        <w:t>的要求，我院申请财政资金</w:t>
      </w:r>
      <w:r>
        <w:rPr>
          <w:rFonts w:hint="eastAsia" w:ascii="仿宋" w:hAnsi="仿宋" w:eastAsia="仿宋"/>
          <w:sz w:val="32"/>
          <w:szCs w:val="32"/>
          <w:lang w:val="en-US" w:eastAsia="zh-CN"/>
        </w:rPr>
        <w:t>用于公立医院综合改革的相关项目3.265万元。</w:t>
      </w:r>
    </w:p>
    <w:p>
      <w:pPr>
        <w:adjustRightInd w:val="0"/>
        <w:snapToGrid w:val="0"/>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（二）项目预期绩效目标</w:t>
      </w:r>
    </w:p>
    <w:p>
      <w:pPr>
        <w:adjustRightInd w:val="0"/>
        <w:snapToGrid w:val="0"/>
        <w:spacing w:line="560" w:lineRule="exact"/>
        <w:ind w:firstLine="640" w:firstLineChars="200"/>
        <w:rPr>
          <w:rFonts w:hint="eastAsia" w:ascii="仿宋" w:hAnsi="仿宋" w:eastAsia="仿宋"/>
          <w:sz w:val="32"/>
          <w:szCs w:val="32"/>
          <w:lang w:eastAsia="zh-CN"/>
        </w:rPr>
      </w:pPr>
      <w:r>
        <w:rPr>
          <w:rFonts w:hint="eastAsia" w:ascii="仿宋" w:hAnsi="仿宋" w:eastAsia="仿宋"/>
          <w:sz w:val="32"/>
          <w:szCs w:val="32"/>
          <w:lang w:eastAsia="zh-CN"/>
        </w:rPr>
        <w:t>购置设备，用于医院综合医改项目，提升医院综合能力</w:t>
      </w:r>
    </w:p>
    <w:p>
      <w:pPr>
        <w:adjustRightInd w:val="0"/>
        <w:snapToGrid w:val="0"/>
        <w:spacing w:line="560" w:lineRule="exact"/>
        <w:ind w:firstLine="640" w:firstLineChars="200"/>
        <w:rPr>
          <w:rFonts w:ascii="黑体" w:hAnsi="黑体" w:eastAsia="黑体"/>
          <w:sz w:val="32"/>
          <w:szCs w:val="32"/>
        </w:rPr>
      </w:pPr>
      <w:r>
        <w:rPr>
          <w:rFonts w:hint="eastAsia" w:ascii="黑体" w:hAnsi="黑体" w:eastAsia="黑体"/>
          <w:sz w:val="32"/>
          <w:szCs w:val="32"/>
        </w:rPr>
        <w:t>二、自评工作情况</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在开展预算自评工作时，针对具体绩效评价对象的特点，设计能够体现项目特点绩效评价指标体系。绩效指标权重由各部门根据评价对象实际情况确定，总分设定为100分。原则上一级指标权重统一设置为：产出指标40分（包含数量、质量、时效、成本）、预算执行率指标10分、效益指标40分（包含经济效益、社会效益、生态效益、可持续影响）、满意度指标10分。如某一类指标未设定，其分值可合理调整至其他指标。若被评价项目不涉及服务对象满意度内容或因服务对象满意度获取难度较大、成本较高而未能获取，则服务对象满意度的10分调入效益考核事项。</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二、三级指标所占权重应当根据指标重要程度、项目实施阶段等因素综合确定，准确反映预算项目的产出和效果。</w:t>
      </w:r>
    </w:p>
    <w:p>
      <w:pPr>
        <w:spacing w:line="560" w:lineRule="exact"/>
        <w:ind w:firstLine="640" w:firstLineChars="200"/>
        <w:rPr>
          <w:rFonts w:ascii="仿宋" w:hAnsi="仿宋" w:eastAsia="仿宋"/>
          <w:sz w:val="32"/>
          <w:szCs w:val="32"/>
        </w:rPr>
      </w:pPr>
      <w:r>
        <w:rPr>
          <w:rFonts w:hint="eastAsia" w:ascii="仿宋" w:hAnsi="仿宋" w:eastAsia="仿宋"/>
          <w:sz w:val="32"/>
          <w:szCs w:val="32"/>
        </w:rPr>
        <w:t>同类评价对象的指标权重设置应当基本一致，便于评价结果相互比较。</w:t>
      </w:r>
    </w:p>
    <w:p>
      <w:pPr>
        <w:spacing w:line="560" w:lineRule="exact"/>
        <w:ind w:firstLine="640" w:firstLineChars="200"/>
        <w:rPr>
          <w:rFonts w:ascii="黑体" w:hAnsi="黑体" w:eastAsia="黑体"/>
          <w:b/>
          <w:bCs/>
          <w:sz w:val="32"/>
          <w:szCs w:val="32"/>
        </w:rPr>
      </w:pPr>
      <w:r>
        <w:rPr>
          <w:rFonts w:hint="eastAsia" w:ascii="黑体" w:hAnsi="黑体" w:eastAsia="黑体"/>
          <w:sz w:val="32"/>
          <w:szCs w:val="32"/>
        </w:rPr>
        <w:t>三、项目执行及绩效实现情况</w:t>
      </w:r>
    </w:p>
    <w:p>
      <w:pPr>
        <w:numPr>
          <w:ilvl w:val="0"/>
          <w:numId w:val="1"/>
        </w:num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预算执行情况</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执行预算安排情况</w:t>
      </w:r>
      <w:r>
        <w:rPr>
          <w:rFonts w:hint="eastAsia" w:ascii="仿宋" w:hAnsi="仿宋" w:eastAsia="仿宋"/>
          <w:sz w:val="32"/>
          <w:szCs w:val="32"/>
          <w:lang w:eastAsia="zh-CN"/>
        </w:rPr>
        <w:t>：共下达资金</w:t>
      </w:r>
      <w:r>
        <w:rPr>
          <w:rFonts w:hint="eastAsia" w:ascii="仿宋" w:hAnsi="仿宋" w:eastAsia="仿宋"/>
          <w:sz w:val="32"/>
          <w:szCs w:val="32"/>
          <w:lang w:val="en-US" w:eastAsia="zh-CN"/>
        </w:rPr>
        <w:t>3.265万元，支出3.265万元。</w:t>
      </w:r>
    </w:p>
    <w:p>
      <w:pPr>
        <w:spacing w:line="560" w:lineRule="exact"/>
        <w:rPr>
          <w:rFonts w:ascii="楷体" w:hAnsi="楷体" w:eastAsia="楷体"/>
          <w:bCs/>
          <w:sz w:val="32"/>
          <w:szCs w:val="32"/>
        </w:rPr>
      </w:pPr>
      <w:r>
        <w:rPr>
          <w:rFonts w:hint="eastAsia" w:ascii="仿宋" w:hAnsi="仿宋" w:eastAsia="仿宋" w:cs="楷体_GB2312"/>
          <w:b/>
          <w:bCs/>
          <w:sz w:val="32"/>
          <w:szCs w:val="32"/>
        </w:rPr>
        <w:t xml:space="preserve">    </w:t>
      </w:r>
      <w:r>
        <w:rPr>
          <w:rFonts w:hint="eastAsia" w:ascii="楷体" w:hAnsi="楷体" w:eastAsia="楷体" w:cs="楷体_GB2312"/>
          <w:bCs/>
          <w:sz w:val="32"/>
          <w:szCs w:val="32"/>
        </w:rPr>
        <w:t>（二）项目产出</w:t>
      </w:r>
    </w:p>
    <w:p>
      <w:pPr>
        <w:spacing w:line="560" w:lineRule="exact"/>
        <w:ind w:firstLine="640" w:firstLineChars="200"/>
        <w:rPr>
          <w:rFonts w:hint="default" w:ascii="仿宋" w:hAnsi="仿宋" w:eastAsia="仿宋" w:cs="Arial"/>
          <w:sz w:val="32"/>
          <w:szCs w:val="32"/>
          <w:lang w:val="en-US" w:eastAsia="zh-CN"/>
        </w:rPr>
      </w:pPr>
      <w:r>
        <w:rPr>
          <w:rFonts w:hint="eastAsia" w:ascii="仿宋" w:hAnsi="仿宋" w:eastAsia="仿宋"/>
          <w:sz w:val="32"/>
          <w:szCs w:val="32"/>
          <w:lang w:val="en-US" w:eastAsia="zh-CN"/>
        </w:rPr>
        <w:t>1、</w:t>
      </w:r>
      <w:r>
        <w:rPr>
          <w:rFonts w:hint="eastAsia" w:ascii="仿宋" w:hAnsi="仿宋" w:eastAsia="仿宋"/>
          <w:sz w:val="32"/>
          <w:szCs w:val="32"/>
          <w:lang w:eastAsia="zh-CN"/>
        </w:rPr>
        <w:t>数量指标：设备采购</w:t>
      </w:r>
      <w:r>
        <w:rPr>
          <w:rFonts w:hint="eastAsia" w:ascii="仿宋" w:hAnsi="仿宋" w:eastAsia="仿宋"/>
          <w:sz w:val="32"/>
          <w:szCs w:val="32"/>
          <w:lang w:val="en-US" w:eastAsia="zh-CN"/>
        </w:rPr>
        <w:t>2台，已完成指标100%。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2、质量指标：设备验收合格率，已完成指标100%。</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val="en-US" w:eastAsia="zh-CN"/>
        </w:rPr>
        <w:t>3、时效指标：项目按时完成率，已完成指标100%。</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val="en-US" w:eastAsia="zh-CN"/>
        </w:rPr>
        <w:t>4、成本指标：完成项目所需财政补助成本3.265</w:t>
      </w:r>
      <w:bookmarkStart w:id="0" w:name="_GoBack"/>
      <w:bookmarkEnd w:id="0"/>
      <w:r>
        <w:rPr>
          <w:rFonts w:hint="eastAsia" w:ascii="仿宋" w:hAnsi="仿宋" w:eastAsia="仿宋"/>
          <w:sz w:val="32"/>
          <w:szCs w:val="32"/>
          <w:lang w:val="en-US" w:eastAsia="zh-CN"/>
        </w:rPr>
        <w:t>万元，资金已拨付，已完成指标100%</w:t>
      </w:r>
    </w:p>
    <w:p>
      <w:pPr>
        <w:spacing w:line="560" w:lineRule="exact"/>
        <w:ind w:firstLine="640" w:firstLineChars="200"/>
        <w:rPr>
          <w:rFonts w:ascii="楷体" w:hAnsi="楷体" w:eastAsia="楷体" w:cs="楷体_GB2312"/>
          <w:bCs/>
          <w:sz w:val="32"/>
          <w:szCs w:val="32"/>
        </w:rPr>
      </w:pPr>
      <w:r>
        <w:rPr>
          <w:rFonts w:hint="eastAsia" w:ascii="楷体" w:hAnsi="楷体" w:eastAsia="楷体" w:cs="楷体_GB2312"/>
          <w:bCs/>
          <w:sz w:val="32"/>
          <w:szCs w:val="32"/>
        </w:rPr>
        <w:t>（三）项目效益</w:t>
      </w:r>
    </w:p>
    <w:p>
      <w:pPr>
        <w:spacing w:line="560" w:lineRule="exact"/>
        <w:ind w:firstLine="640" w:firstLineChars="200"/>
        <w:rPr>
          <w:rFonts w:hint="eastAsia" w:ascii="仿宋" w:hAnsi="仿宋" w:eastAsia="仿宋"/>
          <w:sz w:val="32"/>
          <w:szCs w:val="32"/>
          <w:lang w:val="en-US" w:eastAsia="zh-CN"/>
        </w:rPr>
      </w:pPr>
      <w:r>
        <w:rPr>
          <w:rFonts w:hint="eastAsia" w:ascii="仿宋" w:hAnsi="仿宋" w:eastAsia="仿宋"/>
          <w:sz w:val="32"/>
          <w:szCs w:val="32"/>
          <w:lang w:eastAsia="zh-CN"/>
        </w:rPr>
        <w:t>可持续影响指标：公立医院综合改革与高质量发展项目成果长期持续服务患者，已完成指标值</w:t>
      </w:r>
      <w:r>
        <w:rPr>
          <w:rFonts w:hint="eastAsia" w:ascii="仿宋" w:hAnsi="仿宋" w:eastAsia="仿宋"/>
          <w:sz w:val="32"/>
          <w:szCs w:val="32"/>
          <w:lang w:val="en-US" w:eastAsia="zh-CN"/>
        </w:rPr>
        <w:t>100%</w:t>
      </w:r>
    </w:p>
    <w:p>
      <w:pPr>
        <w:numPr>
          <w:ilvl w:val="0"/>
          <w:numId w:val="2"/>
        </w:numPr>
        <w:spacing w:line="560" w:lineRule="exact"/>
        <w:ind w:firstLine="640" w:firstLineChars="200"/>
        <w:rPr>
          <w:rFonts w:hint="eastAsia" w:ascii="楷体" w:hAnsi="楷体" w:eastAsia="楷体" w:cs="楷体_GB2312"/>
          <w:bCs/>
          <w:sz w:val="32"/>
          <w:szCs w:val="32"/>
          <w:lang w:eastAsia="zh-CN"/>
        </w:rPr>
      </w:pPr>
      <w:r>
        <w:rPr>
          <w:rFonts w:hint="eastAsia" w:ascii="楷体" w:hAnsi="楷体" w:eastAsia="楷体" w:cs="楷体_GB2312"/>
          <w:bCs/>
          <w:sz w:val="32"/>
          <w:szCs w:val="32"/>
        </w:rPr>
        <w:t>满意度</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lang w:eastAsia="zh-CN"/>
        </w:rPr>
        <w:t>对项目服务对象满意度进行分析，患者满意度≥98%，已完成目标值</w:t>
      </w:r>
      <w:r>
        <w:rPr>
          <w:rFonts w:hint="eastAsia" w:ascii="仿宋" w:hAnsi="仿宋" w:eastAsia="仿宋"/>
          <w:sz w:val="32"/>
          <w:szCs w:val="32"/>
          <w:lang w:val="en-US" w:eastAsia="zh-CN"/>
        </w:rPr>
        <w:t>100%。</w:t>
      </w:r>
    </w:p>
    <w:p>
      <w:pPr>
        <w:numPr>
          <w:ilvl w:val="0"/>
          <w:numId w:val="0"/>
        </w:numPr>
        <w:spacing w:line="560" w:lineRule="exact"/>
        <w:ind w:firstLine="640" w:firstLineChars="200"/>
        <w:rPr>
          <w:rFonts w:ascii="黑体" w:hAnsi="黑体" w:eastAsia="黑体"/>
          <w:sz w:val="32"/>
          <w:szCs w:val="32"/>
        </w:rPr>
      </w:pPr>
      <w:r>
        <w:rPr>
          <w:rFonts w:hint="eastAsia" w:ascii="黑体" w:hAnsi="黑体" w:eastAsia="黑体"/>
          <w:sz w:val="32"/>
          <w:szCs w:val="32"/>
        </w:rPr>
        <w:t>四、项目综合评价结论和评价等级</w:t>
      </w:r>
    </w:p>
    <w:p>
      <w:pPr>
        <w:spacing w:line="560" w:lineRule="exact"/>
        <w:ind w:firstLine="640" w:firstLineChars="200"/>
        <w:rPr>
          <w:rFonts w:hint="default" w:ascii="仿宋" w:hAnsi="仿宋" w:eastAsia="仿宋"/>
          <w:sz w:val="32"/>
          <w:szCs w:val="32"/>
          <w:lang w:val="en-US" w:eastAsia="zh-CN"/>
        </w:rPr>
      </w:pPr>
      <w:r>
        <w:rPr>
          <w:rFonts w:hint="eastAsia" w:ascii="仿宋" w:hAnsi="仿宋" w:eastAsia="仿宋"/>
          <w:sz w:val="32"/>
          <w:szCs w:val="32"/>
        </w:rPr>
        <w:t>根据项目执行情况和项目绩效情况，给出总得分，指标体系设定满分100分，得出综合评价结论和项目综合绩效评价等级。项目综合绩效评价分为4个等级：得分</w:t>
      </w:r>
      <w:r>
        <w:rPr>
          <w:rFonts w:ascii="仿宋" w:hAnsi="仿宋" w:eastAsia="仿宋" w:cs="Arial"/>
          <w:sz w:val="32"/>
          <w:szCs w:val="32"/>
        </w:rPr>
        <w:t>≥</w:t>
      </w:r>
      <w:r>
        <w:rPr>
          <w:rFonts w:hint="eastAsia" w:ascii="仿宋" w:hAnsi="仿宋" w:eastAsia="仿宋"/>
          <w:sz w:val="32"/>
          <w:szCs w:val="32"/>
        </w:rPr>
        <w:t>85分为优秀；75</w:t>
      </w:r>
      <w:r>
        <w:rPr>
          <w:rFonts w:ascii="仿宋" w:hAnsi="仿宋" w:eastAsia="仿宋" w:cs="Arial"/>
          <w:sz w:val="32"/>
          <w:szCs w:val="32"/>
        </w:rPr>
        <w:t>≤</w:t>
      </w:r>
      <w:r>
        <w:rPr>
          <w:rFonts w:hint="eastAsia" w:ascii="仿宋" w:hAnsi="仿宋" w:eastAsia="仿宋"/>
          <w:sz w:val="32"/>
          <w:szCs w:val="32"/>
        </w:rPr>
        <w:t>得分＜85分为良好；60</w:t>
      </w:r>
      <w:r>
        <w:rPr>
          <w:rFonts w:ascii="仿宋" w:hAnsi="仿宋" w:eastAsia="仿宋" w:cs="Arial"/>
          <w:sz w:val="32"/>
          <w:szCs w:val="32"/>
        </w:rPr>
        <w:t>≤</w:t>
      </w:r>
      <w:r>
        <w:rPr>
          <w:rFonts w:hint="eastAsia" w:ascii="仿宋" w:hAnsi="仿宋" w:eastAsia="仿宋"/>
          <w:sz w:val="32"/>
          <w:szCs w:val="32"/>
        </w:rPr>
        <w:t>得分＜75分为一般；得分＜60分为较差。</w:t>
      </w:r>
      <w:r>
        <w:rPr>
          <w:rFonts w:hint="eastAsia" w:ascii="仿宋" w:hAnsi="仿宋" w:eastAsia="仿宋"/>
          <w:sz w:val="32"/>
          <w:szCs w:val="32"/>
          <w:lang w:eastAsia="zh-CN"/>
        </w:rPr>
        <w:t>我院根据项目执行情况得分</w:t>
      </w:r>
      <w:r>
        <w:rPr>
          <w:rFonts w:hint="eastAsia" w:ascii="仿宋" w:hAnsi="仿宋" w:eastAsia="仿宋"/>
          <w:sz w:val="32"/>
          <w:szCs w:val="32"/>
          <w:lang w:val="en-US" w:eastAsia="zh-CN"/>
        </w:rPr>
        <w:t>100分。</w:t>
      </w:r>
    </w:p>
    <w:p>
      <w:pPr>
        <w:spacing w:line="560" w:lineRule="exact"/>
        <w:ind w:firstLine="640" w:firstLineChars="200"/>
        <w:rPr>
          <w:rFonts w:ascii="黑体" w:hAnsi="黑体" w:eastAsia="黑体"/>
          <w:sz w:val="32"/>
          <w:szCs w:val="32"/>
        </w:rPr>
      </w:pPr>
      <w:r>
        <w:rPr>
          <w:rFonts w:hint="eastAsia" w:ascii="黑体" w:hAnsi="黑体" w:eastAsia="黑体"/>
          <w:sz w:val="32"/>
          <w:szCs w:val="32"/>
        </w:rPr>
        <w:t>五、存在的问题及改进措施</w:t>
      </w: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对于绩效目标执行正常的项目，本单位将继续加强项目绩效监控力度，保障绩效目标的实现；对于执行不理想的项目，本单位将继续跟进后续工作完成相关绩效指标。</w:t>
      </w:r>
    </w:p>
    <w:p>
      <w:pPr>
        <w:spacing w:line="560" w:lineRule="exact"/>
        <w:ind w:firstLine="640"/>
        <w:rPr>
          <w:rFonts w:hint="default" w:ascii="仿宋" w:hAnsi="仿宋" w:eastAsia="仿宋"/>
          <w:sz w:val="32"/>
          <w:szCs w:val="32"/>
          <w:lang w:val="en-US" w:eastAsia="zh-CN"/>
        </w:rPr>
      </w:pPr>
    </w:p>
    <w:p>
      <w:pPr>
        <w:spacing w:line="560" w:lineRule="exact"/>
        <w:rPr>
          <w:rFonts w:hint="default" w:ascii="仿宋" w:hAnsi="仿宋" w:eastAsia="仿宋"/>
          <w:sz w:val="32"/>
          <w:szCs w:val="32"/>
          <w:lang w:val="en-US" w:eastAsia="zh-CN"/>
        </w:rPr>
      </w:pPr>
    </w:p>
    <w:p>
      <w:pPr>
        <w:spacing w:line="560" w:lineRule="exact"/>
        <w:ind w:firstLine="640"/>
        <w:rPr>
          <w:rFonts w:hint="eastAsia" w:ascii="仿宋" w:hAnsi="仿宋" w:eastAsia="仿宋"/>
          <w:sz w:val="32"/>
          <w:szCs w:val="32"/>
          <w:lang w:val="en-US" w:eastAsia="zh-CN"/>
        </w:rPr>
      </w:pPr>
      <w:r>
        <w:rPr>
          <w:rFonts w:hint="eastAsia" w:ascii="仿宋" w:hAnsi="仿宋" w:eastAsia="仿宋"/>
          <w:sz w:val="32"/>
          <w:szCs w:val="32"/>
          <w:lang w:val="en-US" w:eastAsia="zh-CN"/>
        </w:rPr>
        <w:t xml:space="preserve">  </w:t>
      </w:r>
    </w:p>
    <w:p>
      <w:pPr>
        <w:spacing w:line="560" w:lineRule="exact"/>
        <w:ind w:firstLine="640"/>
        <w:rPr>
          <w:rFonts w:hint="eastAsia" w:ascii="仿宋" w:hAnsi="仿宋" w:eastAsia="仿宋"/>
          <w:sz w:val="32"/>
          <w:szCs w:val="32"/>
          <w:lang w:val="en-US" w:eastAsia="zh-CN"/>
        </w:rPr>
      </w:pPr>
    </w:p>
    <w:p>
      <w:pPr>
        <w:spacing w:line="560" w:lineRule="exact"/>
        <w:ind w:firstLine="640"/>
        <w:rPr>
          <w:rFonts w:hint="default" w:ascii="仿宋" w:hAnsi="仿宋" w:eastAsia="仿宋"/>
          <w:sz w:val="32"/>
          <w:szCs w:val="32"/>
          <w:lang w:val="en-US" w:eastAsia="zh-CN"/>
        </w:rPr>
      </w:pPr>
    </w:p>
    <w:p>
      <w:pPr>
        <w:spacing w:line="560" w:lineRule="exact"/>
        <w:ind w:firstLine="640"/>
        <w:jc w:val="right"/>
        <w:rPr>
          <w:rFonts w:hint="eastAsia" w:ascii="仿宋" w:hAnsi="仿宋" w:eastAsia="仿宋"/>
          <w:sz w:val="32"/>
          <w:szCs w:val="32"/>
          <w:lang w:val="en-US" w:eastAsia="zh-CN"/>
        </w:rPr>
      </w:pPr>
      <w:r>
        <w:rPr>
          <w:rFonts w:hint="eastAsia" w:ascii="仿宋" w:hAnsi="仿宋" w:eastAsia="仿宋"/>
          <w:sz w:val="32"/>
          <w:szCs w:val="32"/>
          <w:lang w:val="en-US" w:eastAsia="zh-CN"/>
        </w:rPr>
        <w:t>石家庄市鹿泉区妇幼保健院</w:t>
      </w:r>
    </w:p>
    <w:p>
      <w:pPr>
        <w:spacing w:line="560" w:lineRule="exact"/>
        <w:ind w:firstLine="6086" w:firstLineChars="1902"/>
        <w:rPr>
          <w:rFonts w:hint="default" w:ascii="仿宋" w:hAnsi="仿宋" w:eastAsia="仿宋"/>
          <w:sz w:val="32"/>
          <w:szCs w:val="32"/>
          <w:lang w:val="en-US" w:eastAsia="zh-CN"/>
        </w:rPr>
      </w:pPr>
      <w:r>
        <w:rPr>
          <w:rFonts w:hint="eastAsia" w:ascii="仿宋" w:hAnsi="仿宋" w:eastAsia="仿宋"/>
          <w:sz w:val="32"/>
          <w:szCs w:val="32"/>
          <w:lang w:val="en-US" w:eastAsia="zh-CN"/>
        </w:rPr>
        <w:t>2026年5月</w:t>
      </w:r>
    </w:p>
    <w:sectPr>
      <w:footerReference r:id="rId3" w:type="default"/>
      <w:pgSz w:w="11906" w:h="16838"/>
      <w:pgMar w:top="1440" w:right="1474" w:bottom="1440" w:left="1587" w:header="851" w:footer="992"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 w:name="楷体_GB2312">
    <w:altName w:val="楷体"/>
    <w:panose1 w:val="02010609030101010101"/>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pict>
        <v:shape id="Quad Arrow 3073" o:spid="_x0000_s4097" o:spt="202" type="#_x0000_t202" style="position:absolute;left:0pt;margin-top:0pt;height:144pt;width:144pt;mso-position-horizontal:center;mso-position-horizontal-relative:margin;mso-wrap-style:none;z-index:251659264;mso-width-relative:page;mso-height-relative:page;" filled="f" o:preferrelative="t" stroked="f" coordsize="21600,21600">
          <v:path/>
          <v:fill on="f" focussize="0,0"/>
          <v:stroke on="f" joinstyle="miter"/>
          <v:imagedata o:title=""/>
          <o:lock v:ext="edit"/>
          <v:textbox inset="0mm,0mm,0mm,0mm" style="mso-fit-shape-to-text:t;">
            <w:txbxContent>
              <w:p>
                <w:pPr>
                  <w:snapToGrid w:val="0"/>
                  <w:rPr>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- 1 -</w:t>
                </w:r>
                <w:r>
                  <w:rPr>
                    <w:rFonts w:hint="eastAsia"/>
                    <w:sz w:val="18"/>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2C163A8"/>
    <w:multiLevelType w:val="singleLevel"/>
    <w:tmpl w:val="C2C163A8"/>
    <w:lvl w:ilvl="0" w:tentative="0">
      <w:start w:val="4"/>
      <w:numFmt w:val="chineseCounting"/>
      <w:suff w:val="nothing"/>
      <w:lvlText w:val="（%1）"/>
      <w:lvlJc w:val="left"/>
      <w:rPr>
        <w:rFonts w:hint="eastAsia"/>
      </w:rPr>
    </w:lvl>
  </w:abstractNum>
  <w:abstractNum w:abstractNumId="1">
    <w:nsid w:val="5E68489B"/>
    <w:multiLevelType w:val="singleLevel"/>
    <w:tmpl w:val="5E68489B"/>
    <w:lvl w:ilvl="0" w:tentative="0">
      <w:start w:val="1"/>
      <w:numFmt w:val="chineseCounting"/>
      <w:suff w:val="nothing"/>
      <w:lvlText w:val="（%1）"/>
      <w:lvlJc w:val="left"/>
      <w:rPr>
        <w:rFonts w:ascii="楷体" w:hAnsi="楷体" w:eastAsia="楷体"/>
        <w:b w:val="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NotTrackMoves/>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mmondata" w:val="eyJoZGlkIjoiZWRjMTkxMmQzYzEzZGMzNTI4YmUxNWUxNjU2OWE0MGMifQ=="/>
  </w:docVars>
  <w:rsids>
    <w:rsidRoot w:val="0EBD2122"/>
    <w:rsid w:val="00117DDC"/>
    <w:rsid w:val="001349D3"/>
    <w:rsid w:val="00162D31"/>
    <w:rsid w:val="00165DE5"/>
    <w:rsid w:val="00222498"/>
    <w:rsid w:val="00721C4E"/>
    <w:rsid w:val="007B0AB6"/>
    <w:rsid w:val="007E6C1F"/>
    <w:rsid w:val="008246DE"/>
    <w:rsid w:val="008B5355"/>
    <w:rsid w:val="009D34BA"/>
    <w:rsid w:val="00AF566A"/>
    <w:rsid w:val="00B6553A"/>
    <w:rsid w:val="00EA4CBF"/>
    <w:rsid w:val="02B43A28"/>
    <w:rsid w:val="05577118"/>
    <w:rsid w:val="0EAC6C06"/>
    <w:rsid w:val="0EB97A43"/>
    <w:rsid w:val="0EBD2122"/>
    <w:rsid w:val="0ED33777"/>
    <w:rsid w:val="11B71E6A"/>
    <w:rsid w:val="1AAF0063"/>
    <w:rsid w:val="1BE140DE"/>
    <w:rsid w:val="248C197D"/>
    <w:rsid w:val="252959AF"/>
    <w:rsid w:val="25D534C8"/>
    <w:rsid w:val="26C95317"/>
    <w:rsid w:val="277A6671"/>
    <w:rsid w:val="292D35B7"/>
    <w:rsid w:val="331C12A8"/>
    <w:rsid w:val="331D6ED3"/>
    <w:rsid w:val="33EB6CFF"/>
    <w:rsid w:val="3B625C0A"/>
    <w:rsid w:val="3CEE1963"/>
    <w:rsid w:val="467746F5"/>
    <w:rsid w:val="49206DAA"/>
    <w:rsid w:val="512260B4"/>
    <w:rsid w:val="597244E8"/>
    <w:rsid w:val="5C283857"/>
    <w:rsid w:val="5DA62BB3"/>
    <w:rsid w:val="647D34ED"/>
    <w:rsid w:val="64B56C43"/>
    <w:rsid w:val="665B1B00"/>
    <w:rsid w:val="66AF0CE5"/>
    <w:rsid w:val="675C6BF7"/>
    <w:rsid w:val="68025E5D"/>
    <w:rsid w:val="6CAC2417"/>
    <w:rsid w:val="6E5B14A6"/>
    <w:rsid w:val="7BB51E06"/>
    <w:rsid w:val="7C387F7C"/>
  </w:rsids>
  <m:mathPr>
    <m:mathFont m:val="Cambria Math"/>
    <m:brkBin m:val="before"/>
    <m:brkBinSub m:val="--"/>
    <m:smallFrac m:val="1"/>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黑体"/>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rFonts w:ascii="Times New Roman" w:hAnsi="Times New Roman"/>
      <w:sz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409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Pages>
  <Words>1131</Words>
  <Characters>1194</Characters>
  <Lines>7</Lines>
  <Paragraphs>2</Paragraphs>
  <TotalTime>4</TotalTime>
  <ScaleCrop>false</ScaleCrop>
  <LinksUpToDate>false</LinksUpToDate>
  <CharactersWithSpaces>1201</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2020-02-04T03:46:00Z</dcterms:created>
  <dc:creator>欣欣大人</dc:creator>
  <cp:lastModifiedBy>Administrator</cp:lastModifiedBy>
  <cp:lastPrinted>2024-04-12T03:55:00Z</cp:lastPrinted>
  <dcterms:modified xsi:type="dcterms:W3CDTF">2026-05-11T07:38:29Z</dcterms:modified>
  <dc:title>附件3：</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CF3A8BA4139C422EB901F5C05BDBA890_12</vt:lpwstr>
  </property>
</Properties>
</file>