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C74AC">
      <w:pPr>
        <w:pStyle w:val="2"/>
        <w:keepNext w:val="0"/>
        <w:keepLines w:val="0"/>
        <w:pageBreakBefore w:val="0"/>
        <w:widowControl/>
        <w:kinsoku/>
        <w:wordWrap/>
        <w:overflowPunct/>
        <w:topLinePunct w:val="0"/>
        <w:autoSpaceDE/>
        <w:autoSpaceDN/>
        <w:bidi w:val="0"/>
        <w:adjustRightInd/>
        <w:snapToGrid/>
        <w:spacing w:after="0" w:afterLines="0" w:line="380" w:lineRule="exact"/>
        <w:textAlignment w:val="auto"/>
        <w:rPr>
          <w:rFonts w:hint="eastAsia" w:ascii="宋体" w:hAnsi="宋体"/>
          <w:sz w:val="32"/>
          <w:szCs w:val="32"/>
          <w:lang w:eastAsia="zh-CN"/>
        </w:rPr>
      </w:pPr>
    </w:p>
    <w:p w14:paraId="76C843F6">
      <w:pPr>
        <w:pStyle w:val="3"/>
        <w:keepNext w:val="0"/>
        <w:keepLines w:val="0"/>
        <w:pageBreakBefore w:val="0"/>
        <w:widowControl/>
        <w:kinsoku/>
        <w:wordWrap/>
        <w:overflowPunct/>
        <w:topLinePunct w:val="0"/>
        <w:autoSpaceDE/>
        <w:autoSpaceDN/>
        <w:bidi w:val="0"/>
        <w:spacing w:after="0" w:afterLines="0" w:line="380" w:lineRule="exact"/>
        <w:rPr>
          <w:rFonts w:hint="eastAsia" w:ascii="宋体" w:hAnsi="宋体" w:eastAsia="仿宋" w:cs="仿宋_GB2312"/>
          <w:sz w:val="32"/>
          <w:szCs w:val="32"/>
          <w:lang w:eastAsia="zh-CN"/>
        </w:rPr>
      </w:pPr>
    </w:p>
    <w:p w14:paraId="0E0DC53F">
      <w:pPr>
        <w:pStyle w:val="4"/>
        <w:keepNext w:val="0"/>
        <w:keepLines w:val="0"/>
        <w:pageBreakBefore w:val="0"/>
        <w:kinsoku/>
        <w:wordWrap/>
        <w:overflowPunct/>
        <w:topLinePunct w:val="0"/>
        <w:autoSpaceDE/>
        <w:autoSpaceDN/>
        <w:bidi w:val="0"/>
        <w:spacing w:after="0" w:line="380" w:lineRule="exact"/>
        <w:rPr>
          <w:rFonts w:hint="eastAsia" w:ascii="宋体" w:hAnsi="宋体"/>
          <w:sz w:val="32"/>
          <w:szCs w:val="32"/>
          <w:lang w:eastAsia="zh-CN"/>
        </w:rPr>
      </w:pPr>
    </w:p>
    <w:p w14:paraId="1CA9A3EB">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jc w:val="right"/>
        <w:textAlignment w:val="auto"/>
        <w:outlineLvl w:val="9"/>
        <w:rPr>
          <w:rFonts w:hint="eastAsia" w:ascii="宋体" w:hAnsi="宋体" w:eastAsia="仿宋" w:cs="仿宋"/>
          <w:spacing w:val="0"/>
          <w:sz w:val="32"/>
          <w:szCs w:val="32"/>
          <w:lang w:val="en-US" w:eastAsia="zh-CN"/>
        </w:rPr>
      </w:pPr>
      <w:r>
        <w:rPr>
          <w:rFonts w:hint="eastAsia" w:ascii="宋体" w:hAnsi="宋体" w:eastAsia="仿宋" w:cs="仿宋"/>
          <w:spacing w:val="0"/>
          <w:sz w:val="32"/>
          <w:szCs w:val="32"/>
          <w:lang w:eastAsia="zh-CN"/>
        </w:rPr>
        <w:t>鹿政办函</w:t>
      </w:r>
      <w:r>
        <w:rPr>
          <w:rFonts w:hint="eastAsia" w:ascii="宋体" w:hAnsi="宋体" w:eastAsia="仿宋_GB2312" w:cs="仿宋"/>
          <w:sz w:val="32"/>
          <w:szCs w:val="32"/>
        </w:rPr>
        <w:t>〔202</w:t>
      </w:r>
      <w:r>
        <w:rPr>
          <w:rFonts w:hint="eastAsia" w:ascii="宋体" w:hAnsi="宋体" w:eastAsia="仿宋_GB2312" w:cs="仿宋"/>
          <w:sz w:val="32"/>
          <w:szCs w:val="32"/>
          <w:lang w:val="en-US" w:eastAsia="zh-CN"/>
        </w:rPr>
        <w:t>6</w:t>
      </w:r>
      <w:r>
        <w:rPr>
          <w:rFonts w:hint="eastAsia" w:ascii="宋体" w:hAnsi="宋体" w:eastAsia="仿宋_GB2312" w:cs="仿宋"/>
          <w:sz w:val="32"/>
          <w:szCs w:val="32"/>
        </w:rPr>
        <w:t>〕</w:t>
      </w:r>
      <w:r>
        <w:rPr>
          <w:rFonts w:hint="eastAsia" w:ascii="宋体" w:hAnsi="宋体" w:eastAsia="仿宋_GB2312" w:cs="仿宋"/>
          <w:sz w:val="32"/>
          <w:szCs w:val="32"/>
          <w:lang w:val="en-US" w:eastAsia="zh-CN"/>
        </w:rPr>
        <w:t xml:space="preserve">  </w:t>
      </w:r>
      <w:r>
        <w:rPr>
          <w:rFonts w:hint="eastAsia" w:ascii="宋体" w:hAnsi="宋体" w:eastAsia="仿宋" w:cs="仿宋"/>
          <w:spacing w:val="0"/>
          <w:sz w:val="32"/>
          <w:szCs w:val="32"/>
          <w:lang w:val="en-US" w:eastAsia="zh-CN"/>
        </w:rPr>
        <w:t>号</w:t>
      </w:r>
    </w:p>
    <w:p w14:paraId="1B6229E1">
      <w:pPr>
        <w:pStyle w:val="2"/>
        <w:keepNext w:val="0"/>
        <w:keepLines w:val="0"/>
        <w:pageBreakBefore w:val="0"/>
        <w:wordWrap/>
        <w:overflowPunct/>
        <w:topLinePunct w:val="0"/>
        <w:bidi w:val="0"/>
        <w:spacing w:after="0" w:afterLines="0" w:line="578" w:lineRule="exact"/>
        <w:rPr>
          <w:rFonts w:hint="eastAsia" w:ascii="宋体" w:hAnsi="宋体" w:eastAsia="仿宋" w:cs="仿宋"/>
          <w:spacing w:val="0"/>
          <w:sz w:val="32"/>
          <w:szCs w:val="32"/>
          <w:lang w:val="en-US" w:eastAsia="zh-CN"/>
        </w:rPr>
      </w:pPr>
    </w:p>
    <w:p w14:paraId="71561074">
      <w:pPr>
        <w:pStyle w:val="3"/>
        <w:keepNext w:val="0"/>
        <w:keepLines w:val="0"/>
        <w:pageBreakBefore w:val="0"/>
        <w:wordWrap/>
        <w:overflowPunct/>
        <w:topLinePunct w:val="0"/>
        <w:bidi w:val="0"/>
        <w:spacing w:after="0" w:afterLines="0" w:line="578" w:lineRule="exact"/>
        <w:rPr>
          <w:rFonts w:hint="eastAsia" w:ascii="宋体" w:hAnsi="宋体"/>
          <w:lang w:val="en-US" w:eastAsia="zh-CN"/>
        </w:rPr>
      </w:pPr>
    </w:p>
    <w:p w14:paraId="0F2F5770">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石家庄市鹿泉区人民政府办公室</w:t>
      </w:r>
    </w:p>
    <w:p w14:paraId="7E2896B1">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关于印发《石家庄市鹿泉区治理欠薪问题长效工作机制》的通知</w:t>
      </w:r>
    </w:p>
    <w:p w14:paraId="353626E3">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宋体" w:hAnsi="宋体" w:eastAsia="宋体" w:cs="宋体"/>
          <w:b/>
          <w:bCs/>
          <w:sz w:val="44"/>
          <w:szCs w:val="44"/>
          <w:lang w:val="en-US" w:eastAsia="zh-CN"/>
        </w:rPr>
      </w:pPr>
    </w:p>
    <w:p w14:paraId="74C56FA8">
      <w:pPr>
        <w:pStyle w:val="2"/>
        <w:keepNext w:val="0"/>
        <w:keepLines w:val="0"/>
        <w:pageBreakBefore w:val="0"/>
        <w:widowControl/>
        <w:kinsoku w:val="0"/>
        <w:wordWrap/>
        <w:overflowPunct/>
        <w:topLinePunct w:val="0"/>
        <w:autoSpaceDE w:val="0"/>
        <w:autoSpaceDN w:val="0"/>
        <w:bidi w:val="0"/>
        <w:adjustRightInd w:val="0"/>
        <w:snapToGrid w:val="0"/>
        <w:spacing w:after="0" w:afterLines="0" w:line="578" w:lineRule="exact"/>
        <w:ind w:right="0"/>
        <w:textAlignment w:val="baseline"/>
        <w:rPr>
          <w:rFonts w:hint="eastAsia" w:ascii="宋体" w:hAnsi="宋体" w:eastAsia="仿宋_GB2312" w:cs="仿宋_GB2312"/>
          <w:spacing w:val="-12"/>
          <w:sz w:val="32"/>
          <w:szCs w:val="32"/>
        </w:rPr>
      </w:pPr>
      <w:r>
        <w:rPr>
          <w:rFonts w:hint="eastAsia" w:ascii="宋体" w:hAnsi="宋体" w:eastAsia="仿宋_GB2312" w:cs="仿宋_GB2312"/>
          <w:spacing w:val="3"/>
          <w:sz w:val="32"/>
          <w:szCs w:val="32"/>
        </w:rPr>
        <w:t>各乡</w:t>
      </w:r>
      <w:r>
        <w:rPr>
          <w:rFonts w:hint="eastAsia" w:ascii="宋体" w:hAnsi="宋体" w:cs="仿宋_GB2312"/>
          <w:spacing w:val="3"/>
          <w:sz w:val="32"/>
          <w:szCs w:val="32"/>
          <w:lang w:eastAsia="zh-CN"/>
        </w:rPr>
        <w:t>（</w:t>
      </w:r>
      <w:r>
        <w:rPr>
          <w:rFonts w:hint="eastAsia" w:ascii="宋体" w:hAnsi="宋体" w:eastAsia="仿宋_GB2312" w:cs="仿宋_GB2312"/>
          <w:spacing w:val="3"/>
          <w:sz w:val="32"/>
          <w:szCs w:val="32"/>
          <w:lang w:val="en-US" w:eastAsia="zh-CN"/>
        </w:rPr>
        <w:t>镇</w:t>
      </w:r>
      <w:r>
        <w:rPr>
          <w:rFonts w:hint="eastAsia" w:ascii="宋体" w:hAnsi="宋体" w:cs="仿宋_GB2312"/>
          <w:spacing w:val="3"/>
          <w:sz w:val="32"/>
          <w:szCs w:val="32"/>
          <w:lang w:val="en-US" w:eastAsia="zh-CN"/>
        </w:rPr>
        <w:t>）</w:t>
      </w:r>
      <w:r>
        <w:rPr>
          <w:rFonts w:hint="eastAsia" w:ascii="宋体" w:hAnsi="宋体" w:eastAsia="仿宋_GB2312" w:cs="仿宋_GB2312"/>
          <w:spacing w:val="3"/>
          <w:sz w:val="32"/>
          <w:szCs w:val="32"/>
          <w:lang w:val="en-US" w:eastAsia="zh-CN"/>
        </w:rPr>
        <w:t>人民政府，经济开发区管委会，</w:t>
      </w:r>
      <w:r>
        <w:rPr>
          <w:rFonts w:hint="eastAsia" w:ascii="宋体" w:hAnsi="宋体" w:eastAsia="仿宋_GB2312" w:cs="仿宋_GB2312"/>
          <w:spacing w:val="3"/>
          <w:sz w:val="32"/>
          <w:szCs w:val="32"/>
        </w:rPr>
        <w:t>区直</w:t>
      </w:r>
      <w:r>
        <w:rPr>
          <w:rFonts w:hint="eastAsia" w:ascii="宋体" w:hAnsi="宋体" w:eastAsia="仿宋_GB2312" w:cs="仿宋_GB2312"/>
          <w:spacing w:val="3"/>
          <w:sz w:val="32"/>
          <w:szCs w:val="32"/>
          <w:lang w:eastAsia="zh-CN"/>
        </w:rPr>
        <w:t>有关</w:t>
      </w:r>
      <w:r>
        <w:rPr>
          <w:rFonts w:hint="eastAsia" w:ascii="宋体" w:hAnsi="宋体" w:eastAsia="仿宋_GB2312" w:cs="仿宋_GB2312"/>
          <w:spacing w:val="3"/>
          <w:sz w:val="32"/>
          <w:szCs w:val="32"/>
        </w:rPr>
        <w:t>部门</w:t>
      </w:r>
      <w:r>
        <w:rPr>
          <w:rFonts w:hint="eastAsia" w:ascii="宋体" w:hAnsi="宋体" w:eastAsia="仿宋_GB2312" w:cs="仿宋_GB2312"/>
          <w:spacing w:val="-12"/>
          <w:sz w:val="32"/>
          <w:szCs w:val="32"/>
        </w:rPr>
        <w:t>：</w:t>
      </w:r>
    </w:p>
    <w:p w14:paraId="14BC8BD9">
      <w:pPr>
        <w:pStyle w:val="2"/>
        <w:keepNext w:val="0"/>
        <w:keepLines w:val="0"/>
        <w:pageBreakBefore w:val="0"/>
        <w:widowControl/>
        <w:kinsoku w:val="0"/>
        <w:wordWrap/>
        <w:overflowPunct/>
        <w:topLinePunct w:val="0"/>
        <w:autoSpaceDE w:val="0"/>
        <w:autoSpaceDN w:val="0"/>
        <w:bidi w:val="0"/>
        <w:adjustRightInd w:val="0"/>
        <w:snapToGrid w:val="0"/>
        <w:spacing w:after="0" w:afterLines="0" w:line="578" w:lineRule="exact"/>
        <w:ind w:right="0" w:firstLine="644" w:firstLineChars="200"/>
        <w:textAlignment w:val="baseline"/>
        <w:rPr>
          <w:rFonts w:hint="eastAsia" w:ascii="宋体" w:hAnsi="宋体" w:eastAsia="仿宋_GB2312" w:cs="仿宋_GB2312"/>
          <w:spacing w:val="2"/>
          <w:sz w:val="32"/>
          <w:szCs w:val="32"/>
        </w:rPr>
      </w:pPr>
      <w:r>
        <w:rPr>
          <w:rFonts w:hint="eastAsia" w:ascii="宋体" w:hAnsi="宋体" w:eastAsia="仿宋_GB2312" w:cs="仿宋_GB2312"/>
          <w:spacing w:val="3"/>
          <w:sz w:val="32"/>
          <w:szCs w:val="32"/>
          <w:lang w:val="en-US" w:eastAsia="zh-CN"/>
        </w:rPr>
        <w:t>《石家庄市鹿泉区治理欠薪问题长效工作机制》</w:t>
      </w:r>
      <w:r>
        <w:rPr>
          <w:rFonts w:hint="eastAsia" w:ascii="宋体" w:hAnsi="宋体" w:eastAsia="仿宋_GB2312" w:cs="仿宋_GB2312"/>
          <w:spacing w:val="3"/>
          <w:sz w:val="32"/>
          <w:szCs w:val="32"/>
        </w:rPr>
        <w:t>已经</w:t>
      </w:r>
      <w:r>
        <w:rPr>
          <w:rFonts w:hint="eastAsia" w:ascii="宋体" w:hAnsi="宋体" w:eastAsia="仿宋_GB2312" w:cs="仿宋_GB2312"/>
          <w:spacing w:val="3"/>
          <w:sz w:val="32"/>
          <w:szCs w:val="32"/>
          <w:lang w:val="en-US" w:eastAsia="zh-CN"/>
        </w:rPr>
        <w:t>区政府同意</w:t>
      </w:r>
      <w:r>
        <w:rPr>
          <w:rFonts w:hint="eastAsia" w:ascii="宋体" w:hAnsi="宋体" w:eastAsia="仿宋_GB2312" w:cs="仿宋_GB2312"/>
          <w:spacing w:val="2"/>
          <w:sz w:val="32"/>
          <w:szCs w:val="32"/>
        </w:rPr>
        <w:t>，现印发给你们，请</w:t>
      </w:r>
      <w:r>
        <w:rPr>
          <w:rFonts w:hint="eastAsia" w:ascii="宋体" w:hAnsi="宋体" w:eastAsia="仿宋_GB2312" w:cs="仿宋_GB2312"/>
          <w:spacing w:val="2"/>
          <w:sz w:val="32"/>
          <w:szCs w:val="32"/>
          <w:lang w:eastAsia="zh-CN"/>
        </w:rPr>
        <w:t>认真</w:t>
      </w:r>
      <w:r>
        <w:rPr>
          <w:rFonts w:hint="eastAsia" w:ascii="宋体" w:hAnsi="宋体" w:eastAsia="仿宋_GB2312" w:cs="仿宋_GB2312"/>
          <w:spacing w:val="2"/>
          <w:sz w:val="32"/>
          <w:szCs w:val="32"/>
        </w:rPr>
        <w:t>抓好贯彻落实。</w:t>
      </w:r>
    </w:p>
    <w:p w14:paraId="766AB24B">
      <w:pPr>
        <w:pStyle w:val="2"/>
        <w:keepNext w:val="0"/>
        <w:keepLines w:val="0"/>
        <w:pageBreakBefore w:val="0"/>
        <w:widowControl/>
        <w:kinsoku w:val="0"/>
        <w:wordWrap/>
        <w:overflowPunct/>
        <w:topLinePunct w:val="0"/>
        <w:autoSpaceDE w:val="0"/>
        <w:autoSpaceDN w:val="0"/>
        <w:bidi w:val="0"/>
        <w:adjustRightInd w:val="0"/>
        <w:snapToGrid w:val="0"/>
        <w:spacing w:after="0" w:afterLines="0" w:line="578" w:lineRule="exact"/>
        <w:ind w:right="0"/>
        <w:textAlignment w:val="baseline"/>
        <w:rPr>
          <w:rFonts w:hint="eastAsia" w:ascii="宋体" w:hAnsi="宋体" w:eastAsia="仿宋_GB2312" w:cs="仿宋_GB2312"/>
          <w:spacing w:val="2"/>
          <w:sz w:val="32"/>
          <w:szCs w:val="32"/>
        </w:rPr>
      </w:pPr>
    </w:p>
    <w:p w14:paraId="0D0B3B51">
      <w:pPr>
        <w:pStyle w:val="2"/>
        <w:keepNext w:val="0"/>
        <w:keepLines w:val="0"/>
        <w:pageBreakBefore w:val="0"/>
        <w:widowControl/>
        <w:kinsoku w:val="0"/>
        <w:wordWrap/>
        <w:overflowPunct/>
        <w:topLinePunct w:val="0"/>
        <w:autoSpaceDE w:val="0"/>
        <w:autoSpaceDN w:val="0"/>
        <w:bidi w:val="0"/>
        <w:adjustRightInd w:val="0"/>
        <w:snapToGrid w:val="0"/>
        <w:spacing w:after="0" w:afterLines="0" w:line="578" w:lineRule="exact"/>
        <w:ind w:right="0" w:firstLine="640" w:firstLineChars="200"/>
        <w:textAlignment w:val="baseline"/>
        <w:rPr>
          <w:rFonts w:hint="eastAsia" w:ascii="宋体" w:hAnsi="宋体" w:eastAsia="仿宋_GB2312" w:cs="仿宋_GB2312"/>
          <w:spacing w:val="2"/>
          <w:sz w:val="32"/>
          <w:szCs w:val="32"/>
        </w:rPr>
      </w:pPr>
    </w:p>
    <w:p w14:paraId="35E9D6F8">
      <w:pPr>
        <w:pStyle w:val="3"/>
        <w:keepNext w:val="0"/>
        <w:keepLines w:val="0"/>
        <w:pageBreakBefore w:val="0"/>
        <w:wordWrap/>
        <w:overflowPunct/>
        <w:topLinePunct w:val="0"/>
        <w:bidi w:val="0"/>
        <w:spacing w:after="0" w:afterLines="0" w:line="578" w:lineRule="exact"/>
        <w:rPr>
          <w:rFonts w:hint="eastAsia" w:ascii="宋体" w:hAnsi="宋体"/>
        </w:rPr>
      </w:pPr>
    </w:p>
    <w:p w14:paraId="01B0C6FF">
      <w:pPr>
        <w:pStyle w:val="2"/>
        <w:keepNext w:val="0"/>
        <w:keepLines w:val="0"/>
        <w:pageBreakBefore w:val="0"/>
        <w:widowControl/>
        <w:kinsoku w:val="0"/>
        <w:wordWrap/>
        <w:overflowPunct/>
        <w:topLinePunct w:val="0"/>
        <w:autoSpaceDE w:val="0"/>
        <w:autoSpaceDN w:val="0"/>
        <w:bidi w:val="0"/>
        <w:adjustRightInd w:val="0"/>
        <w:snapToGrid w:val="0"/>
        <w:spacing w:after="0" w:afterLines="0" w:line="578" w:lineRule="exact"/>
        <w:ind w:right="0" w:firstLine="640" w:firstLineChars="200"/>
        <w:jc w:val="left"/>
        <w:textAlignment w:val="baseline"/>
        <w:rPr>
          <w:rFonts w:hint="eastAsia" w:ascii="宋体" w:hAnsi="宋体" w:eastAsia="仿宋_GB2312" w:cs="仿宋_GB2312"/>
          <w:spacing w:val="2"/>
          <w:sz w:val="32"/>
          <w:szCs w:val="32"/>
          <w:lang w:val="en-US" w:eastAsia="zh-CN"/>
        </w:rPr>
      </w:pPr>
      <w:r>
        <w:rPr>
          <w:rFonts w:hint="eastAsia" w:ascii="宋体" w:hAnsi="宋体" w:eastAsia="仿宋_GB2312" w:cs="仿宋_GB2312"/>
          <w:spacing w:val="2"/>
          <w:sz w:val="32"/>
          <w:szCs w:val="32"/>
          <w:lang w:val="en-US" w:eastAsia="zh-CN"/>
        </w:rPr>
        <w:t xml:space="preserve">                      </w:t>
      </w:r>
      <w:r>
        <w:rPr>
          <w:rFonts w:hint="eastAsia" w:ascii="宋体" w:hAnsi="宋体" w:eastAsia="仿宋_GB2312" w:cs="仿宋_GB2312"/>
          <w:spacing w:val="2"/>
          <w:sz w:val="32"/>
          <w:szCs w:val="32"/>
        </w:rPr>
        <w:t>石家庄市鹿泉区人民政府办公室</w:t>
      </w:r>
      <w:r>
        <w:rPr>
          <w:rFonts w:hint="eastAsia" w:ascii="宋体" w:hAnsi="宋体" w:eastAsia="仿宋_GB2312" w:cs="仿宋_GB2312"/>
          <w:spacing w:val="2"/>
          <w:sz w:val="32"/>
          <w:szCs w:val="32"/>
          <w:lang w:val="en-US" w:eastAsia="zh-CN"/>
        </w:rPr>
        <w:t xml:space="preserve">    </w:t>
      </w:r>
    </w:p>
    <w:p w14:paraId="1A3C8BC9">
      <w:pPr>
        <w:pStyle w:val="2"/>
        <w:keepNext w:val="0"/>
        <w:keepLines w:val="0"/>
        <w:pageBreakBefore w:val="0"/>
        <w:widowControl/>
        <w:kinsoku w:val="0"/>
        <w:wordWrap w:val="0"/>
        <w:overflowPunct/>
        <w:topLinePunct w:val="0"/>
        <w:autoSpaceDE w:val="0"/>
        <w:autoSpaceDN w:val="0"/>
        <w:bidi w:val="0"/>
        <w:adjustRightInd w:val="0"/>
        <w:snapToGrid w:val="0"/>
        <w:spacing w:after="0" w:afterLines="0" w:line="578" w:lineRule="exact"/>
        <w:ind w:right="0" w:firstLine="5372" w:firstLineChars="1700"/>
        <w:jc w:val="both"/>
        <w:textAlignment w:val="baseline"/>
        <w:rPr>
          <w:rFonts w:hint="default" w:ascii="宋体" w:hAnsi="宋体" w:eastAsia="仿宋_GB2312" w:cs="仿宋_GB2312"/>
          <w:spacing w:val="0"/>
          <w:sz w:val="32"/>
          <w:szCs w:val="32"/>
          <w:lang w:val="en-US" w:eastAsia="zh-CN"/>
        </w:rPr>
      </w:pPr>
      <w:r>
        <w:rPr>
          <w:rFonts w:hint="eastAsia" w:ascii="宋体" w:hAnsi="宋体" w:eastAsia="仿宋_GB2312" w:cs="仿宋_GB2312"/>
          <w:spacing w:val="0"/>
          <w:sz w:val="32"/>
          <w:szCs w:val="32"/>
          <w:lang w:val="en-US" w:eastAsia="zh-CN"/>
        </w:rPr>
        <w:t xml:space="preserve">2026年9月1日   </w:t>
      </w:r>
      <w:r>
        <w:rPr>
          <w:rFonts w:hint="eastAsia" w:ascii="宋体" w:hAnsi="宋体" w:cs="仿宋_GB2312"/>
          <w:spacing w:val="0"/>
          <w:sz w:val="32"/>
          <w:szCs w:val="32"/>
          <w:lang w:val="en-US" w:eastAsia="zh-CN"/>
        </w:rPr>
        <w:t xml:space="preserve"> </w:t>
      </w:r>
      <w:r>
        <w:rPr>
          <w:rFonts w:hint="eastAsia" w:ascii="宋体" w:hAnsi="宋体" w:eastAsia="仿宋_GB2312" w:cs="仿宋_GB2312"/>
          <w:spacing w:val="0"/>
          <w:sz w:val="32"/>
          <w:szCs w:val="32"/>
          <w:lang w:val="en-US" w:eastAsia="zh-CN"/>
        </w:rPr>
        <w:t xml:space="preserve"> </w:t>
      </w:r>
    </w:p>
    <w:p w14:paraId="13D15666">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eastAsia" w:ascii="宋体" w:hAnsi="宋体" w:eastAsia="方正小标宋简体" w:cs="方正小标宋简体"/>
          <w:sz w:val="44"/>
          <w:szCs w:val="44"/>
          <w:lang w:val="en-US" w:eastAsia="zh-CN"/>
        </w:rPr>
      </w:pPr>
    </w:p>
    <w:p w14:paraId="4029E8E2">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eastAsia" w:ascii="宋体" w:hAnsi="宋体" w:eastAsia="方正小标宋简体" w:cs="方正小标宋简体"/>
          <w:sz w:val="44"/>
          <w:szCs w:val="44"/>
          <w:lang w:val="en-US" w:eastAsia="zh-CN"/>
        </w:rPr>
      </w:pPr>
    </w:p>
    <w:p w14:paraId="39B884C2">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eastAsia" w:ascii="宋体" w:hAnsi="宋体" w:eastAsia="方正小标宋简体" w:cs="方正小标宋简体"/>
          <w:sz w:val="44"/>
          <w:szCs w:val="44"/>
          <w:lang w:val="en-US" w:eastAsia="zh-CN"/>
        </w:rPr>
      </w:pPr>
    </w:p>
    <w:p w14:paraId="0FBA2A17">
      <w:pPr>
        <w:pStyle w:val="2"/>
        <w:rPr>
          <w:rFonts w:hint="eastAsia"/>
          <w:lang w:val="en-US" w:eastAsia="zh-CN"/>
        </w:rPr>
      </w:pPr>
    </w:p>
    <w:p w14:paraId="1FD74C4A">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eastAsia" w:ascii="宋体" w:hAnsi="宋体" w:eastAsia="方正小标宋简体" w:cs="方正小标宋简体"/>
          <w:sz w:val="44"/>
          <w:szCs w:val="44"/>
          <w:lang w:val="en-US" w:eastAsia="zh-CN"/>
        </w:rPr>
      </w:pPr>
    </w:p>
    <w:p w14:paraId="359C5C55">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石家庄市鹿泉区治理欠薪问题长效工作机制</w:t>
      </w:r>
    </w:p>
    <w:p w14:paraId="4BF03BD4">
      <w:pPr>
        <w:keepNext w:val="0"/>
        <w:keepLines w:val="0"/>
        <w:pageBreakBefore w:val="0"/>
        <w:widowControl w:val="0"/>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p>
    <w:p w14:paraId="5DEFF4CF">
      <w:pPr>
        <w:keepNext w:val="0"/>
        <w:keepLines w:val="0"/>
        <w:pageBreakBefore w:val="0"/>
        <w:widowControl w:val="0"/>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切实扭转当前欠薪信访和投诉案件高发，特别是工程建设领域拖欠农民工工资问题频发的现状，根据《保障农民工工资支付条例》（以下简称《条例》）、《河北省保障农民工工资支付办法》等法律法规及政策精神，结合我区实际，现以工程建设领域等欠薪问题多发的重点行业为切入点，进一步明确各乡（镇、区）和行业主管部门具体责任分工与协作配合机制，建立健全源头预防、动态监管、失信惩戒相结合的制度体系，综合运用行政调解、行政处罚、联合惩戒等多种手段，切实提升欠薪案件的化解质效，特制定以下措施：</w:t>
      </w:r>
    </w:p>
    <w:p w14:paraId="3A2D8C56">
      <w:pPr>
        <w:keepNext w:val="0"/>
        <w:keepLines w:val="0"/>
        <w:pageBreakBefore w:val="0"/>
        <w:widowControl w:val="0"/>
        <w:kinsoku/>
        <w:wordWrap/>
        <w:overflowPunct/>
        <w:topLinePunct w:val="0"/>
        <w:autoSpaceDE/>
        <w:autoSpaceDN/>
        <w:bidi w:val="0"/>
        <w:adjustRightInd/>
        <w:snapToGrid/>
        <w:spacing w:line="578" w:lineRule="exact"/>
        <w:ind w:firstLine="632"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一、健全完善源头治理机制，严格落实治理欠薪各项规章制度</w:t>
      </w:r>
    </w:p>
    <w:p w14:paraId="3CEF708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（一）全面推广工程款支付担保制度。</w:t>
      </w:r>
      <w:r>
        <w:rPr>
          <w:rFonts w:hint="eastAsia" w:ascii="仿宋_GB2312" w:hAnsi="仿宋_GB2312" w:eastAsia="仿宋_GB2312" w:cs="仿宋_GB2312"/>
          <w:sz w:val="32"/>
          <w:szCs w:val="32"/>
          <w:lang w:val="en-US" w:eastAsia="zh-CN"/>
        </w:rPr>
        <w:t>政府投资工程委托代建单位实施的，可凭项目建设单位出具的建设资金落实证明及相关资料替代工程款支付担保函件，项目建设所需资金应当按照国家有关规定落实到位，不得由施工单位垫资施工。其他社会投资项目，在取得开工许可前，建设单位应当有满足施工所需要的资金安排，须向施工总承包单位提供工程款支付担保，并在合同中明确担保内容，相关资料经住建部门审核备案后方可报送行政审批部门办理施工许可。</w:t>
      </w:r>
    </w:p>
    <w:p w14:paraId="4CCC6431">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（二）严格落实劳动用工实名制管理。</w:t>
      </w:r>
      <w:r>
        <w:rPr>
          <w:rFonts w:hint="eastAsia" w:ascii="仿宋_GB2312" w:hAnsi="仿宋_GB2312" w:eastAsia="仿宋_GB2312" w:cs="仿宋_GB2312"/>
          <w:sz w:val="32"/>
          <w:szCs w:val="32"/>
          <w:lang w:val="en-US" w:eastAsia="zh-CN"/>
        </w:rPr>
        <w:t>所有在建项目按要求落实实名制管理制度。用人单位应依法与所招用农民工订立劳动合同，并完成用工实名制登记，未签订劳动合同的人员，不得进入项目现场施工。房屋建筑类等有固定施工地点的建设项目，施工现场实行封闭式管理，设置进出场门禁系统，通过采用动态人脸识别技术进行电子打卡，精准记录农民工出勤情况，考勤记录需实时上传至河北省建筑工人实名制管理平台，为农民工工资日清月结提供坚实支撑。各乡（镇、区）、住建部门等各行业主管部门应全面强化项目实名制管理的检查与落地工作，建立常态化检查机制，定期深入项目一线，确保实名制管理落到实处。对未按要求落实实名制管理制度的，由住建部门责令改正；逾期未改正的，依法依规予以处理。</w:t>
      </w:r>
    </w:p>
    <w:p w14:paraId="19D890AB">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（三）严格落实农民工工资专用账户管理制度。</w:t>
      </w:r>
      <w:r>
        <w:rPr>
          <w:rFonts w:hint="eastAsia" w:ascii="仿宋_GB2312" w:hAnsi="仿宋_GB2312" w:eastAsia="仿宋_GB2312" w:cs="仿宋_GB2312"/>
          <w:sz w:val="32"/>
          <w:szCs w:val="32"/>
          <w:lang w:val="en-US" w:eastAsia="zh-CN"/>
        </w:rPr>
        <w:t>一是全面推行农民工工资专用账户制度，总承包单位需在工程施工合同签订之日起</w:t>
      </w:r>
      <w:r>
        <w:rPr>
          <w:rFonts w:hint="eastAsia" w:ascii="宋体" w:hAnsi="宋体" w:eastAsia="宋体" w:cs="宋体"/>
          <w:sz w:val="32"/>
          <w:szCs w:val="32"/>
          <w:lang w:val="en-US" w:eastAsia="zh-CN"/>
        </w:rPr>
        <w:t>30</w:t>
      </w:r>
      <w:r>
        <w:rPr>
          <w:rFonts w:hint="eastAsia" w:ascii="仿宋_GB2312" w:hAnsi="仿宋_GB2312" w:eastAsia="仿宋_GB2312" w:cs="仿宋_GB2312"/>
          <w:sz w:val="32"/>
          <w:szCs w:val="32"/>
          <w:lang w:val="en-US" w:eastAsia="zh-CN"/>
        </w:rPr>
        <w:t>日内开立专用账户，并与建设单位、银行签订“农民工工资专用账户三方协议”，实现农民工工资与工程款分账管理，并在合同中明确规定。二是建设单位应按照工程施工合同约定的数额或比例，按时将人工费用拨付至总承包单位的专用账户，拨付周期不得超过</w:t>
      </w:r>
      <w:r>
        <w:rPr>
          <w:rFonts w:hint="eastAsia" w:ascii="宋体" w:hAnsi="宋体" w:eastAsia="宋体" w:cs="宋体"/>
          <w:sz w:val="32"/>
          <w:szCs w:val="32"/>
          <w:lang w:val="en-US" w:eastAsia="zh-CN"/>
        </w:rPr>
        <w:t>1</w:t>
      </w:r>
      <w:r>
        <w:rPr>
          <w:rFonts w:hint="eastAsia" w:ascii="仿宋_GB2312" w:hAnsi="仿宋_GB2312" w:eastAsia="仿宋_GB2312" w:cs="仿宋_GB2312"/>
          <w:sz w:val="32"/>
          <w:szCs w:val="32"/>
          <w:lang w:val="en-US" w:eastAsia="zh-CN"/>
        </w:rPr>
        <w:t>个月，且金额需确保农民工工资按月足额支付。总承包单位需依据《条例》规定，及时足额通过专用账户将工资直接支付至农民工本人的银行账户。三是人社部门、住建部门及相关行业工程建设主管部门应加强对项目落实农民工工资专用账户的监管，发现未落实专户制度的问题，及时通报人社部门，由人社部门责令改正，逾期未改正的依法依规进行处理。</w:t>
      </w:r>
    </w:p>
    <w:p w14:paraId="2ACB68E5">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（四）全面落实工资保证金管理制度。</w:t>
      </w:r>
      <w:r>
        <w:rPr>
          <w:rFonts w:hint="eastAsia" w:ascii="仿宋_GB2312" w:hAnsi="仿宋_GB2312" w:eastAsia="仿宋_GB2312" w:cs="仿宋_GB2312"/>
          <w:sz w:val="32"/>
          <w:szCs w:val="32"/>
          <w:lang w:val="en-US" w:eastAsia="zh-CN"/>
        </w:rPr>
        <w:t>工程建设项目施工总承包单位在签订合同</w:t>
      </w:r>
      <w:r>
        <w:rPr>
          <w:rFonts w:hint="eastAsia" w:ascii="宋体" w:hAnsi="宋体" w:eastAsia="宋体" w:cs="宋体"/>
          <w:sz w:val="32"/>
          <w:szCs w:val="32"/>
          <w:lang w:val="en-US" w:eastAsia="zh-CN"/>
        </w:rPr>
        <w:t>15</w:t>
      </w:r>
      <w:r>
        <w:rPr>
          <w:rFonts w:hint="eastAsia" w:ascii="仿宋_GB2312" w:hAnsi="仿宋_GB2312" w:eastAsia="仿宋_GB2312" w:cs="仿宋_GB2312"/>
          <w:sz w:val="32"/>
          <w:szCs w:val="32"/>
          <w:lang w:val="en-US" w:eastAsia="zh-CN"/>
        </w:rPr>
        <w:t>个工作日内，按照《石家庄市工程建设领域农民工工资保证金管理办法》缴纳农民工工资保证金，工资保证金实行差异化存储。住建、交通、水利等行业主管部门在日常监督检查中，如发现未按规定存储保证金的问题，应及时通报人社部门，由人社部门责令改正，逾期未改正的依法依规进行处理。</w:t>
      </w:r>
    </w:p>
    <w:p w14:paraId="3CBF40A1">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（五）严格执行应急周转金制度。</w:t>
      </w:r>
      <w:r>
        <w:rPr>
          <w:rFonts w:hint="eastAsia" w:ascii="仿宋_GB2312" w:hAnsi="仿宋_GB2312" w:eastAsia="仿宋_GB2312" w:cs="仿宋_GB2312"/>
          <w:sz w:val="32"/>
          <w:szCs w:val="32"/>
          <w:lang w:val="en-US" w:eastAsia="zh-CN"/>
        </w:rPr>
        <w:t>应急周转金由区财政局依据《石家庄市鹿泉区农民工欠薪应急周转金使用管理办法》（鹿政办函〔</w:t>
      </w:r>
      <w:r>
        <w:rPr>
          <w:rFonts w:hint="eastAsia" w:ascii="宋体" w:hAnsi="宋体" w:eastAsia="宋体" w:cs="宋体"/>
          <w:sz w:val="32"/>
          <w:szCs w:val="32"/>
          <w:lang w:val="en-US" w:eastAsia="zh-CN"/>
        </w:rPr>
        <w:t>2026</w:t>
      </w:r>
      <w:r>
        <w:rPr>
          <w:rFonts w:hint="eastAsia" w:ascii="仿宋_GB2312" w:hAnsi="仿宋_GB2312" w:eastAsia="仿宋_GB2312" w:cs="仿宋_GB2312"/>
          <w:sz w:val="32"/>
          <w:szCs w:val="32"/>
          <w:lang w:val="en-US" w:eastAsia="zh-CN"/>
        </w:rPr>
        <w:t>〕</w:t>
      </w:r>
      <w:r>
        <w:rPr>
          <w:rFonts w:hint="eastAsia" w:ascii="宋体" w:hAnsi="宋体" w:eastAsia="宋体" w:cs="宋体"/>
          <w:sz w:val="32"/>
          <w:szCs w:val="32"/>
          <w:lang w:val="en-US" w:eastAsia="zh-CN"/>
        </w:rPr>
        <w:t>1</w:t>
      </w:r>
      <w:r>
        <w:rPr>
          <w:rFonts w:hint="eastAsia" w:ascii="仿宋_GB2312" w:hAnsi="仿宋_GB2312" w:eastAsia="仿宋_GB2312" w:cs="仿宋_GB2312"/>
          <w:sz w:val="32"/>
          <w:szCs w:val="32"/>
          <w:lang w:val="en-US" w:eastAsia="zh-CN"/>
        </w:rPr>
        <w:t>号），按</w:t>
      </w:r>
      <w:r>
        <w:rPr>
          <w:rFonts w:hint="eastAsia" w:ascii="宋体" w:hAnsi="宋体" w:eastAsia="宋体" w:cs="宋体"/>
          <w:sz w:val="32"/>
          <w:szCs w:val="32"/>
          <w:lang w:val="en-US" w:eastAsia="zh-CN"/>
        </w:rPr>
        <w:t>500</w:t>
      </w:r>
      <w:r>
        <w:rPr>
          <w:rFonts w:hint="eastAsia" w:ascii="仿宋_GB2312" w:hAnsi="仿宋_GB2312" w:eastAsia="仿宋_GB2312" w:cs="仿宋_GB2312"/>
          <w:sz w:val="32"/>
          <w:szCs w:val="32"/>
          <w:lang w:val="en-US" w:eastAsia="zh-CN"/>
        </w:rPr>
        <w:t>万元标准足额安排，纳入预算管理，并转入区人社局农民工工资保证金账户实行统一管理。使用时，由处置欠薪案件的责任部门提出申请，经区人社局审核认定后报区政府批准拨付，并由区劳动保障维权中心负责监督发放。应急周转金垫付后，由责任部门负责追缴垫付本息，因企业主体不存在或其他原因造成垫付资金无法收回或无法全部收回的，由责任部门填报核销表，报区政府批准核销。区财政局需及时补足，确保资金足额储备。</w:t>
      </w:r>
    </w:p>
    <w:p w14:paraId="5AD946A2">
      <w:pPr>
        <w:keepNext w:val="0"/>
        <w:keepLines w:val="0"/>
        <w:pageBreakBefore w:val="0"/>
        <w:widowControl w:val="0"/>
        <w:kinsoku/>
        <w:wordWrap/>
        <w:overflowPunct/>
        <w:topLinePunct w:val="0"/>
        <w:autoSpaceDE/>
        <w:autoSpaceDN/>
        <w:bidi w:val="0"/>
        <w:adjustRightInd/>
        <w:snapToGrid/>
        <w:spacing w:line="578" w:lineRule="exact"/>
        <w:ind w:firstLine="632" w:firstLineChars="200"/>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二、健全完善执法监管机制，加强对欠薪问题治理的日常监督</w:t>
      </w:r>
    </w:p>
    <w:p w14:paraId="6DB2D34A">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（一）强化日常监管。</w:t>
      </w:r>
      <w:r>
        <w:rPr>
          <w:rFonts w:hint="eastAsia" w:ascii="仿宋_GB2312" w:hAnsi="仿宋_GB2312" w:eastAsia="仿宋_GB2312" w:cs="仿宋_GB2312"/>
          <w:sz w:val="32"/>
          <w:szCs w:val="32"/>
          <w:lang w:val="en-US" w:eastAsia="zh-CN"/>
        </w:rPr>
        <w:t>人社部门依托农民工工资支付监控预警云平台，对建设项目劳动用工行为实施动态监测与精准监督，将排查出的欠薪问题及时通报至有关乡（镇、区）、住建等行业主管部门；各乡（镇、区）要定期对辖区内所有建设项目及重点行业开展排查，将排查出的欠薪隐患及时通报人社、住建等相关部门；住建、交通、水利等行业主管部门，对职责范围内在建项目实行全过程、精细化管理，结合各自领域日常监督检查、专项行动等，重点排查项目实名制管理落实、工资专户按月足额支付、违法分包转包、拖欠工程款等情况，并将排查出的问题及时通报人社部门和有关乡（镇、区）。人社和各乡（镇、区）及住建等行业主管部门对本部门排查出的问题和各部门互相通报的问题要及时进行</w:t>
      </w:r>
      <w:r>
        <w:rPr>
          <w:rFonts w:hint="eastAsia" w:ascii="仿宋_GB2312" w:hAnsi="仿宋_GB2312" w:eastAsia="仿宋_GB2312" w:cs="仿宋_GB2312"/>
          <w:b/>
          <w:bCs/>
          <w:i/>
          <w:iCs/>
          <w:sz w:val="32"/>
          <w:szCs w:val="32"/>
          <w:lang w:val="en-US" w:eastAsia="zh-CN"/>
        </w:rPr>
        <w:t>处理</w:t>
      </w:r>
      <w:r>
        <w:rPr>
          <w:rFonts w:hint="eastAsia" w:ascii="仿宋_GB2312" w:hAnsi="仿宋_GB2312" w:eastAsia="仿宋_GB2312" w:cs="仿宋_GB2312"/>
          <w:sz w:val="32"/>
          <w:szCs w:val="32"/>
          <w:lang w:val="en-US" w:eastAsia="zh-CN"/>
        </w:rPr>
        <w:t>，并建立问题台账，逐案化解，将欠薪隐患化解在基层，化解在日常，消灭在萌芽状态。</w:t>
      </w:r>
    </w:p>
    <w:p w14:paraId="645A80D3">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eastAsia="宋体"/>
          <w:lang w:eastAsia="zh-CN"/>
        </w:rPr>
      </w:pPr>
      <w:r>
        <w:rPr>
          <w:rFonts w:hint="eastAsia" w:ascii="楷体_GB2312" w:hAnsi="楷体_GB2312" w:eastAsia="楷体_GB2312" w:cs="楷体_GB2312"/>
          <w:b w:val="0"/>
          <w:bCs w:val="0"/>
          <w:sz w:val="32"/>
          <w:szCs w:val="32"/>
          <w:lang w:val="en-US" w:eastAsia="zh-CN"/>
        </w:rPr>
        <w:t>（二）加强联合执法。</w:t>
      </w:r>
      <w:r>
        <w:rPr>
          <w:rFonts w:hint="eastAsia" w:ascii="仿宋_GB2312" w:hAnsi="仿宋_GB2312" w:eastAsia="仿宋_GB2312" w:cs="仿宋_GB2312"/>
          <w:sz w:val="32"/>
          <w:szCs w:val="32"/>
          <w:lang w:val="en-US" w:eastAsia="zh-CN"/>
        </w:rPr>
        <w:t>建立健全人社、乡（镇、区）、住建及其他相关责任单位共同参与的“多方共管”机制，进一步压实责任、凝聚合力，切实推动各类治理欠薪专项行动落到实处。按照省、市统一部署和工作安排，由人社部门牵头，全面统筹协调各乡（镇、区）及相关行业主管部门，共同推进治理欠薪“春季攻坚行动”“冬季治理欠薪专项行动”等专项执法工作。对重点行业和容易出现欠薪问题的企业，实施重点检查；对存在欠薪风险的企业</w:t>
      </w:r>
      <w:r>
        <w:rPr>
          <w:rFonts w:hint="eastAsia" w:ascii="仿宋_GB2312" w:hAnsi="仿宋_GB2312" w:cs="仿宋_GB2312"/>
          <w:sz w:val="32"/>
          <w:szCs w:val="32"/>
          <w:lang w:val="en-US" w:eastAsia="zh-CN"/>
        </w:rPr>
        <w:t>，要</w:t>
      </w:r>
      <w:r>
        <w:rPr>
          <w:rFonts w:hint="eastAsia" w:ascii="仿宋_GB2312" w:hAnsi="仿宋_GB2312" w:eastAsia="仿宋_GB2312" w:cs="仿宋_GB2312"/>
          <w:sz w:val="32"/>
          <w:szCs w:val="32"/>
          <w:lang w:val="en-US" w:eastAsia="zh-CN"/>
        </w:rPr>
        <w:t>提前介入，采取有效措施防止欠薪问题的发生；对在专项检查中发现的欠薪问题，要依法依规严肃处理，责令企业限期整改，并对整改情况进行跟踪复查；对拒不整改或整改不到位的企业，要依法予以处罚，并将其列入失信企业名单，实施联合惩戒。</w:t>
      </w:r>
    </w:p>
    <w:p w14:paraId="68D2B08C">
      <w:pPr>
        <w:keepNext w:val="0"/>
        <w:keepLines w:val="0"/>
        <w:pageBreakBefore w:val="0"/>
        <w:widowControl w:val="0"/>
        <w:kinsoku/>
        <w:wordWrap/>
        <w:overflowPunct/>
        <w:topLinePunct w:val="0"/>
        <w:autoSpaceDE/>
        <w:autoSpaceDN/>
        <w:bidi w:val="0"/>
        <w:adjustRightInd/>
        <w:snapToGrid/>
        <w:spacing w:line="578" w:lineRule="exact"/>
        <w:ind w:firstLine="632" w:firstLineChars="200"/>
        <w:jc w:val="both"/>
        <w:textAlignment w:val="auto"/>
        <w:rPr>
          <w:rFonts w:hint="eastAsia" w:ascii="楷体_GB2312" w:hAnsi="楷体_GB2312" w:eastAsia="楷体_GB2312" w:cs="楷体_GB2312"/>
          <w:sz w:val="32"/>
          <w:szCs w:val="32"/>
          <w:lang w:val="en-US" w:eastAsia="zh-CN"/>
        </w:rPr>
      </w:pPr>
      <w:r>
        <w:rPr>
          <w:rFonts w:hint="eastAsia" w:ascii="黑体" w:hAnsi="黑体" w:eastAsia="黑体" w:cs="黑体"/>
          <w:b w:val="0"/>
          <w:bCs w:val="0"/>
          <w:sz w:val="32"/>
          <w:szCs w:val="32"/>
          <w:lang w:val="en-US" w:eastAsia="zh-CN"/>
        </w:rPr>
        <w:t>三、健全完善分工受理机制，构建简洁高效的分类处理联合办理责任体系</w:t>
      </w:r>
    </w:p>
    <w:p w14:paraId="4A7A12B5">
      <w:pPr>
        <w:keepNext w:val="0"/>
        <w:keepLines w:val="0"/>
        <w:pageBreakBefore w:val="0"/>
        <w:widowControl w:val="0"/>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人社局公布举报投诉电话、设立接待窗口，受理欠薪案件，并接收、汇总国家、省、市平台等渠道的欠薪线索及督交办案件，按规定转办至各责任单位；各乡（镇、区）、各行业主管部门、公安机关及有建设项目的单位，也应当公布举报投诉电话，受理所属行业和辖区内的欠薪案件，对不属于本单位职责范围的，推送至相关单位，确保落实“首问首办”责任制，让群众“只跑一次腿、只进一次门”。</w:t>
      </w:r>
    </w:p>
    <w:p w14:paraId="560EA12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对举报投诉、信访、政务热线、各类平台推送、舆情等欠薪线索的受理、处置等工作责任分工明确如下：</w:t>
      </w:r>
    </w:p>
    <w:p w14:paraId="0DAF2C35">
      <w:pPr>
        <w:keepNext w:val="0"/>
        <w:keepLines w:val="0"/>
        <w:pageBreakBefore w:val="0"/>
        <w:widowControl w:val="0"/>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区人社局作为治理欠薪工作的牵头部门，负责全区治理欠薪工作的组织协调、管理指导和监督检查；负责查处有关拖欠农民工工资案件；负责上级交办、督办欠薪案件的转办、交办和反馈；负责做好涉嫌拒不支付劳动报酬犯罪案件移送工作；负责做好拖欠农民工工资“失信联合惩戒”认定和推送工作；负责协助区信</w:t>
      </w:r>
      <w:r>
        <w:rPr>
          <w:rFonts w:hint="eastAsia" w:ascii="仿宋_GB2312" w:hAnsi="仿宋_GB2312" w:cs="仿宋_GB2312"/>
          <w:sz w:val="32"/>
          <w:szCs w:val="32"/>
          <w:lang w:val="en-US" w:eastAsia="zh-CN"/>
        </w:rPr>
        <w:t>访局</w:t>
      </w:r>
      <w:r>
        <w:rPr>
          <w:rFonts w:hint="eastAsia" w:ascii="仿宋_GB2312" w:hAnsi="仿宋_GB2312" w:eastAsia="仿宋_GB2312" w:cs="仿宋_GB2312"/>
          <w:sz w:val="32"/>
          <w:szCs w:val="32"/>
          <w:lang w:val="en-US" w:eastAsia="zh-CN"/>
        </w:rPr>
        <w:t>、区督查室等部门明确欠薪事件和信访问题的主体责任单位；负责受理和处置我区工业企业、事业单位、民间团体等用人单位发生的欠薪问题及其他部门责任范围以外的欠薪问题。</w:t>
      </w:r>
    </w:p>
    <w:p w14:paraId="7D1ED10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区住建局负责受理并处置区政府及其他部门委托建设的项目、“保交楼”项目及项目管网、绿化等附属工程发生的欠薪问题，负责受理并处置解决本部门主管领域因拖欠工程款、违法分包、转包造成的欠薪问题。</w:t>
      </w:r>
    </w:p>
    <w:p w14:paraId="51A51C50">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default" w:ascii="仿宋_GB2312" w:hAnsi="仿宋_GB2312" w:eastAsia="仿宋_GB2312" w:cs="仿宋_GB2312"/>
          <w:b w:val="0"/>
          <w:bCs w:val="0"/>
          <w:i w:val="0"/>
          <w:iCs w:val="0"/>
          <w:sz w:val="32"/>
          <w:szCs w:val="32"/>
          <w:lang w:val="en-US" w:eastAsia="zh-CN"/>
        </w:rPr>
      </w:pPr>
      <w:r>
        <w:rPr>
          <w:rFonts w:hint="eastAsia" w:ascii="仿宋_GB2312" w:hAnsi="仿宋_GB2312" w:eastAsia="仿宋_GB2312" w:cs="仿宋_GB2312"/>
          <w:b w:val="0"/>
          <w:bCs w:val="0"/>
          <w:i w:val="0"/>
          <w:iCs w:val="0"/>
          <w:sz w:val="32"/>
          <w:szCs w:val="32"/>
          <w:lang w:val="en-US" w:eastAsia="zh-CN"/>
        </w:rPr>
        <w:t>（三）各乡（镇、区）负责配合人社及相关部门加强对拖欠农民工工资矛盾的排查和调处工作，防范和化解矛盾，及时调解纠纷。</w:t>
      </w:r>
    </w:p>
    <w:p w14:paraId="041B8EE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（四）区交通局、水利局、公用事业管理中心等行业主管部门负责受理并处置本行业及本部门所负责的建设工程项目发生的欠薪问题。</w:t>
      </w:r>
    </w:p>
    <w:p w14:paraId="06152114">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（五）区自规局、生态环境局、财政局、民政局、教育局、卫健局、农业农村局、综合行政执法大队、国控公司等非行业主管部门负责受理并处置本部门作为建设单位或业主方的建设工程项目发生的欠薪问题。</w:t>
      </w:r>
    </w:p>
    <w:p w14:paraId="3CA9B3B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区信访局、政府督查室负责受理并转办各类信访、督交办欠薪案件。对于涉及多个部门的疑难复杂案件，组建工作专班进行统筹协调；对于在交办过程中出现争议的事项，应征求人社部门意见后再行交办，如仍产生争议的则及时上报区政府指定责任单位，经指定责任单位不得再推诿扯皮，以确保所有案件得到妥善处置。</w:t>
      </w:r>
    </w:p>
    <w:p w14:paraId="2FBE9720">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区公安局负责受理、侦办涉嫌拒不支付劳动报酬刑事案件，依法处置因农民工工资拖欠引发的社会治安案件。提前介入不配合人社部门调查取证，人数多、影响大，以及个人携款潜逃等案件的处置工作；负责严厉打击欠薪犯罪行为。</w:t>
      </w:r>
    </w:p>
    <w:p w14:paraId="2F06AD7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eastAsia="宋体"/>
          <w:lang w:eastAsia="zh-CN"/>
        </w:rPr>
      </w:pPr>
      <w:r>
        <w:rPr>
          <w:rFonts w:hint="eastAsia" w:ascii="仿宋_GB2312" w:hAnsi="仿宋_GB2312" w:eastAsia="仿宋_GB2312" w:cs="仿宋_GB2312"/>
          <w:sz w:val="32"/>
          <w:szCs w:val="32"/>
          <w:lang w:val="en-US" w:eastAsia="zh-CN"/>
        </w:rPr>
        <w:t>对于责任部门无法单独化解的欠薪案件，责任部门应及时联同其他相关部门，进行三方及多方协同处理，人社、住建、各乡（镇、区）及其他部门需充分发挥各自行业优势，依托自身职责和掌握的资源全程参与欠薪案件办理。</w:t>
      </w:r>
    </w:p>
    <w:p w14:paraId="7F32761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四、健全完善</w:t>
      </w:r>
      <w:r>
        <w:rPr>
          <w:rFonts w:hint="eastAsia" w:ascii="黑体" w:hAnsi="黑体" w:eastAsia="黑体" w:cs="黑体"/>
          <w:sz w:val="32"/>
          <w:szCs w:val="32"/>
          <w:lang w:val="en-US" w:eastAsia="zh-CN"/>
        </w:rPr>
        <w:t>联合维稳机制，形成发挥优势协同维稳的强大合力</w:t>
      </w:r>
    </w:p>
    <w:p w14:paraId="51C37F9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val="0"/>
          <w:bCs w:val="0"/>
          <w:sz w:val="32"/>
          <w:szCs w:val="32"/>
          <w:lang w:val="en-US" w:eastAsia="zh-CN"/>
        </w:rPr>
        <w:t>（一）抓实信访隐患排查。</w:t>
      </w:r>
      <w:r>
        <w:rPr>
          <w:rFonts w:hint="eastAsia" w:ascii="仿宋_GB2312" w:hAnsi="仿宋_GB2312" w:eastAsia="仿宋_GB2312" w:cs="仿宋_GB2312"/>
          <w:kern w:val="2"/>
          <w:sz w:val="32"/>
          <w:szCs w:val="32"/>
          <w:lang w:val="en-US" w:eastAsia="zh-CN" w:bidi="ar-SA"/>
        </w:rPr>
        <w:t>人社部门、</w:t>
      </w:r>
      <w:r>
        <w:rPr>
          <w:rFonts w:hint="eastAsia" w:ascii="仿宋_GB2312" w:hAnsi="仿宋_GB2312" w:eastAsia="仿宋_GB2312" w:cs="仿宋_GB2312"/>
          <w:sz w:val="32"/>
          <w:szCs w:val="32"/>
          <w:lang w:val="en-US" w:eastAsia="zh-CN"/>
        </w:rPr>
        <w:t>各乡（镇、区）</w:t>
      </w:r>
      <w:r>
        <w:rPr>
          <w:rFonts w:hint="eastAsia" w:ascii="仿宋_GB2312" w:hAnsi="仿宋_GB2312" w:eastAsia="仿宋_GB2312" w:cs="仿宋_GB2312"/>
          <w:kern w:val="2"/>
          <w:sz w:val="32"/>
          <w:szCs w:val="32"/>
          <w:lang w:val="en-US" w:eastAsia="zh-CN" w:bidi="ar-SA"/>
        </w:rPr>
        <w:t>及住建等行业主管部门需定期开展全面细致的欠薪信访隐患排查工作，以工程建设领域为重点，对辖区内所有在建工程项目进行地毯式排查，重点检查建设单位资金拨付情况、施工总承包单位农民工工资专用账户开设情况、工资保证金存储情况以及实名制管理落实情况等。对排查中发现的可能存在欠薪信访风险的项目，建立详细的隐患台账，共同约谈相关项目负责人，做到对信访隐患的早发现、早介入、早处理。</w:t>
      </w:r>
    </w:p>
    <w:p w14:paraId="668E5B90">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eastAsia="宋体"/>
          <w:lang w:eastAsia="zh-CN"/>
        </w:rPr>
      </w:pPr>
      <w:r>
        <w:rPr>
          <w:rFonts w:hint="eastAsia" w:ascii="楷体_GB2312" w:hAnsi="楷体_GB2312" w:eastAsia="楷体_GB2312" w:cs="楷体_GB2312"/>
          <w:b w:val="0"/>
          <w:bCs w:val="0"/>
          <w:sz w:val="32"/>
          <w:szCs w:val="32"/>
          <w:lang w:val="en-US" w:eastAsia="zh-CN"/>
        </w:rPr>
        <w:t>（二）做好接访维稳工作。</w:t>
      </w:r>
      <w:r>
        <w:rPr>
          <w:rFonts w:hint="eastAsia" w:ascii="仿宋_GB2312" w:hAnsi="仿宋_GB2312" w:eastAsia="仿宋_GB2312" w:cs="仿宋_GB2312"/>
          <w:sz w:val="32"/>
          <w:szCs w:val="32"/>
          <w:lang w:val="en-US" w:eastAsia="zh-CN"/>
        </w:rPr>
        <w:t>当出现讨薪人员聚集等需接访的情况时，信访或有关部门应第一时间通知人社、各乡（镇、区）、住建等行业主管部门或项目管理部门共同派员参与接访，详细了解欠薪情况并做好登记，同时根据欠薪问题的性质及涉及部门，及时引导至责任部门</w:t>
      </w:r>
      <w:r>
        <w:rPr>
          <w:rFonts w:hint="eastAsia" w:ascii="仿宋_GB2312" w:hAnsi="仿宋_GB2312" w:cs="仿宋_GB2312"/>
          <w:sz w:val="32"/>
          <w:szCs w:val="32"/>
          <w:lang w:val="en-US" w:eastAsia="zh-CN"/>
        </w:rPr>
        <w:t>做</w:t>
      </w:r>
      <w:r>
        <w:rPr>
          <w:rFonts w:hint="eastAsia" w:ascii="仿宋_GB2312" w:hAnsi="仿宋_GB2312" w:eastAsia="仿宋_GB2312" w:cs="仿宋_GB2312"/>
          <w:sz w:val="32"/>
          <w:szCs w:val="32"/>
          <w:lang w:val="en-US" w:eastAsia="zh-CN"/>
        </w:rPr>
        <w:t>进一步处理。</w:t>
      </w:r>
    </w:p>
    <w:p w14:paraId="4C4B60EA">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（三）统筹信访化解工作。</w:t>
      </w:r>
      <w:r>
        <w:rPr>
          <w:rFonts w:hint="eastAsia" w:ascii="仿宋_GB2312" w:hAnsi="仿宋_GB2312" w:eastAsia="仿宋_GB2312" w:cs="仿宋_GB2312"/>
          <w:sz w:val="32"/>
          <w:szCs w:val="32"/>
          <w:lang w:val="en-US" w:eastAsia="zh-CN"/>
        </w:rPr>
        <w:t>各部门要密切配合，凝聚强大工作合力。人社部门凭借专业的劳动保障法律知识与调解技巧，对其他责任部门处理的欠薪信访问题给予帮助和指导，同时积极运用行政处罚、联合惩戒和移送公安等多个执法手段，推动欠薪信访案件的快速化解；各乡（镇、区）要发挥属地管理优势，对建设单位资金链断裂及工程款支付争议引发的欠薪信访案件</w:t>
      </w:r>
      <w:r>
        <w:rPr>
          <w:rFonts w:hint="eastAsia" w:ascii="仿宋_GB2312" w:hAnsi="仿宋_GB2312" w:cs="仿宋_GB2312"/>
          <w:sz w:val="32"/>
          <w:szCs w:val="32"/>
          <w:lang w:val="en-US" w:eastAsia="zh-CN"/>
        </w:rPr>
        <w:t>，要</w:t>
      </w:r>
      <w:r>
        <w:rPr>
          <w:rFonts w:hint="eastAsia" w:ascii="仿宋_GB2312" w:hAnsi="仿宋_GB2312" w:eastAsia="仿宋_GB2312" w:cs="仿宋_GB2312"/>
          <w:sz w:val="32"/>
          <w:szCs w:val="32"/>
          <w:lang w:val="en-US" w:eastAsia="zh-CN"/>
        </w:rPr>
        <w:t>积极开展沟通协调，帮助项目单位以资源置换、第三方合作、以房抵欠等方式筹集资金，优先解决被拖欠的农民工工资；住建等行业主管部门或项目管理部门要依托行业监管职能及执法手段，督促企业落实整改措施，推动欠薪问题妥善解决；发生建设单位资金链断裂、拖欠工程款数额巨大，总承包单位确实无力支付农民工工资信访问题时，应依法依规运用房屋预售监管资金予以支付。针对重大复杂的欠薪信访案件，各部门应及时向区政府汇报，通过联合会商研究解决方案，明确责任分工与时间节点，确保案件得到及时有效化解。</w:t>
      </w:r>
    </w:p>
    <w:p w14:paraId="334CCFD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五、健全完善联合惩戒机制，对恶意欠薪与恶意讨薪形成有力震慑</w:t>
      </w:r>
    </w:p>
    <w:p w14:paraId="01ECBAE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（一）对恶意欠薪行为进行严厉打击。</w:t>
      </w:r>
      <w:r>
        <w:rPr>
          <w:rFonts w:hint="eastAsia" w:ascii="仿宋_GB2312" w:hAnsi="仿宋_GB2312" w:eastAsia="仿宋_GB2312" w:cs="仿宋_GB2312"/>
          <w:sz w:val="32"/>
          <w:szCs w:val="32"/>
          <w:lang w:val="en-US" w:eastAsia="zh-CN"/>
        </w:rPr>
        <w:t>在建设领域，工程款支付到一定比例仍拖欠工资应视为有能力支付而拒不支付；对人社部门调查时不露面、联系不上或联系上但不到场处理拖欠工资问题等行为应视为涉嫌逃匿；拖欠一个人工资三个月超过</w:t>
      </w:r>
      <w:r>
        <w:rPr>
          <w:rFonts w:hint="eastAsia" w:ascii="宋体" w:hAnsi="宋体" w:eastAsia="宋体" w:cs="宋体"/>
          <w:sz w:val="32"/>
          <w:szCs w:val="32"/>
          <w:lang w:val="en-US" w:eastAsia="zh-CN"/>
        </w:rPr>
        <w:t>8000</w:t>
      </w:r>
      <w:r>
        <w:rPr>
          <w:rFonts w:hint="eastAsia" w:ascii="仿宋_GB2312" w:hAnsi="仿宋_GB2312" w:eastAsia="仿宋_GB2312" w:cs="仿宋_GB2312"/>
          <w:sz w:val="32"/>
          <w:szCs w:val="32"/>
          <w:lang w:val="en-US" w:eastAsia="zh-CN"/>
        </w:rPr>
        <w:t>元或拖欠</w:t>
      </w:r>
      <w:r>
        <w:rPr>
          <w:rFonts w:hint="eastAsia" w:ascii="宋体" w:hAnsi="宋体" w:eastAsia="宋体" w:cs="宋体"/>
          <w:sz w:val="32"/>
          <w:szCs w:val="32"/>
          <w:lang w:val="en-US" w:eastAsia="zh-CN"/>
        </w:rPr>
        <w:t>10</w:t>
      </w:r>
      <w:r>
        <w:rPr>
          <w:rFonts w:hint="eastAsia" w:ascii="仿宋_GB2312" w:hAnsi="仿宋_GB2312" w:eastAsia="仿宋_GB2312" w:cs="仿宋_GB2312"/>
          <w:sz w:val="32"/>
          <w:szCs w:val="32"/>
          <w:lang w:val="en-US" w:eastAsia="zh-CN"/>
        </w:rPr>
        <w:t>名工人工资超过</w:t>
      </w:r>
      <w:r>
        <w:rPr>
          <w:rFonts w:hint="eastAsia" w:ascii="宋体" w:hAnsi="宋体" w:eastAsia="宋体" w:cs="宋体"/>
          <w:sz w:val="32"/>
          <w:szCs w:val="32"/>
          <w:lang w:val="en-US" w:eastAsia="zh-CN"/>
        </w:rPr>
        <w:t>5</w:t>
      </w:r>
      <w:r>
        <w:rPr>
          <w:rFonts w:hint="eastAsia" w:ascii="仿宋_GB2312" w:hAnsi="仿宋_GB2312" w:eastAsia="仿宋_GB2312" w:cs="仿宋_GB2312"/>
          <w:sz w:val="32"/>
          <w:szCs w:val="32"/>
          <w:lang w:val="en-US" w:eastAsia="zh-CN"/>
        </w:rPr>
        <w:t>万元应视为拖欠数额巨大。对存在上述行为的建设施工单位相关负责人，人社部门将依法立案调查。经人社部门责令限期改正后仍拒不改正的，应移送公安部门，由公安部门以涉嫌拒不支付劳动报酬罪依法追究其刑事责任。</w:t>
      </w:r>
    </w:p>
    <w:p w14:paraId="2A2C8A1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（二）对恶意讨薪行为予以坚决整治。</w:t>
      </w:r>
      <w:r>
        <w:rPr>
          <w:rFonts w:hint="eastAsia" w:ascii="仿宋_GB2312" w:hAnsi="仿宋_GB2312" w:eastAsia="仿宋_GB2312" w:cs="仿宋_GB2312"/>
          <w:sz w:val="32"/>
          <w:szCs w:val="32"/>
          <w:lang w:val="en-US" w:eastAsia="zh-CN"/>
        </w:rPr>
        <w:t>在政府部门正常处理欠薪案件过程中，对拒不提供欠薪证据、拒不核算工资数额，采取断水断电、占领办公场地等扰乱企业生产秩序的行为，以及采取堵马路、攀爬塔吊、围堵政府机关大门等极端手段扰乱社会秩序的行为，由公安部门依法打击，切实维护正常的社会管理秩序。</w:t>
      </w:r>
    </w:p>
    <w:p w14:paraId="50F131C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（三）对重点欠薪单位实施联合惩戒。</w:t>
      </w:r>
      <w:r>
        <w:rPr>
          <w:rFonts w:hint="eastAsia" w:ascii="仿宋_GB2312" w:hAnsi="仿宋_GB2312" w:eastAsia="仿宋_GB2312" w:cs="仿宋_GB2312"/>
          <w:sz w:val="32"/>
          <w:szCs w:val="32"/>
          <w:lang w:val="en-US" w:eastAsia="zh-CN"/>
        </w:rPr>
        <w:t>对拖欠一个人工资三个月超过</w:t>
      </w:r>
      <w:r>
        <w:rPr>
          <w:rFonts w:hint="eastAsia" w:ascii="宋体" w:hAnsi="宋体" w:eastAsia="宋体" w:cs="宋体"/>
          <w:sz w:val="32"/>
          <w:szCs w:val="32"/>
          <w:lang w:val="en-US" w:eastAsia="zh-CN"/>
        </w:rPr>
        <w:t>8000</w:t>
      </w:r>
      <w:r>
        <w:rPr>
          <w:rFonts w:hint="eastAsia" w:ascii="仿宋_GB2312" w:hAnsi="仿宋_GB2312" w:eastAsia="仿宋_GB2312" w:cs="仿宋_GB2312"/>
          <w:sz w:val="32"/>
          <w:szCs w:val="32"/>
          <w:lang w:val="en-US" w:eastAsia="zh-CN"/>
        </w:rPr>
        <w:t>元或拖欠</w:t>
      </w:r>
      <w:r>
        <w:rPr>
          <w:rFonts w:hint="eastAsia" w:ascii="宋体" w:hAnsi="宋体" w:eastAsia="宋体" w:cs="宋体"/>
          <w:sz w:val="32"/>
          <w:szCs w:val="32"/>
          <w:lang w:val="en-US" w:eastAsia="zh-CN"/>
        </w:rPr>
        <w:t>10</w:t>
      </w:r>
      <w:r>
        <w:rPr>
          <w:rFonts w:hint="eastAsia" w:ascii="仿宋_GB2312" w:hAnsi="仿宋_GB2312" w:eastAsia="仿宋_GB2312" w:cs="仿宋_GB2312"/>
          <w:sz w:val="32"/>
          <w:szCs w:val="32"/>
          <w:lang w:val="en-US" w:eastAsia="zh-CN"/>
        </w:rPr>
        <w:t>名工人超过</w:t>
      </w:r>
      <w:r>
        <w:rPr>
          <w:rFonts w:hint="eastAsia" w:ascii="宋体" w:hAnsi="宋体" w:eastAsia="宋体" w:cs="宋体"/>
          <w:sz w:val="32"/>
          <w:szCs w:val="32"/>
          <w:lang w:val="en-US" w:eastAsia="zh-CN"/>
        </w:rPr>
        <w:t>5</w:t>
      </w:r>
      <w:r>
        <w:rPr>
          <w:rFonts w:hint="eastAsia" w:ascii="仿宋_GB2312" w:hAnsi="仿宋_GB2312" w:eastAsia="仿宋_GB2312" w:cs="仿宋_GB2312"/>
          <w:sz w:val="32"/>
          <w:szCs w:val="32"/>
          <w:lang w:val="en-US" w:eastAsia="zh-CN"/>
        </w:rPr>
        <w:t>万元，经人社部门责令限期改正仍拒不改正或因拖欠农民工工资违法行为引发群体性事件、极端事件造成严重不良社会影响的施工单位，由人社部门纳入联合惩戒名单。对被列入失信联合惩戒名单的当事人，由相关部门在政府资金支持、融资贷款、税收优惠、评优评先、交通出行等方面依法依规予以限制。住建部门应依据《住房城乡建设领域失信联合惩戒对象名单管理暂行办法》第十六条规定，将已列入重点关注对象名单、失信联合惩戒对象名单的信用主体纳入重点监管对象，并在行政许可、招标投标、优惠政策等方面予以限制。通过多部门共同施压，切实提升案件办理效率，有力保障农民工合法权益。</w:t>
      </w:r>
    </w:p>
    <w:p w14:paraId="39304F07">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六、健全完善责任追究机制，切实保障治理欠薪工作长效机制贯彻落实</w:t>
      </w:r>
    </w:p>
    <w:p w14:paraId="2143566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推动各项治理欠薪长效机制落地见效，对欠薪隐患排查不到位、日常监管不到位、案件交办过程中推诿扯皮的责任部门，由人社部门、信访部门、政府督查室对责任单位下发警示函，并向区级主管领导发出提醒，由区级领导督促整改；对因重视不够、久拖不决</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引发群体性事件或极端事件，造成负面社会舆情等严重社会影响的责任部门和责任人，移交区纪委监委严肃追责问责。</w:t>
      </w:r>
    </w:p>
    <w:p w14:paraId="1F616ABE">
      <w:pPr>
        <w:pStyle w:val="2"/>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cs="仿宋_GB2312"/>
          <w:spacing w:val="2"/>
          <w:sz w:val="32"/>
          <w:szCs w:val="32"/>
          <w:lang w:eastAsia="zh-CN"/>
        </w:rPr>
        <w:t>本文件自印发之日起实施，</w:t>
      </w:r>
      <w:r>
        <w:rPr>
          <w:rFonts w:hint="eastAsia" w:ascii="宋体" w:hAnsi="宋体" w:eastAsia="仿宋_GB2312" w:cs="仿宋_GB2312"/>
          <w:spacing w:val="2"/>
          <w:sz w:val="32"/>
          <w:szCs w:val="32"/>
        </w:rPr>
        <w:t>原《石家庄市鹿泉区治理欠薪问题长效工作机制》（</w:t>
      </w:r>
      <w:r>
        <w:rPr>
          <w:rFonts w:hint="eastAsia" w:ascii="宋体" w:hAnsi="宋体" w:eastAsia="仿宋_GB2312" w:cs="仿宋_GB2312"/>
          <w:spacing w:val="2"/>
          <w:sz w:val="32"/>
          <w:szCs w:val="32"/>
          <w:lang w:eastAsia="zh-CN"/>
        </w:rPr>
        <w:t>鹿政办函</w:t>
      </w:r>
      <w:r>
        <w:rPr>
          <w:rFonts w:hint="eastAsia" w:ascii="宋体" w:hAnsi="宋体" w:eastAsia="仿宋_GB2312" w:cs="仿宋_GB2312"/>
          <w:spacing w:val="2"/>
          <w:sz w:val="32"/>
          <w:szCs w:val="32"/>
        </w:rPr>
        <w:t>〔202</w:t>
      </w:r>
      <w:r>
        <w:rPr>
          <w:rFonts w:hint="eastAsia" w:ascii="宋体" w:hAnsi="宋体" w:eastAsia="仿宋_GB2312" w:cs="仿宋_GB2312"/>
          <w:spacing w:val="2"/>
          <w:sz w:val="32"/>
          <w:szCs w:val="32"/>
          <w:lang w:val="en-US" w:eastAsia="zh-CN"/>
        </w:rPr>
        <w:t>6</w:t>
      </w:r>
      <w:r>
        <w:rPr>
          <w:rFonts w:hint="eastAsia" w:ascii="宋体" w:hAnsi="宋体" w:eastAsia="仿宋_GB2312" w:cs="仿宋_GB2312"/>
          <w:spacing w:val="2"/>
          <w:sz w:val="32"/>
          <w:szCs w:val="32"/>
        </w:rPr>
        <w:t>〕</w:t>
      </w:r>
      <w:r>
        <w:rPr>
          <w:rFonts w:hint="eastAsia" w:ascii="宋体" w:hAnsi="宋体" w:eastAsia="仿宋_GB2312" w:cs="仿宋_GB2312"/>
          <w:spacing w:val="2"/>
          <w:sz w:val="32"/>
          <w:szCs w:val="32"/>
          <w:lang w:val="en-US" w:eastAsia="zh-CN"/>
        </w:rPr>
        <w:t>3号</w:t>
      </w:r>
      <w:r>
        <w:rPr>
          <w:rFonts w:hint="eastAsia" w:ascii="宋体" w:hAnsi="宋体" w:eastAsia="仿宋_GB2312" w:cs="仿宋_GB2312"/>
          <w:spacing w:val="2"/>
          <w:sz w:val="32"/>
          <w:szCs w:val="32"/>
        </w:rPr>
        <w:t>）同时废止。</w:t>
      </w:r>
    </w:p>
    <w:p w14:paraId="1428F03D">
      <w:pPr>
        <w:pStyle w:val="3"/>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4F9A27D1">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1EC11E28">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117F5777">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3A649A92">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15AC9096">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611538F4">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7D4F5C0B">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0270D2BF">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78A45F27">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723FD150">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57A6BF92">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328410DC">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6283FB6B">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01D0230F">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7211FB33">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4AA3B1E5">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55BEDE62">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748B342D">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27C682A5">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0FA4146F">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02B5E47F">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4E471E3A">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2F96DB0E">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7E66B655">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4CEA3FF0">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64A6FE95">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30993E71">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49656F93">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4309FF0B">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5F95B47E">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0B06DEDC">
      <w:pPr>
        <w:pStyle w:val="4"/>
        <w:keepNext w:val="0"/>
        <w:keepLines w:val="0"/>
        <w:pageBreakBefore w:val="0"/>
        <w:widowControl w:val="0"/>
        <w:kinsoku/>
        <w:wordWrap/>
        <w:overflowPunct/>
        <w:topLinePunct w:val="0"/>
        <w:autoSpaceDE/>
        <w:autoSpaceDN/>
        <w:bidi w:val="0"/>
        <w:spacing w:line="578" w:lineRule="exact"/>
        <w:jc w:val="both"/>
        <w:rPr>
          <w:rFonts w:hint="eastAsia" w:ascii="仿宋_GB2312" w:hAnsi="仿宋_GB2312" w:eastAsia="仿宋_GB2312" w:cs="仿宋_GB2312"/>
          <w:sz w:val="32"/>
          <w:szCs w:val="32"/>
          <w:lang w:val="en-US" w:eastAsia="zh-CN"/>
        </w:rPr>
      </w:pPr>
    </w:p>
    <w:p w14:paraId="1FBE7EF1">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123F1067">
      <w:pPr>
        <w:pStyle w:val="4"/>
        <w:keepNext w:val="0"/>
        <w:keepLines w:val="0"/>
        <w:pageBreakBefore w:val="0"/>
        <w:widowControl w:val="0"/>
        <w:kinsoku/>
        <w:wordWrap/>
        <w:overflowPunct/>
        <w:topLinePunct w:val="0"/>
        <w:autoSpaceDE/>
        <w:autoSpaceDN/>
        <w:bidi w:val="0"/>
        <w:spacing w:line="578" w:lineRule="exact"/>
        <w:jc w:val="both"/>
        <w:rPr>
          <w:rFonts w:hint="eastAsia" w:ascii="仿宋_GB2312" w:hAnsi="仿宋_GB2312" w:eastAsia="仿宋_GB2312" w:cs="仿宋_GB2312"/>
          <w:sz w:val="32"/>
          <w:szCs w:val="32"/>
          <w:lang w:val="en-US" w:eastAsia="zh-CN"/>
        </w:rPr>
      </w:pPr>
      <w:bookmarkStart w:id="0" w:name="_GoBack"/>
      <w:bookmarkEnd w:id="0"/>
    </w:p>
    <w:p w14:paraId="7FBF7BA6">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04278D9B">
      <w:pPr>
        <w:pStyle w:val="4"/>
        <w:keepNext w:val="0"/>
        <w:keepLines w:val="0"/>
        <w:pageBreakBefore w:val="0"/>
        <w:widowControl w:val="0"/>
        <w:kinsoku/>
        <w:wordWrap/>
        <w:overflowPunct/>
        <w:topLinePunct w:val="0"/>
        <w:autoSpaceDE/>
        <w:autoSpaceDN/>
        <w:bidi w:val="0"/>
        <w:spacing w:line="578" w:lineRule="exact"/>
        <w:rPr>
          <w:rFonts w:hint="eastAsia" w:ascii="仿宋_GB2312" w:hAnsi="仿宋_GB2312" w:eastAsia="仿宋_GB2312" w:cs="仿宋_GB2312"/>
          <w:sz w:val="32"/>
          <w:szCs w:val="32"/>
          <w:lang w:val="en-US" w:eastAsia="zh-CN"/>
        </w:rPr>
      </w:pPr>
    </w:p>
    <w:p w14:paraId="5443881B">
      <w:pPr>
        <w:keepNext w:val="0"/>
        <w:keepLines w:val="0"/>
        <w:pageBreakBefore w:val="0"/>
        <w:widowControl w:val="0"/>
        <w:pBdr>
          <w:top w:val="single" w:color="auto" w:sz="6" w:space="1"/>
          <w:bottom w:val="single" w:color="auto" w:sz="6" w:space="1"/>
        </w:pBdr>
        <w:kinsoku/>
        <w:wordWrap/>
        <w:overflowPunct/>
        <w:topLinePunct w:val="0"/>
        <w:autoSpaceDE/>
        <w:autoSpaceDN/>
        <w:bidi w:val="0"/>
        <w:adjustRightInd/>
        <w:snapToGrid/>
        <w:spacing w:line="578" w:lineRule="exact"/>
        <w:ind w:firstLine="316" w:firstLineChars="100"/>
        <w:jc w:val="both"/>
        <w:textAlignment w:val="center"/>
        <w:outlineLvl w:val="9"/>
        <w:rPr>
          <w:rFonts w:hint="eastAsia" w:ascii="宋体" w:hAnsi="宋体"/>
          <w:lang w:val="en-US" w:eastAsia="zh-CN"/>
        </w:rPr>
      </w:pPr>
      <w:r>
        <w:rPr>
          <w:rFonts w:hint="eastAsia" w:ascii="宋体" w:hAnsi="宋体"/>
          <w:lang w:val="en-US" w:eastAsia="zh-CN"/>
        </w:rPr>
        <w:tab/>
      </w:r>
      <w:r>
        <w:rPr>
          <w:rFonts w:hint="eastAsia" w:ascii="宋体" w:hAnsi="宋体" w:eastAsia="仿宋_GB2312" w:cs="Times New Roman"/>
          <w:b w:val="0"/>
          <w:bCs w:val="0"/>
          <w:spacing w:val="0"/>
          <w:sz w:val="28"/>
          <w:szCs w:val="28"/>
          <w:u w:val="none" w:color="auto"/>
        </w:rPr>
        <w:t>石家庄市鹿泉区</w:t>
      </w:r>
      <w:r>
        <w:rPr>
          <w:rFonts w:hint="eastAsia" w:ascii="宋体" w:hAnsi="宋体" w:eastAsia="仿宋_GB2312" w:cs="Times New Roman"/>
          <w:b w:val="0"/>
          <w:bCs w:val="0"/>
          <w:spacing w:val="0"/>
          <w:sz w:val="28"/>
          <w:szCs w:val="28"/>
          <w:u w:val="none" w:color="auto"/>
          <w:lang w:eastAsia="zh-CN"/>
        </w:rPr>
        <w:t>人民政府办公室</w:t>
      </w:r>
      <w:r>
        <w:rPr>
          <w:rFonts w:hint="eastAsia" w:ascii="宋体" w:hAnsi="宋体" w:eastAsia="仿宋_GB2312" w:cs="Times New Roman"/>
          <w:b w:val="0"/>
          <w:bCs w:val="0"/>
          <w:spacing w:val="0"/>
          <w:sz w:val="28"/>
          <w:szCs w:val="28"/>
          <w:u w:val="none" w:color="auto"/>
        </w:rPr>
        <w:t xml:space="preserve">       </w:t>
      </w:r>
      <w:r>
        <w:rPr>
          <w:rFonts w:hint="eastAsia" w:ascii="宋体" w:hAnsi="宋体" w:eastAsia="仿宋_GB2312" w:cs="Times New Roman"/>
          <w:b w:val="0"/>
          <w:bCs w:val="0"/>
          <w:spacing w:val="0"/>
          <w:sz w:val="28"/>
          <w:szCs w:val="28"/>
          <w:u w:val="none" w:color="auto"/>
          <w:lang w:val="en-US" w:eastAsia="zh-CN"/>
        </w:rPr>
        <w:t xml:space="preserve"> </w:t>
      </w:r>
      <w:r>
        <w:rPr>
          <w:rFonts w:hint="eastAsia" w:ascii="宋体" w:hAnsi="宋体" w:eastAsia="仿宋_GB2312" w:cs="Times New Roman"/>
          <w:b w:val="0"/>
          <w:bCs w:val="0"/>
          <w:spacing w:val="0"/>
          <w:sz w:val="28"/>
          <w:szCs w:val="28"/>
          <w:u w:val="none" w:color="auto"/>
        </w:rPr>
        <w:t xml:space="preserve">   </w:t>
      </w:r>
      <w:r>
        <w:rPr>
          <w:rFonts w:ascii="宋体" w:hAnsi="宋体" w:eastAsia="仿宋_GB2312" w:cs="Times New Roman"/>
          <w:b w:val="0"/>
          <w:bCs w:val="0"/>
          <w:spacing w:val="0"/>
          <w:sz w:val="28"/>
          <w:szCs w:val="28"/>
          <w:u w:val="none" w:color="auto"/>
        </w:rPr>
        <w:t>20</w:t>
      </w:r>
      <w:r>
        <w:rPr>
          <w:rFonts w:hint="eastAsia" w:ascii="宋体" w:hAnsi="宋体" w:eastAsia="仿宋_GB2312" w:cs="Times New Roman"/>
          <w:b w:val="0"/>
          <w:bCs w:val="0"/>
          <w:spacing w:val="0"/>
          <w:sz w:val="28"/>
          <w:szCs w:val="28"/>
          <w:u w:val="none" w:color="auto"/>
        </w:rPr>
        <w:t>2</w:t>
      </w:r>
      <w:r>
        <w:rPr>
          <w:rFonts w:hint="eastAsia" w:ascii="宋体" w:hAnsi="宋体" w:eastAsia="仿宋_GB2312" w:cs="Times New Roman"/>
          <w:b w:val="0"/>
          <w:bCs w:val="0"/>
          <w:spacing w:val="0"/>
          <w:sz w:val="28"/>
          <w:szCs w:val="28"/>
          <w:u w:val="none" w:color="auto"/>
          <w:lang w:val="en-US" w:eastAsia="zh-CN"/>
        </w:rPr>
        <w:t>6</w:t>
      </w:r>
      <w:r>
        <w:rPr>
          <w:rFonts w:hint="eastAsia" w:ascii="宋体" w:hAnsi="宋体" w:eastAsia="仿宋_GB2312" w:cs="Times New Roman"/>
          <w:b w:val="0"/>
          <w:bCs w:val="0"/>
          <w:spacing w:val="0"/>
          <w:sz w:val="28"/>
          <w:szCs w:val="28"/>
          <w:u w:val="none" w:color="auto"/>
        </w:rPr>
        <w:t>年</w:t>
      </w:r>
      <w:r>
        <w:rPr>
          <w:rFonts w:hint="eastAsia" w:ascii="宋体" w:hAnsi="宋体" w:eastAsia="仿宋_GB2312" w:cs="Times New Roman"/>
          <w:b w:val="0"/>
          <w:bCs w:val="0"/>
          <w:spacing w:val="0"/>
          <w:sz w:val="28"/>
          <w:szCs w:val="28"/>
          <w:u w:val="none" w:color="auto"/>
          <w:lang w:val="en-US" w:eastAsia="zh-CN"/>
        </w:rPr>
        <w:t>9</w:t>
      </w:r>
      <w:r>
        <w:rPr>
          <w:rFonts w:hint="eastAsia" w:ascii="宋体" w:hAnsi="宋体" w:eastAsia="仿宋_GB2312" w:cs="Times New Roman"/>
          <w:b w:val="0"/>
          <w:bCs w:val="0"/>
          <w:spacing w:val="0"/>
          <w:sz w:val="28"/>
          <w:szCs w:val="28"/>
          <w:u w:val="none" w:color="auto"/>
        </w:rPr>
        <w:t>月</w:t>
      </w:r>
      <w:r>
        <w:rPr>
          <w:rFonts w:hint="eastAsia" w:ascii="宋体" w:hAnsi="宋体" w:eastAsia="仿宋_GB2312" w:cs="Times New Roman"/>
          <w:b w:val="0"/>
          <w:bCs w:val="0"/>
          <w:spacing w:val="0"/>
          <w:sz w:val="28"/>
          <w:szCs w:val="28"/>
          <w:u w:val="none" w:color="auto"/>
          <w:lang w:val="en-US" w:eastAsia="zh-CN"/>
        </w:rPr>
        <w:t>1日</w:t>
      </w:r>
      <w:r>
        <w:rPr>
          <w:rFonts w:hint="eastAsia" w:ascii="宋体" w:hAnsi="宋体" w:eastAsia="仿宋_GB2312" w:cs="Times New Roman"/>
          <w:b w:val="0"/>
          <w:bCs w:val="0"/>
          <w:spacing w:val="0"/>
          <w:sz w:val="28"/>
          <w:szCs w:val="28"/>
          <w:u w:val="none" w:color="auto"/>
        </w:rPr>
        <w:t>印发</w:t>
      </w:r>
    </w:p>
    <w:sectPr>
      <w:footerReference r:id="rId3" w:type="default"/>
      <w:footerReference r:id="rId4" w:type="even"/>
      <w:pgSz w:w="11906" w:h="16838"/>
      <w:pgMar w:top="2098" w:right="1474" w:bottom="1984" w:left="1587" w:header="851" w:footer="1587" w:gutter="0"/>
      <w:pgNumType w:fmt="decimal" w:start="1"/>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C21E4A-A8B4-4772-9B3F-E7B279E5143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69E7801-F125-437A-AD2D-49A372BD3686}"/>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embedRegular r:id="rId3" w:fontKey="{20B77FB6-707C-42FA-95E6-A08EF8FFB347}"/>
  </w:font>
  <w:font w:name="方正小标宋简体">
    <w:panose1 w:val="03000509000000000000"/>
    <w:charset w:val="86"/>
    <w:family w:val="auto"/>
    <w:pitch w:val="default"/>
    <w:sig w:usb0="00000001" w:usb1="080E0000" w:usb2="00000000" w:usb3="00000000" w:csb0="00040000" w:csb1="00000000"/>
    <w:embedRegular r:id="rId4" w:fontKey="{59F2D62F-4AA0-45CD-A949-17C8553E3F2C}"/>
  </w:font>
  <w:font w:name="楷体_GB2312">
    <w:panose1 w:val="02010609030101010101"/>
    <w:charset w:val="86"/>
    <w:family w:val="auto"/>
    <w:pitch w:val="default"/>
    <w:sig w:usb0="00000001" w:usb1="080E0000" w:usb2="00000000" w:usb3="00000000" w:csb0="00040000" w:csb1="00000000"/>
    <w:embedRegular r:id="rId5" w:fontKey="{626265A5-E834-405B-BAAC-CF101CA00D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B3E1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A4776">
                          <w:pPr>
                            <w:pStyle w:val="8"/>
                            <w:keepNext w:val="0"/>
                            <w:keepLines w:val="0"/>
                            <w:pageBreakBefore w:val="0"/>
                            <w:widowControl w:val="0"/>
                            <w:kinsoku/>
                            <w:wordWrap/>
                            <w:overflowPunct/>
                            <w:topLinePunct w:val="0"/>
                            <w:bidi w:val="0"/>
                            <w:adjustRightInd/>
                            <w:snapToGrid w:val="0"/>
                            <w:ind w:left="480" w:leftChars="150" w:right="480"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54A4776">
                    <w:pPr>
                      <w:pStyle w:val="8"/>
                      <w:keepNext w:val="0"/>
                      <w:keepLines w:val="0"/>
                      <w:pageBreakBefore w:val="0"/>
                      <w:widowControl w:val="0"/>
                      <w:kinsoku/>
                      <w:wordWrap/>
                      <w:overflowPunct/>
                      <w:topLinePunct w:val="0"/>
                      <w:bidi w:val="0"/>
                      <w:adjustRightInd/>
                      <w:snapToGrid w:val="0"/>
                      <w:ind w:left="480" w:leftChars="150" w:right="480"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0C4B">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465ACD">
                          <w:pPr>
                            <w:pStyle w:val="8"/>
                            <w:keepNext w:val="0"/>
                            <w:keepLines w:val="0"/>
                            <w:pageBreakBefore w:val="0"/>
                            <w:widowControl w:val="0"/>
                            <w:kinsoku/>
                            <w:wordWrap/>
                            <w:overflowPunct/>
                            <w:topLinePunct w:val="0"/>
                            <w:bidi w:val="0"/>
                            <w:adjustRightInd/>
                            <w:snapToGrid w:val="0"/>
                            <w:ind w:left="480" w:leftChars="150" w:right="480"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465ACD">
                    <w:pPr>
                      <w:pStyle w:val="8"/>
                      <w:keepNext w:val="0"/>
                      <w:keepLines w:val="0"/>
                      <w:pageBreakBefore w:val="0"/>
                      <w:widowControl w:val="0"/>
                      <w:kinsoku/>
                      <w:wordWrap/>
                      <w:overflowPunct/>
                      <w:topLinePunct w:val="0"/>
                      <w:bidi w:val="0"/>
                      <w:adjustRightInd/>
                      <w:snapToGrid w:val="0"/>
                      <w:ind w:left="480" w:leftChars="150" w:right="480"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lang w:val="en-US" w:eastAsia="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819"/>
    <w:rsid w:val="00155EBD"/>
    <w:rsid w:val="00265142"/>
    <w:rsid w:val="00434819"/>
    <w:rsid w:val="0078129D"/>
    <w:rsid w:val="00836B62"/>
    <w:rsid w:val="00CB39B9"/>
    <w:rsid w:val="00CF0B68"/>
    <w:rsid w:val="00FB6B62"/>
    <w:rsid w:val="029413B1"/>
    <w:rsid w:val="029B5A9F"/>
    <w:rsid w:val="036A3481"/>
    <w:rsid w:val="037709BE"/>
    <w:rsid w:val="038D0690"/>
    <w:rsid w:val="03A34D06"/>
    <w:rsid w:val="04831DF5"/>
    <w:rsid w:val="053E10B1"/>
    <w:rsid w:val="063B1266"/>
    <w:rsid w:val="06445D59"/>
    <w:rsid w:val="06E63C62"/>
    <w:rsid w:val="07C6454D"/>
    <w:rsid w:val="089D6434"/>
    <w:rsid w:val="09156D1D"/>
    <w:rsid w:val="0A845338"/>
    <w:rsid w:val="0AAB2726"/>
    <w:rsid w:val="0BD017D8"/>
    <w:rsid w:val="0D0C1348"/>
    <w:rsid w:val="0D61552B"/>
    <w:rsid w:val="0D843AEA"/>
    <w:rsid w:val="0E9362A1"/>
    <w:rsid w:val="119A585C"/>
    <w:rsid w:val="11B6148E"/>
    <w:rsid w:val="12ED5700"/>
    <w:rsid w:val="131C665D"/>
    <w:rsid w:val="13323F6E"/>
    <w:rsid w:val="16035404"/>
    <w:rsid w:val="172139A4"/>
    <w:rsid w:val="18510A02"/>
    <w:rsid w:val="18D86A52"/>
    <w:rsid w:val="1906445D"/>
    <w:rsid w:val="19A92DB7"/>
    <w:rsid w:val="1AAF4905"/>
    <w:rsid w:val="1ABF5A4F"/>
    <w:rsid w:val="1C9178D6"/>
    <w:rsid w:val="1FFC62E8"/>
    <w:rsid w:val="20730DE1"/>
    <w:rsid w:val="218F00D3"/>
    <w:rsid w:val="2214075E"/>
    <w:rsid w:val="230D37EA"/>
    <w:rsid w:val="234920EA"/>
    <w:rsid w:val="23E32C16"/>
    <w:rsid w:val="267C7387"/>
    <w:rsid w:val="26A768F9"/>
    <w:rsid w:val="26C46AA5"/>
    <w:rsid w:val="279E05F2"/>
    <w:rsid w:val="2814211E"/>
    <w:rsid w:val="2AD5438B"/>
    <w:rsid w:val="2B092ED5"/>
    <w:rsid w:val="2CF626E3"/>
    <w:rsid w:val="2D28622E"/>
    <w:rsid w:val="2DA50FB0"/>
    <w:rsid w:val="30173187"/>
    <w:rsid w:val="308F7290"/>
    <w:rsid w:val="31521DC8"/>
    <w:rsid w:val="3174167B"/>
    <w:rsid w:val="31F83A57"/>
    <w:rsid w:val="33287098"/>
    <w:rsid w:val="33F54F4C"/>
    <w:rsid w:val="341653DC"/>
    <w:rsid w:val="352817AE"/>
    <w:rsid w:val="35FC5303"/>
    <w:rsid w:val="36E24DB0"/>
    <w:rsid w:val="37DE38F3"/>
    <w:rsid w:val="38524660"/>
    <w:rsid w:val="38B804F1"/>
    <w:rsid w:val="399C16AC"/>
    <w:rsid w:val="3A0430D8"/>
    <w:rsid w:val="3B2D05FB"/>
    <w:rsid w:val="3C0603DB"/>
    <w:rsid w:val="3C0A4472"/>
    <w:rsid w:val="3E0D4070"/>
    <w:rsid w:val="3F900A32"/>
    <w:rsid w:val="3FC37146"/>
    <w:rsid w:val="401069C0"/>
    <w:rsid w:val="40A138A3"/>
    <w:rsid w:val="43291C9A"/>
    <w:rsid w:val="43441E66"/>
    <w:rsid w:val="43E92A36"/>
    <w:rsid w:val="44815F70"/>
    <w:rsid w:val="45610F2D"/>
    <w:rsid w:val="46003A5D"/>
    <w:rsid w:val="48FD6FC9"/>
    <w:rsid w:val="4A0B3215"/>
    <w:rsid w:val="4A5C030F"/>
    <w:rsid w:val="4A6D7CFA"/>
    <w:rsid w:val="4AE97462"/>
    <w:rsid w:val="4B2D3AF7"/>
    <w:rsid w:val="4C224120"/>
    <w:rsid w:val="4D6F52A8"/>
    <w:rsid w:val="4FED442E"/>
    <w:rsid w:val="506128DC"/>
    <w:rsid w:val="50940F47"/>
    <w:rsid w:val="50D64E90"/>
    <w:rsid w:val="532969B9"/>
    <w:rsid w:val="533257E0"/>
    <w:rsid w:val="539C2893"/>
    <w:rsid w:val="54FD2C64"/>
    <w:rsid w:val="55880340"/>
    <w:rsid w:val="5A127D16"/>
    <w:rsid w:val="5A967A55"/>
    <w:rsid w:val="5B6F38A8"/>
    <w:rsid w:val="5CEB70E6"/>
    <w:rsid w:val="5D142BC1"/>
    <w:rsid w:val="5D887F1D"/>
    <w:rsid w:val="5E9E571C"/>
    <w:rsid w:val="5F2F7A39"/>
    <w:rsid w:val="611C7256"/>
    <w:rsid w:val="620C343A"/>
    <w:rsid w:val="620F253F"/>
    <w:rsid w:val="624D1955"/>
    <w:rsid w:val="649E5A21"/>
    <w:rsid w:val="64ED7912"/>
    <w:rsid w:val="69274633"/>
    <w:rsid w:val="6A0F144C"/>
    <w:rsid w:val="6B2C3994"/>
    <w:rsid w:val="6BC134FE"/>
    <w:rsid w:val="6D051C78"/>
    <w:rsid w:val="6D2B0539"/>
    <w:rsid w:val="70D061FB"/>
    <w:rsid w:val="71AD7C63"/>
    <w:rsid w:val="72031EC4"/>
    <w:rsid w:val="723B0EE6"/>
    <w:rsid w:val="72961C9D"/>
    <w:rsid w:val="73517F50"/>
    <w:rsid w:val="7A4324A6"/>
    <w:rsid w:val="7AA05C6D"/>
    <w:rsid w:val="7B37064E"/>
    <w:rsid w:val="7C4E4506"/>
    <w:rsid w:val="7CB41BA4"/>
    <w:rsid w:val="7DF32BCF"/>
    <w:rsid w:val="7E2E421F"/>
    <w:rsid w:val="7F233AF4"/>
    <w:rsid w:val="7F7355C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仿宋_GB2312" w:cs="Times New Roman"/>
      <w:kern w:val="2"/>
      <w:sz w:val="32"/>
      <w:szCs w:val="32"/>
      <w:lang w:val="en-US" w:eastAsia="zh-CN" w:bidi="ar-SA"/>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after="120" w:afterLines="0" w:afterAutospacing="0"/>
    </w:pPr>
  </w:style>
  <w:style w:type="paragraph" w:customStyle="1" w:styleId="3">
    <w:name w:val="正文部分 Char Char Char"/>
    <w:basedOn w:val="2"/>
    <w:next w:val="4"/>
    <w:qFormat/>
    <w:uiPriority w:val="0"/>
    <w:pPr>
      <w:adjustRightInd w:val="0"/>
      <w:snapToGrid w:val="0"/>
      <w:spacing w:line="460" w:lineRule="exact"/>
      <w:textAlignment w:val="baseline"/>
    </w:pPr>
    <w:rPr>
      <w:rFonts w:hAnsi="Calibri"/>
      <w:sz w:val="24"/>
    </w:rPr>
  </w:style>
  <w:style w:type="paragraph" w:customStyle="1" w:styleId="4">
    <w:name w:val="章标题"/>
    <w:basedOn w:val="5"/>
    <w:qFormat/>
    <w:uiPriority w:val="0"/>
    <w:pPr>
      <w:spacing w:before="0" w:after="0" w:line="360" w:lineRule="auto"/>
      <w:outlineLvl w:val="9"/>
    </w:pPr>
    <w:rPr>
      <w:rFonts w:ascii="Arial" w:hAnsi="Arial" w:eastAsia="黑体"/>
      <w:b w:val="0"/>
      <w:bCs w:val="0"/>
      <w:sz w:val="52"/>
      <w:szCs w:val="24"/>
    </w:rPr>
  </w:style>
  <w:style w:type="paragraph" w:styleId="5">
    <w:name w:val="Title"/>
    <w:basedOn w:val="1"/>
    <w:next w:val="6"/>
    <w:qFormat/>
    <w:uiPriority w:val="0"/>
    <w:pPr>
      <w:spacing w:before="240" w:after="60"/>
      <w:jc w:val="center"/>
      <w:outlineLvl w:val="0"/>
    </w:pPr>
    <w:rPr>
      <w:rFonts w:ascii="Cambria" w:hAnsi="Cambria"/>
      <w:b/>
      <w:bCs/>
      <w:sz w:val="32"/>
      <w:szCs w:val="32"/>
    </w:rPr>
  </w:style>
  <w:style w:type="paragraph" w:customStyle="1" w:styleId="6">
    <w:name w:val="Body Text Indent1"/>
    <w:basedOn w:val="1"/>
    <w:next w:val="1"/>
    <w:qFormat/>
    <w:uiPriority w:val="0"/>
    <w:rPr>
      <w:rFonts w:ascii="仿宋" w:hAnsi="仿宋"/>
    </w:rPr>
  </w:style>
  <w:style w:type="paragraph" w:styleId="7">
    <w:name w:val="Date"/>
    <w:basedOn w:val="1"/>
    <w:next w:val="1"/>
    <w:link w:val="15"/>
    <w:unhideWhenUsed/>
    <w:qFormat/>
    <w:uiPriority w:val="99"/>
    <w:pPr>
      <w:ind w:left="100" w:leftChars="2500"/>
    </w:p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3">
    <w:name w:val="Strong"/>
    <w:basedOn w:val="12"/>
    <w:qFormat/>
    <w:uiPriority w:val="22"/>
    <w:rPr>
      <w:b/>
    </w:rPr>
  </w:style>
  <w:style w:type="character" w:styleId="14">
    <w:name w:val="page number"/>
    <w:basedOn w:val="12"/>
    <w:qFormat/>
    <w:uiPriority w:val="0"/>
  </w:style>
  <w:style w:type="character" w:customStyle="1" w:styleId="15">
    <w:name w:val="日期 Char"/>
    <w:basedOn w:val="12"/>
    <w:link w:val="7"/>
    <w:semiHidden/>
    <w:qFormat/>
    <w:uiPriority w:val="99"/>
    <w:rPr>
      <w:kern w:val="2"/>
      <w:sz w:val="21"/>
      <w:szCs w:val="22"/>
    </w:rPr>
  </w:style>
  <w:style w:type="character" w:customStyle="1" w:styleId="16">
    <w:name w:val="页脚 Char"/>
    <w:basedOn w:val="12"/>
    <w:link w:val="8"/>
    <w:semiHidden/>
    <w:qFormat/>
    <w:uiPriority w:val="99"/>
    <w:rPr>
      <w:kern w:val="2"/>
      <w:sz w:val="18"/>
      <w:szCs w:val="18"/>
    </w:rPr>
  </w:style>
  <w:style w:type="character" w:customStyle="1" w:styleId="17">
    <w:name w:val="页眉 Char"/>
    <w:basedOn w:val="12"/>
    <w:link w:val="9"/>
    <w:semiHidden/>
    <w:qFormat/>
    <w:uiPriority w:val="99"/>
    <w:rPr>
      <w:kern w:val="2"/>
      <w:sz w:val="18"/>
      <w:szCs w:val="18"/>
    </w:rPr>
  </w:style>
  <w:style w:type="paragraph" w:customStyle="1" w:styleId="18">
    <w:name w:val="普通(网站)1"/>
    <w:basedOn w:val="1"/>
    <w:qFormat/>
    <w:uiPriority w:val="0"/>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2e60a351-04a3-4ad5-a048-12b773120be8</errorID>
      <errorWord>(</errorWord>
      <group>L1_Format</group>
      <groupName>格式问题</groupName>
      <ability>L2_HalfPunc_CN</ability>
      <abilityName>全半角问题</abilityName>
      <candidateList>
        <item>（</item>
      </candidateList>
      <explain>文本全半角错误。</explain>
      <paraID>74C56FA8</paraID>
      <start>2</start>
      <end>3</end>
      <status>modified</status>
      <modifiedWord>（</modifiedWord>
      <trackRevisions>false</trackRevisions>
    </reviewItem>
    <reviewItem>
      <errorID>a3f6242e-dcdb-47b5-9e48-4cc83c8f8325</errorID>
      <errorWord>)</errorWord>
      <group>L1_Format</group>
      <groupName>格式问题</groupName>
      <ability>L2_HalfPunc_CN</ability>
      <abilityName>全半角问题</abilityName>
      <candidateList>
        <item>）</item>
      </candidateList>
      <explain>文本全半角错误。</explain>
      <paraID>74C56FA8</paraID>
      <start>4</start>
      <end>5</end>
      <status>modified</status>
      <modifiedWord>）</modifiedWord>
      <trackRevisions>false</trackRevisions>
    </reviewItem>
    <reviewItem>
      <errorID>588a4132-588c-45f6-98f0-e8630a32112e</errorID>
      <errorWord>：</errorWord>
      <group>L1_Punc</group>
      <groupName>标点问题</groupName>
      <ability>L2_Punc_CN</ability>
      <abilityName>标点符号问题</abilityName>
      <candidateList>
        <item>。</item>
      </candidateList>
      <explain/>
      <paraID>5DEFF4CF</paraID>
      <start>233</start>
      <end>234</end>
      <status>ignored</status>
      <modifiedWord/>
      <trackRevisions>false</trackRevisions>
    </reviewItem>
    <reviewItem>
      <errorID>416537fd-45c2-4848-9941-6c3052d84454</errorID>
      <errorWord>“农民工工资专用账户三方协议”</errorWord>
      <group>L1_Punc</group>
      <groupName>标点问题</groupName>
      <ability>L2_Punc_CN</ability>
      <abilityName>标点符号问题</abilityName>
      <candidateList>
        <item>《农民工工资专用账户三方协议》</item>
      </candidateList>
      <explain/>
      <paraID>19D890AB</paraID>
      <start>79</start>
      <end>94</end>
      <status>ignored</status>
      <modifiedWord/>
      <trackRevisions>false</trackRevisions>
    </reviewItem>
    <reviewItem>
      <errorID>c30e97b9-2222-4bf9-9e97-763f25d324f5</errorID>
      <errorWord>，</errorWord>
      <group>L1_Word</group>
      <groupName>字词问题</groupName>
      <ability>L2_Typo</ability>
      <abilityName>字词错误</abilityName>
      <candidateList>
        <item>，要</item>
      </candidateList>
      <explain/>
      <paraID>645A80D3</paraID>
      <start>198</start>
      <end>200</end>
      <status>modified</status>
      <modifiedWord>，要</modifiedWord>
      <trackRevisions>false</trackRevisions>
    </reviewItem>
    <reviewItem>
      <errorID>2a334a0a-1a32-450e-bd26-f435cc0026cb</errorID>
      <errorWord>访</errorWord>
      <group>L1_Word</group>
      <groupName>字词问题</groupName>
      <ability>L2_Typo</ability>
      <abilityName>字词错误</abilityName>
      <candidateList>
        <item>访局</item>
      </candidateList>
      <explain/>
      <paraID> DAF2C35</paraID>
      <start>142</start>
      <end>144</end>
      <status>modified</status>
      <modifiedWord>访局</modifiedWord>
      <trackRevisions>false</trackRevisions>
    </reviewItem>
    <reviewItem>
      <errorID>e8fa5cbe-5736-457d-8062-041b4d976f28</errorID>
      <errorWord> </errorWord>
      <group>L1_Punc</group>
      <groupName>标点问题</groupName>
      <ability>L2_Punc_CN</ability>
      <abilityName>标点符号问题</abilityName>
      <candidateList>
        <item/>
      </candidateList>
      <explain>此处空格冗余，建议删除。</explain>
      <paraID>51A51C50</paraID>
      <start>56</start>
      <end>56</end>
      <status>modified</status>
      <modifiedWord/>
      <trackRevisions>false</trackRevisions>
    </reviewItem>
    <reviewItem>
      <errorID>f50b6d19-ec5e-43ff-8092-ca5f1dff2abc</errorID>
      <errorWord>联同</errorWord>
      <group>L1_Word</group>
      <groupName>字词问题</groupName>
      <ability>L2_Typo</ability>
      <abilityName>字词错误</abilityName>
      <candidateList>
        <item>联合</item>
      </candidateList>
      <explain/>
      <paraID>2F06AD78</paraID>
      <start>25</start>
      <end>27</end>
      <status>ignored</status>
      <modifiedWord/>
      <trackRevisions>false</trackRevisions>
    </reviewItem>
    <reviewItem>
      <errorID>94e5c9ee-d3de-4800-8b96-04b117443383</errorID>
      <errorWord>作</errorWord>
      <group>L1_Word</group>
      <groupName>字词问题</groupName>
      <ability>L2_Typo</ability>
      <abilityName>字词错误</abilityName>
      <candidateList>
        <item>做</item>
      </candidateList>
      <explain>存在发音相同字词的误用。</explain>
      <paraID>668E5B90</paraID>
      <start>120</start>
      <end>121</end>
      <status>modified</status>
      <modifiedWord>做</modifiedWord>
      <trackRevisions>false</trackRevisions>
    </reviewItem>
    <reviewItem>
      <errorID>4199dca5-783a-41f2-ae36-8913b4331449</errorID>
      <errorWord>，</errorWord>
      <group>L1_Word</group>
      <groupName>字词问题</groupName>
      <ability>L2_Typo</ability>
      <abilityName>字词错误</abilityName>
      <candidateList>
        <item>，要</item>
      </candidateList>
      <explain/>
      <paraID>4C4B60EA</paraID>
      <start>163</start>
      <end>165</end>
      <status>modified</status>
      <modifiedWord>，要</modifiedWord>
      <trackRevisions>false</trackRevisions>
    </reviewItem>
    <reviewItem>
      <errorID>d1d27e08-3124-401b-9617-13c55f3e26cd</errorID>
      <errorWord>、引发</errorWord>
      <group>L1_Grammar</group>
      <groupName>语法问题</groupName>
      <ability>L2_Grammar</ability>
      <abilityName>语法错误</abilityName>
      <candidateList>
        <item>、</item>
      </candidateList>
      <explain/>
      <paraID>21435661</paraID>
      <start>115</start>
      <end>116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e4abb2-c689-4d84-b4e3-f4b980795c6b}">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5251</Words>
  <Characters>5278</Characters>
  <Lines>2</Lines>
  <Paragraphs>1</Paragraphs>
  <TotalTime>3</TotalTime>
  <ScaleCrop>false</ScaleCrop>
  <LinksUpToDate>false</LinksUpToDate>
  <CharactersWithSpaces>5323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2018-01-29T05:01:00Z</dcterms:created>
  <dc:creator>Administrator</dc:creator>
  <cp:lastModifiedBy>王东</cp:lastModifiedBy>
  <cp:lastPrinted>2026-09-09T07:42:00Z</cp:lastPrinted>
  <dcterms:modified xsi:type="dcterms:W3CDTF">2026-09-21T07:09:06Z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eyJoZGlkIjoiOGEzOGE0ZDEzOWE1ZDEwNDBlOWM4ZDcwZGVkMmNmMjUiLCJ1c2VySWQiOiIyOTc2MTI1OTUifQ==</vt:lpwstr>
  </property>
  <property fmtid="{D5CDD505-2E9C-101B-9397-08002B2CF9AE}" pid="4" name="ICV">
    <vt:lpwstr>4BE63A9BA3854EC89B3290841553E365_13</vt:lpwstr>
  </property>
</Properties>
</file>