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石家庄市鹿泉区住房和城乡建设局</w:t>
      </w:r>
    </w:p>
    <w:p>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pPr>
        <w:pStyle w:val="8"/>
        <w:ind w:firstLine="480"/>
        <w:rPr>
          <w:rFonts w:hint="default"/>
        </w:rPr>
      </w:pPr>
    </w:p>
    <w:p>
      <w:pPr>
        <w:adjustRightInd w:val="0"/>
        <w:snapToGrid w:val="0"/>
        <w:spacing w:line="54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rPr>
        <w:t>石家庄市鹿泉区人民政府《关于全面实施预算绩效管理的实施意见》（鹿发〔2019〕8号）</w:t>
      </w:r>
      <w:r>
        <w:rPr>
          <w:rFonts w:hint="eastAsia" w:ascii="仿宋" w:hAnsi="仿宋" w:eastAsia="仿宋"/>
          <w:sz w:val="32"/>
          <w:szCs w:val="32"/>
        </w:rPr>
        <w:t>文件精神，遵循“科学性、规范性、客观性和公正性”的原则，我单位对2025年整体支出情况实施了财政支出绩效自评价，形成本评价报告。</w:t>
      </w:r>
    </w:p>
    <w:p>
      <w:pPr>
        <w:adjustRightInd w:val="0"/>
        <w:snapToGrid w:val="0"/>
        <w:spacing w:line="540" w:lineRule="exact"/>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一、部门</w:t>
      </w:r>
      <w:r>
        <w:rPr>
          <w:rFonts w:hint="eastAsia" w:ascii="黑体" w:hAnsi="黑体" w:eastAsia="黑体"/>
          <w:sz w:val="32"/>
          <w:szCs w:val="36"/>
        </w:rPr>
        <w:t>基本情况</w:t>
      </w:r>
    </w:p>
    <w:p>
      <w:pPr>
        <w:adjustRightInd w:val="0"/>
        <w:snapToGrid w:val="0"/>
        <w:spacing w:line="54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（一）部门概况</w:t>
      </w:r>
    </w:p>
    <w:p>
      <w:pPr>
        <w:adjustRightInd w:val="0"/>
        <w:snapToGrid w:val="0"/>
        <w:spacing w:line="540" w:lineRule="exact"/>
        <w:ind w:firstLine="640" w:firstLineChars="200"/>
        <w:rPr>
          <w:rFonts w:ascii="仿宋" w:hAnsi="仿宋" w:eastAsia="仿宋"/>
          <w:sz w:val="32"/>
          <w:szCs w:val="32"/>
        </w:rPr>
      </w:pPr>
      <w:r>
        <w:rPr>
          <w:rFonts w:hint="eastAsia" w:ascii="仿宋" w:hAnsi="仿宋" w:eastAsia="仿宋"/>
          <w:sz w:val="32"/>
          <w:szCs w:val="32"/>
        </w:rPr>
        <w:t>1、部门职能</w:t>
      </w:r>
    </w:p>
    <w:p>
      <w:pPr>
        <w:spacing w:line="540" w:lineRule="exact"/>
        <w:ind w:firstLine="480" w:firstLineChars="150"/>
        <w:rPr>
          <w:rFonts w:ascii="仿宋" w:hAnsi="仿宋" w:eastAsia="仿宋" w:cs="仿宋_GB2312"/>
          <w:bCs/>
          <w:color w:val="000000"/>
          <w:sz w:val="32"/>
          <w:szCs w:val="32"/>
        </w:rPr>
      </w:pPr>
      <w:r>
        <w:rPr>
          <w:rFonts w:hint="eastAsia" w:ascii="仿宋" w:hAnsi="仿宋" w:eastAsia="仿宋" w:cs="仿宋_GB2312"/>
          <w:bCs/>
          <w:color w:val="000000"/>
          <w:sz w:val="32"/>
          <w:szCs w:val="32"/>
        </w:rP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（二）贯彻落实党中央、国务院和省、市、区关于城市管理相关工作的方针政策和法律法规。拟订城市管理中长期发展规划和年度计划并组织实施。</w:t>
      </w:r>
    </w:p>
    <w:p>
      <w:pPr>
        <w:spacing w:line="540" w:lineRule="exact"/>
        <w:ind w:firstLine="473" w:firstLineChars="148"/>
        <w:rPr>
          <w:rFonts w:ascii="仿宋" w:hAnsi="仿宋" w:eastAsia="仿宋" w:cs="仿宋"/>
          <w:bCs/>
          <w:color w:val="000000"/>
          <w:sz w:val="32"/>
          <w:szCs w:val="32"/>
        </w:rPr>
      </w:pPr>
      <w:r>
        <w:rPr>
          <w:rFonts w:hint="eastAsia" w:ascii="仿宋" w:hAnsi="仿宋" w:eastAsia="仿宋" w:cs="仿宋_GB2312"/>
          <w:bCs/>
          <w:color w:val="000000"/>
          <w:sz w:val="32"/>
          <w:szCs w:val="32"/>
        </w:rP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(四) 负责推进住房制度改革。贯彻落实住房政策，指导住房建设，推动住房制度改革；拟订住房建设发展规划并组织实施。</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(五) 负责全区房地产市场的监督管理。贯彻落实房地产市场调控政策并监督执行；落实上级房地产业行业发展规划、产业政策和房地产开发、房屋交易、房屋租赁、房地产估价与经纪管理的规章制度并监督实施。</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(六)负责建筑市场的监督管理。落实建筑市场发展规划和管理制度并监督实施；负责建筑劳务市场管理；负责建筑业企业的监督管理；</w:t>
      </w:r>
      <w:r>
        <w:rPr>
          <w:rFonts w:hint="eastAsia" w:ascii="仿宋" w:hAnsi="仿宋" w:eastAsia="仿宋" w:cs="仿宋"/>
          <w:bCs/>
          <w:color w:val="000000"/>
          <w:sz w:val="32"/>
          <w:szCs w:val="32"/>
        </w:rPr>
        <w:t>负责建设工程消防、人防设计相关工作的监督管理。</w:t>
      </w:r>
      <w:r>
        <w:rPr>
          <w:rFonts w:hint="eastAsia" w:ascii="仿宋" w:hAnsi="仿宋" w:eastAsia="仿宋" w:cs="仿宋_GB2312"/>
          <w:bCs/>
          <w:color w:val="000000"/>
          <w:sz w:val="32"/>
          <w:szCs w:val="32"/>
        </w:rPr>
        <w:t>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(八)推进新型城镇化（国家新型城镇化综合试点）建设工作。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(十四)负责全区污水处理及污水处理行业管理工作。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(十五)负责全区燃气行业管理工作。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(十六)负责城市建设档案监督管理工作。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(十七)负责直管公有住房的资产、售房款和售后维修资金的管理工作。会同有关部门做好支油、支铁建设协调工作。会同有关部门，做好城市建设行业涉及本部门的相关专业规划的编制和实施工作。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(十八)负责住房城乡建设行业信息采集、整理、统计、分析、发布等工作。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(十九)负责城区防汛工作。研究部署城区防汛工作，开展城区防汛宣传，提高全社会的防洪减灾意识，会同有关部门做好城区自然灾害应急处置工作。</w:t>
      </w:r>
    </w:p>
    <w:p>
      <w:pPr>
        <w:spacing w:line="540" w:lineRule="exact"/>
        <w:ind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(二十)实施范围内法律法规规章规定的行政处罚权有关的行政强制措施。</w:t>
      </w:r>
    </w:p>
    <w:p>
      <w:pPr>
        <w:keepNext/>
        <w:keepLines/>
        <w:spacing w:line="540" w:lineRule="exact"/>
        <w:ind w:firstLine="640" w:firstLineChars="200"/>
        <w:jc w:val="left"/>
        <w:outlineLvl w:val="0"/>
        <w:rPr>
          <w:rFonts w:ascii="仿宋" w:hAnsi="仿宋" w:eastAsia="仿宋"/>
          <w:sz w:val="32"/>
          <w:szCs w:val="32"/>
        </w:rPr>
      </w:pPr>
      <w:r>
        <w:rPr>
          <w:rFonts w:hint="eastAsia" w:ascii="仿宋" w:hAnsi="仿宋" w:eastAsia="仿宋" w:cs="仿宋_GB2312"/>
          <w:bCs/>
          <w:color w:val="000000"/>
          <w:sz w:val="32"/>
          <w:szCs w:val="32"/>
        </w:rPr>
        <w:t>(二十一)完成区委、区政府交办的其他任务。</w:t>
      </w:r>
    </w:p>
    <w:p>
      <w:pPr>
        <w:adjustRightInd w:val="0"/>
        <w:snapToGrid w:val="0"/>
        <w:spacing w:line="540" w:lineRule="exact"/>
        <w:ind w:left="420" w:leftChars="200"/>
        <w:rPr>
          <w:rFonts w:ascii="仿宋" w:hAnsi="仿宋" w:eastAsia="仿宋" w:cs="Times New Roman"/>
          <w:sz w:val="32"/>
          <w:szCs w:val="32"/>
        </w:rPr>
      </w:pPr>
      <w:r>
        <w:rPr>
          <w:rFonts w:hint="eastAsia" w:ascii="仿宋" w:hAnsi="仿宋" w:eastAsia="仿宋"/>
          <w:sz w:val="32"/>
          <w:szCs w:val="32"/>
        </w:rPr>
        <w:t>2、组织机构及人员</w:t>
      </w:r>
    </w:p>
    <w:p>
      <w:pPr>
        <w:adjustRightInd w:val="0"/>
        <w:snapToGrid w:val="0"/>
        <w:spacing w:line="540" w:lineRule="exact"/>
        <w:ind w:left="420" w:leftChars="200" w:firstLine="640" w:firstLineChars="200"/>
      </w:pPr>
      <w:r>
        <w:rPr>
          <w:rFonts w:hint="eastAsia" w:ascii="仿宋" w:hAnsi="仿宋" w:eastAsia="仿宋" w:cs="仿宋"/>
          <w:sz w:val="32"/>
          <w:szCs w:val="32"/>
        </w:rPr>
        <w:t>石家庄市鹿泉区住房和城乡建设局为财政全额拨款一级预算单位，下属6个二级预算单位，分别为：石家庄市鹿泉区房屋征收中心、石家庄市鹿泉区城市建设服务中心、石家庄市鹿泉区住房和建设监管综合服务中心、石家庄市鹿泉区建筑业服务中心、</w:t>
      </w:r>
      <w:r>
        <w:rPr>
          <w:rFonts w:hint="eastAsia" w:ascii="仿宋" w:hAnsi="仿宋" w:eastAsia="仿宋" w:cs="仿宋"/>
          <w:color w:val="3D3D3D"/>
          <w:kern w:val="0"/>
          <w:sz w:val="32"/>
          <w:szCs w:val="32"/>
        </w:rPr>
        <w:t>石家庄市鹿泉区廉租住房和经济适用住房管理中心、石家庄市鹿泉区住房保障和房地产服务中心</w:t>
      </w:r>
      <w:r>
        <w:rPr>
          <w:rFonts w:hint="eastAsia" w:ascii="仿宋" w:hAnsi="仿宋" w:eastAsia="仿宋" w:cs="仿宋"/>
          <w:sz w:val="32"/>
          <w:szCs w:val="32"/>
        </w:rPr>
        <w:t>。我部门</w:t>
      </w:r>
      <w:r>
        <w:rPr>
          <w:rFonts w:hint="eastAsia" w:ascii="仿宋" w:hAnsi="仿宋" w:eastAsia="仿宋" w:cs="Times New Roman"/>
          <w:sz w:val="32"/>
          <w:szCs w:val="32"/>
        </w:rPr>
        <w:t>行政编制16人、行政在职15人、事业编制132人、事业在职128人。</w:t>
      </w:r>
    </w:p>
    <w:p>
      <w:pPr>
        <w:numPr>
          <w:ilvl w:val="0"/>
          <w:numId w:val="1"/>
        </w:numPr>
        <w:adjustRightInd w:val="0"/>
        <w:snapToGrid w:val="0"/>
        <w:spacing w:line="54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部门收支预决算情况</w:t>
      </w:r>
    </w:p>
    <w:p>
      <w:pPr>
        <w:adjustRightInd w:val="0"/>
        <w:snapToGrid w:val="0"/>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本部门2025年度财政拨款本年收入</w:t>
      </w:r>
      <w:r>
        <w:rPr>
          <w:rFonts w:hint="eastAsia" w:ascii="仿宋" w:hAnsi="仿宋" w:eastAsia="仿宋"/>
          <w:sz w:val="32"/>
          <w:szCs w:val="32"/>
        </w:rPr>
        <w:t>24166.03</w:t>
      </w:r>
      <w:r>
        <w:rPr>
          <w:rFonts w:hint="eastAsia" w:ascii="仿宋" w:hAnsi="仿宋" w:eastAsia="仿宋" w:cs="仿宋"/>
          <w:sz w:val="32"/>
          <w:szCs w:val="32"/>
        </w:rPr>
        <w:t>万元，完成年初预算的</w:t>
      </w:r>
      <w:r>
        <w:rPr>
          <w:rFonts w:hint="eastAsia" w:ascii="仿宋_GB2312" w:hAnsi="Times New Roman" w:eastAsia="仿宋_GB2312" w:cs="仿宋_GB2312"/>
          <w:sz w:val="32"/>
          <w:szCs w:val="32"/>
        </w:rPr>
        <w:t>89.14</w:t>
      </w:r>
      <w:r>
        <w:rPr>
          <w:rFonts w:ascii="仿宋_GB2312" w:hAnsi="Times New Roman" w:eastAsia="仿宋_GB2312" w:cs="仿宋_GB2312"/>
          <w:sz w:val="32"/>
          <w:szCs w:val="32"/>
        </w:rPr>
        <w:t>%</w:t>
      </w:r>
      <w:r>
        <w:rPr>
          <w:rFonts w:hint="eastAsia" w:ascii="仿宋" w:hAnsi="仿宋" w:eastAsia="仿宋" w:cs="仿宋"/>
          <w:sz w:val="32"/>
          <w:szCs w:val="32"/>
        </w:rPr>
        <w:t>,比年初预算减少2945.14万元，</w:t>
      </w:r>
      <w:r>
        <w:rPr>
          <w:rFonts w:hint="eastAsia" w:ascii="仿宋_GB2312" w:hAnsi="Times New Roman" w:eastAsia="仿宋_GB2312" w:cs="仿宋_GB2312"/>
          <w:sz w:val="32"/>
          <w:szCs w:val="32"/>
        </w:rPr>
        <w:t>决算数小于预算数主要原因是</w:t>
      </w:r>
      <w:r>
        <w:rPr>
          <w:rFonts w:hint="eastAsia" w:ascii="仿宋" w:hAnsi="仿宋" w:eastAsia="仿宋"/>
          <w:sz w:val="32"/>
          <w:szCs w:val="32"/>
        </w:rPr>
        <w:t>基础设施建设项目减少</w:t>
      </w:r>
      <w:r>
        <w:rPr>
          <w:rFonts w:hint="eastAsia" w:ascii="仿宋" w:hAnsi="仿宋" w:eastAsia="仿宋" w:cs="仿宋"/>
          <w:sz w:val="32"/>
          <w:szCs w:val="32"/>
        </w:rPr>
        <w:t>；</w:t>
      </w:r>
      <w:r>
        <w:rPr>
          <w:rFonts w:hint="eastAsia" w:ascii="仿宋_GB2312" w:hAnsi="Times New Roman" w:eastAsia="仿宋_GB2312" w:cs="仿宋_GB2312"/>
          <w:sz w:val="32"/>
          <w:szCs w:val="32"/>
        </w:rPr>
        <w:t>本年支出</w:t>
      </w:r>
      <w:r>
        <w:rPr>
          <w:rFonts w:hint="eastAsia" w:ascii="仿宋" w:hAnsi="仿宋" w:eastAsia="仿宋"/>
          <w:sz w:val="32"/>
          <w:szCs w:val="32"/>
        </w:rPr>
        <w:t>24166.16</w:t>
      </w:r>
      <w:r>
        <w:rPr>
          <w:rFonts w:hint="eastAsia" w:ascii="仿宋_GB2312" w:hAnsi="Times New Roman" w:eastAsia="仿宋_GB2312" w:cs="仿宋_GB2312"/>
          <w:sz w:val="32"/>
          <w:szCs w:val="32"/>
        </w:rPr>
        <w:t>万元，完成年初预算的89.14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w:t>
      </w:r>
      <w:r>
        <w:rPr>
          <w:rFonts w:hint="eastAsia" w:ascii="仿宋" w:hAnsi="仿宋" w:eastAsia="仿宋"/>
          <w:sz w:val="32"/>
          <w:szCs w:val="32"/>
        </w:rPr>
        <w:t>减少2945.01</w:t>
      </w:r>
      <w:r>
        <w:rPr>
          <w:rFonts w:hint="eastAsia" w:ascii="仿宋_GB2312" w:hAnsi="Times New Roman" w:eastAsia="仿宋_GB2312" w:cs="仿宋_GB2312"/>
          <w:sz w:val="32"/>
          <w:szCs w:val="32"/>
        </w:rPr>
        <w:t>万元，决算数小于预算数主要原因是</w:t>
      </w:r>
      <w:r>
        <w:rPr>
          <w:rFonts w:hint="eastAsia" w:ascii="仿宋" w:hAnsi="仿宋" w:eastAsia="仿宋"/>
          <w:sz w:val="32"/>
          <w:szCs w:val="32"/>
        </w:rPr>
        <w:t>基础设施建设项目减少</w:t>
      </w:r>
      <w:r>
        <w:rPr>
          <w:rFonts w:hint="eastAsia" w:ascii="仿宋_GB2312" w:hAnsi="Times New Roman" w:eastAsia="仿宋_GB2312" w:cs="仿宋_GB2312"/>
          <w:sz w:val="32"/>
          <w:szCs w:val="32"/>
        </w:rPr>
        <w:t>。</w:t>
      </w:r>
      <w:r>
        <w:rPr>
          <w:rFonts w:hint="eastAsia" w:ascii="仿宋" w:hAnsi="仿宋" w:eastAsia="仿宋" w:cs="仿宋"/>
          <w:sz w:val="32"/>
          <w:szCs w:val="32"/>
        </w:rPr>
        <w:t>具体情况如下：</w:t>
      </w:r>
    </w:p>
    <w:p>
      <w:pPr>
        <w:adjustRightInd w:val="0"/>
        <w:snapToGrid w:val="0"/>
        <w:spacing w:line="54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一般公共预算财政拨款本年收入完成年初预算127.23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，比年初预算增加3405.59万元，主要是一般预算财政拨款</w:t>
      </w:r>
      <w:r>
        <w:rPr>
          <w:rFonts w:hint="eastAsia" w:ascii="仿宋_GB2312" w:hAnsi="Times New Roman" w:eastAsia="仿宋_GB2312" w:cs="Wingdings"/>
          <w:sz w:val="32"/>
          <w:szCs w:val="32"/>
        </w:rPr>
        <w:t>项目资金增加</w:t>
      </w:r>
      <w:r>
        <w:rPr>
          <w:rFonts w:hint="eastAsia" w:ascii="仿宋_GB2312" w:hAnsi="Times New Roman" w:eastAsia="仿宋_GB2312" w:cs="仿宋_GB2312"/>
          <w:sz w:val="32"/>
          <w:szCs w:val="32"/>
        </w:rPr>
        <w:t>；支出完成年初预算127.23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，比年初预算增加3405.72万元，主要是一般预算财政拨款</w:t>
      </w:r>
      <w:r>
        <w:rPr>
          <w:rFonts w:hint="eastAsia" w:ascii="仿宋_GB2312" w:hAnsi="Times New Roman" w:eastAsia="仿宋_GB2312" w:cs="Wingdings"/>
          <w:sz w:val="32"/>
          <w:szCs w:val="32"/>
        </w:rPr>
        <w:t>项目资金增加</w:t>
      </w:r>
      <w:r>
        <w:rPr>
          <w:rFonts w:hint="eastAsia" w:ascii="仿宋_GB2312" w:hAnsi="Times New Roman" w:eastAsia="仿宋_GB2312" w:cs="仿宋_GB2312"/>
          <w:sz w:val="32"/>
          <w:szCs w:val="32"/>
        </w:rPr>
        <w:t>。</w:t>
      </w:r>
    </w:p>
    <w:p>
      <w:pPr>
        <w:adjustRightInd w:val="0"/>
        <w:snapToGrid w:val="0"/>
        <w:spacing w:line="540" w:lineRule="exact"/>
        <w:ind w:firstLine="640" w:firstLineChars="200"/>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政府性基金预算财政拨款本年收入完成年初预算56.52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，比年初预算增加3405.72万元，主要是调整部门预算；支出完成年初预算56.51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，比年初预算减少6350.73万元，主要是调整部门预算。</w:t>
      </w:r>
    </w:p>
    <w:p>
      <w:pPr>
        <w:adjustRightInd w:val="0"/>
        <w:snapToGrid w:val="0"/>
        <w:spacing w:line="54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（三）部门整体支出绩效目标、指标</w:t>
      </w:r>
    </w:p>
    <w:p>
      <w:pPr>
        <w:adjustRightInd w:val="0"/>
        <w:snapToGrid w:val="0"/>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部门总目标：细化预算编制工作，认真做好预算编制；加强财务管理，严格财务审核；抓好“三公经费”控制管理，确保各项业务工作任务圆满完成。</w:t>
      </w:r>
    </w:p>
    <w:p>
      <w:pPr>
        <w:adjustRightInd w:val="0"/>
        <w:snapToGrid w:val="0"/>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预决算公开：2025年按照上级要求，我部门在政府网站进行了预决算公开。</w:t>
      </w:r>
    </w:p>
    <w:p>
      <w:pPr>
        <w:adjustRightInd w:val="0"/>
        <w:snapToGrid w:val="0"/>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资产管理：我部门进一步加强资产的管理，制定了《资产管理内控制度》等制度，明确了具体责任人，完善了固定资产档案，严格报批、销审等手续，做好资产登记工作，单位无任何资产流失现象。</w:t>
      </w:r>
    </w:p>
    <w:p>
      <w:pPr>
        <w:adjustRightInd w:val="0"/>
        <w:snapToGrid w:val="0"/>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三公经费控制情况：我部门贯彻落实上级有关精神，严格控制“三公经费”支出，取得了良好的效果。具体情况如下：本部门2025年度“三公”经费财政拨款支出预算为</w:t>
      </w:r>
      <w:r>
        <w:rPr>
          <w:rFonts w:hint="eastAsia" w:ascii="仿宋_GB2312" w:hAnsi="Times New Roman" w:eastAsia="仿宋_GB2312" w:cs="仿宋_GB2312"/>
          <w:sz w:val="32"/>
          <w:szCs w:val="32"/>
        </w:rPr>
        <w:t>16.2</w:t>
      </w:r>
      <w:r>
        <w:rPr>
          <w:rFonts w:hint="eastAsia" w:ascii="仿宋" w:hAnsi="仿宋" w:eastAsia="仿宋" w:cs="仿宋"/>
          <w:sz w:val="32"/>
          <w:szCs w:val="32"/>
        </w:rPr>
        <w:t>万元，支出决算为</w:t>
      </w:r>
      <w:r>
        <w:rPr>
          <w:rFonts w:hint="eastAsia" w:ascii="仿宋_GB2312" w:hAnsi="Times New Roman" w:eastAsia="仿宋_GB2312" w:cs="仿宋_GB2312"/>
          <w:sz w:val="32"/>
          <w:szCs w:val="32"/>
        </w:rPr>
        <w:t>13.02</w:t>
      </w:r>
      <w:r>
        <w:rPr>
          <w:rFonts w:hint="eastAsia" w:ascii="仿宋" w:hAnsi="仿宋" w:eastAsia="仿宋" w:cs="仿宋"/>
          <w:sz w:val="32"/>
          <w:szCs w:val="32"/>
        </w:rPr>
        <w:t>万元，</w:t>
      </w:r>
      <w:r>
        <w:rPr>
          <w:rFonts w:hint="eastAsia" w:ascii="仿宋_GB2312" w:hAnsi="Times New Roman" w:eastAsia="仿宋_GB2312" w:cs="仿宋_GB2312"/>
          <w:sz w:val="32"/>
          <w:szCs w:val="32"/>
        </w:rPr>
        <w:t>完成预算的80.37</w:t>
      </w:r>
      <w:r>
        <w:rPr>
          <w:rFonts w:ascii="仿宋_GB2312" w:hAnsi="Times New Roman" w:eastAsia="仿宋_GB2312" w:cs="仿宋_GB2312"/>
          <w:sz w:val="32"/>
          <w:szCs w:val="32"/>
        </w:rPr>
        <w:t>%</w:t>
      </w:r>
      <w:r>
        <w:rPr>
          <w:rFonts w:hint="eastAsia" w:ascii="仿宋" w:hAnsi="仿宋" w:eastAsia="仿宋" w:cs="仿宋"/>
          <w:sz w:val="32"/>
          <w:szCs w:val="32"/>
        </w:rPr>
        <w:t>,</w:t>
      </w:r>
      <w:r>
        <w:rPr>
          <w:rFonts w:hint="eastAsia" w:ascii="仿宋_GB2312" w:hAnsi="Times New Roman" w:eastAsia="仿宋_GB2312" w:cs="仿宋_GB2312"/>
          <w:sz w:val="32"/>
          <w:szCs w:val="32"/>
        </w:rPr>
        <w:t>较预算减少3.18万元，降低19.6</w:t>
      </w:r>
      <w:r>
        <w:rPr>
          <w:rFonts w:ascii="仿宋_GB2312" w:hAnsi="Times New Roman" w:eastAsia="仿宋_GB2312" w:cs="仿宋_GB2312"/>
          <w:sz w:val="32"/>
          <w:szCs w:val="32"/>
        </w:rPr>
        <w:t>%</w:t>
      </w:r>
      <w:r>
        <w:rPr>
          <w:rFonts w:hint="eastAsia" w:ascii="仿宋" w:hAnsi="仿宋" w:eastAsia="仿宋" w:cs="仿宋"/>
          <w:sz w:val="32"/>
          <w:szCs w:val="32"/>
        </w:rPr>
        <w:t>，主要是厉行节约从严控制公务用车；</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rPr>
        <w:t>4年度决算减少2.82万元，降低1.78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rPr>
        <w:t>厉行节约，</w:t>
      </w:r>
      <w:r>
        <w:rPr>
          <w:rFonts w:hint="eastAsia" w:ascii="仿宋_GB2312" w:eastAsia="仿宋_GB2312" w:cs="DengXian-Regular"/>
          <w:sz w:val="32"/>
          <w:szCs w:val="32"/>
        </w:rPr>
        <w:t>从严控制“三公”经费开支</w:t>
      </w:r>
      <w:r>
        <w:rPr>
          <w:rFonts w:hint="eastAsia" w:ascii="仿宋_GB2312" w:hAnsi="Times New Roman" w:eastAsia="仿宋_GB2312" w:cs="仿宋_GB2312"/>
          <w:sz w:val="32"/>
          <w:szCs w:val="32"/>
        </w:rPr>
        <w:t>。</w:t>
      </w:r>
    </w:p>
    <w:p>
      <w:pPr>
        <w:pStyle w:val="8"/>
        <w:spacing w:line="540" w:lineRule="exact"/>
        <w:ind w:firstLine="640"/>
        <w:rPr>
          <w:rFonts w:hint="default" w:ascii="仿宋" w:hAnsi="仿宋" w:eastAsia="仿宋" w:cs="仿宋"/>
          <w:sz w:val="32"/>
          <w:szCs w:val="32"/>
        </w:rPr>
      </w:pPr>
      <w:r>
        <w:rPr>
          <w:rFonts w:ascii="仿宋" w:hAnsi="仿宋" w:eastAsia="仿宋" w:cs="仿宋"/>
          <w:sz w:val="32"/>
          <w:szCs w:val="32"/>
        </w:rPr>
        <w:t>内部管理制度建设：健全单位财务管理制度，制订内部控制管理制度，加强合理使用和管理；制定内部监督检查制度，强化内部制度执行的监督管理。</w:t>
      </w:r>
    </w:p>
    <w:p>
      <w:pPr>
        <w:pStyle w:val="8"/>
        <w:spacing w:line="540" w:lineRule="exact"/>
        <w:ind w:firstLine="640"/>
        <w:rPr>
          <w:rFonts w:hint="default" w:ascii="仿宋" w:hAnsi="仿宋" w:eastAsia="仿宋" w:cs="仿宋"/>
          <w:sz w:val="32"/>
          <w:szCs w:val="32"/>
        </w:rPr>
      </w:pPr>
      <w:r>
        <w:rPr>
          <w:rFonts w:ascii="仿宋" w:hAnsi="仿宋" w:eastAsia="仿宋" w:cs="仿宋"/>
          <w:sz w:val="32"/>
          <w:szCs w:val="32"/>
        </w:rPr>
        <w:t>项目绩效总目标完成情况：2025年我部门完成各项工作任务。</w:t>
      </w:r>
    </w:p>
    <w:p>
      <w:pPr>
        <w:pStyle w:val="8"/>
        <w:spacing w:line="540" w:lineRule="exact"/>
        <w:ind w:firstLine="640"/>
        <w:rPr>
          <w:rFonts w:hint="default" w:ascii="仿宋" w:hAnsi="仿宋" w:eastAsia="仿宋" w:cs="仿宋"/>
          <w:sz w:val="32"/>
          <w:szCs w:val="32"/>
        </w:rPr>
      </w:pPr>
      <w:r>
        <w:rPr>
          <w:rFonts w:ascii="仿宋" w:hAnsi="仿宋" w:eastAsia="仿宋" w:cs="仿宋"/>
          <w:sz w:val="32"/>
          <w:szCs w:val="32"/>
        </w:rPr>
        <w:t>从整体情况来看，严格按照年初预算进行部门整体支出。在支出过程中，能严格遵守各项规章制度。</w:t>
      </w:r>
    </w:p>
    <w:p>
      <w:pPr>
        <w:adjustRightInd w:val="0"/>
        <w:snapToGrid w:val="0"/>
        <w:spacing w:line="54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40" w:lineRule="exact"/>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spacing w:line="540" w:lineRule="exact"/>
        <w:ind w:firstLine="640" w:firstLineChars="200"/>
        <w:rPr>
          <w:rFonts w:ascii="仿宋" w:hAnsi="仿宋" w:eastAsia="仿宋"/>
          <w:sz w:val="32"/>
          <w:szCs w:val="32"/>
        </w:rPr>
      </w:pPr>
      <w:r>
        <w:rPr>
          <w:rFonts w:hint="eastAsia" w:ascii="仿宋" w:hAnsi="仿宋" w:eastAsia="仿宋"/>
          <w:sz w:val="32"/>
          <w:szCs w:val="32"/>
        </w:rPr>
        <w:t xml:space="preserve"> 严格落实《预算法》及省、市、区绩效管理工作的有关规定，通过开展部门整体支出绩效评价，促进部门整体预算绩效管理工作水平的提升，强化部门支出责任，规范资金管理行为，提高财政资金使用效益，保障部门更好地履行职责。</w:t>
      </w:r>
    </w:p>
    <w:p>
      <w:pPr>
        <w:pStyle w:val="8"/>
        <w:spacing w:line="540" w:lineRule="exact"/>
        <w:ind w:firstLine="640"/>
        <w:rPr>
          <w:rFonts w:hint="default" w:ascii="仿宋" w:hAnsi="仿宋" w:eastAsia="仿宋"/>
          <w:sz w:val="32"/>
          <w:szCs w:val="32"/>
        </w:rPr>
      </w:pPr>
      <w:r>
        <w:rPr>
          <w:rFonts w:ascii="仿宋" w:hAnsi="仿宋" w:eastAsia="仿宋"/>
          <w:sz w:val="32"/>
          <w:szCs w:val="32"/>
        </w:rPr>
        <w:t>根据区财政局《关于开展2026年绩效自评工作的通知》相关要求，对2025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2025年区级预算项目进行自查自评，形成绩效评价报告。</w:t>
      </w:r>
    </w:p>
    <w:p>
      <w:pPr>
        <w:numPr>
          <w:ilvl w:val="0"/>
          <w:numId w:val="2"/>
        </w:numPr>
        <w:spacing w:line="540" w:lineRule="exact"/>
        <w:rPr>
          <w:rFonts w:ascii="仿宋" w:hAnsi="仿宋" w:eastAsia="仿宋" w:cs="楷体_GB2312"/>
          <w:b/>
          <w:bCs/>
          <w:sz w:val="32"/>
          <w:szCs w:val="32"/>
        </w:rPr>
      </w:pPr>
      <w:r>
        <w:rPr>
          <w:rFonts w:hint="eastAsia" w:ascii="仿宋" w:hAnsi="仿宋" w:eastAsia="仿宋" w:cs="楷体_GB2312"/>
          <w:b/>
          <w:bCs/>
          <w:sz w:val="32"/>
          <w:szCs w:val="32"/>
        </w:rPr>
        <w:t>自评的方法和过程</w:t>
      </w:r>
    </w:p>
    <w:p>
      <w:pPr>
        <w:pStyle w:val="8"/>
        <w:spacing w:line="540" w:lineRule="exact"/>
        <w:ind w:firstLine="640"/>
        <w:rPr>
          <w:rFonts w:hint="default" w:ascii="仿宋" w:hAnsi="仿宋" w:eastAsia="仿宋" w:cs="仿宋"/>
          <w:sz w:val="32"/>
          <w:szCs w:val="32"/>
        </w:rPr>
      </w:pPr>
      <w:r>
        <w:rPr>
          <w:rFonts w:ascii="仿宋" w:hAnsi="仿宋" w:eastAsia="仿宋" w:cs="仿宋"/>
          <w:sz w:val="32"/>
          <w:szCs w:val="32"/>
        </w:rPr>
        <w:t>绩效自评方法和过程主要如下：</w:t>
      </w:r>
    </w:p>
    <w:p>
      <w:pPr>
        <w:pStyle w:val="8"/>
        <w:numPr>
          <w:ilvl w:val="0"/>
          <w:numId w:val="3"/>
        </w:numPr>
        <w:spacing w:line="540" w:lineRule="exact"/>
        <w:ind w:firstLine="640"/>
        <w:rPr>
          <w:rFonts w:hint="default" w:ascii="仿宋" w:hAnsi="仿宋" w:eastAsia="仿宋" w:cs="仿宋"/>
          <w:sz w:val="32"/>
          <w:szCs w:val="32"/>
        </w:rPr>
      </w:pPr>
      <w:r>
        <w:rPr>
          <w:rFonts w:ascii="仿宋" w:hAnsi="仿宋" w:eastAsia="仿宋" w:cs="仿宋"/>
          <w:sz w:val="32"/>
          <w:szCs w:val="32"/>
        </w:rPr>
        <w:t>核实数据：对2025年度部门整体支出数据的准确性、真实性进行核实，将2024年度和2025年度部门整体支出情况进行分析比较；</w:t>
      </w:r>
    </w:p>
    <w:p>
      <w:pPr>
        <w:pStyle w:val="8"/>
        <w:numPr>
          <w:ilvl w:val="0"/>
          <w:numId w:val="3"/>
        </w:numPr>
        <w:spacing w:line="540" w:lineRule="exact"/>
        <w:ind w:firstLine="640"/>
        <w:rPr>
          <w:rFonts w:hint="default" w:ascii="仿宋" w:hAnsi="仿宋" w:eastAsia="仿宋" w:cs="仿宋"/>
          <w:sz w:val="32"/>
          <w:szCs w:val="32"/>
        </w:rPr>
      </w:pPr>
      <w:r>
        <w:rPr>
          <w:rFonts w:ascii="仿宋" w:hAnsi="仿宋" w:eastAsia="仿宋" w:cs="仿宋"/>
          <w:sz w:val="32"/>
          <w:szCs w:val="32"/>
        </w:rPr>
        <w:t>查阅资料：查阅2025年度预算安排、预算追加、资金管理、经费支出、资产管理等相关文件资料和财务凭证；</w:t>
      </w:r>
    </w:p>
    <w:p>
      <w:pPr>
        <w:pStyle w:val="8"/>
        <w:numPr>
          <w:ilvl w:val="0"/>
          <w:numId w:val="3"/>
        </w:numPr>
        <w:spacing w:line="540" w:lineRule="exact"/>
        <w:ind w:firstLine="640"/>
        <w:rPr>
          <w:rFonts w:hint="default" w:ascii="仿宋" w:hAnsi="仿宋" w:eastAsia="仿宋" w:cs="仿宋"/>
          <w:sz w:val="32"/>
          <w:szCs w:val="32"/>
        </w:rPr>
      </w:pPr>
      <w:r>
        <w:rPr>
          <w:rFonts w:ascii="仿宋" w:hAnsi="仿宋" w:eastAsia="仿宋" w:cs="仿宋"/>
          <w:sz w:val="32"/>
          <w:szCs w:val="32"/>
        </w:rPr>
        <w:t>归纳汇总：对收集的评价材料结合本单位情况进行综合分析、归纳汇总；</w:t>
      </w:r>
    </w:p>
    <w:p>
      <w:pPr>
        <w:pStyle w:val="8"/>
        <w:numPr>
          <w:ilvl w:val="0"/>
          <w:numId w:val="3"/>
        </w:numPr>
        <w:spacing w:line="540" w:lineRule="exact"/>
        <w:ind w:firstLine="640"/>
        <w:rPr>
          <w:rFonts w:hint="default" w:ascii="仿宋" w:hAnsi="仿宋" w:eastAsia="仿宋" w:cs="仿宋"/>
          <w:sz w:val="32"/>
          <w:szCs w:val="32"/>
        </w:rPr>
      </w:pPr>
      <w:r>
        <w:rPr>
          <w:rFonts w:ascii="仿宋" w:hAnsi="仿宋" w:eastAsia="仿宋" w:cs="仿宋"/>
          <w:sz w:val="32"/>
          <w:szCs w:val="32"/>
        </w:rPr>
        <w:t>根据评价材料结合各项评价指标进行分析评价；</w:t>
      </w:r>
    </w:p>
    <w:p>
      <w:pPr>
        <w:pStyle w:val="8"/>
        <w:numPr>
          <w:ilvl w:val="0"/>
          <w:numId w:val="3"/>
        </w:numPr>
        <w:spacing w:line="540" w:lineRule="exact"/>
        <w:ind w:firstLine="640"/>
        <w:rPr>
          <w:rFonts w:hint="default"/>
        </w:rPr>
      </w:pPr>
      <w:r>
        <w:rPr>
          <w:rFonts w:ascii="仿宋" w:hAnsi="仿宋" w:eastAsia="仿宋" w:cs="仿宋"/>
          <w:sz w:val="32"/>
          <w:szCs w:val="32"/>
        </w:rPr>
        <w:t>形成部门整体支出绩效自评报告。</w:t>
      </w:r>
    </w:p>
    <w:p>
      <w:pPr>
        <w:spacing w:line="540" w:lineRule="exact"/>
        <w:rPr>
          <w:rFonts w:ascii="黑体" w:hAnsi="黑体" w:eastAsia="黑体"/>
          <w:b/>
          <w:bCs/>
          <w:sz w:val="32"/>
          <w:szCs w:val="32"/>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三、部门整体支出绩效目标实现情况及指标分析</w:t>
      </w:r>
    </w:p>
    <w:p>
      <w:pPr>
        <w:numPr>
          <w:ilvl w:val="0"/>
          <w:numId w:val="4"/>
        </w:numPr>
        <w:spacing w:line="54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pPr>
        <w:pStyle w:val="13"/>
        <w:rPr>
          <w:rFonts w:ascii="仿宋" w:hAnsi="仿宋" w:eastAsia="仿宋" w:cs="仿宋"/>
          <w:sz w:val="32"/>
          <w:szCs w:val="32"/>
        </w:rPr>
      </w:pPr>
      <w:r>
        <w:rPr>
          <w:rFonts w:hint="eastAsia" w:ascii="仿宋" w:hAnsi="仿宋" w:eastAsia="仿宋" w:cs="仿宋"/>
          <w:sz w:val="32"/>
          <w:szCs w:val="32"/>
        </w:rPr>
        <w:t>坚持以习近平新时代中国特色社会主义思想为指导，深入贯彻党的二十大和二十届二中、三中、四中全会精神，巩固</w:t>
      </w:r>
      <w:r>
        <w:rPr>
          <w:rFonts w:hint="eastAsia" w:ascii="仿宋" w:hAnsi="仿宋" w:eastAsia="仿宋" w:cs="仿宋"/>
          <w:sz w:val="32"/>
          <w:szCs w:val="32"/>
          <w:lang w:val="en-US" w:eastAsia="zh-CN"/>
        </w:rPr>
        <w:t>深入贯彻</w:t>
      </w:r>
      <w:r>
        <w:rPr>
          <w:rFonts w:hint="eastAsia" w:ascii="仿宋" w:hAnsi="仿宋" w:eastAsia="仿宋" w:cs="仿宋"/>
          <w:sz w:val="32"/>
          <w:szCs w:val="32"/>
        </w:rPr>
        <w:t>中央八项规定精神学习教育成效，常态化纠治“四风”、强化纪律建设；持续推进公租房分配、城镇燃气安全等“四个专项”整治，聚焦群众身边不正之风和腐败问题；以“四强”党支部建设为抓手，深化基层党建标准化规范化建设，推动党建与业务深度融合，凝聚工作合力、增强执行效能，以高质量党建为住房城乡建设事业高质量发展提供坚实保障。</w:t>
      </w:r>
      <w:bookmarkStart w:id="0" w:name="_GoBack"/>
      <w:bookmarkEnd w:id="0"/>
    </w:p>
    <w:p>
      <w:pPr>
        <w:spacing w:line="540" w:lineRule="exact"/>
        <w:rPr>
          <w:rFonts w:ascii="仿宋" w:hAnsi="仿宋" w:eastAsia="仿宋"/>
          <w:b/>
          <w:bCs/>
          <w:sz w:val="32"/>
          <w:szCs w:val="32"/>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（二）分项绩效目标实现情况及指标分析</w:t>
      </w:r>
    </w:p>
    <w:p>
      <w:pPr>
        <w:spacing w:line="578"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（一）用情用力办好民生实事。始终坚持以人民为中心，</w:t>
      </w:r>
      <w:r>
        <w:rPr>
          <w:rFonts w:hint="eastAsia" w:ascii="仿宋" w:hAnsi="仿宋" w:eastAsia="仿宋" w:cs="仿宋"/>
          <w:color w:val="000000" w:themeColor="text1"/>
          <w:kern w:val="0"/>
          <w:sz w:val="32"/>
          <w:szCs w:val="32"/>
        </w:rPr>
        <w:t>持续打好商品住房项目保交房攻坚战，按照市场化、法治化原则，分类处置在建已售未交付的商品住房项目，</w:t>
      </w:r>
      <w:r>
        <w:rPr>
          <w:rFonts w:hint="eastAsia" w:ascii="仿宋" w:hAnsi="仿宋" w:eastAsia="仿宋" w:cs="仿宋"/>
          <w:color w:val="000000" w:themeColor="text1"/>
          <w:sz w:val="32"/>
          <w:szCs w:val="32"/>
        </w:rPr>
        <w:t>督促新兴城二期项目加快施工，</w:t>
      </w:r>
      <w:r>
        <w:rPr>
          <w:rFonts w:hint="eastAsia" w:ascii="仿宋" w:hAnsi="仿宋" w:eastAsia="仿宋" w:cs="仿宋"/>
          <w:color w:val="000000" w:themeColor="text1"/>
          <w:kern w:val="0"/>
          <w:sz w:val="32"/>
          <w:szCs w:val="32"/>
        </w:rPr>
        <w:t>切实保障购房人合法权益。</w:t>
      </w:r>
      <w:r>
        <w:rPr>
          <w:rFonts w:hint="eastAsia" w:ascii="仿宋" w:hAnsi="仿宋" w:eastAsia="仿宋" w:cs="仿宋"/>
          <w:color w:val="000000" w:themeColor="text1"/>
          <w:sz w:val="32"/>
          <w:szCs w:val="32"/>
        </w:rPr>
        <w:t>督促第二批保交楼企业按期还款。</w:t>
      </w:r>
      <w:r>
        <w:rPr>
          <w:rFonts w:hint="eastAsia" w:ascii="仿宋" w:hAnsi="仿宋" w:eastAsia="仿宋" w:cs="仿宋"/>
          <w:color w:val="000000" w:themeColor="text1"/>
          <w:kern w:val="0"/>
          <w:sz w:val="32"/>
          <w:szCs w:val="32"/>
        </w:rPr>
        <w:t>继续用好城市房地产融资协调机制，协助符合条件的项目纳入“白名单”。加快推动贺庄、稻香村、深圳科技园保障性租赁住房项目建设，加大人才公</w:t>
      </w:r>
      <w:r>
        <w:rPr>
          <w:rFonts w:hint="eastAsia" w:ascii="仿宋" w:hAnsi="仿宋" w:eastAsia="仿宋" w:cs="仿宋"/>
          <w:color w:val="000000" w:themeColor="text1"/>
          <w:sz w:val="32"/>
          <w:szCs w:val="32"/>
          <w:shd w:val="clear" w:color="080000" w:fill="FFFFFF"/>
        </w:rPr>
        <w:t>寓筹集力度，</w:t>
      </w:r>
      <w:r>
        <w:rPr>
          <w:rFonts w:hint="eastAsia" w:ascii="仿宋" w:hAnsi="仿宋" w:eastAsia="仿宋" w:cs="仿宋"/>
          <w:color w:val="000000" w:themeColor="text1"/>
          <w:sz w:val="32"/>
          <w:szCs w:val="32"/>
        </w:rPr>
        <w:t>解决好新市民、青年人住房问题。积极谋划好城中村改造项目，协助寺家庄镇东良政村、上庄镇上庄村改造争取政策支持。</w:t>
      </w:r>
    </w:p>
    <w:p>
      <w:pPr>
        <w:pStyle w:val="7"/>
        <w:spacing w:line="578" w:lineRule="exact"/>
        <w:ind w:left="0"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（二）持续做好城市建设与管理。扎实完成十五五规划编制工作。</w:t>
      </w:r>
      <w:r>
        <w:rPr>
          <w:rFonts w:hint="eastAsia" w:ascii="仿宋" w:hAnsi="仿宋" w:eastAsia="仿宋" w:cs="仿宋"/>
          <w:color w:val="000000" w:themeColor="text1"/>
          <w:kern w:val="0"/>
          <w:sz w:val="32"/>
          <w:szCs w:val="32"/>
        </w:rPr>
        <w:t>围绕城市更新行动，做实做细</w:t>
      </w:r>
      <w:r>
        <w:rPr>
          <w:rFonts w:hint="eastAsia" w:ascii="仿宋" w:hAnsi="仿宋" w:eastAsia="仿宋" w:cs="仿宋"/>
          <w:color w:val="000000" w:themeColor="text1"/>
          <w:sz w:val="32"/>
          <w:szCs w:val="32"/>
        </w:rPr>
        <w:t>城市体检，科学谋划城市建设项目，谋划启动石家庄市鹿泉区铜冶片区排水基础设施建设工程谋划项目、石家庄市鹿泉区老旧排水管网及设施更新改造项目，同步谋划争取中央预算内资金、超长期国债等资金，为项目启动提供保障。提前做好2001—2010年80个老旧小区改造基本情况摸底排查，待上级政策下达，根据实际情况分批次启动。加力推进电梯更新项目储备工作，积极争取超长期特别国债。扎实做好国有土地和房屋征收工作。做好两座污水处理厂监管工作，完成西部上庄污水厂扩建工程，持续推进便民市场工程。</w:t>
      </w:r>
    </w:p>
    <w:p>
      <w:pPr>
        <w:pStyle w:val="7"/>
        <w:spacing w:line="578" w:lineRule="exact"/>
        <w:ind w:left="0"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三）推动住建领域安全生产。持续开展城乡燃气专项整治工作，将隐患消除在萌芽状态，确保我区燃气安全平稳运行。深入开展建筑施工治本攻坚“三年行动”，加强建筑施工安全监管，坚决遏制群死群伤事故发生。持续开展提升物业服务水平专项行动，组织消防、防汛宣传及演练，持续推进小区车棚与视频监控建设，加大电动自行车违规治理并出台管理规定，着力打造舒适干净安全的小区环境。抓好农村住房安全隐患排查整治，督导各乡镇依托三个台账定期排查，动态监测农村低收入人群房屋，及时处理问题，坚守“危房不住人，住人不危房”底线。</w:t>
      </w:r>
    </w:p>
    <w:p>
      <w:pPr>
        <w:pStyle w:val="14"/>
        <w:rPr>
          <w:rFonts w:ascii="仿宋" w:hAnsi="仿宋" w:eastAsia="仿宋" w:cs="仿宋"/>
          <w:sz w:val="32"/>
          <w:szCs w:val="32"/>
        </w:rPr>
      </w:pPr>
      <w:r>
        <w:rPr>
          <w:rFonts w:hint="eastAsia" w:ascii="仿宋" w:hAnsi="仿宋" w:eastAsia="仿宋" w:cs="仿宋"/>
          <w:color w:val="000000" w:themeColor="text1"/>
          <w:sz w:val="32"/>
          <w:szCs w:val="32"/>
        </w:rPr>
        <w:t>（四）持续做好建筑行业监管。持续推进工程质量安全手册的宣贯和落实，将检测机构纳入监督管理，全面落实质量监督信息化，对工程实行差别化管理，尤其是地处水位浅的住宅、学校、医院等工程，积极帮助项目申报结构优质工程。强化建筑市场日常监管,充分运用省信用评价平台，及时记录问题企业和个人建筑市场不规范、报送虚假信息、拖欠工程款等不良行为，规范建筑市场秩序。深入开展工程质量常见问题治理,持续加强安全生产双控机制建设，每季度开展一次安全生产大会，确保建筑工程质量安全。加大对乡镇的指导、督导力度,推动建筑施工扬尘治理工作步入法制化、常态化、规范化轨道。持续做好新建居住建筑75%和公共建筑72%节能标准政策落实，大力发展绿色建筑、装配式建筑和被动式超低能耗建筑，新建装配式建筑占比35%以上。</w:t>
      </w:r>
    </w:p>
    <w:p>
      <w:pPr>
        <w:spacing w:line="54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4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4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40" w:lineRule="exact"/>
        <w:ind w:firstLine="643" w:firstLineChars="200"/>
        <w:rPr>
          <w:rFonts w:ascii="仿宋" w:hAnsi="仿宋" w:eastAsia="仿宋"/>
          <w:b/>
          <w:bCs/>
          <w:sz w:val="32"/>
          <w:szCs w:val="32"/>
        </w:rPr>
      </w:pPr>
      <w:r>
        <w:rPr>
          <w:rFonts w:hint="eastAsia" w:ascii="仿宋" w:hAnsi="仿宋" w:eastAsia="仿宋"/>
          <w:b/>
          <w:bCs/>
          <w:sz w:val="32"/>
          <w:szCs w:val="32"/>
        </w:rPr>
        <w:t>（一）存在的主要问题</w:t>
      </w:r>
    </w:p>
    <w:p>
      <w:pPr>
        <w:pStyle w:val="8"/>
        <w:spacing w:line="540" w:lineRule="exact"/>
        <w:ind w:firstLine="640"/>
        <w:rPr>
          <w:rFonts w:hint="default" w:eastAsia="仿宋"/>
          <w:sz w:val="32"/>
          <w:szCs w:val="32"/>
        </w:rPr>
      </w:pPr>
      <w:r>
        <w:rPr>
          <w:rFonts w:ascii="仿宋" w:hAnsi="仿宋" w:eastAsia="仿宋"/>
          <w:sz w:val="32"/>
          <w:szCs w:val="32"/>
        </w:rPr>
        <w:t>预算过程绩效管理制度体系不健全，需进一步完善；全面推进预算绩效管理工作贯彻不到位，需进一步加强；对自身预算绩效管理不到位，需进一步落实；各业务股室填报预算数字存在不准确，需进一步细致。究其原因：一是经办人员业务能力有待提高；二是预算执行和绩效管理的监督管理不到位。</w:t>
      </w:r>
    </w:p>
    <w:p>
      <w:pPr>
        <w:numPr>
          <w:ilvl w:val="0"/>
          <w:numId w:val="4"/>
        </w:numPr>
        <w:spacing w:line="540" w:lineRule="exact"/>
        <w:ind w:firstLine="643" w:firstLineChars="200"/>
        <w:rPr>
          <w:b/>
          <w:bCs/>
        </w:rPr>
      </w:pPr>
      <w:r>
        <w:rPr>
          <w:rFonts w:hint="eastAsia" w:ascii="仿宋" w:hAnsi="仿宋" w:eastAsia="仿宋"/>
          <w:b/>
          <w:bCs/>
          <w:sz w:val="32"/>
          <w:szCs w:val="32"/>
        </w:rPr>
        <w:t>针对问题提出具体的改进措施或建议</w:t>
      </w:r>
    </w:p>
    <w:p>
      <w:pPr>
        <w:pStyle w:val="8"/>
        <w:spacing w:line="540" w:lineRule="exact"/>
        <w:ind w:firstLine="640"/>
        <w:rPr>
          <w:rFonts w:hint="default" w:ascii="仿宋" w:hAnsi="仿宋" w:eastAsia="仿宋" w:cs="仿宋"/>
          <w:sz w:val="32"/>
          <w:szCs w:val="32"/>
        </w:rPr>
      </w:pPr>
      <w:r>
        <w:rPr>
          <w:rFonts w:ascii="仿宋" w:hAnsi="仿宋" w:eastAsia="仿宋" w:cs="仿宋"/>
          <w:sz w:val="32"/>
          <w:szCs w:val="32"/>
        </w:rPr>
        <w:t>一是加强领导，精心组织，逐步推开，实现编制预算绩效目标全覆盖。</w:t>
      </w:r>
    </w:p>
    <w:p>
      <w:pPr>
        <w:pStyle w:val="8"/>
        <w:spacing w:line="540" w:lineRule="exact"/>
        <w:ind w:firstLine="640"/>
        <w:rPr>
          <w:rFonts w:hint="default" w:ascii="仿宋" w:hAnsi="仿宋" w:eastAsia="仿宋" w:cs="仿宋"/>
          <w:sz w:val="32"/>
          <w:szCs w:val="32"/>
        </w:rPr>
      </w:pPr>
      <w:r>
        <w:rPr>
          <w:rFonts w:ascii="仿宋" w:hAnsi="仿宋" w:eastAsia="仿宋" w:cs="仿宋"/>
          <w:sz w:val="32"/>
          <w:szCs w:val="32"/>
        </w:rPr>
        <w:t>二是完善相关制度，推进制度落实。</w:t>
      </w:r>
    </w:p>
    <w:p>
      <w:pPr>
        <w:pStyle w:val="8"/>
        <w:spacing w:line="540" w:lineRule="exact"/>
        <w:ind w:firstLine="640"/>
        <w:rPr>
          <w:rFonts w:hint="default" w:ascii="仿宋" w:hAnsi="仿宋" w:eastAsia="仿宋" w:cs="仿宋"/>
          <w:sz w:val="32"/>
          <w:szCs w:val="32"/>
        </w:rPr>
      </w:pPr>
      <w:r>
        <w:rPr>
          <w:rFonts w:ascii="仿宋" w:hAnsi="仿宋" w:eastAsia="仿宋" w:cs="仿宋"/>
          <w:sz w:val="32"/>
          <w:szCs w:val="32"/>
        </w:rPr>
        <w:t>三是细化预算编制工作，认真做好预算编制。</w:t>
      </w:r>
    </w:p>
    <w:p>
      <w:pPr>
        <w:pStyle w:val="8"/>
        <w:spacing w:line="540" w:lineRule="exact"/>
        <w:ind w:firstLine="640"/>
        <w:rPr>
          <w:rFonts w:hint="default" w:ascii="仿宋" w:hAnsi="仿宋" w:eastAsia="仿宋" w:cs="仿宋"/>
          <w:sz w:val="32"/>
          <w:szCs w:val="32"/>
        </w:rPr>
      </w:pPr>
      <w:r>
        <w:rPr>
          <w:rFonts w:ascii="仿宋" w:hAnsi="仿宋" w:eastAsia="仿宋" w:cs="仿宋"/>
          <w:sz w:val="32"/>
          <w:szCs w:val="32"/>
        </w:rPr>
        <w:t>四是加强财务管理，严格财务审核。</w:t>
      </w:r>
    </w:p>
    <w:p>
      <w:pPr>
        <w:pStyle w:val="8"/>
        <w:spacing w:line="540" w:lineRule="exact"/>
        <w:ind w:firstLine="640"/>
        <w:rPr>
          <w:rFonts w:hint="default" w:ascii="仿宋" w:hAnsi="仿宋" w:eastAsia="仿宋" w:cs="仿宋"/>
          <w:sz w:val="32"/>
          <w:szCs w:val="32"/>
        </w:rPr>
      </w:pPr>
      <w:r>
        <w:rPr>
          <w:rFonts w:ascii="仿宋" w:hAnsi="仿宋" w:eastAsia="仿宋" w:cs="仿宋"/>
          <w:sz w:val="32"/>
          <w:szCs w:val="32"/>
        </w:rPr>
        <w:t>五是加强项目开展进度的跟踪，开展项目事前、事中、事后绩效跟踪评价。</w:t>
      </w:r>
    </w:p>
    <w:p>
      <w:pPr>
        <w:adjustRightInd w:val="0"/>
        <w:snapToGrid w:val="0"/>
        <w:spacing w:line="312" w:lineRule="auto"/>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spacing w:line="312" w:lineRule="auto"/>
        <w:jc w:val="center"/>
        <w:rPr>
          <w:rFonts w:ascii="仿宋" w:hAnsi="仿宋" w:eastAsia="仿宋"/>
          <w:b/>
          <w:bCs/>
          <w:sz w:val="32"/>
          <w:szCs w:val="32"/>
        </w:rPr>
      </w:pPr>
      <w:r>
        <w:rPr>
          <w:rFonts w:hint="eastAsia" w:ascii="仿宋" w:hAnsi="仿宋" w:eastAsia="仿宋"/>
          <w:b/>
          <w:bCs/>
          <w:sz w:val="32"/>
          <w:szCs w:val="32"/>
        </w:rPr>
        <w:t>评价工作组人员名单</w:t>
      </w:r>
    </w:p>
    <w:tbl>
      <w:tblPr>
        <w:tblStyle w:val="10"/>
        <w:tblW w:w="692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7"/>
        <w:gridCol w:w="2280"/>
        <w:gridCol w:w="29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737" w:type="dxa"/>
            <w:vAlign w:val="center"/>
          </w:tcPr>
          <w:p>
            <w:pPr>
              <w:pStyle w:val="8"/>
              <w:spacing w:line="312" w:lineRule="auto"/>
              <w:ind w:firstLine="422"/>
              <w:jc w:val="center"/>
              <w:rPr>
                <w:rFonts w:hint="default"/>
                <w:b/>
                <w:bCs/>
                <w:sz w:val="21"/>
                <w:szCs w:val="21"/>
              </w:rPr>
            </w:pPr>
            <w:r>
              <w:rPr>
                <w:b/>
                <w:bCs/>
                <w:sz w:val="21"/>
                <w:szCs w:val="21"/>
              </w:rPr>
              <w:t>姓  名</w:t>
            </w:r>
          </w:p>
        </w:tc>
        <w:tc>
          <w:tcPr>
            <w:tcW w:w="2280" w:type="dxa"/>
            <w:vAlign w:val="center"/>
          </w:tcPr>
          <w:p>
            <w:pPr>
              <w:pStyle w:val="8"/>
              <w:spacing w:line="312" w:lineRule="auto"/>
              <w:ind w:firstLine="422"/>
              <w:jc w:val="center"/>
              <w:rPr>
                <w:rFonts w:hint="default"/>
                <w:b/>
                <w:bCs/>
                <w:sz w:val="21"/>
                <w:szCs w:val="21"/>
              </w:rPr>
            </w:pPr>
            <w:r>
              <w:rPr>
                <w:b/>
                <w:bCs/>
                <w:sz w:val="21"/>
                <w:szCs w:val="21"/>
              </w:rPr>
              <w:t>工作单位</w:t>
            </w:r>
          </w:p>
        </w:tc>
        <w:tc>
          <w:tcPr>
            <w:tcW w:w="2911" w:type="dxa"/>
            <w:vAlign w:val="center"/>
          </w:tcPr>
          <w:p>
            <w:pPr>
              <w:pStyle w:val="8"/>
              <w:spacing w:line="312" w:lineRule="auto"/>
              <w:ind w:firstLine="422"/>
              <w:jc w:val="center"/>
              <w:rPr>
                <w:rFonts w:hint="default"/>
                <w:b/>
                <w:bCs/>
                <w:sz w:val="21"/>
                <w:szCs w:val="21"/>
              </w:rPr>
            </w:pPr>
            <w:r>
              <w:rPr>
                <w:b/>
                <w:bCs/>
                <w:sz w:val="21"/>
                <w:szCs w:val="21"/>
              </w:rPr>
              <w:t>职    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737" w:type="dxa"/>
            <w:vAlign w:val="center"/>
          </w:tcPr>
          <w:p>
            <w:pPr>
              <w:pStyle w:val="8"/>
              <w:spacing w:line="312" w:lineRule="auto"/>
              <w:jc w:val="center"/>
              <w:rPr>
                <w:rFonts w:hint="default"/>
                <w:sz w:val="21"/>
                <w:szCs w:val="21"/>
              </w:rPr>
            </w:pPr>
            <w:r>
              <w:rPr>
                <w:sz w:val="21"/>
                <w:szCs w:val="21"/>
              </w:rPr>
              <w:t>贾立中</w:t>
            </w:r>
          </w:p>
        </w:tc>
        <w:tc>
          <w:tcPr>
            <w:tcW w:w="2280" w:type="dxa"/>
            <w:vAlign w:val="center"/>
          </w:tcPr>
          <w:p>
            <w:pPr>
              <w:pStyle w:val="8"/>
              <w:spacing w:line="312" w:lineRule="auto"/>
              <w:jc w:val="center"/>
              <w:rPr>
                <w:rFonts w:hint="default"/>
                <w:sz w:val="21"/>
                <w:szCs w:val="21"/>
              </w:rPr>
            </w:pPr>
            <w:r>
              <w:rPr>
                <w:sz w:val="21"/>
                <w:szCs w:val="21"/>
              </w:rPr>
              <w:t>鹿泉区住建局</w:t>
            </w:r>
          </w:p>
        </w:tc>
        <w:tc>
          <w:tcPr>
            <w:tcW w:w="2911" w:type="dxa"/>
            <w:vAlign w:val="center"/>
          </w:tcPr>
          <w:p>
            <w:pPr>
              <w:pStyle w:val="8"/>
              <w:spacing w:line="312" w:lineRule="auto"/>
              <w:jc w:val="center"/>
              <w:rPr>
                <w:rFonts w:hint="default"/>
                <w:sz w:val="21"/>
                <w:szCs w:val="21"/>
              </w:rPr>
            </w:pPr>
            <w:r>
              <w:rPr>
                <w:sz w:val="21"/>
                <w:szCs w:val="21"/>
              </w:rPr>
              <w:t>党组成员、副局长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737" w:type="dxa"/>
            <w:vAlign w:val="center"/>
          </w:tcPr>
          <w:p>
            <w:pPr>
              <w:pStyle w:val="8"/>
              <w:spacing w:line="312" w:lineRule="auto"/>
              <w:jc w:val="center"/>
              <w:rPr>
                <w:rFonts w:hint="default"/>
                <w:sz w:val="21"/>
                <w:szCs w:val="21"/>
              </w:rPr>
            </w:pPr>
            <w:r>
              <w:rPr>
                <w:sz w:val="21"/>
                <w:szCs w:val="21"/>
              </w:rPr>
              <w:t>梁效铭</w:t>
            </w:r>
          </w:p>
        </w:tc>
        <w:tc>
          <w:tcPr>
            <w:tcW w:w="2280" w:type="dxa"/>
            <w:vAlign w:val="center"/>
          </w:tcPr>
          <w:p>
            <w:pPr>
              <w:pStyle w:val="8"/>
              <w:spacing w:line="312" w:lineRule="auto"/>
              <w:jc w:val="center"/>
              <w:rPr>
                <w:rFonts w:hint="default"/>
                <w:sz w:val="21"/>
                <w:szCs w:val="21"/>
              </w:rPr>
            </w:pPr>
            <w:r>
              <w:rPr>
                <w:sz w:val="21"/>
                <w:szCs w:val="21"/>
              </w:rPr>
              <w:t>鹿泉区住建局</w:t>
            </w:r>
          </w:p>
        </w:tc>
        <w:tc>
          <w:tcPr>
            <w:tcW w:w="2911" w:type="dxa"/>
            <w:vAlign w:val="center"/>
          </w:tcPr>
          <w:p>
            <w:pPr>
              <w:pStyle w:val="8"/>
              <w:spacing w:line="312" w:lineRule="auto"/>
              <w:jc w:val="center"/>
              <w:rPr>
                <w:rFonts w:hint="default"/>
                <w:sz w:val="21"/>
                <w:szCs w:val="21"/>
              </w:rPr>
            </w:pPr>
            <w:r>
              <w:rPr>
                <w:sz w:val="21"/>
                <w:szCs w:val="21"/>
              </w:rPr>
              <w:t>办公室负责人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737" w:type="dxa"/>
            <w:vAlign w:val="center"/>
          </w:tcPr>
          <w:p>
            <w:pPr>
              <w:pStyle w:val="8"/>
              <w:spacing w:line="312" w:lineRule="auto"/>
              <w:jc w:val="center"/>
              <w:rPr>
                <w:rFonts w:hint="default"/>
                <w:sz w:val="21"/>
                <w:szCs w:val="21"/>
              </w:rPr>
            </w:pPr>
            <w:r>
              <w:rPr>
                <w:sz w:val="21"/>
                <w:szCs w:val="21"/>
              </w:rPr>
              <w:t>魏柳</w:t>
            </w:r>
          </w:p>
        </w:tc>
        <w:tc>
          <w:tcPr>
            <w:tcW w:w="2280" w:type="dxa"/>
            <w:vAlign w:val="center"/>
          </w:tcPr>
          <w:p>
            <w:pPr>
              <w:pStyle w:val="8"/>
              <w:spacing w:line="312" w:lineRule="auto"/>
              <w:jc w:val="center"/>
              <w:rPr>
                <w:rFonts w:hint="default"/>
                <w:sz w:val="21"/>
                <w:szCs w:val="21"/>
              </w:rPr>
            </w:pPr>
            <w:r>
              <w:rPr>
                <w:sz w:val="21"/>
                <w:szCs w:val="21"/>
              </w:rPr>
              <w:t>鹿泉区住建局</w:t>
            </w:r>
          </w:p>
        </w:tc>
        <w:tc>
          <w:tcPr>
            <w:tcW w:w="2911" w:type="dxa"/>
            <w:vAlign w:val="center"/>
          </w:tcPr>
          <w:p>
            <w:pPr>
              <w:pStyle w:val="8"/>
              <w:spacing w:line="312" w:lineRule="auto"/>
              <w:jc w:val="center"/>
              <w:rPr>
                <w:rFonts w:hint="default"/>
                <w:sz w:val="21"/>
                <w:szCs w:val="21"/>
              </w:rPr>
            </w:pPr>
            <w:r>
              <w:rPr>
                <w:sz w:val="21"/>
                <w:szCs w:val="21"/>
              </w:rPr>
              <w:t>财务负责人</w:t>
            </w:r>
          </w:p>
        </w:tc>
      </w:tr>
    </w:tbl>
    <w:p>
      <w:pPr>
        <w:pStyle w:val="8"/>
        <w:spacing w:line="312" w:lineRule="auto"/>
        <w:ind w:firstLine="480"/>
        <w:rPr>
          <w:rFonts w:hint="default"/>
        </w:rPr>
      </w:pPr>
    </w:p>
    <w:p>
      <w:pPr>
        <w:pStyle w:val="8"/>
        <w:spacing w:line="312" w:lineRule="auto"/>
        <w:ind w:firstLine="480"/>
        <w:rPr>
          <w:rFonts w:hint="default"/>
        </w:rPr>
      </w:pPr>
    </w:p>
    <w:p>
      <w:pPr>
        <w:pStyle w:val="8"/>
        <w:spacing w:line="312" w:lineRule="auto"/>
        <w:ind w:firstLine="480"/>
        <w:rPr>
          <w:rFonts w:hint="default"/>
        </w:rPr>
      </w:pPr>
    </w:p>
    <w:p>
      <w:pPr>
        <w:pStyle w:val="8"/>
        <w:spacing w:line="312" w:lineRule="auto"/>
        <w:ind w:firstLine="0" w:firstLineChars="0"/>
        <w:jc w:val="right"/>
        <w:rPr>
          <w:rFonts w:hint="default" w:ascii="仿宋" w:hAnsi="仿宋" w:eastAsia="仿宋" w:cs="仿宋"/>
          <w:sz w:val="32"/>
          <w:szCs w:val="32"/>
        </w:rPr>
      </w:pPr>
      <w:r>
        <w:rPr>
          <w:rFonts w:ascii="仿宋" w:hAnsi="仿宋" w:eastAsia="仿宋" w:cs="仿宋"/>
          <w:sz w:val="32"/>
          <w:szCs w:val="32"/>
        </w:rPr>
        <w:t>石家庄市鹿泉区住房和城乡建设局</w:t>
      </w:r>
    </w:p>
    <w:p>
      <w:pPr>
        <w:pStyle w:val="8"/>
        <w:spacing w:line="312" w:lineRule="auto"/>
        <w:ind w:firstLine="5120" w:firstLineChars="1600"/>
        <w:rPr>
          <w:rFonts w:hint="default" w:ascii="仿宋" w:hAnsi="仿宋" w:eastAsia="仿宋" w:cs="仿宋"/>
          <w:sz w:val="32"/>
          <w:szCs w:val="32"/>
        </w:rPr>
      </w:pPr>
      <w:r>
        <w:rPr>
          <w:rFonts w:ascii="仿宋" w:hAnsi="仿宋" w:eastAsia="仿宋" w:cs="仿宋"/>
          <w:sz w:val="32"/>
          <w:szCs w:val="32"/>
        </w:rPr>
        <w:t>2026年5月6日</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86"/>
    <w:family w:val="script"/>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- 4 -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9DC026D"/>
    <w:multiLevelType w:val="singleLevel"/>
    <w:tmpl w:val="99DC026D"/>
    <w:lvl w:ilvl="0" w:tentative="0">
      <w:start w:val="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abstractNum w:abstractNumId="3">
    <w:nsid w:val="6513A7A9"/>
    <w:multiLevelType w:val="singleLevel"/>
    <w:tmpl w:val="6513A7A9"/>
    <w:lvl w:ilvl="0" w:tentative="0">
      <w:start w:val="2"/>
      <w:numFmt w:val="chineseCounting"/>
      <w:suff w:val="nothing"/>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EBD2122"/>
    <w:rsid w:val="004D2293"/>
    <w:rsid w:val="00565410"/>
    <w:rsid w:val="007E6C1F"/>
    <w:rsid w:val="00AF566A"/>
    <w:rsid w:val="00B6553A"/>
    <w:rsid w:val="00BD3881"/>
    <w:rsid w:val="00FA29B2"/>
    <w:rsid w:val="011D4A5D"/>
    <w:rsid w:val="01B104CA"/>
    <w:rsid w:val="02106AB0"/>
    <w:rsid w:val="02B43A28"/>
    <w:rsid w:val="03924C83"/>
    <w:rsid w:val="046F331E"/>
    <w:rsid w:val="069710C0"/>
    <w:rsid w:val="069E2016"/>
    <w:rsid w:val="07956271"/>
    <w:rsid w:val="07DC6200"/>
    <w:rsid w:val="07E04F1A"/>
    <w:rsid w:val="081A6275"/>
    <w:rsid w:val="08BE6479"/>
    <w:rsid w:val="08FA03A2"/>
    <w:rsid w:val="09721397"/>
    <w:rsid w:val="0A9337E1"/>
    <w:rsid w:val="0B1F7727"/>
    <w:rsid w:val="0B6027CF"/>
    <w:rsid w:val="0BB63BED"/>
    <w:rsid w:val="0CC252AE"/>
    <w:rsid w:val="0CD701CE"/>
    <w:rsid w:val="0DC566A4"/>
    <w:rsid w:val="0E3E7E52"/>
    <w:rsid w:val="0EB97A43"/>
    <w:rsid w:val="0EBD2122"/>
    <w:rsid w:val="0F214EAE"/>
    <w:rsid w:val="0F81208B"/>
    <w:rsid w:val="0F972FD4"/>
    <w:rsid w:val="11743155"/>
    <w:rsid w:val="11B71E6A"/>
    <w:rsid w:val="120A4ABA"/>
    <w:rsid w:val="15441FB8"/>
    <w:rsid w:val="16AD371B"/>
    <w:rsid w:val="1865590D"/>
    <w:rsid w:val="19827DE5"/>
    <w:rsid w:val="1AAF0063"/>
    <w:rsid w:val="1BE140DE"/>
    <w:rsid w:val="1C241D06"/>
    <w:rsid w:val="1DB26373"/>
    <w:rsid w:val="1F50120C"/>
    <w:rsid w:val="1F7B4F90"/>
    <w:rsid w:val="200A2C3F"/>
    <w:rsid w:val="21782BFB"/>
    <w:rsid w:val="23A726AE"/>
    <w:rsid w:val="23E5754F"/>
    <w:rsid w:val="241A2996"/>
    <w:rsid w:val="24457E65"/>
    <w:rsid w:val="248C197D"/>
    <w:rsid w:val="24EC727F"/>
    <w:rsid w:val="252959AF"/>
    <w:rsid w:val="2691041D"/>
    <w:rsid w:val="277A6671"/>
    <w:rsid w:val="28570F5B"/>
    <w:rsid w:val="28BA495B"/>
    <w:rsid w:val="292D35B7"/>
    <w:rsid w:val="2A594280"/>
    <w:rsid w:val="2B5C33F8"/>
    <w:rsid w:val="2CB20427"/>
    <w:rsid w:val="2EE9170B"/>
    <w:rsid w:val="2EED2C23"/>
    <w:rsid w:val="30A93952"/>
    <w:rsid w:val="322500BE"/>
    <w:rsid w:val="3322376F"/>
    <w:rsid w:val="33381316"/>
    <w:rsid w:val="33576B0C"/>
    <w:rsid w:val="337E354B"/>
    <w:rsid w:val="33EB6CFF"/>
    <w:rsid w:val="35A12947"/>
    <w:rsid w:val="37387040"/>
    <w:rsid w:val="38764839"/>
    <w:rsid w:val="38DD19FC"/>
    <w:rsid w:val="390977F7"/>
    <w:rsid w:val="39781CB1"/>
    <w:rsid w:val="3A9D5983"/>
    <w:rsid w:val="3B625C0A"/>
    <w:rsid w:val="3CEE1963"/>
    <w:rsid w:val="3E0E3EE9"/>
    <w:rsid w:val="3E553521"/>
    <w:rsid w:val="3F14027E"/>
    <w:rsid w:val="3FD4639C"/>
    <w:rsid w:val="40366E6C"/>
    <w:rsid w:val="40D174F0"/>
    <w:rsid w:val="41535F05"/>
    <w:rsid w:val="421959CF"/>
    <w:rsid w:val="43347FAD"/>
    <w:rsid w:val="44EA7FAB"/>
    <w:rsid w:val="45607180"/>
    <w:rsid w:val="45C16CD5"/>
    <w:rsid w:val="460F2689"/>
    <w:rsid w:val="47AA7A3D"/>
    <w:rsid w:val="49F51F2C"/>
    <w:rsid w:val="4BAF6637"/>
    <w:rsid w:val="4BE17E5A"/>
    <w:rsid w:val="4C9C27FE"/>
    <w:rsid w:val="4D4250C6"/>
    <w:rsid w:val="4E3772DB"/>
    <w:rsid w:val="4E536B02"/>
    <w:rsid w:val="4EEC1008"/>
    <w:rsid w:val="512260B4"/>
    <w:rsid w:val="5131421D"/>
    <w:rsid w:val="51C24EF7"/>
    <w:rsid w:val="52BD6ACB"/>
    <w:rsid w:val="544549FF"/>
    <w:rsid w:val="55537534"/>
    <w:rsid w:val="561A74F1"/>
    <w:rsid w:val="56702A94"/>
    <w:rsid w:val="597244E8"/>
    <w:rsid w:val="59D867D7"/>
    <w:rsid w:val="5A982E30"/>
    <w:rsid w:val="5BC67511"/>
    <w:rsid w:val="5CE069F4"/>
    <w:rsid w:val="5EB71C30"/>
    <w:rsid w:val="5FB93280"/>
    <w:rsid w:val="62117346"/>
    <w:rsid w:val="643F417C"/>
    <w:rsid w:val="661A0CF1"/>
    <w:rsid w:val="6689372D"/>
    <w:rsid w:val="66AF0CE5"/>
    <w:rsid w:val="6837462A"/>
    <w:rsid w:val="68812F06"/>
    <w:rsid w:val="69DA7254"/>
    <w:rsid w:val="6AC537CF"/>
    <w:rsid w:val="6AEE7642"/>
    <w:rsid w:val="6C861047"/>
    <w:rsid w:val="6D3C6EDF"/>
    <w:rsid w:val="6E5B14A6"/>
    <w:rsid w:val="6EE0515D"/>
    <w:rsid w:val="711B255E"/>
    <w:rsid w:val="719E1EEB"/>
    <w:rsid w:val="730F1805"/>
    <w:rsid w:val="7317199D"/>
    <w:rsid w:val="736D4B41"/>
    <w:rsid w:val="753D05FB"/>
    <w:rsid w:val="79664122"/>
    <w:rsid w:val="7B791412"/>
    <w:rsid w:val="7BB51E06"/>
    <w:rsid w:val="7C387F7C"/>
    <w:rsid w:val="7DDA7F1A"/>
    <w:rsid w:val="7E6E70FD"/>
    <w:rsid w:val="7E987F66"/>
    <w:rsid w:val="7FE83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1">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4">
    <w:name w:val="Body Text Indent"/>
    <w:basedOn w:val="1"/>
    <w:qFormat/>
    <w:uiPriority w:val="0"/>
    <w:pPr>
      <w:spacing w:line="360" w:lineRule="auto"/>
      <w:ind w:firstLine="200" w:firstLineChars="200"/>
      <w:textAlignment w:val="baseline"/>
    </w:pPr>
    <w:rPr>
      <w:rFonts w:hint="eastAsia" w:ascii="Times New Roman" w:hAnsi="Times New Roman" w:cs="Times New Roman"/>
      <w:sz w:val="24"/>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toc 2"/>
    <w:basedOn w:val="1"/>
    <w:next w:val="1"/>
    <w:qFormat/>
    <w:uiPriority w:val="0"/>
    <w:pPr>
      <w:ind w:left="240"/>
    </w:pPr>
  </w:style>
  <w:style w:type="paragraph" w:styleId="8">
    <w:name w:val="Body Text First Indent 2"/>
    <w:basedOn w:val="4"/>
    <w:qFormat/>
    <w:uiPriority w:val="0"/>
    <w:pPr>
      <w:ind w:firstLine="420"/>
    </w:pPr>
  </w:style>
  <w:style w:type="table" w:styleId="10">
    <w:name w:val="Table Grid"/>
    <w:basedOn w:val="9"/>
    <w:qFormat/>
    <w:uiPriority w:val="0"/>
    <w:rPr>
      <w:rFonts w:cs="Calibr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12">
    <w:name w:val="_Style 1"/>
    <w:qFormat/>
    <w:uiPriority w:val="99"/>
    <w:pPr>
      <w:widowControl w:val="0"/>
      <w:jc w:val="both"/>
    </w:pPr>
    <w:rPr>
      <w:rFonts w:ascii="宋体" w:hAnsi="Times New Roman" w:eastAsia="宋体" w:cs="Times New Roman"/>
      <w:kern w:val="2"/>
      <w:sz w:val="32"/>
      <w:szCs w:val="22"/>
      <w:lang w:val="en-US" w:eastAsia="zh-CN" w:bidi="ar-SA"/>
    </w:rPr>
  </w:style>
  <w:style w:type="paragraph" w:customStyle="1" w:styleId="13">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4">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823</Words>
  <Characters>4693</Characters>
  <Lines>39</Lines>
  <Paragraphs>11</Paragraphs>
  <TotalTime>2</TotalTime>
  <ScaleCrop>false</ScaleCrop>
  <LinksUpToDate>false</LinksUpToDate>
  <CharactersWithSpaces>5505</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2026-05-28T03:22:54Z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984D09CC060B4FEE8BCEB048B979A702_13</vt:lpwstr>
  </property>
</Properties>
</file>