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石家庄市鹿泉区水利局</w:t>
      </w:r>
    </w:p>
    <w:p>
      <w:pPr>
        <w:spacing w:line="56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5</w:t>
      </w:r>
      <w:r>
        <w:rPr>
          <w:rFonts w:hint="eastAsia" w:ascii="方正小标宋简体" w:hAnsi="方正小标宋简体" w:eastAsia="方正小标宋简体" w:cs="方正小标宋简体"/>
          <w:b w:val="0"/>
          <w:bCs w:val="0"/>
          <w:sz w:val="44"/>
          <w:szCs w:val="44"/>
        </w:rPr>
        <w:t>年度整体支出绩效自评报告</w:t>
      </w:r>
    </w:p>
    <w:p>
      <w:pPr>
        <w:adjustRightInd w:val="0"/>
        <w:snapToGrid w:val="0"/>
        <w:spacing w:line="560" w:lineRule="exact"/>
        <w:ind w:firstLine="640" w:firstLineChars="200"/>
        <w:rPr>
          <w:rFonts w:hint="eastAsia" w:ascii="仿宋" w:hAnsi="仿宋" w:eastAsia="仿宋"/>
          <w:sz w:val="32"/>
          <w:szCs w:val="32"/>
        </w:rPr>
      </w:pPr>
    </w:p>
    <w:p>
      <w:pPr>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贯彻落实石家庄市鹿泉区人民政府《关于全面实施预算绩效管理的实施意见》（鹿发〔2019〕8号）文件精神，遵循“科学性、规范性、客观性和公正性”的原则，对</w:t>
      </w:r>
      <w:r>
        <w:rPr>
          <w:rFonts w:hint="eastAsia" w:ascii="仿宋_GB2312" w:hAnsi="仿宋_GB2312" w:eastAsia="仿宋_GB2312" w:cs="仿宋_GB2312"/>
          <w:sz w:val="32"/>
          <w:szCs w:val="32"/>
          <w:lang w:eastAsia="zh-CN"/>
        </w:rPr>
        <w:t>我局</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年整体支出情况实施了财政支出绩效自评价，形成本评价报告。</w:t>
      </w:r>
    </w:p>
    <w:p>
      <w:pPr>
        <w:pageBreakBefore w:val="0"/>
        <w:kinsoku/>
        <w:wordWrap/>
        <w:overflowPunct/>
        <w:topLinePunct w:val="0"/>
        <w:autoSpaceDE/>
        <w:autoSpaceDN/>
        <w:bidi w:val="0"/>
        <w:adjustRightInd w:val="0"/>
        <w:snapToGrid w:val="0"/>
        <w:spacing w:line="578" w:lineRule="exact"/>
        <w:ind w:firstLine="640" w:firstLineChars="200"/>
        <w:textAlignment w:val="auto"/>
        <w:rPr>
          <w:rFonts w:hint="eastAsia" w:ascii="仿宋" w:hAnsi="仿宋" w:eastAsia="仿宋" w:cs="仿宋"/>
          <w:b/>
          <w:bCs/>
          <w:sz w:val="32"/>
          <w:szCs w:val="32"/>
        </w:rPr>
      </w:pPr>
      <w:r>
        <w:rPr>
          <w:rFonts w:hint="eastAsia" w:ascii="黑体" w:hAnsi="黑体" w:eastAsia="黑体" w:cs="黑体"/>
          <w:i w:val="0"/>
          <w:iCs w:val="0"/>
          <w:caps w:val="0"/>
          <w:color w:val="000000"/>
          <w:spacing w:val="0"/>
          <w:sz w:val="32"/>
          <w:szCs w:val="32"/>
          <w:highlight w:val="none"/>
          <w:shd w:val="clear" w:fill="FFFFFF"/>
        </w:rPr>
        <w:t>一、</w:t>
      </w:r>
      <w:r>
        <w:rPr>
          <w:rFonts w:hint="eastAsia" w:ascii="黑体" w:hAnsi="黑体" w:eastAsia="黑体" w:cs="黑体"/>
          <w:sz w:val="32"/>
          <w:szCs w:val="32"/>
        </w:rPr>
        <w:t>部门基本情况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（一）部门职责</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eastAsia="zh-CN"/>
        </w:rPr>
        <w:t>根据《石家庄市鹿泉区水利局职能配置、内设机构和人员编制规定》，贯彻落实党中央、省、市、区委关于水利工作的方针政策和决策部署，坚持和加强党对水利工作的集中统一领导。主要职责是：</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负责保障水资源合理开发利用。贯彻落实上级水利政策、法规、规章，拟订水利战略规划，组织编制全区水资源战略规划、重要河道水库综合规划、防洪规划等水利规划。</w:t>
      </w:r>
    </w:p>
    <w:p>
      <w:pPr>
        <w:pStyle w:val="14"/>
        <w:keepNext w:val="0"/>
        <w:keepLines w:val="0"/>
        <w:pageBreakBefore w:val="0"/>
        <w:widowControl w:val="0"/>
        <w:kinsoku/>
        <w:wordWrap/>
        <w:overflowPunct/>
        <w:topLinePunct w:val="0"/>
        <w:autoSpaceDE/>
        <w:autoSpaceDN/>
        <w:bidi w:val="0"/>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负责节约用水工作。贯彻落实节约用水政策，组织编制节约用水规划并监督实施。组织实施用水总量控制等管理制度，指导和推动节水型社会建设工作。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负责监督水利工程建设与运行管理。组织实施重要水利工程建设与运行管理。落实南水北调配套工程运行和后续工程建设的有关政策措施，指导监督工程安全运行，按规定负责工程验收有关工作。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负责水土保持工作。拟订水土保持规划并监督实施，组织实施水土流失的综合防治、监测预报。负责建设项目水土保持监督管理工作，指导重点水土保持建设项目的实施。</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指导农村水利工作。组织开展大中型灌排工程建设与改造。指导农村饮水安全工程建设管理工作，指导节水灌溉有关工作。指导农村水利改革创新和社会化服务体系建设。</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负责水库移民管理工作。负责贯彻落实水库移民有关政策并监督实施，按规定组织实施移民安置验收、监督评估等工作。指导监督水库移民后期扶持政策的实施。</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负责涉水违法事件的查处，协调水事纠纷，指导水政监察和水行政执法。依法负责水利行业安全生产工作，负责水库等水利设施的安全监管。负责水利建设市场的监督管理，组织实施水利工程建设的监督。</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组织开展水利行业质量监督工作。监督实施水利行业的技术标准、规程规范。组织指导水利科学研究、扶术引进和科技推广，开展水利交流与合作。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负责落实综合防灾减灾规划相关要求，组织组制洪水干旱灾害防治规划。承担水情旱情监测预警工作。</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完成区委、区政府交办的其他任务。</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（二）机构设置</w:t>
      </w:r>
    </w:p>
    <w:p>
      <w:pPr>
        <w:pStyle w:val="14"/>
        <w:keepNext w:val="0"/>
        <w:keepLines w:val="0"/>
        <w:pageBreakBefore w:val="0"/>
        <w:widowControl w:val="0"/>
        <w:kinsoku/>
        <w:wordWrap/>
        <w:overflowPunct/>
        <w:topLinePunct w:val="0"/>
        <w:autoSpaceDE/>
        <w:autoSpaceDN/>
        <w:bidi w:val="0"/>
        <w:spacing w:line="578" w:lineRule="exact"/>
        <w:jc w:val="both"/>
        <w:textAlignment w:val="auto"/>
        <w:rPr>
          <w:rFonts w:hint="eastAsia" w:ascii="仿宋" w:hAnsi="仿宋" w:eastAsia="仿宋"/>
          <w:bCs/>
          <w:color w:val="auto"/>
          <w:sz w:val="32"/>
          <w:szCs w:val="32"/>
          <w:lang w:eastAsia="zh-CN"/>
        </w:rPr>
      </w:pPr>
      <w:r>
        <w:rPr>
          <w:rFonts w:hint="eastAsia" w:ascii="仿宋_GB2312" w:hAnsi="仿宋_GB2312" w:eastAsia="仿宋_GB2312" w:cs="仿宋_GB2312"/>
          <w:sz w:val="32"/>
          <w:szCs w:val="32"/>
          <w:lang w:eastAsia="zh-CN"/>
        </w:rPr>
        <w:t>我部门一共有十个独立核算单位，</w:t>
      </w:r>
      <w:r>
        <w:rPr>
          <w:rFonts w:hint="eastAsia" w:ascii="仿宋" w:hAnsi="仿宋" w:eastAsia="仿宋"/>
          <w:bCs/>
          <w:color w:val="auto"/>
          <w:sz w:val="32"/>
          <w:szCs w:val="32"/>
          <w:lang w:eastAsia="zh-CN"/>
        </w:rPr>
        <w:t>部门</w:t>
      </w:r>
      <w:r>
        <w:rPr>
          <w:rFonts w:hint="eastAsia" w:ascii="仿宋" w:hAnsi="仿宋" w:eastAsia="仿宋"/>
          <w:bCs/>
          <w:color w:val="auto"/>
          <w:sz w:val="32"/>
          <w:szCs w:val="32"/>
        </w:rPr>
        <w:t>本年度年末在职</w:t>
      </w:r>
      <w:r>
        <w:rPr>
          <w:rFonts w:hint="eastAsia" w:ascii="仿宋" w:hAnsi="仿宋" w:eastAsia="仿宋"/>
          <w:bCs/>
          <w:color w:val="auto"/>
          <w:sz w:val="32"/>
          <w:szCs w:val="32"/>
          <w:lang w:eastAsia="zh-CN"/>
        </w:rPr>
        <w:t>行政事业</w:t>
      </w:r>
      <w:r>
        <w:rPr>
          <w:rFonts w:hint="eastAsia" w:ascii="仿宋" w:hAnsi="仿宋" w:eastAsia="仿宋"/>
          <w:bCs/>
          <w:color w:val="auto"/>
          <w:sz w:val="32"/>
          <w:szCs w:val="32"/>
        </w:rPr>
        <w:t>人员</w:t>
      </w:r>
      <w:r>
        <w:rPr>
          <w:rFonts w:hint="eastAsia" w:ascii="仿宋" w:hAnsi="仿宋" w:eastAsia="仿宋"/>
          <w:bCs/>
          <w:color w:val="auto"/>
          <w:sz w:val="32"/>
          <w:szCs w:val="32"/>
          <w:lang w:val="en-US" w:eastAsia="zh-CN"/>
        </w:rPr>
        <w:t>246</w:t>
      </w:r>
      <w:r>
        <w:rPr>
          <w:rFonts w:hint="eastAsia" w:ascii="仿宋" w:hAnsi="仿宋" w:eastAsia="仿宋"/>
          <w:bCs/>
          <w:color w:val="auto"/>
          <w:sz w:val="32"/>
          <w:szCs w:val="32"/>
        </w:rPr>
        <w:t>人</w:t>
      </w:r>
      <w:r>
        <w:rPr>
          <w:rFonts w:hint="eastAsia" w:ascii="仿宋" w:hAnsi="仿宋" w:eastAsia="仿宋"/>
          <w:bCs/>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78" w:lineRule="exact"/>
        <w:ind w:right="0" w:firstLine="640" w:firstLineChars="200"/>
        <w:jc w:val="both"/>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二、部门预决算情况</w:t>
      </w:r>
    </w:p>
    <w:p>
      <w:pPr>
        <w:pStyle w:val="14"/>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jc w:val="both"/>
        <w:textAlignment w:val="auto"/>
        <w:rPr>
          <w:rFonts w:hint="eastAsia" w:ascii="仿宋" w:hAnsi="仿宋" w:eastAsia="仿宋"/>
          <w:bCs/>
          <w:color w:val="auto"/>
          <w:sz w:val="32"/>
          <w:szCs w:val="32"/>
          <w:lang w:eastAsia="zh-CN"/>
        </w:rPr>
      </w:pPr>
      <w:r>
        <w:rPr>
          <w:rFonts w:hint="eastAsia" w:ascii="仿宋" w:hAnsi="仿宋" w:eastAsia="仿宋"/>
          <w:sz w:val="32"/>
          <w:szCs w:val="32"/>
          <w:lang w:eastAsia="zh-CN"/>
        </w:rPr>
        <w:t>部门</w:t>
      </w:r>
      <w:r>
        <w:rPr>
          <w:rFonts w:hint="eastAsia" w:ascii="仿宋" w:hAnsi="仿宋" w:eastAsia="仿宋"/>
          <w:sz w:val="32"/>
          <w:szCs w:val="32"/>
        </w:rPr>
        <w:t>本年度预算金额</w:t>
      </w:r>
      <w:r>
        <w:rPr>
          <w:rFonts w:hint="eastAsia" w:ascii="仿宋" w:hAnsi="仿宋" w:eastAsia="仿宋"/>
          <w:color w:val="auto"/>
          <w:sz w:val="32"/>
          <w:szCs w:val="32"/>
          <w:lang w:val="en-US" w:eastAsia="zh-CN"/>
        </w:rPr>
        <w:t>45175.88</w:t>
      </w:r>
      <w:r>
        <w:rPr>
          <w:rFonts w:hint="eastAsia" w:ascii="仿宋" w:hAnsi="仿宋" w:eastAsia="仿宋"/>
          <w:sz w:val="32"/>
          <w:szCs w:val="32"/>
        </w:rPr>
        <w:t>万元，本年度收入金额</w:t>
      </w:r>
      <w:r>
        <w:rPr>
          <w:rFonts w:hint="eastAsia" w:ascii="仿宋" w:hAnsi="仿宋" w:eastAsia="仿宋"/>
          <w:sz w:val="32"/>
          <w:szCs w:val="32"/>
          <w:lang w:val="en-US" w:eastAsia="zh-CN"/>
        </w:rPr>
        <w:t>37549.26</w:t>
      </w:r>
      <w:r>
        <w:rPr>
          <w:rFonts w:hint="eastAsia" w:ascii="仿宋" w:hAnsi="仿宋" w:eastAsia="仿宋"/>
          <w:sz w:val="32"/>
          <w:szCs w:val="32"/>
        </w:rPr>
        <w:t>万元</w:t>
      </w:r>
      <w:r>
        <w:rPr>
          <w:rFonts w:hint="eastAsia" w:ascii="仿宋" w:hAnsi="仿宋" w:eastAsia="仿宋"/>
          <w:sz w:val="32"/>
          <w:szCs w:val="32"/>
          <w:lang w:eastAsia="zh-CN"/>
        </w:rPr>
        <w:t>，</w:t>
      </w:r>
      <w:r>
        <w:rPr>
          <w:rFonts w:hint="eastAsia" w:ascii="仿宋" w:hAnsi="仿宋" w:eastAsia="仿宋"/>
          <w:sz w:val="32"/>
          <w:szCs w:val="32"/>
        </w:rPr>
        <w:t>本年度支出金额为</w:t>
      </w:r>
      <w:r>
        <w:rPr>
          <w:rFonts w:hint="eastAsia" w:ascii="仿宋" w:hAnsi="仿宋" w:eastAsia="仿宋"/>
          <w:sz w:val="32"/>
          <w:szCs w:val="32"/>
          <w:lang w:val="en-US" w:eastAsia="zh-CN"/>
        </w:rPr>
        <w:t>37549.51</w:t>
      </w:r>
      <w:r>
        <w:rPr>
          <w:rFonts w:hint="eastAsia" w:ascii="仿宋" w:hAnsi="仿宋" w:eastAsia="仿宋"/>
          <w:sz w:val="32"/>
          <w:szCs w:val="32"/>
        </w:rPr>
        <w:t>万元</w:t>
      </w:r>
      <w:r>
        <w:rPr>
          <w:rFonts w:hint="eastAsia" w:ascii="仿宋" w:hAnsi="仿宋" w:eastAsia="仿宋"/>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78" w:lineRule="exact"/>
        <w:ind w:right="0" w:firstLine="640" w:firstLineChars="200"/>
        <w:jc w:val="both"/>
        <w:textAlignment w:val="auto"/>
        <w:outlineLvl w:val="9"/>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三</w:t>
      </w:r>
      <w:r>
        <w:rPr>
          <w:rFonts w:hint="eastAsia" w:ascii="黑体" w:hAnsi="黑体" w:eastAsia="黑体" w:cs="黑体"/>
          <w:b w:val="0"/>
          <w:bCs w:val="0"/>
          <w:sz w:val="32"/>
          <w:szCs w:val="32"/>
        </w:rPr>
        <w:t>、自评工作</w:t>
      </w:r>
      <w:r>
        <w:rPr>
          <w:rFonts w:hint="eastAsia" w:ascii="黑体" w:hAnsi="黑体" w:eastAsia="黑体" w:cs="黑体"/>
          <w:b w:val="0"/>
          <w:bCs w:val="0"/>
          <w:sz w:val="32"/>
          <w:szCs w:val="32"/>
          <w:lang w:eastAsia="zh-CN"/>
        </w:rPr>
        <w:t>开展</w:t>
      </w:r>
      <w:r>
        <w:rPr>
          <w:rFonts w:hint="eastAsia" w:ascii="黑体" w:hAnsi="黑体" w:eastAsia="黑体" w:cs="黑体"/>
          <w:b w:val="0"/>
          <w:bCs w:val="0"/>
          <w:sz w:val="32"/>
          <w:szCs w:val="32"/>
        </w:rPr>
        <w:t>情况</w:t>
      </w:r>
    </w:p>
    <w:p>
      <w:pPr>
        <w:keepNext w:val="0"/>
        <w:keepLines w:val="0"/>
        <w:pageBreakBefore w:val="0"/>
        <w:widowControl w:val="0"/>
        <w:kinsoku/>
        <w:wordWrap/>
        <w:overflowPunct/>
        <w:topLinePunct w:val="0"/>
        <w:autoSpaceDE/>
        <w:autoSpaceDN/>
        <w:bidi w:val="0"/>
        <w:spacing w:line="578" w:lineRule="exact"/>
        <w:ind w:left="0" w:leftChars="0" w:right="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楷体" w:hAnsi="楷体" w:eastAsia="楷体" w:cs="楷体"/>
          <w:b/>
          <w:bCs/>
          <w:sz w:val="32"/>
          <w:szCs w:val="32"/>
        </w:rPr>
        <w:t>（一）自评的组织工作</w:t>
      </w:r>
    </w:p>
    <w:p>
      <w:pPr>
        <w:keepNext w:val="0"/>
        <w:keepLines w:val="0"/>
        <w:pageBreakBefore w:val="0"/>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根据石家庄市鹿泉区委区政府《关于全面实施预算绩效管理的实施意见》（鹿发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鹿泉区区</w:t>
      </w:r>
      <w:r>
        <w:rPr>
          <w:rFonts w:hint="eastAsia" w:ascii="仿宋_GB2312" w:hAnsi="仿宋_GB2312" w:eastAsia="仿宋_GB2312" w:cs="仿宋_GB2312"/>
          <w:sz w:val="32"/>
          <w:szCs w:val="32"/>
        </w:rPr>
        <w:t>级部门项目绩效自评管理办法》（</w:t>
      </w:r>
      <w:r>
        <w:rPr>
          <w:rFonts w:hint="eastAsia" w:ascii="仿宋_GB2312" w:hAnsi="仿宋_GB2312" w:eastAsia="仿宋_GB2312" w:cs="仿宋_GB2312"/>
          <w:sz w:val="32"/>
          <w:szCs w:val="32"/>
          <w:lang w:eastAsia="zh-CN"/>
        </w:rPr>
        <w:t>鹿财字</w:t>
      </w:r>
      <w:r>
        <w:rPr>
          <w:rFonts w:hint="eastAsia" w:ascii="仿宋_GB2312" w:hAnsi="仿宋_GB2312" w:eastAsia="仿宋_GB2312" w:cs="仿宋_GB2312"/>
          <w:sz w:val="32"/>
          <w:szCs w:val="32"/>
        </w:rPr>
        <w:t>〔2020〕</w:t>
      </w: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eastAsia="zh-CN"/>
        </w:rPr>
        <w:t>文件，对我部门</w:t>
      </w:r>
      <w:r>
        <w:rPr>
          <w:rFonts w:hint="eastAsia" w:ascii="仿宋_GB2312" w:hAnsi="仿宋_GB2312" w:eastAsia="仿宋_GB2312" w:cs="仿宋_GB2312"/>
          <w:sz w:val="32"/>
          <w:szCs w:val="32"/>
          <w:lang w:val="en-US" w:eastAsia="zh-CN"/>
        </w:rPr>
        <w:t>2025年度项目支出情况进行绩效自评，</w:t>
      </w:r>
      <w:r>
        <w:rPr>
          <w:rFonts w:hint="eastAsia" w:ascii="仿宋_GB2312" w:hAnsi="仿宋_GB2312" w:eastAsia="仿宋_GB2312" w:cs="仿宋_GB2312"/>
          <w:sz w:val="32"/>
          <w:szCs w:val="32"/>
        </w:rPr>
        <w:t>进一步明确</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绩效评价工作</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目的</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意义。</w:t>
      </w:r>
    </w:p>
    <w:p>
      <w:pPr>
        <w:keepNext w:val="0"/>
        <w:keepLines w:val="0"/>
        <w:pageBreakBefore w:val="0"/>
        <w:widowControl w:val="0"/>
        <w:numPr>
          <w:ilvl w:val="0"/>
          <w:numId w:val="0"/>
        </w:numPr>
        <w:kinsoku/>
        <w:wordWrap/>
        <w:overflowPunct/>
        <w:topLinePunct w:val="0"/>
        <w:autoSpaceDE/>
        <w:autoSpaceDN/>
        <w:bidi w:val="0"/>
        <w:spacing w:line="578" w:lineRule="exact"/>
        <w:ind w:left="642" w:leftChars="0" w:right="0" w:rightChars="0"/>
        <w:jc w:val="both"/>
        <w:textAlignment w:val="auto"/>
        <w:outlineLvl w:val="9"/>
        <w:rPr>
          <w:rFonts w:hint="eastAsia" w:ascii="楷体" w:hAnsi="楷体" w:eastAsia="楷体" w:cs="楷体"/>
          <w:kern w:val="2"/>
          <w:sz w:val="32"/>
          <w:szCs w:val="32"/>
          <w:lang w:val="en-US" w:eastAsia="zh-CN" w:bidi="ar-SA"/>
        </w:rPr>
      </w:pPr>
      <w:r>
        <w:rPr>
          <w:rFonts w:hint="eastAsia" w:ascii="楷体" w:hAnsi="楷体" w:eastAsia="楷体" w:cs="楷体"/>
          <w:b/>
          <w:bCs/>
          <w:sz w:val="32"/>
          <w:szCs w:val="32"/>
          <w:lang w:eastAsia="zh-CN"/>
        </w:rPr>
        <w:t>（二）</w:t>
      </w:r>
      <w:r>
        <w:rPr>
          <w:rFonts w:hint="eastAsia" w:ascii="楷体" w:hAnsi="楷体" w:eastAsia="楷体" w:cs="楷体"/>
          <w:b/>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jc w:val="both"/>
        <w:textAlignment w:val="auto"/>
        <w:outlineLvl w:val="9"/>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首先，建立和完善绩效评价管理档案，将每次绩效评价结果记录下来，为后续应用奠定了良好的基础。其次，通过讨论绩效评价结果应用途径，将绩效评价结果作为财政资金分配的重要依据。最后，在应用绩效评价结果后及时总结应用经验和问题，不断完善绩效评价工作。</w:t>
      </w:r>
    </w:p>
    <w:p>
      <w:pPr>
        <w:keepNext w:val="0"/>
        <w:keepLines w:val="0"/>
        <w:pageBreakBefore w:val="0"/>
        <w:widowControl w:val="0"/>
        <w:kinsoku/>
        <w:wordWrap/>
        <w:overflowPunct/>
        <w:topLinePunct w:val="0"/>
        <w:autoSpaceDE/>
        <w:autoSpaceDN/>
        <w:bidi w:val="0"/>
        <w:spacing w:line="578" w:lineRule="exact"/>
        <w:ind w:right="0" w:firstLine="640" w:firstLineChars="200"/>
        <w:jc w:val="both"/>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rPr>
        <w:t>三、</w:t>
      </w:r>
      <w:r>
        <w:rPr>
          <w:rFonts w:hint="eastAsia" w:ascii="黑体" w:hAnsi="黑体" w:eastAsia="黑体" w:cs="黑体"/>
          <w:b w:val="0"/>
          <w:bCs w:val="0"/>
          <w:sz w:val="32"/>
          <w:szCs w:val="32"/>
          <w:lang w:eastAsia="zh-CN"/>
        </w:rPr>
        <w:t>部门整体支出</w:t>
      </w:r>
      <w:r>
        <w:rPr>
          <w:rFonts w:hint="eastAsia" w:ascii="黑体" w:hAnsi="黑体" w:eastAsia="黑体" w:cs="黑体"/>
          <w:b w:val="0"/>
          <w:bCs w:val="0"/>
          <w:sz w:val="32"/>
          <w:szCs w:val="32"/>
        </w:rPr>
        <w:t>绩效</w:t>
      </w:r>
      <w:r>
        <w:rPr>
          <w:rFonts w:hint="eastAsia" w:ascii="黑体" w:hAnsi="黑体" w:eastAsia="黑体" w:cs="黑体"/>
          <w:b w:val="0"/>
          <w:bCs w:val="0"/>
          <w:sz w:val="32"/>
          <w:szCs w:val="32"/>
          <w:lang w:eastAsia="zh-CN"/>
        </w:rPr>
        <w:t>目标实现情况及指标分析</w:t>
      </w:r>
    </w:p>
    <w:p>
      <w:pPr>
        <w:keepNext w:val="0"/>
        <w:keepLines w:val="0"/>
        <w:pageBreakBefore w:val="0"/>
        <w:widowControl w:val="0"/>
        <w:numPr>
          <w:ilvl w:val="0"/>
          <w:numId w:val="0"/>
        </w:numPr>
        <w:kinsoku/>
        <w:wordWrap/>
        <w:overflowPunct/>
        <w:topLinePunct w:val="0"/>
        <w:autoSpaceDE/>
        <w:autoSpaceDN/>
        <w:bidi w:val="0"/>
        <w:spacing w:line="578" w:lineRule="exact"/>
        <w:ind w:right="0" w:rightChars="0" w:firstLine="643" w:firstLineChars="200"/>
        <w:jc w:val="both"/>
        <w:textAlignment w:val="auto"/>
        <w:outlineLvl w:val="9"/>
        <w:rPr>
          <w:rFonts w:hint="eastAsia" w:ascii="楷体" w:hAnsi="楷体" w:eastAsia="楷体" w:cs="楷体"/>
          <w:sz w:val="32"/>
          <w:szCs w:val="32"/>
        </w:rPr>
      </w:pPr>
      <w:r>
        <w:rPr>
          <w:rFonts w:hint="eastAsia" w:ascii="楷体" w:hAnsi="楷体" w:eastAsia="楷体" w:cs="楷体"/>
          <w:b/>
          <w:bCs/>
          <w:sz w:val="32"/>
          <w:szCs w:val="32"/>
          <w:lang w:eastAsia="zh-CN"/>
        </w:rPr>
        <w:t>（</w:t>
      </w:r>
      <w:r>
        <w:rPr>
          <w:rFonts w:hint="eastAsia" w:ascii="楷体" w:hAnsi="楷体" w:eastAsia="楷体" w:cs="楷体"/>
          <w:b/>
          <w:bCs/>
          <w:sz w:val="32"/>
          <w:szCs w:val="32"/>
        </w:rPr>
        <w:t>一</w:t>
      </w:r>
      <w:r>
        <w:rPr>
          <w:rFonts w:hint="eastAsia" w:ascii="楷体" w:hAnsi="楷体" w:eastAsia="楷体" w:cs="楷体"/>
          <w:b/>
          <w:bCs/>
          <w:sz w:val="32"/>
          <w:szCs w:val="32"/>
          <w:lang w:eastAsia="zh-CN"/>
        </w:rPr>
        <w:t>）</w:t>
      </w:r>
      <w:r>
        <w:rPr>
          <w:rFonts w:hint="eastAsia" w:ascii="楷体" w:hAnsi="楷体" w:eastAsia="楷体" w:cs="楷体"/>
          <w:b/>
          <w:bCs/>
          <w:sz w:val="32"/>
          <w:szCs w:val="32"/>
        </w:rPr>
        <w:t>总体绩效目标</w:t>
      </w:r>
    </w:p>
    <w:p>
      <w:pPr>
        <w:pStyle w:val="9"/>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1、</w:t>
      </w:r>
      <w:r>
        <w:rPr>
          <w:rFonts w:hint="eastAsia" w:ascii="仿宋" w:hAnsi="仿宋" w:eastAsia="仿宋" w:cs="仿宋"/>
          <w:b/>
          <w:bCs/>
          <w:sz w:val="32"/>
          <w:szCs w:val="32"/>
        </w:rPr>
        <w:t>指导思想</w:t>
      </w:r>
    </w:p>
    <w:p>
      <w:pPr>
        <w:pStyle w:val="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坚持以习近平新时代中国特色社会主义思想为指导，深入贯彻党的二十大</w:t>
      </w:r>
      <w:r>
        <w:rPr>
          <w:rFonts w:hint="eastAsia" w:ascii="仿宋_GB2312" w:hAnsi="仿宋_GB2312" w:eastAsia="仿宋_GB2312" w:cs="仿宋_GB2312"/>
          <w:sz w:val="32"/>
          <w:szCs w:val="32"/>
          <w:lang w:eastAsia="zh-CN"/>
        </w:rPr>
        <w:t>及二十界历次全会</w:t>
      </w:r>
      <w:r>
        <w:rPr>
          <w:rFonts w:hint="eastAsia" w:ascii="仿宋_GB2312" w:hAnsi="仿宋_GB2312" w:eastAsia="仿宋_GB2312" w:cs="仿宋_GB2312"/>
          <w:sz w:val="32"/>
          <w:szCs w:val="32"/>
        </w:rPr>
        <w:t>精神，全面落实习近平总书记对河北工作重要指示批示和党中央及省市区决策部署，立足新发展阶段、贯彻新发展理念、构建新发展格局，</w:t>
      </w:r>
      <w:r>
        <w:rPr>
          <w:rFonts w:hint="eastAsia" w:ascii="仿宋_GB2312" w:hAnsi="仿宋_GB2312" w:eastAsia="仿宋_GB2312" w:cs="仿宋_GB2312"/>
          <w:sz w:val="32"/>
          <w:szCs w:val="32"/>
          <w:lang w:eastAsia="zh-CN"/>
        </w:rPr>
        <w:t>深入践行节水优先、空间均衡、系统治理、两手发力治水思路，</w:t>
      </w:r>
      <w:r>
        <w:rPr>
          <w:rFonts w:hint="eastAsia" w:ascii="仿宋_GB2312" w:hAnsi="仿宋_GB2312" w:eastAsia="仿宋_GB2312" w:cs="仿宋_GB2312"/>
          <w:sz w:val="32"/>
          <w:szCs w:val="32"/>
        </w:rPr>
        <w:t>切实增强人民群众的获得感、幸福感、安全感，推动“十</w:t>
      </w: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五”开好局起好步，加快建设经济强区、魅力鹿泉、生态宜居宜业宜游新城区提供坚强的水利保障。</w:t>
      </w:r>
    </w:p>
    <w:p>
      <w:pPr>
        <w:pStyle w:val="9"/>
        <w:keepNext w:val="0"/>
        <w:keepLines w:val="0"/>
        <w:pageBreakBefore w:val="0"/>
        <w:widowControl/>
        <w:kinsoku/>
        <w:wordWrap/>
        <w:overflowPunct/>
        <w:topLinePunct w:val="0"/>
        <w:autoSpaceDE/>
        <w:autoSpaceDN/>
        <w:bidi w:val="0"/>
        <w:adjustRightInd/>
        <w:snapToGrid/>
        <w:spacing w:line="578" w:lineRule="exact"/>
        <w:ind w:firstLine="643" w:firstLineChars="200"/>
        <w:jc w:val="both"/>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基本原则</w:t>
      </w:r>
    </w:p>
    <w:p>
      <w:pPr>
        <w:pStyle w:val="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——坚持党的全面领导。切实增强“四个意识”、坚定“四个自信”、做到“两个维护”，把党的全面领导贯穿到活动全过程，精心组织实施，健全责任和落实机制，确保党中央及省市区决策部署落地见效。</w:t>
      </w:r>
    </w:p>
    <w:p>
      <w:pPr>
        <w:pStyle w:val="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——坚持新发展理念。立足新发展阶段，完整、准确、全面贯彻新发展理念，全面深化改革创新，加强治理体系和治理能力现代化，加快推进京津冀协同发展，加快产业转型升级，构建新发展格局。</w:t>
      </w:r>
    </w:p>
    <w:p>
      <w:pPr>
        <w:pStyle w:val="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系统观念。强化顶层设计，加强统筹结合，把“三重四创五优化”活动和党史学习教育结合起来，和“团结就是力量”专题学习教育活动结合起来，选好切入点、把握关键点、打造新亮点，以点带面活跃工作全局，助推鹿泉创新发展、绿色发展、高质量发展。</w:t>
      </w:r>
    </w:p>
    <w:p>
      <w:pPr>
        <w:pStyle w:val="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人民为中心。认真践行以人民为中心的发展思想，坚定不移走好群众路线，聚焦影响鹿泉水利高质量发展的突出矛盾和人民群众反映强烈的难点问题，与农村饮水安全、水旱灾害防御、河长制、地下水超采综合治理、城乡供水基础设施建设、水资源管理、移民后期扶持、河道治理结合起来，充分调动人民群众的积极性、主动性和创造性。</w:t>
      </w:r>
    </w:p>
    <w:p>
      <w:pPr>
        <w:pStyle w:val="9"/>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2025年我局重点工作如下：</w:t>
      </w:r>
    </w:p>
    <w:p>
      <w:pPr>
        <w:numPr>
          <w:ilvl w:val="0"/>
          <w:numId w:val="0"/>
        </w:numPr>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w:t>
      </w:r>
      <w:r>
        <w:rPr>
          <w:rFonts w:hint="default" w:ascii="仿宋_GB2312" w:hAnsi="仿宋_GB2312" w:eastAsia="仿宋_GB2312" w:cs="仿宋_GB2312"/>
          <w:kern w:val="2"/>
          <w:sz w:val="32"/>
          <w:szCs w:val="32"/>
          <w:lang w:val="en-US" w:eastAsia="zh-CN" w:bidi="ar-SA"/>
        </w:rPr>
        <w:t>持续完善城市功能</w:t>
      </w:r>
      <w:r>
        <w:rPr>
          <w:rFonts w:hint="eastAsia" w:ascii="仿宋_GB2312" w:hAnsi="仿宋_GB2312" w:eastAsia="仿宋_GB2312" w:cs="仿宋_GB2312"/>
          <w:kern w:val="2"/>
          <w:sz w:val="32"/>
          <w:szCs w:val="32"/>
          <w:lang w:val="en-US" w:eastAsia="zh-CN" w:bidi="ar-SA"/>
        </w:rPr>
        <w:t>，黄壁庄水库移民安置区水厂新建完；</w:t>
      </w:r>
    </w:p>
    <w:p>
      <w:pPr>
        <w:numPr>
          <w:ilvl w:val="0"/>
          <w:numId w:val="0"/>
        </w:numPr>
        <w:ind w:firstLine="640" w:firstLineChars="200"/>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w:t>
      </w:r>
      <w:r>
        <w:rPr>
          <w:rFonts w:hint="default" w:ascii="仿宋_GB2312" w:hAnsi="仿宋_GB2312" w:eastAsia="仿宋_GB2312" w:cs="仿宋_GB2312"/>
          <w:kern w:val="2"/>
          <w:sz w:val="32"/>
          <w:szCs w:val="32"/>
          <w:lang w:val="en-US" w:eastAsia="zh-CN" w:bidi="ar-SA"/>
        </w:rPr>
        <w:t>全面加强城市管理</w:t>
      </w:r>
      <w:r>
        <w:rPr>
          <w:rFonts w:hint="eastAsia" w:ascii="仿宋_GB2312" w:hAnsi="仿宋_GB2312" w:eastAsia="仿宋_GB2312" w:cs="仿宋_GB2312"/>
          <w:kern w:val="2"/>
          <w:sz w:val="32"/>
          <w:szCs w:val="32"/>
          <w:lang w:val="en-US" w:eastAsia="zh-CN" w:bidi="ar-SA"/>
        </w:rPr>
        <w:t>，树牢经营城市理念，加强公共资源整合盘活，以市场化方式推动城市可持续发展；</w:t>
      </w:r>
    </w:p>
    <w:p>
      <w:pPr>
        <w:numPr>
          <w:ilvl w:val="0"/>
          <w:numId w:val="0"/>
        </w:num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kern w:val="2"/>
          <w:sz w:val="32"/>
          <w:szCs w:val="32"/>
          <w:lang w:val="en-US" w:eastAsia="zh-CN" w:bidi="ar-SA"/>
        </w:rPr>
        <w:t>3.</w:t>
      </w:r>
      <w:r>
        <w:rPr>
          <w:rFonts w:hint="default" w:ascii="仿宋_GB2312" w:hAnsi="仿宋_GB2312" w:eastAsia="仿宋_GB2312" w:cs="仿宋_GB2312"/>
          <w:kern w:val="2"/>
          <w:sz w:val="32"/>
          <w:szCs w:val="32"/>
          <w:lang w:val="en-US" w:eastAsia="zh-CN" w:bidi="ar-SA"/>
        </w:rPr>
        <w:t>加强水土生态保护</w:t>
      </w:r>
      <w:r>
        <w:rPr>
          <w:rFonts w:hint="eastAsia" w:ascii="仿宋_GB2312" w:hAnsi="仿宋_GB2312" w:eastAsia="仿宋_GB2312" w:cs="仿宋_GB2312"/>
          <w:kern w:val="2"/>
          <w:sz w:val="32"/>
          <w:szCs w:val="32"/>
          <w:lang w:val="en-US" w:eastAsia="zh-CN" w:bidi="ar-SA"/>
        </w:rPr>
        <w:t>，谋划南寨小流域水土保持项目，谋划蒲莲河治理项目，完成洨河鹿泉段治理二期工程；严格落实“河湖长制”要求，常态化开展巡河工作，探索河湖物业化管理新模式，严格落实“河湖长制”要求，常态化开展巡河工作，探索河湖物业化管理新模式。</w:t>
      </w:r>
    </w:p>
    <w:p>
      <w:pPr>
        <w:keepNext w:val="0"/>
        <w:keepLines w:val="0"/>
        <w:pageBreakBefore w:val="0"/>
        <w:widowControl/>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楷体" w:hAnsi="楷体" w:eastAsia="楷体" w:cs="楷体"/>
          <w:b/>
          <w:bCs/>
          <w:sz w:val="32"/>
          <w:szCs w:val="32"/>
        </w:rPr>
      </w:pPr>
      <w:r>
        <w:rPr>
          <w:rFonts w:hint="eastAsia" w:ascii="楷体" w:hAnsi="楷体" w:eastAsia="楷体" w:cs="楷体"/>
          <w:b/>
          <w:bCs/>
          <w:color w:val="000000"/>
          <w:sz w:val="32"/>
          <w:szCs w:val="32"/>
        </w:rPr>
        <w:t>（二）分项绩效目标</w:t>
      </w:r>
    </w:p>
    <w:p>
      <w:pPr>
        <w:numPr>
          <w:ilvl w:val="0"/>
          <w:numId w:val="0"/>
        </w:numPr>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（1）山洪灾害调查评价项目</w:t>
      </w:r>
    </w:p>
    <w:p>
      <w:pPr>
        <w:numPr>
          <w:ilvl w:val="0"/>
          <w:numId w:val="0"/>
        </w:numPr>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绩效目标：对山洪灾害受威胁村进行调查，并对危险区域进行划定，及时规避风险，提升抗风险能力，减少经济和人员损失。</w:t>
      </w:r>
    </w:p>
    <w:p>
      <w:pPr>
        <w:numPr>
          <w:ilvl w:val="0"/>
          <w:numId w:val="0"/>
        </w:numPr>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绩效指标：完成了对我区92个受山洪灾害威胁村的社会经济指标进行了调查更新、对历史山洪灾害调查、河道断面测量、危险区调查及风险进行了等级划分，完成了防洪现状能力评价、监测预警设施设备调查、涉水工程调查、预警指标计算、危险区划定及避险转移人员核定等工作。</w:t>
      </w:r>
    </w:p>
    <w:p>
      <w:pPr>
        <w:pStyle w:val="10"/>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color w:val="0000FF"/>
          <w:sz w:val="32"/>
          <w:szCs w:val="32"/>
          <w:lang w:eastAsia="zh-CN"/>
        </w:rPr>
      </w:pPr>
    </w:p>
    <w:p>
      <w:pPr>
        <w:numPr>
          <w:ilvl w:val="0"/>
          <w:numId w:val="0"/>
        </w:numPr>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（2）农业灌溉“以电折水”典型监测站点更新改建项目</w:t>
      </w:r>
    </w:p>
    <w:p>
      <w:pPr>
        <w:numPr>
          <w:ilvl w:val="0"/>
          <w:numId w:val="0"/>
        </w:numPr>
        <w:ind w:firstLine="640" w:firstLineChars="200"/>
        <w:rPr>
          <w:rFonts w:hint="eastAsia" w:ascii="方正仿宋_GBK" w:hAnsi="方正仿宋_GBK" w:eastAsia="方正仿宋_GBK" w:cs="方正仿宋_GBK"/>
          <w:b w:val="0"/>
          <w:bCs w:val="0"/>
          <w:i w:val="0"/>
          <w:iCs w:val="0"/>
          <w:caps w:val="0"/>
          <w:color w:val="000000"/>
          <w:spacing w:val="0"/>
          <w:sz w:val="32"/>
          <w:szCs w:val="32"/>
        </w:rPr>
      </w:pPr>
      <w:r>
        <w:rPr>
          <w:rFonts w:hint="eastAsia" w:ascii="仿宋_GB2312" w:hAnsi="仿宋_GB2312" w:eastAsia="仿宋_GB2312" w:cs="仿宋_GB2312"/>
          <w:kern w:val="2"/>
          <w:sz w:val="32"/>
          <w:szCs w:val="32"/>
          <w:lang w:val="en-US" w:eastAsia="zh-CN" w:bidi="ar-SA"/>
        </w:rPr>
        <w:t>绩效目标：</w:t>
      </w:r>
      <w:r>
        <w:rPr>
          <w:rFonts w:ascii="方正仿宋_GBK" w:hAnsi="方正仿宋_GBK" w:eastAsia="方正仿宋_GBK" w:cs="方正仿宋_GBK"/>
          <w:b w:val="0"/>
          <w:bCs w:val="0"/>
          <w:i w:val="0"/>
          <w:iCs w:val="0"/>
          <w:caps w:val="0"/>
          <w:color w:val="000000"/>
          <w:spacing w:val="0"/>
          <w:sz w:val="32"/>
          <w:szCs w:val="32"/>
        </w:rPr>
        <w:t>根据石家庄市财政局关于提前下达2025年中央水利发展资金预</w:t>
      </w:r>
      <w:r>
        <w:rPr>
          <w:rFonts w:hint="eastAsia" w:ascii="方正仿宋_GBK" w:hAnsi="方正仿宋_GBK" w:eastAsia="方正仿宋_GBK" w:cs="方正仿宋_GBK"/>
          <w:b w:val="0"/>
          <w:bCs w:val="0"/>
          <w:i w:val="0"/>
          <w:iCs w:val="0"/>
          <w:caps w:val="0"/>
          <w:color w:val="000000"/>
          <w:spacing w:val="0"/>
          <w:sz w:val="32"/>
          <w:szCs w:val="32"/>
        </w:rPr>
        <w:t>算的通知开展2025年“以电折水”典型监测站点项目建设，完成</w:t>
      </w:r>
      <w:r>
        <w:rPr>
          <w:rFonts w:hint="eastAsia" w:ascii="方正仿宋_GBK" w:hAnsi="方正仿宋_GBK" w:eastAsia="方正仿宋_GBK" w:cs="方正仿宋_GBK"/>
          <w:b w:val="0"/>
          <w:bCs w:val="0"/>
          <w:i w:val="0"/>
          <w:iCs w:val="0"/>
          <w:caps w:val="0"/>
          <w:color w:val="000000"/>
          <w:spacing w:val="0"/>
          <w:sz w:val="32"/>
          <w:szCs w:val="32"/>
          <w:lang w:eastAsia="zh-CN"/>
        </w:rPr>
        <w:t>相关设备</w:t>
      </w:r>
      <w:r>
        <w:rPr>
          <w:rFonts w:hint="eastAsia" w:ascii="方正仿宋_GBK" w:hAnsi="方正仿宋_GBK" w:eastAsia="方正仿宋_GBK" w:cs="方正仿宋_GBK"/>
          <w:b w:val="0"/>
          <w:bCs w:val="0"/>
          <w:i w:val="0"/>
          <w:iCs w:val="0"/>
          <w:caps w:val="0"/>
          <w:color w:val="000000"/>
          <w:spacing w:val="0"/>
          <w:sz w:val="32"/>
          <w:szCs w:val="32"/>
        </w:rPr>
        <w:t>更新改建，保障监测设备稳定运行。</w:t>
      </w:r>
    </w:p>
    <w:p>
      <w:pPr>
        <w:numPr>
          <w:ilvl w:val="0"/>
          <w:numId w:val="0"/>
        </w:numPr>
        <w:ind w:firstLine="640" w:firstLineChars="200"/>
        <w:rPr>
          <w:rFonts w:hint="eastAsia" w:ascii="仿宋" w:hAnsi="仿宋" w:eastAsia="仿宋"/>
          <w:sz w:val="32"/>
          <w:szCs w:val="32"/>
        </w:rPr>
      </w:pPr>
      <w:r>
        <w:rPr>
          <w:rFonts w:hint="eastAsia" w:ascii="方正仿宋_GBK" w:hAnsi="方正仿宋_GBK" w:eastAsia="方正仿宋_GBK" w:cs="方正仿宋_GBK"/>
          <w:b w:val="0"/>
          <w:bCs w:val="0"/>
          <w:i w:val="0"/>
          <w:iCs w:val="0"/>
          <w:caps w:val="0"/>
          <w:color w:val="000000"/>
          <w:spacing w:val="0"/>
          <w:sz w:val="32"/>
          <w:szCs w:val="32"/>
          <w:lang w:eastAsia="zh-CN"/>
        </w:rPr>
        <w:t>绩效指标：</w:t>
      </w:r>
      <w:r>
        <w:rPr>
          <w:rFonts w:hint="eastAsia" w:ascii="仿宋" w:hAnsi="仿宋" w:eastAsia="仿宋"/>
          <w:sz w:val="32"/>
          <w:szCs w:val="32"/>
        </w:rPr>
        <w:t>2025年度对石家庄市鹿泉区21处监测站点设备进行更新改建，保证设备运行正常、数据准确、稳定传输上传至“省平台”，并获得河北省水资源和节水管理综合业务平台--计量监控管理子系统出具的鉴定报告。质保期内服务单位提供日常巡检保养、故障维修更新等服务，保障监测设备数据稳定上传，确保每个监测站点设备稳定运行率达到90%以上。</w:t>
      </w:r>
    </w:p>
    <w:p>
      <w:pPr>
        <w:numPr>
          <w:ilvl w:val="0"/>
          <w:numId w:val="0"/>
        </w:numPr>
        <w:ind w:firstLine="640" w:firstLineChars="200"/>
        <w:rPr>
          <w:rFonts w:hint="eastAsia" w:ascii="仿宋" w:hAnsi="仿宋" w:eastAsia="仿宋"/>
          <w:sz w:val="32"/>
          <w:szCs w:val="32"/>
          <w:lang w:eastAsia="zh-CN"/>
        </w:rPr>
      </w:pPr>
      <w:r>
        <w:rPr>
          <w:rFonts w:hint="eastAsia" w:ascii="仿宋" w:hAnsi="仿宋" w:eastAsia="仿宋" w:cs="Times New Roman"/>
          <w:sz w:val="32"/>
          <w:szCs w:val="32"/>
          <w:lang w:val="en-US" w:eastAsia="zh-CN"/>
        </w:rPr>
        <w:t>（3）源泉渠渠道清淤、维修</w:t>
      </w:r>
      <w:r>
        <w:rPr>
          <w:rFonts w:hint="eastAsia" w:ascii="仿宋" w:hAnsi="仿宋" w:eastAsia="仿宋" w:cs="Times New Roman"/>
          <w:sz w:val="32"/>
          <w:szCs w:val="32"/>
        </w:rPr>
        <w:t>项目</w:t>
      </w:r>
    </w:p>
    <w:p>
      <w:pPr>
        <w:numPr>
          <w:ilvl w:val="0"/>
          <w:numId w:val="0"/>
        </w:numPr>
        <w:ind w:firstLine="640" w:firstLineChars="200"/>
        <w:rPr>
          <w:rFonts w:hint="eastAsia" w:ascii="仿宋" w:hAnsi="仿宋" w:eastAsia="仿宋_GB2312"/>
          <w:sz w:val="32"/>
          <w:szCs w:val="32"/>
          <w:lang w:eastAsia="zh-CN"/>
        </w:rPr>
      </w:pPr>
      <w:r>
        <w:rPr>
          <w:rFonts w:hint="eastAsia" w:ascii="仿宋" w:hAnsi="仿宋" w:eastAsia="仿宋" w:cs="Times New Roman"/>
          <w:sz w:val="32"/>
          <w:szCs w:val="32"/>
        </w:rPr>
        <w:t>绩效目标</w:t>
      </w:r>
      <w:r>
        <w:rPr>
          <w:rFonts w:hint="eastAsia" w:ascii="仿宋" w:hAnsi="仿宋" w:eastAsia="仿宋" w:cs="Times New Roman"/>
          <w:sz w:val="32"/>
          <w:szCs w:val="32"/>
          <w:lang w:eastAsia="zh-CN"/>
        </w:rPr>
        <w:t>：</w:t>
      </w:r>
      <w:r>
        <w:rPr>
          <w:rFonts w:hint="eastAsia" w:ascii="仿宋" w:hAnsi="仿宋" w:eastAsia="仿宋" w:cs="Times New Roman"/>
          <w:sz w:val="32"/>
          <w:szCs w:val="32"/>
        </w:rPr>
        <w:t>清理渠段内淤积物，对灌区进行维修与节水改造，减少灌溉损失，提高渠道的输水能力，缩短灌溉时间，提高灌溉效率</w:t>
      </w:r>
      <w:r>
        <w:rPr>
          <w:rFonts w:hint="eastAsia" w:ascii="仿宋" w:hAnsi="仿宋" w:eastAsia="仿宋" w:cs="Times New Roman"/>
          <w:sz w:val="32"/>
          <w:szCs w:val="32"/>
          <w:lang w:eastAsia="zh-CN"/>
        </w:rPr>
        <w:t>。</w:t>
      </w:r>
    </w:p>
    <w:p>
      <w:pPr>
        <w:numPr>
          <w:ilvl w:val="0"/>
          <w:numId w:val="0"/>
        </w:numPr>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绩效指标：</w:t>
      </w:r>
      <w:r>
        <w:rPr>
          <w:rFonts w:hint="eastAsia" w:ascii="仿宋" w:hAnsi="仿宋" w:eastAsia="仿宋"/>
          <w:sz w:val="32"/>
          <w:szCs w:val="32"/>
        </w:rPr>
        <w:t>完成渠道清淤</w:t>
      </w:r>
      <w:r>
        <w:rPr>
          <w:rFonts w:hint="eastAsia" w:ascii="仿宋" w:hAnsi="仿宋" w:eastAsia="仿宋"/>
          <w:sz w:val="32"/>
          <w:szCs w:val="32"/>
          <w:lang w:val="en-US" w:eastAsia="zh-CN"/>
        </w:rPr>
        <w:t>389</w:t>
      </w:r>
      <w:r>
        <w:rPr>
          <w:rFonts w:hint="eastAsia" w:ascii="仿宋" w:hAnsi="仿宋" w:eastAsia="仿宋"/>
          <w:sz w:val="32"/>
          <w:szCs w:val="32"/>
        </w:rPr>
        <w:t>5米、渠道维修4处</w:t>
      </w:r>
      <w:r>
        <w:rPr>
          <w:rFonts w:hint="eastAsia" w:ascii="仿宋" w:hAnsi="仿宋" w:eastAsia="仿宋"/>
          <w:sz w:val="32"/>
          <w:szCs w:val="32"/>
          <w:lang w:eastAsia="zh-CN"/>
        </w:rPr>
        <w:t>，完成灌溉</w:t>
      </w:r>
      <w:r>
        <w:rPr>
          <w:rFonts w:hint="eastAsia" w:ascii="仿宋" w:hAnsi="仿宋" w:eastAsia="仿宋"/>
          <w:sz w:val="32"/>
          <w:szCs w:val="32"/>
          <w:lang w:val="en-US" w:eastAsia="zh-CN"/>
        </w:rPr>
        <w:t>4次，验收合格率100%，春灌、冬灌完成率均达到100%，</w:t>
      </w:r>
      <w:r>
        <w:rPr>
          <w:rFonts w:hint="eastAsia" w:ascii="仿宋" w:hAnsi="仿宋" w:eastAsia="仿宋"/>
          <w:sz w:val="32"/>
          <w:szCs w:val="32"/>
        </w:rPr>
        <w:t>提高渠道安全输水能力，保证输水能力，保证农田灌溉质量。保障各村农田适时浇灌保障粮食增收</w:t>
      </w:r>
      <w:r>
        <w:rPr>
          <w:rFonts w:hint="eastAsia" w:ascii="仿宋" w:hAnsi="仿宋" w:eastAsia="仿宋"/>
          <w:sz w:val="32"/>
          <w:szCs w:val="32"/>
          <w:lang w:eastAsia="zh-CN"/>
        </w:rPr>
        <w:t>，提高了农户对灌溉输水的满意程度。</w:t>
      </w:r>
    </w:p>
    <w:p>
      <w:pPr>
        <w:numPr>
          <w:ilvl w:val="0"/>
          <w:numId w:val="0"/>
        </w:numPr>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（4）</w:t>
      </w:r>
      <w:r>
        <w:rPr>
          <w:rFonts w:hint="eastAsia" w:ascii="仿宋" w:hAnsi="仿宋" w:eastAsia="仿宋" w:cs="Times New Roman"/>
          <w:sz w:val="32"/>
          <w:szCs w:val="32"/>
          <w:lang w:eastAsia="zh-CN"/>
        </w:rPr>
        <w:t>滹沱河维修养护经费</w:t>
      </w:r>
    </w:p>
    <w:p>
      <w:pPr>
        <w:numPr>
          <w:ilvl w:val="0"/>
          <w:numId w:val="0"/>
        </w:numPr>
        <w:ind w:firstLine="640" w:firstLineChars="200"/>
        <w:rPr>
          <w:rFonts w:hint="eastAsia" w:ascii="仿宋" w:hAnsi="仿宋" w:eastAsia="仿宋" w:cs="Times New Roman"/>
          <w:sz w:val="32"/>
          <w:szCs w:val="32"/>
          <w:lang w:val="en-US" w:eastAsia="zh-CN"/>
        </w:rPr>
      </w:pPr>
      <w:r>
        <w:rPr>
          <w:rFonts w:hint="eastAsia" w:ascii="仿宋" w:hAnsi="仿宋" w:eastAsia="仿宋"/>
          <w:sz w:val="32"/>
          <w:szCs w:val="32"/>
          <w:lang w:val="en-US" w:eastAsia="zh-CN"/>
        </w:rPr>
        <w:t>绩效目标：对已完工的滹沱河生态修复三期工程（鹿泉区）水利及绿化部分进行维修养护。</w:t>
      </w:r>
      <w:r>
        <w:rPr>
          <w:rFonts w:hint="eastAsia" w:ascii="仿宋" w:hAnsi="仿宋" w:eastAsia="仿宋" w:cs="Times New Roman"/>
          <w:sz w:val="32"/>
          <w:szCs w:val="32"/>
          <w:lang w:val="en-US" w:eastAsia="zh-CN"/>
        </w:rPr>
        <w:t>改善河道生态环境的恶化对石家庄市外围环境造成的严重不良影响，为当地居民提供方便、有利于提高当地居民的生活水平。</w:t>
      </w:r>
    </w:p>
    <w:p>
      <w:pPr>
        <w:numPr>
          <w:ilvl w:val="0"/>
          <w:numId w:val="0"/>
        </w:numPr>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绩效指标：滹沱河生态修复绿化维养面积179.97万平米，岸坡防护数量18.44万平米。项目在年内按时完工。环境的美化，为招商引资创建了优越的外部环境，极大地推动鹿泉经济的持续飞速发展。为当地居民生活、娱乐和休闲提供方便，有利于提高当地居民的生活水平和生活质量。</w:t>
      </w:r>
    </w:p>
    <w:p>
      <w:pPr>
        <w:keepNext w:val="0"/>
        <w:keepLines w:val="0"/>
        <w:pageBreakBefore w:val="0"/>
        <w:widowControl w:val="0"/>
        <w:numPr>
          <w:ilvl w:val="0"/>
          <w:numId w:val="0"/>
        </w:numPr>
        <w:kinsoku/>
        <w:wordWrap/>
        <w:overflowPunct/>
        <w:topLinePunct w:val="0"/>
        <w:autoSpaceDE/>
        <w:autoSpaceDN/>
        <w:bidi w:val="0"/>
        <w:spacing w:line="240" w:lineRule="auto"/>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（5）防汛应急卫星电话更新升级及通讯费项目</w:t>
      </w:r>
    </w:p>
    <w:p>
      <w:pPr>
        <w:keepNext w:val="0"/>
        <w:keepLines w:val="0"/>
        <w:pageBreakBefore w:val="0"/>
        <w:widowControl w:val="0"/>
        <w:numPr>
          <w:ilvl w:val="0"/>
          <w:numId w:val="0"/>
        </w:numPr>
        <w:kinsoku/>
        <w:wordWrap/>
        <w:overflowPunct/>
        <w:topLinePunct w:val="0"/>
        <w:autoSpaceDE/>
        <w:autoSpaceDN/>
        <w:bidi w:val="0"/>
        <w:spacing w:line="240" w:lineRule="auto"/>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绩效目标：鹿泉区防汛应急卫星电话21部，每部每年通讯费1000元，2025年我局对10个受洪水威胁村庄的卫星电话进行了升级，委托河北韦斯珀电子科技有限公司购置固移两用卫星电话10部。</w:t>
      </w:r>
    </w:p>
    <w:p>
      <w:pPr>
        <w:keepNext w:val="0"/>
        <w:keepLines w:val="0"/>
        <w:pageBreakBefore w:val="0"/>
        <w:widowControl w:val="0"/>
        <w:numPr>
          <w:ilvl w:val="0"/>
          <w:numId w:val="0"/>
        </w:numPr>
        <w:kinsoku/>
        <w:wordWrap/>
        <w:overflowPunct/>
        <w:topLinePunct w:val="0"/>
        <w:autoSpaceDE/>
        <w:autoSpaceDN/>
        <w:bidi w:val="0"/>
        <w:spacing w:line="240" w:lineRule="auto"/>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绩效指标：鹿泉区防汛应急卫星电话21部，正常使用率100%，在使用年限内使用正常，费用进行了及时安排及支出，群众满意度≧90%。</w:t>
      </w:r>
    </w:p>
    <w:p>
      <w:pPr>
        <w:keepNext w:val="0"/>
        <w:keepLines w:val="0"/>
        <w:pageBreakBefore w:val="0"/>
        <w:widowControl w:val="0"/>
        <w:numPr>
          <w:ilvl w:val="0"/>
          <w:numId w:val="0"/>
        </w:numPr>
        <w:kinsoku/>
        <w:wordWrap/>
        <w:overflowPunct/>
        <w:topLinePunct w:val="0"/>
        <w:autoSpaceDE/>
        <w:autoSpaceDN/>
        <w:bidi w:val="0"/>
        <w:spacing w:line="240" w:lineRule="auto"/>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（6）山洪灾害防治非工程措施运行维护费</w:t>
      </w:r>
    </w:p>
    <w:p>
      <w:pPr>
        <w:keepNext w:val="0"/>
        <w:keepLines w:val="0"/>
        <w:pageBreakBefore w:val="0"/>
        <w:widowControl w:val="0"/>
        <w:numPr>
          <w:ilvl w:val="0"/>
          <w:numId w:val="0"/>
        </w:numPr>
        <w:kinsoku/>
        <w:wordWrap/>
        <w:overflowPunct/>
        <w:topLinePunct w:val="0"/>
        <w:autoSpaceDE/>
        <w:autoSpaceDN/>
        <w:bidi w:val="0"/>
        <w:ind w:leftChars="200" w:firstLine="640" w:firstLineChars="200"/>
        <w:jc w:val="left"/>
        <w:textAlignment w:val="auto"/>
        <w:rPr>
          <w:rFonts w:hint="eastAsia" w:ascii="仿宋" w:hAnsi="仿宋" w:eastAsia="仿宋"/>
          <w:sz w:val="32"/>
          <w:szCs w:val="32"/>
        </w:rPr>
      </w:pPr>
      <w:r>
        <w:rPr>
          <w:rFonts w:hint="eastAsia" w:ascii="仿宋" w:hAnsi="仿宋" w:eastAsia="仿宋"/>
          <w:sz w:val="32"/>
          <w:szCs w:val="32"/>
          <w:lang w:eastAsia="zh-CN"/>
        </w:rPr>
        <w:t>绩效目标：</w:t>
      </w:r>
      <w:r>
        <w:rPr>
          <w:rFonts w:hint="eastAsia" w:ascii="仿宋" w:hAnsi="仿宋" w:eastAsia="仿宋"/>
          <w:sz w:val="32"/>
          <w:szCs w:val="32"/>
        </w:rPr>
        <w:t>项目完成山洪灾害非工程措施设施设备维修养护，完成38座自动雨量站数据卡缴费，维护预警平台122套，减少洪水对村庄和农田的威胁。</w:t>
      </w:r>
    </w:p>
    <w:p>
      <w:pPr>
        <w:keepNext w:val="0"/>
        <w:keepLines w:val="0"/>
        <w:pageBreakBefore w:val="0"/>
        <w:widowControl w:val="0"/>
        <w:numPr>
          <w:ilvl w:val="0"/>
          <w:numId w:val="0"/>
        </w:numPr>
        <w:kinsoku/>
        <w:wordWrap/>
        <w:overflowPunct/>
        <w:topLinePunct w:val="0"/>
        <w:autoSpaceDE/>
        <w:autoSpaceDN/>
        <w:bidi w:val="0"/>
        <w:ind w:leftChars="200" w:firstLine="640" w:firstLineChars="200"/>
        <w:jc w:val="left"/>
        <w:textAlignment w:val="auto"/>
        <w:rPr>
          <w:rFonts w:hint="default" w:ascii="仿宋" w:hAnsi="仿宋" w:eastAsia="仿宋"/>
          <w:sz w:val="32"/>
          <w:szCs w:val="32"/>
          <w:lang w:val="en-US" w:eastAsia="zh-CN"/>
        </w:rPr>
      </w:pPr>
      <w:r>
        <w:rPr>
          <w:rFonts w:hint="eastAsia" w:ascii="仿宋" w:hAnsi="仿宋" w:eastAsia="仿宋"/>
          <w:sz w:val="32"/>
          <w:szCs w:val="32"/>
          <w:lang w:eastAsia="zh-CN"/>
        </w:rPr>
        <w:t>绩效指标：已对</w:t>
      </w:r>
      <w:r>
        <w:rPr>
          <w:rFonts w:hint="eastAsia" w:ascii="仿宋" w:hAnsi="仿宋" w:eastAsia="仿宋"/>
          <w:sz w:val="32"/>
          <w:szCs w:val="32"/>
          <w:lang w:val="en-US" w:eastAsia="zh-CN"/>
        </w:rPr>
        <w:t>122套预警广播进行了维护，山洪灾害设施设备正常运行≥90%，已按时缴纳了自动雨量站数据卡，按照项目进度进行了本级预算支出，山洪灾害防治人口数量≥13.5万人，促进了环境协调发展，公众满意度达到90%以上。</w:t>
      </w:r>
    </w:p>
    <w:p>
      <w:pPr>
        <w:keepNext w:val="0"/>
        <w:keepLines w:val="0"/>
        <w:pageBreakBefore w:val="0"/>
        <w:kinsoku/>
        <w:wordWrap/>
        <w:overflowPunct/>
        <w:topLinePunct w:val="0"/>
        <w:autoSpaceDE/>
        <w:autoSpaceDN/>
        <w:bidi w:val="0"/>
        <w:spacing w:line="578"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根据部门职责定位和各项工作履职情况进行综合评价，给出总得分，满分100分，得出综合绩效评价等级。部门整体支出综合绩效评价分为4个等级：得分≥85分为优秀；75</w:t>
      </w:r>
      <w:r>
        <w:rPr>
          <w:rFonts w:hint="eastAsia" w:ascii="仿宋" w:hAnsi="仿宋" w:eastAsia="仿宋" w:cs="仿宋"/>
          <w:sz w:val="32"/>
          <w:szCs w:val="32"/>
          <w:lang w:eastAsia="zh-CN"/>
        </w:rPr>
        <w:t>分</w:t>
      </w:r>
      <w:r>
        <w:rPr>
          <w:rFonts w:hint="eastAsia" w:ascii="仿宋" w:hAnsi="仿宋" w:eastAsia="仿宋" w:cs="仿宋"/>
          <w:sz w:val="32"/>
          <w:szCs w:val="32"/>
        </w:rPr>
        <w:t>≤得分＜85分为良好；60</w:t>
      </w:r>
      <w:r>
        <w:rPr>
          <w:rFonts w:hint="eastAsia" w:ascii="仿宋" w:hAnsi="仿宋" w:eastAsia="仿宋" w:cs="仿宋"/>
          <w:sz w:val="32"/>
          <w:szCs w:val="32"/>
          <w:lang w:eastAsia="zh-CN"/>
        </w:rPr>
        <w:t>分</w:t>
      </w:r>
      <w:r>
        <w:rPr>
          <w:rFonts w:hint="eastAsia" w:ascii="仿宋" w:hAnsi="仿宋" w:eastAsia="仿宋" w:cs="仿宋"/>
          <w:sz w:val="32"/>
          <w:szCs w:val="32"/>
        </w:rPr>
        <w:t>≤得分＜75分为一般；得分＜60分为较差。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eastAsia="zh-CN"/>
        </w:rPr>
        <w:t>我部门本年度整体支出情况最终得分</w:t>
      </w:r>
      <w:r>
        <w:rPr>
          <w:rFonts w:hint="eastAsia" w:ascii="仿宋" w:hAnsi="仿宋" w:eastAsia="仿宋" w:cs="仿宋"/>
          <w:b w:val="0"/>
          <w:bCs w:val="0"/>
          <w:color w:val="auto"/>
          <w:sz w:val="32"/>
          <w:szCs w:val="32"/>
          <w:lang w:val="en-US" w:eastAsia="zh-CN"/>
        </w:rPr>
        <w:t>97</w:t>
      </w:r>
      <w:r>
        <w:rPr>
          <w:rFonts w:hint="eastAsia" w:ascii="仿宋" w:hAnsi="仿宋" w:eastAsia="仿宋" w:cs="仿宋"/>
          <w:b w:val="0"/>
          <w:bCs w:val="0"/>
          <w:sz w:val="32"/>
          <w:szCs w:val="32"/>
          <w:lang w:val="en-US" w:eastAsia="zh-CN"/>
        </w:rPr>
        <w:t>分，综合绩效评价等级为优秀。</w:t>
      </w:r>
    </w:p>
    <w:p>
      <w:pPr>
        <w:keepNext w:val="0"/>
        <w:keepLines w:val="0"/>
        <w:pageBreakBefore w:val="0"/>
        <w:kinsoku/>
        <w:wordWrap/>
        <w:overflowPunct/>
        <w:topLinePunct w:val="0"/>
        <w:autoSpaceDE/>
        <w:autoSpaceDN/>
        <w:bidi w:val="0"/>
        <w:spacing w:line="578"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工作保障措施</w:t>
      </w:r>
    </w:p>
    <w:p>
      <w:pPr>
        <w:keepNext w:val="0"/>
        <w:keepLines w:val="0"/>
        <w:pageBreakBefore w:val="0"/>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加强组织领导，落实目标责任</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强化</w:t>
      </w:r>
      <w:r>
        <w:rPr>
          <w:rFonts w:hint="eastAsia" w:ascii="仿宋_GB2312" w:hAnsi="仿宋_GB2312" w:eastAsia="仿宋_GB2312" w:cs="仿宋_GB2312"/>
          <w:sz w:val="32"/>
          <w:szCs w:val="32"/>
        </w:rPr>
        <w:t>我区水利发展改革的作用，切实加强对水利工作的组织领导，强化水利规划实施的目标责任，将主要目标纳入政府工作目标体系，层层落实责任。</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2、建立工作机制，强化协调配合</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切实增强责任意识，认真履行职责，强化工作措施，抓好水利管理的各项任务实施工作，推动项目落实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建立有效的工作机制，明确责任，协调联动，协调推动水利发展。</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3、加大投入力度</w:t>
      </w:r>
      <w:r>
        <w:rPr>
          <w:rFonts w:hint="eastAsia" w:ascii="仿宋_GB2312" w:hAnsi="仿宋_GB2312" w:eastAsia="仿宋_GB2312" w:cs="仿宋_GB2312"/>
          <w:sz w:val="32"/>
          <w:szCs w:val="32"/>
          <w:lang w:eastAsia="zh-CN"/>
        </w:rPr>
        <w:t>，实施水利建设</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抓住加大水利基础设施建设及生态建设投入的重大战略机遇，用足用好各项政策，努力争取上级资金，加大投资倾斜力度，落实水利投入稳定增长机制的各项政策</w:t>
      </w:r>
      <w:r>
        <w:rPr>
          <w:rFonts w:hint="eastAsia" w:ascii="仿宋_GB2312" w:hAnsi="仿宋_GB2312" w:eastAsia="仿宋_GB2312" w:cs="仿宋_GB2312"/>
          <w:sz w:val="32"/>
          <w:szCs w:val="32"/>
          <w:lang w:eastAsia="zh-CN"/>
        </w:rPr>
        <w:t>，加快水利基础建设。</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4、健全考核体系，加强督查稽查</w:t>
      </w:r>
    </w:p>
    <w:p>
      <w:pPr>
        <w:pStyle w:val="13"/>
        <w:keepNext w:val="0"/>
        <w:keepLines w:val="0"/>
        <w:pageBreakBefore w:val="0"/>
        <w:widowControl/>
        <w:kinsoku/>
        <w:wordWrap/>
        <w:overflowPunct/>
        <w:topLinePunct w:val="0"/>
        <w:autoSpaceDE/>
        <w:autoSpaceDN/>
        <w:bidi w:val="0"/>
        <w:adjustRightInd/>
        <w:snapToGrid/>
        <w:spacing w:line="578"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进一步完善水利发展改革的绩效评价和考核办法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加大水利基础设施建设项目督导和检查力度，保障水</w:t>
      </w:r>
      <w:r>
        <w:rPr>
          <w:rFonts w:hint="eastAsia" w:ascii="仿宋_GB2312" w:hAnsi="仿宋_GB2312" w:eastAsia="仿宋_GB2312" w:cs="仿宋_GB2312"/>
          <w:sz w:val="32"/>
          <w:szCs w:val="32"/>
          <w:lang w:eastAsia="zh-CN"/>
        </w:rPr>
        <w:t>利</w:t>
      </w:r>
      <w:r>
        <w:rPr>
          <w:rFonts w:hint="eastAsia" w:ascii="仿宋_GB2312" w:hAnsi="仿宋_GB2312" w:eastAsia="仿宋_GB2312" w:cs="仿宋_GB2312"/>
          <w:sz w:val="32"/>
          <w:szCs w:val="32"/>
        </w:rPr>
        <w:t>基础设施建设顺利推进。</w:t>
      </w:r>
    </w:p>
    <w:p>
      <w:pPr>
        <w:keepNext w:val="0"/>
        <w:keepLines w:val="0"/>
        <w:pageBreakBefore w:val="0"/>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仿宋_GB2312" w:hAnsi="仿宋_GB2312" w:eastAsia="仿宋_GB2312" w:cs="仿宋_GB2312"/>
          <w:b/>
          <w:color w:val="000000"/>
          <w:sz w:val="32"/>
          <w:szCs w:val="32"/>
        </w:rPr>
      </w:pPr>
    </w:p>
    <w:p>
      <w:pPr>
        <w:keepNext w:val="0"/>
        <w:keepLines w:val="0"/>
        <w:pageBreakBefore w:val="0"/>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lang w:val="en-US" w:eastAsia="zh-CN"/>
        </w:rPr>
      </w:pPr>
    </w:p>
    <w:p>
      <w:pPr>
        <w:pageBreakBefore w:val="0"/>
        <w:kinsoku/>
        <w:wordWrap/>
        <w:overflowPunct/>
        <w:topLinePunct w:val="0"/>
        <w:autoSpaceDE/>
        <w:autoSpaceDN/>
        <w:bidi w:val="0"/>
        <w:adjustRightInd/>
        <w:spacing w:line="578" w:lineRule="exact"/>
        <w:textAlignment w:val="auto"/>
        <w:rPr>
          <w:rFonts w:hint="eastAsia" w:ascii="仿宋" w:hAnsi="仿宋" w:eastAsia="仿宋" w:cs="仿宋"/>
          <w:sz w:val="32"/>
          <w:szCs w:val="32"/>
          <w:lang w:val="en-US" w:eastAsia="zh-CN"/>
        </w:rPr>
      </w:pPr>
    </w:p>
    <w:p>
      <w:pPr>
        <w:pageBreakBefore w:val="0"/>
        <w:kinsoku/>
        <w:wordWrap/>
        <w:overflowPunct/>
        <w:topLinePunct w:val="0"/>
        <w:autoSpaceDE/>
        <w:autoSpaceDN/>
        <w:bidi w:val="0"/>
        <w:adjustRightInd/>
        <w:spacing w:line="578" w:lineRule="exact"/>
        <w:textAlignment w:val="auto"/>
        <w:rPr>
          <w:rFonts w:hint="eastAsia" w:ascii="仿宋" w:hAnsi="仿宋" w:eastAsia="仿宋" w:cs="仿宋"/>
          <w:sz w:val="32"/>
          <w:szCs w:val="32"/>
          <w:lang w:val="en-US" w:eastAsia="zh-CN"/>
        </w:rPr>
      </w:pPr>
      <w:bookmarkStart w:id="0" w:name="_GoBack"/>
      <w:bookmarkEnd w:id="0"/>
    </w:p>
    <w:p>
      <w:pPr>
        <w:pageBreakBefore w:val="0"/>
        <w:kinsoku/>
        <w:wordWrap/>
        <w:overflowPunct/>
        <w:topLinePunct w:val="0"/>
        <w:autoSpaceDE/>
        <w:autoSpaceDN/>
        <w:bidi w:val="0"/>
        <w:adjustRightInd/>
        <w:spacing w:line="578" w:lineRule="exact"/>
        <w:textAlignment w:val="auto"/>
        <w:rPr>
          <w:rFonts w:hint="eastAsia" w:ascii="仿宋" w:hAnsi="仿宋" w:eastAsia="仿宋" w:cs="仿宋"/>
          <w:sz w:val="32"/>
          <w:szCs w:val="32"/>
          <w:lang w:val="en-US" w:eastAsia="zh-CN"/>
        </w:rPr>
      </w:pPr>
    </w:p>
    <w:p>
      <w:pPr>
        <w:pageBreakBefore w:val="0"/>
        <w:kinsoku/>
        <w:wordWrap/>
        <w:overflowPunct/>
        <w:topLinePunct w:val="0"/>
        <w:autoSpaceDE/>
        <w:autoSpaceDN/>
        <w:bidi w:val="0"/>
        <w:adjustRightInd/>
        <w:spacing w:line="578" w:lineRule="exact"/>
        <w:jc w:val="righ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石家庄市鹿泉区水利局</w:t>
      </w:r>
    </w:p>
    <w:p>
      <w:pPr>
        <w:pageBreakBefore w:val="0"/>
        <w:kinsoku/>
        <w:wordWrap/>
        <w:overflowPunct/>
        <w:topLinePunct w:val="0"/>
        <w:autoSpaceDE/>
        <w:autoSpaceDN/>
        <w:bidi w:val="0"/>
        <w:adjustRightInd/>
        <w:spacing w:line="578" w:lineRule="exact"/>
        <w:jc w:val="center"/>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2026年5月9日</w:t>
      </w:r>
    </w:p>
    <w:sectPr>
      <w:footerReference r:id="rId3" w:type="default"/>
      <w:pgSz w:w="11906" w:h="16838"/>
      <w:pgMar w:top="2098" w:right="1474" w:bottom="198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Arial" w:hAnsi="Arial" w:cs="Arial"/>
        <w:sz w:val="24"/>
        <w:szCs w:val="24"/>
      </w:rPr>
    </w:pPr>
    <w:r>
      <w:rPr>
        <w:rFonts w:ascii="Arial" w:hAnsi="Arial" w:cs="Arial"/>
        <w:sz w:val="24"/>
        <w:szCs w:val="24"/>
      </w:rPr>
      <w:fldChar w:fldCharType="begin"/>
    </w:r>
    <w:r>
      <w:rPr>
        <w:rFonts w:ascii="Arial" w:hAnsi="Arial" w:cs="Arial"/>
        <w:sz w:val="24"/>
        <w:szCs w:val="24"/>
      </w:rPr>
      <w:instrText xml:space="preserve"> PAGE   \* MERGEFORMAT </w:instrText>
    </w:r>
    <w:r>
      <w:rPr>
        <w:rFonts w:ascii="Arial" w:hAnsi="Arial" w:cs="Arial"/>
        <w:sz w:val="24"/>
        <w:szCs w:val="24"/>
      </w:rPr>
      <w:fldChar w:fldCharType="separate"/>
    </w:r>
    <w:r>
      <w:rPr>
        <w:rFonts w:ascii="Arial" w:hAnsi="Arial" w:cs="Arial"/>
        <w:sz w:val="24"/>
        <w:szCs w:val="24"/>
        <w:lang w:val="zh-CN" w:eastAsia="zh-CN"/>
      </w:rPr>
      <w:t>4</w:t>
    </w:r>
    <w:r>
      <w:rPr>
        <w:rFonts w:ascii="Arial" w:hAnsi="Arial" w:cs="Arial"/>
        <w:sz w:val="24"/>
        <w:szCs w:val="24"/>
      </w:rPr>
      <w:fldChar w:fldCharType="end"/>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jMzFlOThlY2I3MzA3ZGEzZjc1NjYwNGEzNzNjYWQifQ=="/>
  </w:docVars>
  <w:rsids>
    <w:rsidRoot w:val="00000000"/>
    <w:rsid w:val="008F53B6"/>
    <w:rsid w:val="00A03414"/>
    <w:rsid w:val="00E01A8B"/>
    <w:rsid w:val="00E3119B"/>
    <w:rsid w:val="010C3581"/>
    <w:rsid w:val="01722330"/>
    <w:rsid w:val="019B4930"/>
    <w:rsid w:val="01B77F31"/>
    <w:rsid w:val="01F6326C"/>
    <w:rsid w:val="02060CF6"/>
    <w:rsid w:val="02AD7A2A"/>
    <w:rsid w:val="032255CB"/>
    <w:rsid w:val="034E77FA"/>
    <w:rsid w:val="03AA5DB1"/>
    <w:rsid w:val="03F04E05"/>
    <w:rsid w:val="04313670"/>
    <w:rsid w:val="04427E1C"/>
    <w:rsid w:val="057502DC"/>
    <w:rsid w:val="059E6375"/>
    <w:rsid w:val="064252FF"/>
    <w:rsid w:val="07251B4B"/>
    <w:rsid w:val="07513073"/>
    <w:rsid w:val="07696150"/>
    <w:rsid w:val="07963981"/>
    <w:rsid w:val="07AF1BE8"/>
    <w:rsid w:val="091153EC"/>
    <w:rsid w:val="095531B4"/>
    <w:rsid w:val="0BF508DD"/>
    <w:rsid w:val="0D931390"/>
    <w:rsid w:val="0F507849"/>
    <w:rsid w:val="0F6B1708"/>
    <w:rsid w:val="0F88359D"/>
    <w:rsid w:val="0FC73DD0"/>
    <w:rsid w:val="103C4890"/>
    <w:rsid w:val="10E13FEB"/>
    <w:rsid w:val="1110038B"/>
    <w:rsid w:val="11C0052E"/>
    <w:rsid w:val="11D007C9"/>
    <w:rsid w:val="122136E2"/>
    <w:rsid w:val="12855F2D"/>
    <w:rsid w:val="12B40A3B"/>
    <w:rsid w:val="136A013D"/>
    <w:rsid w:val="13935A18"/>
    <w:rsid w:val="14591509"/>
    <w:rsid w:val="14C72840"/>
    <w:rsid w:val="1524402C"/>
    <w:rsid w:val="152E5D8D"/>
    <w:rsid w:val="15620F2A"/>
    <w:rsid w:val="157849F7"/>
    <w:rsid w:val="158F39AD"/>
    <w:rsid w:val="16B1482B"/>
    <w:rsid w:val="16C31374"/>
    <w:rsid w:val="184A764E"/>
    <w:rsid w:val="198C65F8"/>
    <w:rsid w:val="1A1071B6"/>
    <w:rsid w:val="1A2D72DB"/>
    <w:rsid w:val="1A717E52"/>
    <w:rsid w:val="1AFC2ED4"/>
    <w:rsid w:val="1B3F51DF"/>
    <w:rsid w:val="1C240715"/>
    <w:rsid w:val="1D7B74D6"/>
    <w:rsid w:val="1E9769A7"/>
    <w:rsid w:val="1EAA5DFB"/>
    <w:rsid w:val="1EC13CF5"/>
    <w:rsid w:val="1ECC4A61"/>
    <w:rsid w:val="1EF1727A"/>
    <w:rsid w:val="1EF921DA"/>
    <w:rsid w:val="1F3A1AB7"/>
    <w:rsid w:val="1F693A18"/>
    <w:rsid w:val="20D364EF"/>
    <w:rsid w:val="22D749B9"/>
    <w:rsid w:val="23511A72"/>
    <w:rsid w:val="239C45FC"/>
    <w:rsid w:val="244C3DD6"/>
    <w:rsid w:val="24F0183C"/>
    <w:rsid w:val="267F2B64"/>
    <w:rsid w:val="26DD6212"/>
    <w:rsid w:val="276428BB"/>
    <w:rsid w:val="27D019DA"/>
    <w:rsid w:val="2810627B"/>
    <w:rsid w:val="2891075D"/>
    <w:rsid w:val="28AE59C9"/>
    <w:rsid w:val="28BB2AE0"/>
    <w:rsid w:val="28F55961"/>
    <w:rsid w:val="294A16A7"/>
    <w:rsid w:val="2A0D41B9"/>
    <w:rsid w:val="2A697432"/>
    <w:rsid w:val="2ABC4E3A"/>
    <w:rsid w:val="2B324878"/>
    <w:rsid w:val="2B4D18B6"/>
    <w:rsid w:val="2B870602"/>
    <w:rsid w:val="2BAC2E33"/>
    <w:rsid w:val="2CD27D73"/>
    <w:rsid w:val="2E1B0D0D"/>
    <w:rsid w:val="2E8D3D34"/>
    <w:rsid w:val="2FE07B7F"/>
    <w:rsid w:val="31402327"/>
    <w:rsid w:val="328E299F"/>
    <w:rsid w:val="32FA1831"/>
    <w:rsid w:val="345830A1"/>
    <w:rsid w:val="34F767AB"/>
    <w:rsid w:val="3579545F"/>
    <w:rsid w:val="35EA31A9"/>
    <w:rsid w:val="36971C9C"/>
    <w:rsid w:val="37225683"/>
    <w:rsid w:val="38141EFE"/>
    <w:rsid w:val="38663A6A"/>
    <w:rsid w:val="38716F49"/>
    <w:rsid w:val="393648D1"/>
    <w:rsid w:val="3BD57167"/>
    <w:rsid w:val="3BED0F94"/>
    <w:rsid w:val="3C7A66BB"/>
    <w:rsid w:val="3C9E2D5C"/>
    <w:rsid w:val="3DB03A43"/>
    <w:rsid w:val="3E826A37"/>
    <w:rsid w:val="3EB944A5"/>
    <w:rsid w:val="3EE25F6A"/>
    <w:rsid w:val="3F8A64BB"/>
    <w:rsid w:val="40B75F3A"/>
    <w:rsid w:val="40C307B3"/>
    <w:rsid w:val="40D91156"/>
    <w:rsid w:val="41A33D4E"/>
    <w:rsid w:val="426621C4"/>
    <w:rsid w:val="428C60A6"/>
    <w:rsid w:val="4329796C"/>
    <w:rsid w:val="44BF1512"/>
    <w:rsid w:val="44E46CFE"/>
    <w:rsid w:val="45236DFE"/>
    <w:rsid w:val="455B692F"/>
    <w:rsid w:val="46560EA5"/>
    <w:rsid w:val="46840DC3"/>
    <w:rsid w:val="46F14A6F"/>
    <w:rsid w:val="46FC3498"/>
    <w:rsid w:val="485A0F31"/>
    <w:rsid w:val="48DE6819"/>
    <w:rsid w:val="4A096307"/>
    <w:rsid w:val="4B740539"/>
    <w:rsid w:val="4BC85FB6"/>
    <w:rsid w:val="4BE55522"/>
    <w:rsid w:val="4C5072DD"/>
    <w:rsid w:val="4D95548A"/>
    <w:rsid w:val="4DB90697"/>
    <w:rsid w:val="4DC6715D"/>
    <w:rsid w:val="4F1E58EE"/>
    <w:rsid w:val="50243422"/>
    <w:rsid w:val="51222568"/>
    <w:rsid w:val="5159539B"/>
    <w:rsid w:val="51B13496"/>
    <w:rsid w:val="51B53A19"/>
    <w:rsid w:val="51D517F0"/>
    <w:rsid w:val="51F55F49"/>
    <w:rsid w:val="52597DAA"/>
    <w:rsid w:val="52BE5550"/>
    <w:rsid w:val="52C319D8"/>
    <w:rsid w:val="531516D9"/>
    <w:rsid w:val="534A228D"/>
    <w:rsid w:val="535A53CF"/>
    <w:rsid w:val="537A2F30"/>
    <w:rsid w:val="54BB2692"/>
    <w:rsid w:val="54CA432C"/>
    <w:rsid w:val="54CC1A7D"/>
    <w:rsid w:val="550E4096"/>
    <w:rsid w:val="55412026"/>
    <w:rsid w:val="5656342D"/>
    <w:rsid w:val="56C50D8B"/>
    <w:rsid w:val="57E91FF2"/>
    <w:rsid w:val="58C57026"/>
    <w:rsid w:val="58F21563"/>
    <w:rsid w:val="590F38F3"/>
    <w:rsid w:val="5AEF0AF8"/>
    <w:rsid w:val="5AF815CD"/>
    <w:rsid w:val="5B03516C"/>
    <w:rsid w:val="5B88343B"/>
    <w:rsid w:val="5C5D3D2F"/>
    <w:rsid w:val="5D025E6F"/>
    <w:rsid w:val="5D1816AD"/>
    <w:rsid w:val="5E5021EA"/>
    <w:rsid w:val="5E822696"/>
    <w:rsid w:val="604516D3"/>
    <w:rsid w:val="604C110A"/>
    <w:rsid w:val="61483DB4"/>
    <w:rsid w:val="63520D9F"/>
    <w:rsid w:val="642559F9"/>
    <w:rsid w:val="660E4EA0"/>
    <w:rsid w:val="67582D73"/>
    <w:rsid w:val="6773716B"/>
    <w:rsid w:val="67755561"/>
    <w:rsid w:val="67A932AC"/>
    <w:rsid w:val="6804624B"/>
    <w:rsid w:val="684B6375"/>
    <w:rsid w:val="68A87B5D"/>
    <w:rsid w:val="68F34310"/>
    <w:rsid w:val="691174A4"/>
    <w:rsid w:val="691318F3"/>
    <w:rsid w:val="6B343919"/>
    <w:rsid w:val="6BFA214F"/>
    <w:rsid w:val="6C540873"/>
    <w:rsid w:val="6D5F085B"/>
    <w:rsid w:val="6DCD00FA"/>
    <w:rsid w:val="6DFB6451"/>
    <w:rsid w:val="6E7E2B02"/>
    <w:rsid w:val="6F51697C"/>
    <w:rsid w:val="70DB30B2"/>
    <w:rsid w:val="70F15792"/>
    <w:rsid w:val="723E68A6"/>
    <w:rsid w:val="72F76D24"/>
    <w:rsid w:val="732455A8"/>
    <w:rsid w:val="734D708D"/>
    <w:rsid w:val="739834B6"/>
    <w:rsid w:val="73C372CA"/>
    <w:rsid w:val="73C86B5F"/>
    <w:rsid w:val="74235B7E"/>
    <w:rsid w:val="747E397A"/>
    <w:rsid w:val="74850A24"/>
    <w:rsid w:val="749B4CE4"/>
    <w:rsid w:val="74BC0805"/>
    <w:rsid w:val="75C95155"/>
    <w:rsid w:val="77FE6B23"/>
    <w:rsid w:val="78834258"/>
    <w:rsid w:val="79F95709"/>
    <w:rsid w:val="7A0C6F6A"/>
    <w:rsid w:val="7BA961EF"/>
    <w:rsid w:val="7CA5702E"/>
    <w:rsid w:val="7CF251FC"/>
    <w:rsid w:val="7F3776C5"/>
    <w:rsid w:val="7F7B6E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adjustRightInd w:val="0"/>
      <w:spacing w:line="360" w:lineRule="atLeast"/>
      <w:ind w:firstLine="420"/>
      <w:jc w:val="left"/>
      <w:textAlignment w:val="baseline"/>
    </w:pPr>
    <w:rPr>
      <w:kern w:val="0"/>
      <w:sz w:val="25"/>
      <w:szCs w:val="20"/>
    </w:rPr>
  </w:style>
  <w:style w:type="paragraph" w:styleId="3">
    <w:name w:val="footer"/>
    <w:basedOn w:val="1"/>
    <w:qFormat/>
    <w:uiPriority w:val="99"/>
    <w:pPr>
      <w:tabs>
        <w:tab w:val="center" w:pos="4153"/>
        <w:tab w:val="right" w:pos="8306"/>
      </w:tabs>
      <w:snapToGrid w:val="0"/>
      <w:jc w:val="left"/>
    </w:pPr>
    <w:rPr>
      <w:sz w:val="18"/>
      <w:szCs w:val="18"/>
      <w:lang w:val="zh-CN" w:eastAsia="zh-CN"/>
    </w:rPr>
  </w:style>
  <w:style w:type="paragraph" w:styleId="4">
    <w:name w:val="index 9"/>
    <w:basedOn w:val="1"/>
    <w:next w:val="1"/>
    <w:qFormat/>
    <w:uiPriority w:val="0"/>
    <w:pPr>
      <w:ind w:left="1600" w:leftChars="1600"/>
    </w:pPr>
  </w:style>
  <w:style w:type="paragraph" w:styleId="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customStyle="1" w:styleId="8">
    <w:name w:val="No Spacing1"/>
    <w:qFormat/>
    <w:uiPriority w:val="0"/>
    <w:pPr>
      <w:widowControl w:val="0"/>
      <w:jc w:val="both"/>
    </w:pPr>
    <w:rPr>
      <w:rFonts w:ascii="宋体" w:hAnsi="宋体" w:eastAsia="宋体" w:cs="Times New Roman"/>
      <w:kern w:val="2"/>
      <w:sz w:val="32"/>
      <w:szCs w:val="24"/>
      <w:lang w:val="en-US" w:eastAsia="zh-CN" w:bidi="ar-SA"/>
    </w:rPr>
  </w:style>
  <w:style w:type="paragraph" w:customStyle="1" w:styleId="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4255</Words>
  <Characters>4288</Characters>
  <Lines>0</Lines>
  <Paragraphs>0</Paragraphs>
  <TotalTime>15</TotalTime>
  <ScaleCrop>false</ScaleCrop>
  <LinksUpToDate>false</LinksUpToDate>
  <CharactersWithSpaces>4295</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2025-01-23T07:32:00Z</dcterms:created>
  <dc:creator>Administrator</dc:creator>
  <cp:lastModifiedBy>Administrator</cp:lastModifiedBy>
  <cp:lastPrinted>2025-04-27T07:30:00Z</cp:lastPrinted>
  <dcterms:modified xsi:type="dcterms:W3CDTF">2026-05-11T01:50:23Z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989E2BE2AF8B4EF888564064EA5FE121</vt:lpwstr>
  </property>
  <property fmtid="{D5CDD505-2E9C-101B-9397-08002B2CF9AE}" pid="4" name="KSOTemplateDocerSaveRecord">
    <vt:lpwstr>eyJoZGlkIjoiZTNhYzY3MThmMWQ1ZDA1ZjRkNGEyMTZmZDJkYjBkM2EifQ==</vt:lpwstr>
  </property>
</Properties>
</file>