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8A61DA">
      <w:pPr>
        <w:widowControl w:val="0"/>
        <w:wordWrap/>
        <w:spacing w:line="560" w:lineRule="exact"/>
        <w:ind w:left="0" w:leftChars="0" w:right="0"/>
        <w:jc w:val="center"/>
        <w:textAlignment w:val="auto"/>
        <w:outlineLvl w:val="9"/>
        <w:rPr>
          <w:rFonts w:hint="eastAsia" w:ascii="宋体" w:hAnsi="宋体" w:cs="宋体"/>
          <w:b/>
          <w:bCs/>
          <w:sz w:val="44"/>
          <w:szCs w:val="44"/>
          <w:lang w:val="en-US" w:eastAsia="zh-CN"/>
        </w:rPr>
      </w:pPr>
      <w:r>
        <w:rPr>
          <w:rFonts w:hint="eastAsia" w:ascii="宋体" w:hAnsi="宋体" w:cs="宋体"/>
          <w:b/>
          <w:bCs/>
          <w:sz w:val="44"/>
          <w:szCs w:val="44"/>
          <w:lang w:val="en-US" w:eastAsia="zh-CN"/>
        </w:rPr>
        <w:t>石家庄市鹿泉区司法局</w:t>
      </w:r>
    </w:p>
    <w:p w14:paraId="16720DC0">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2025年度整体支出绩效</w:t>
      </w:r>
      <w:r>
        <w:rPr>
          <w:rFonts w:hint="eastAsia" w:ascii="宋体" w:hAnsi="宋体" w:cs="宋体"/>
          <w:b/>
          <w:bCs/>
          <w:sz w:val="44"/>
          <w:szCs w:val="44"/>
        </w:rPr>
        <w:t>自评报告</w:t>
      </w:r>
    </w:p>
    <w:p w14:paraId="4DE4FEAB">
      <w:pPr>
        <w:widowControl w:val="0"/>
        <w:wordWrap/>
        <w:spacing w:line="560" w:lineRule="exact"/>
        <w:ind w:left="0" w:leftChars="0" w:right="0"/>
        <w:jc w:val="center"/>
        <w:textAlignment w:val="auto"/>
        <w:outlineLvl w:val="9"/>
        <w:rPr>
          <w:rFonts w:ascii="宋体" w:hAnsi="宋体" w:cs="宋体"/>
          <w:sz w:val="32"/>
          <w:szCs w:val="32"/>
        </w:rPr>
      </w:pPr>
      <w:bookmarkStart w:id="1" w:name="_GoBack"/>
      <w:bookmarkEnd w:id="1"/>
    </w:p>
    <w:p w14:paraId="3E381226">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贯彻落实</w:t>
      </w:r>
      <w:r>
        <w:rPr>
          <w:rFonts w:hint="eastAsia" w:ascii="仿宋" w:hAnsi="仿宋" w:eastAsia="仿宋" w:cs="仿宋"/>
          <w:sz w:val="32"/>
          <w:szCs w:val="32"/>
          <w:lang w:eastAsia="zh-CN"/>
        </w:rPr>
        <w:t>石家庄市鹿泉区人民政府《关于全面实施预算绩效管理的实施意见》（鹿发﹝</w:t>
      </w:r>
      <w:r>
        <w:rPr>
          <w:rFonts w:hint="eastAsia" w:ascii="仿宋" w:hAnsi="仿宋" w:eastAsia="仿宋" w:cs="仿宋"/>
          <w:sz w:val="32"/>
          <w:szCs w:val="32"/>
          <w:lang w:val="en-US" w:eastAsia="zh-CN"/>
        </w:rPr>
        <w:t>2019</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8号</w:t>
      </w:r>
      <w:r>
        <w:rPr>
          <w:rFonts w:hint="eastAsia" w:ascii="仿宋" w:hAnsi="仿宋" w:eastAsia="仿宋" w:cs="仿宋"/>
          <w:sz w:val="32"/>
          <w:szCs w:val="32"/>
          <w:lang w:eastAsia="zh-CN"/>
        </w:rPr>
        <w:t>）</w:t>
      </w:r>
      <w:r>
        <w:rPr>
          <w:rFonts w:hint="eastAsia" w:ascii="仿宋" w:hAnsi="仿宋" w:eastAsia="仿宋" w:cs="仿宋"/>
          <w:sz w:val="32"/>
          <w:szCs w:val="32"/>
        </w:rPr>
        <w:t>文件精神，遵循“科学性、规范性、客观性和公正性”的原则，</w:t>
      </w:r>
      <w:r>
        <w:rPr>
          <w:rFonts w:hint="eastAsia" w:ascii="仿宋" w:hAnsi="仿宋" w:eastAsia="仿宋" w:cs="仿宋"/>
          <w:sz w:val="32"/>
          <w:szCs w:val="32"/>
          <w:lang w:eastAsia="zh-CN"/>
        </w:rPr>
        <w:t>石家庄市鹿泉区</w:t>
      </w:r>
      <w:r>
        <w:rPr>
          <w:rFonts w:hint="eastAsia" w:ascii="仿宋" w:hAnsi="仿宋" w:eastAsia="仿宋" w:cs="仿宋"/>
          <w:sz w:val="32"/>
          <w:szCs w:val="32"/>
          <w:lang w:val="en-US" w:eastAsia="zh-CN"/>
        </w:rPr>
        <w:t>司法局</w:t>
      </w:r>
      <w:r>
        <w:rPr>
          <w:rFonts w:hint="eastAsia" w:ascii="仿宋" w:hAnsi="仿宋" w:eastAsia="仿宋" w:cs="仿宋"/>
          <w:sz w:val="32"/>
          <w:szCs w:val="32"/>
          <w:lang w:eastAsia="zh-CN"/>
        </w:rPr>
        <w:t>对</w:t>
      </w:r>
      <w:r>
        <w:rPr>
          <w:rFonts w:hint="eastAsia" w:ascii="仿宋" w:hAnsi="仿宋" w:eastAsia="仿宋" w:cs="仿宋"/>
          <w:sz w:val="32"/>
          <w:szCs w:val="32"/>
          <w:lang w:val="en-US" w:eastAsia="zh-CN"/>
        </w:rPr>
        <w:t>2025年</w:t>
      </w:r>
      <w:r>
        <w:rPr>
          <w:rFonts w:hint="eastAsia" w:ascii="仿宋" w:hAnsi="仿宋" w:eastAsia="仿宋" w:cs="仿宋"/>
          <w:sz w:val="32"/>
          <w:szCs w:val="32"/>
          <w:lang w:eastAsia="zh-CN"/>
        </w:rPr>
        <w:t>整体支出情况</w:t>
      </w:r>
      <w:r>
        <w:rPr>
          <w:rFonts w:hint="eastAsia" w:ascii="仿宋" w:hAnsi="仿宋" w:eastAsia="仿宋" w:cs="仿宋"/>
          <w:sz w:val="32"/>
          <w:szCs w:val="32"/>
        </w:rPr>
        <w:t>实施了财政支出绩效自评价，形成本评价报告。</w:t>
      </w:r>
    </w:p>
    <w:p w14:paraId="40C9B133">
      <w:pPr>
        <w:widowControl w:val="0"/>
        <w:wordWrap/>
        <w:adjustRightInd w:val="0"/>
        <w:snapToGrid w:val="0"/>
        <w:spacing w:line="560" w:lineRule="exact"/>
        <w:ind w:left="0" w:leftChars="0" w:right="0"/>
        <w:textAlignment w:val="auto"/>
        <w:outlineLvl w:val="9"/>
        <w:rPr>
          <w:rFonts w:hint="eastAsia" w:ascii="仿宋" w:hAnsi="仿宋" w:eastAsia="仿宋" w:cs="仿宋"/>
          <w:b/>
          <w:bCs/>
          <w:sz w:val="32"/>
          <w:szCs w:val="32"/>
        </w:rPr>
      </w:pPr>
      <w:r>
        <w:rPr>
          <w:rFonts w:hint="eastAsia" w:ascii="仿宋" w:hAnsi="仿宋" w:eastAsia="仿宋" w:cs="仿宋"/>
          <w:sz w:val="32"/>
          <w:szCs w:val="32"/>
        </w:rPr>
        <w:t xml:space="preserve">    一、</w:t>
      </w:r>
      <w:r>
        <w:rPr>
          <w:rFonts w:hint="eastAsia" w:ascii="仿宋" w:hAnsi="仿宋" w:eastAsia="仿宋" w:cs="仿宋"/>
          <w:sz w:val="32"/>
          <w:szCs w:val="32"/>
          <w:lang w:eastAsia="zh-CN"/>
        </w:rPr>
        <w:t>部门</w:t>
      </w:r>
      <w:r>
        <w:rPr>
          <w:rFonts w:hint="eastAsia" w:ascii="仿宋" w:hAnsi="仿宋" w:eastAsia="仿宋" w:cs="仿宋"/>
          <w:sz w:val="32"/>
          <w:szCs w:val="32"/>
        </w:rPr>
        <w:t>基本情况</w:t>
      </w:r>
    </w:p>
    <w:p w14:paraId="7D0AA959">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lang w:val="en-US" w:eastAsia="zh-CN"/>
        </w:rPr>
        <w:t>1.</w:t>
      </w:r>
      <w:r>
        <w:rPr>
          <w:rFonts w:hint="eastAsia" w:ascii="仿宋" w:hAnsi="仿宋" w:eastAsia="仿宋" w:cs="仿宋"/>
          <w:b/>
          <w:bCs/>
          <w:sz w:val="32"/>
          <w:szCs w:val="32"/>
          <w:lang w:eastAsia="zh-CN"/>
        </w:rPr>
        <w:t>部门</w:t>
      </w:r>
      <w:r>
        <w:rPr>
          <w:rFonts w:hint="eastAsia" w:ascii="仿宋" w:hAnsi="仿宋" w:eastAsia="仿宋" w:cs="仿宋"/>
          <w:b/>
          <w:bCs/>
          <w:sz w:val="32"/>
          <w:szCs w:val="32"/>
        </w:rPr>
        <w:t>概况</w:t>
      </w:r>
    </w:p>
    <w:p w14:paraId="563B0461">
      <w:pPr>
        <w:pStyle w:val="7"/>
        <w:rPr>
          <w:rFonts w:hint="eastAsia" w:ascii="仿宋" w:hAnsi="仿宋" w:eastAsia="仿宋" w:cs="仿宋"/>
          <w:sz w:val="32"/>
          <w:szCs w:val="32"/>
        </w:rPr>
      </w:pPr>
      <w:r>
        <w:rPr>
          <w:rFonts w:hint="eastAsia" w:ascii="仿宋" w:hAnsi="仿宋" w:eastAsia="仿宋" w:cs="仿宋"/>
          <w:sz w:val="32"/>
          <w:szCs w:val="32"/>
        </w:rPr>
        <w:t>石家庄市鹿泉区司法局属于石家庄市鹿泉区人民政府职能部门，主要职能：</w:t>
      </w:r>
    </w:p>
    <w:p w14:paraId="27A121EE">
      <w:pPr>
        <w:pStyle w:val="7"/>
        <w:rPr>
          <w:rFonts w:hint="eastAsia" w:ascii="仿宋" w:hAnsi="仿宋" w:eastAsia="仿宋" w:cs="仿宋"/>
          <w:sz w:val="32"/>
          <w:szCs w:val="32"/>
        </w:rPr>
      </w:pPr>
      <w:r>
        <w:rPr>
          <w:rFonts w:hint="eastAsia" w:ascii="仿宋" w:hAnsi="仿宋" w:eastAsia="仿宋" w:cs="仿宋"/>
          <w:sz w:val="32"/>
          <w:szCs w:val="32"/>
        </w:rPr>
        <w:t>（一）承担全面依法治区重大问题的政策研究。组织协调有关方面提出全面依法治区中长期规划建议，负责有关重大决策部署督查工作。</w:t>
      </w:r>
    </w:p>
    <w:p w14:paraId="53A7C4CA">
      <w:pPr>
        <w:pStyle w:val="7"/>
        <w:rPr>
          <w:rFonts w:hint="eastAsia" w:ascii="仿宋" w:hAnsi="仿宋" w:eastAsia="仿宋" w:cs="仿宋"/>
          <w:sz w:val="32"/>
          <w:szCs w:val="32"/>
        </w:rPr>
      </w:pPr>
      <w:r>
        <w:rPr>
          <w:rFonts w:hint="eastAsia" w:ascii="仿宋" w:hAnsi="仿宋" w:eastAsia="仿宋" w:cs="仿宋"/>
          <w:sz w:val="32"/>
          <w:szCs w:val="32"/>
        </w:rPr>
        <w:t>（二）负责区政府各部门、各乡（镇、区）政府规范性文件的备案审查工作。负责对区政府政策措施、规范性文件和合同协议的合法性审核工作；承办区政府交办的涉法事务；承办区政府规范性文件上报市政府和区人大常委会备案工作。</w:t>
      </w:r>
    </w:p>
    <w:p w14:paraId="3546720E">
      <w:pPr>
        <w:pStyle w:val="7"/>
        <w:rPr>
          <w:rFonts w:hint="eastAsia" w:ascii="仿宋" w:hAnsi="仿宋" w:eastAsia="仿宋" w:cs="仿宋"/>
          <w:sz w:val="32"/>
          <w:szCs w:val="32"/>
        </w:rPr>
      </w:pPr>
      <w:r>
        <w:rPr>
          <w:rFonts w:hint="eastAsia" w:ascii="仿宋" w:hAnsi="仿宋" w:eastAsia="仿宋" w:cs="仿宋"/>
          <w:sz w:val="32"/>
          <w:szCs w:val="32"/>
        </w:rPr>
        <w:t>（三）承担统筹推进鹿泉法治政府建设的责任。指导、监督区政府各部门、各乡（镇、区）政府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w:t>
      </w:r>
    </w:p>
    <w:p w14:paraId="3B244708">
      <w:pPr>
        <w:pStyle w:val="7"/>
        <w:rPr>
          <w:rFonts w:hint="eastAsia" w:ascii="仿宋" w:hAnsi="仿宋" w:eastAsia="仿宋" w:cs="仿宋"/>
          <w:sz w:val="32"/>
          <w:szCs w:val="32"/>
        </w:rPr>
      </w:pPr>
      <w:r>
        <w:rPr>
          <w:rFonts w:hint="eastAsia" w:ascii="仿宋" w:hAnsi="仿宋" w:eastAsia="仿宋" w:cs="仿宋"/>
          <w:sz w:val="32"/>
          <w:szCs w:val="32"/>
        </w:rPr>
        <w:t>（四）承担统筹规划全区法治社会建设的责任。负责拟订全区法治宣传教育规划，组织实施普法宣传工作；负责全区依法治理和法治创建工作，推动全区人民参与和促进法治建设，指导全区人民调解、行政调解工作，负责全区人民陪审员、人民监督员选任管理工作；负责全区司法所建设。</w:t>
      </w:r>
    </w:p>
    <w:p w14:paraId="00EB74E4">
      <w:pPr>
        <w:pStyle w:val="7"/>
        <w:rPr>
          <w:rFonts w:hint="eastAsia" w:ascii="仿宋" w:hAnsi="仿宋" w:eastAsia="仿宋" w:cs="仿宋"/>
          <w:sz w:val="32"/>
          <w:szCs w:val="32"/>
        </w:rPr>
      </w:pPr>
      <w:r>
        <w:rPr>
          <w:rFonts w:hint="eastAsia" w:ascii="仿宋" w:hAnsi="仿宋" w:eastAsia="仿宋" w:cs="仿宋"/>
          <w:sz w:val="32"/>
          <w:szCs w:val="32"/>
        </w:rPr>
        <w:t>（五）负责全区社区矫正工作，负责刑满释放人员帮教安置工作。</w:t>
      </w:r>
    </w:p>
    <w:p w14:paraId="6EB98914">
      <w:pPr>
        <w:pStyle w:val="7"/>
        <w:rPr>
          <w:rFonts w:hint="eastAsia" w:ascii="仿宋" w:hAnsi="仿宋" w:eastAsia="仿宋" w:cs="仿宋"/>
          <w:sz w:val="32"/>
          <w:szCs w:val="32"/>
        </w:rPr>
      </w:pPr>
      <w:r>
        <w:rPr>
          <w:rFonts w:hint="eastAsia" w:ascii="仿宋" w:hAnsi="仿宋" w:eastAsia="仿宋" w:cs="仿宋"/>
          <w:sz w:val="32"/>
          <w:szCs w:val="32"/>
        </w:rPr>
        <w:t>（六）负责拟订公共法律服务体系建设规划并组织实施，统筹和布局全区法律服务资源；负责全区律师、公证、法律援助、司法鉴定和基层法律服务管理工作。</w:t>
      </w:r>
    </w:p>
    <w:p w14:paraId="7D42AD6B">
      <w:pPr>
        <w:pStyle w:val="7"/>
        <w:rPr>
          <w:rFonts w:hint="eastAsia" w:ascii="仿宋" w:hAnsi="仿宋" w:eastAsia="仿宋" w:cs="仿宋"/>
          <w:sz w:val="32"/>
          <w:szCs w:val="32"/>
        </w:rPr>
      </w:pPr>
      <w:r>
        <w:rPr>
          <w:rFonts w:hint="eastAsia" w:ascii="仿宋" w:hAnsi="仿宋" w:eastAsia="仿宋" w:cs="仿宋"/>
          <w:sz w:val="32"/>
          <w:szCs w:val="32"/>
        </w:rPr>
        <w:t>（七）规划、协调、指导全区法治人才队伍建设相关工作；负责本系统队伍建设。</w:t>
      </w:r>
    </w:p>
    <w:p w14:paraId="1D4B1922">
      <w:pPr>
        <w:pStyle w:val="7"/>
        <w:rPr>
          <w:rFonts w:hint="eastAsia" w:ascii="仿宋" w:hAnsi="仿宋" w:eastAsia="仿宋" w:cs="仿宋"/>
          <w:sz w:val="32"/>
          <w:szCs w:val="32"/>
        </w:rPr>
      </w:pPr>
      <w:r>
        <w:rPr>
          <w:rFonts w:hint="eastAsia" w:ascii="仿宋" w:hAnsi="仿宋" w:eastAsia="仿宋" w:cs="仿宋"/>
          <w:sz w:val="32"/>
          <w:szCs w:val="32"/>
        </w:rPr>
        <w:t>（八）完成区委、区政府交办的其他任务。</w:t>
      </w:r>
    </w:p>
    <w:p w14:paraId="72FD4F68">
      <w:pPr>
        <w:widowControl w:val="0"/>
        <w:numPr>
          <w:ilvl w:val="0"/>
          <w:numId w:val="0"/>
        </w:numPr>
        <w:wordWrap/>
        <w:adjustRightInd w:val="0"/>
        <w:snapToGrid w:val="0"/>
        <w:spacing w:line="560" w:lineRule="exact"/>
        <w:ind w:right="0" w:rightChars="0" w:firstLine="643" w:firstLineChars="20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2.</w:t>
      </w:r>
      <w:r>
        <w:rPr>
          <w:rFonts w:hint="eastAsia" w:ascii="仿宋" w:hAnsi="仿宋" w:eastAsia="仿宋" w:cs="仿宋"/>
          <w:b/>
          <w:bCs/>
          <w:sz w:val="32"/>
          <w:szCs w:val="32"/>
          <w:lang w:eastAsia="zh-CN"/>
        </w:rPr>
        <w:t>组织机构及人员：</w:t>
      </w:r>
      <w:r>
        <w:rPr>
          <w:rFonts w:hint="eastAsia" w:ascii="仿宋" w:hAnsi="仿宋" w:eastAsia="仿宋" w:cs="仿宋"/>
          <w:b/>
          <w:bCs/>
          <w:sz w:val="32"/>
          <w:szCs w:val="32"/>
          <w:lang w:val="en-US" w:eastAsia="zh-CN"/>
        </w:rPr>
        <w:t xml:space="preserve"> </w:t>
      </w:r>
      <w:r>
        <w:rPr>
          <w:rFonts w:hint="eastAsia" w:ascii="仿宋" w:hAnsi="仿宋" w:eastAsia="仿宋" w:cs="仿宋"/>
          <w:b w:val="0"/>
          <w:bCs w:val="0"/>
          <w:sz w:val="32"/>
          <w:szCs w:val="32"/>
          <w:lang w:val="en-US" w:eastAsia="zh-CN"/>
        </w:rPr>
        <w:t>行政机关1个（石家庄市鹿泉区司法局）事业单位（非参公）1个（石家庄市鹿泉区法律援助中心）。</w:t>
      </w:r>
    </w:p>
    <w:p w14:paraId="332E6707">
      <w:pPr>
        <w:widowControl w:val="0"/>
        <w:numPr>
          <w:ilvl w:val="0"/>
          <w:numId w:val="0"/>
        </w:numPr>
        <w:wordWrap/>
        <w:adjustRightInd w:val="0"/>
        <w:snapToGrid w:val="0"/>
        <w:spacing w:line="560" w:lineRule="exact"/>
        <w:ind w:right="0" w:rightChars="0"/>
        <w:textAlignment w:val="auto"/>
        <w:outlineLvl w:val="9"/>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石家庄鹿泉区司法局：编制人数总计42人，均为政法编制；事业单位编制（非参公）编制11人（法律援助中心），2025年末在职实有人员51人，（政法编40人，事业编制11人）其中政法编离退休人员24人，其中退休23人，离休1人；遗属人员2人。</w:t>
      </w:r>
    </w:p>
    <w:p w14:paraId="58C3C55C">
      <w:pPr>
        <w:widowControl w:val="0"/>
        <w:wordWrap/>
        <w:adjustRightInd w:val="0"/>
        <w:snapToGrid w:val="0"/>
        <w:spacing w:line="560" w:lineRule="exact"/>
        <w:ind w:right="0" w:firstLine="643" w:firstLineChars="200"/>
        <w:textAlignment w:val="auto"/>
        <w:outlineLvl w:val="9"/>
        <w:rPr>
          <w:rFonts w:hint="eastAsia" w:ascii="仿宋" w:hAnsi="仿宋" w:eastAsia="仿宋" w:cs="仿宋"/>
          <w:b/>
          <w:bCs/>
          <w:sz w:val="32"/>
          <w:szCs w:val="32"/>
          <w:lang w:eastAsia="zh-CN"/>
        </w:rPr>
      </w:pPr>
      <w:r>
        <w:rPr>
          <w:rFonts w:hint="eastAsia" w:ascii="仿宋" w:hAnsi="仿宋" w:eastAsia="仿宋" w:cs="仿宋"/>
          <w:b/>
          <w:bCs/>
          <w:sz w:val="32"/>
          <w:szCs w:val="32"/>
          <w:lang w:val="en-US" w:eastAsia="zh-CN"/>
        </w:rPr>
        <w:t xml:space="preserve">3.资产情况： </w:t>
      </w:r>
      <w:r>
        <w:rPr>
          <w:rFonts w:hint="eastAsia" w:ascii="仿宋" w:hAnsi="仿宋" w:eastAsia="仿宋" w:cs="仿宋"/>
          <w:b w:val="0"/>
          <w:color w:val="000000"/>
          <w:sz w:val="32"/>
          <w:szCs w:val="32"/>
        </w:rPr>
        <w:t>石家庄市鹿泉区司法局本级上年末固定资产金额为</w:t>
      </w:r>
      <w:r>
        <w:rPr>
          <w:rFonts w:hint="eastAsia" w:ascii="仿宋" w:hAnsi="仿宋" w:eastAsia="仿宋" w:cs="仿宋"/>
          <w:b w:val="0"/>
          <w:color w:val="000000"/>
          <w:sz w:val="32"/>
          <w:szCs w:val="32"/>
          <w:lang w:val="en-US" w:eastAsia="zh-CN"/>
        </w:rPr>
        <w:t>140.27</w:t>
      </w:r>
      <w:r>
        <w:rPr>
          <w:rFonts w:hint="eastAsia" w:ascii="仿宋" w:hAnsi="仿宋" w:eastAsia="仿宋" w:cs="仿宋"/>
          <w:b w:val="0"/>
          <w:color w:val="000000"/>
          <w:sz w:val="32"/>
          <w:szCs w:val="32"/>
        </w:rPr>
        <w:t>万元。本年度拟购置固定资产总额为0.00万元，已按要求列入政府采购预算。</w:t>
      </w:r>
    </w:p>
    <w:p w14:paraId="25C11785">
      <w:pPr>
        <w:widowControl w:val="0"/>
        <w:numPr>
          <w:ilvl w:val="0"/>
          <w:numId w:val="1"/>
        </w:numPr>
        <w:wordWrap/>
        <w:adjustRightInd w:val="0"/>
        <w:snapToGrid w:val="0"/>
        <w:spacing w:line="560" w:lineRule="exact"/>
        <w:ind w:left="0" w:leftChars="0" w:right="0" w:firstLine="643" w:firstLineChars="200"/>
        <w:textAlignment w:val="auto"/>
        <w:outlineLvl w:val="9"/>
        <w:rPr>
          <w:rFonts w:hint="eastAsia" w:ascii="仿宋" w:hAnsi="仿宋" w:eastAsia="仿宋" w:cs="仿宋"/>
          <w:sz w:val="32"/>
          <w:szCs w:val="32"/>
        </w:rPr>
      </w:pPr>
      <w:r>
        <w:rPr>
          <w:rFonts w:hint="eastAsia" w:ascii="仿宋" w:hAnsi="仿宋" w:eastAsia="仿宋" w:cs="仿宋"/>
          <w:b/>
          <w:bCs/>
          <w:sz w:val="32"/>
          <w:szCs w:val="32"/>
          <w:lang w:eastAsia="zh-CN"/>
        </w:rPr>
        <w:t>部门收支预决算情况</w:t>
      </w:r>
    </w:p>
    <w:p w14:paraId="447107DC">
      <w:pPr>
        <w:pStyle w:val="8"/>
        <w:rPr>
          <w:rFonts w:hint="eastAsia" w:ascii="仿宋" w:hAnsi="仿宋" w:eastAsia="仿宋" w:cs="仿宋"/>
          <w:b w:val="0"/>
          <w:color w:val="000000"/>
          <w:kern w:val="2"/>
          <w:sz w:val="32"/>
          <w:szCs w:val="32"/>
          <w:lang w:val="en-US" w:eastAsia="zh-CN" w:bidi="ar-SA"/>
        </w:rPr>
      </w:pPr>
      <w:r>
        <w:rPr>
          <w:rFonts w:hint="eastAsia" w:ascii="仿宋" w:hAnsi="仿宋" w:eastAsia="仿宋" w:cs="仿宋"/>
          <w:b w:val="0"/>
          <w:color w:val="000000"/>
          <w:kern w:val="2"/>
          <w:sz w:val="32"/>
          <w:szCs w:val="32"/>
          <w:lang w:val="en-US" w:eastAsia="zh-CN" w:bidi="ar-SA"/>
        </w:rPr>
        <w:t xml:space="preserve"> 2025年预算收入2014.53万元，其中：一般公共预算收入1909.00万元，基金预算收入0.00万元，国有资本经营预算收入0.00万元，财政专户核拨收入0.00万元，单位资金收入0.00万元，上年结转结余105.53万元。</w:t>
      </w:r>
    </w:p>
    <w:p w14:paraId="233B8BAE">
      <w:pPr>
        <w:spacing w:line="496" w:lineRule="exact"/>
        <w:ind w:left="100" w:right="86" w:firstLine="641"/>
        <w:jc w:val="both"/>
        <w:rPr>
          <w:rFonts w:hint="eastAsia" w:ascii="宋体" w:hAnsi="宋体" w:eastAsia="宋体" w:cs="宋体"/>
          <w:sz w:val="32"/>
          <w:szCs w:val="32"/>
        </w:rPr>
      </w:pPr>
      <w:r>
        <w:rPr>
          <w:rFonts w:hint="eastAsia" w:ascii="仿宋" w:hAnsi="仿宋" w:eastAsia="仿宋" w:cs="仿宋"/>
          <w:b w:val="0"/>
          <w:color w:val="000000"/>
          <w:kern w:val="2"/>
          <w:sz w:val="32"/>
          <w:szCs w:val="32"/>
          <w:lang w:val="en-US" w:eastAsia="zh-CN" w:bidi="ar-SA"/>
        </w:rPr>
        <w:t>2025年支出预算2014.53万元，其中基本支出1362.19万元，包括人员经费989.03万元和日常公用经费373.16万元；项目支出652.34万元，主要为专职人民调解员工作经费、专项工作经费、行政执法经费、行政复议行政应诉经费、政府法律顾问经费、人民调解专项经费等。</w:t>
      </w:r>
    </w:p>
    <w:p w14:paraId="52547EC6">
      <w:pPr>
        <w:spacing w:line="495" w:lineRule="exact"/>
        <w:ind w:left="100" w:right="86" w:firstLine="641"/>
        <w:jc w:val="both"/>
        <w:rPr>
          <w:rFonts w:hint="eastAsia" w:ascii="仿宋" w:hAnsi="仿宋" w:eastAsia="仿宋" w:cs="仿宋"/>
          <w:b/>
          <w:bCs/>
          <w:sz w:val="32"/>
          <w:szCs w:val="32"/>
          <w:lang w:eastAsia="zh-CN"/>
        </w:rPr>
      </w:pPr>
      <w:r>
        <w:rPr>
          <w:rFonts w:ascii="仿宋" w:hAnsi="仿宋" w:eastAsia="仿宋"/>
          <w:sz w:val="32"/>
        </w:rPr>
        <w:t xml:space="preserve"> </w:t>
      </w:r>
      <w:r>
        <w:rPr>
          <w:rFonts w:hint="eastAsia" w:ascii="仿宋" w:hAnsi="仿宋" w:eastAsia="仿宋"/>
          <w:sz w:val="32"/>
          <w:lang w:eastAsia="zh-CN"/>
        </w:rPr>
        <w:t>2025</w:t>
      </w:r>
      <w:r>
        <w:rPr>
          <w:rFonts w:ascii="仿宋" w:hAnsi="仿宋" w:eastAsia="仿宋"/>
          <w:sz w:val="32"/>
        </w:rPr>
        <w:t>年度</w:t>
      </w:r>
      <w:r>
        <w:rPr>
          <w:rFonts w:hint="eastAsia" w:ascii="仿宋" w:hAnsi="仿宋" w:eastAsia="仿宋"/>
          <w:sz w:val="32"/>
          <w:lang w:eastAsia="zh-CN"/>
        </w:rPr>
        <w:t>决算</w:t>
      </w:r>
      <w:r>
        <w:rPr>
          <w:rFonts w:ascii="仿宋" w:hAnsi="仿宋" w:eastAsia="仿宋"/>
          <w:sz w:val="32"/>
        </w:rPr>
        <w:t>支出合计</w:t>
      </w:r>
      <w:r>
        <w:rPr>
          <w:rFonts w:hint="eastAsia" w:ascii="仿宋" w:hAnsi="仿宋" w:eastAsia="仿宋" w:cs="仿宋"/>
          <w:sz w:val="32"/>
          <w:szCs w:val="32"/>
          <w:lang w:val="en-US" w:eastAsia="zh-CN"/>
        </w:rPr>
        <w:t>1770.53</w:t>
      </w:r>
      <w:r>
        <w:rPr>
          <w:rFonts w:ascii="仿宋" w:hAnsi="仿宋" w:eastAsia="仿宋"/>
          <w:sz w:val="32"/>
        </w:rPr>
        <w:t xml:space="preserve">万元，其中：基本支出 </w:t>
      </w:r>
      <w:r>
        <w:rPr>
          <w:rFonts w:hint="eastAsia" w:ascii="仿宋" w:hAnsi="仿宋" w:eastAsia="仿宋" w:cs="仿宋"/>
          <w:sz w:val="32"/>
          <w:szCs w:val="32"/>
          <w:lang w:val="en-US" w:eastAsia="zh-CN"/>
        </w:rPr>
        <w:t>1381.72</w:t>
      </w:r>
      <w:r>
        <w:rPr>
          <w:rFonts w:ascii="仿宋" w:hAnsi="仿宋" w:eastAsia="仿宋"/>
          <w:sz w:val="32"/>
        </w:rPr>
        <w:t xml:space="preserve">万元，占 </w:t>
      </w:r>
      <w:r>
        <w:rPr>
          <w:rFonts w:hint="eastAsia" w:ascii="仿宋" w:hAnsi="仿宋" w:eastAsia="仿宋"/>
          <w:sz w:val="32"/>
          <w:lang w:val="en-US" w:eastAsia="zh-CN"/>
        </w:rPr>
        <w:t>80.23</w:t>
      </w:r>
      <w:r>
        <w:rPr>
          <w:rFonts w:ascii="仿宋" w:hAnsi="仿宋" w:eastAsia="仿宋"/>
          <w:sz w:val="32"/>
        </w:rPr>
        <w:t xml:space="preserve">%；项目支出 </w:t>
      </w:r>
      <w:r>
        <w:rPr>
          <w:rFonts w:hint="eastAsia" w:ascii="仿宋" w:hAnsi="仿宋" w:eastAsia="仿宋" w:cs="仿宋"/>
          <w:sz w:val="32"/>
          <w:szCs w:val="32"/>
        </w:rPr>
        <w:t>3</w:t>
      </w:r>
      <w:r>
        <w:rPr>
          <w:rFonts w:hint="eastAsia" w:ascii="仿宋" w:hAnsi="仿宋" w:eastAsia="仿宋" w:cs="仿宋"/>
          <w:sz w:val="32"/>
          <w:szCs w:val="32"/>
          <w:lang w:val="en-US" w:eastAsia="zh-CN"/>
        </w:rPr>
        <w:t>50.03</w:t>
      </w:r>
      <w:r>
        <w:rPr>
          <w:rFonts w:ascii="仿宋" w:hAnsi="仿宋" w:eastAsia="仿宋"/>
          <w:sz w:val="32"/>
        </w:rPr>
        <w:t xml:space="preserve">万元，占 </w:t>
      </w:r>
      <w:r>
        <w:rPr>
          <w:rFonts w:hint="eastAsia" w:ascii="仿宋" w:hAnsi="仿宋" w:eastAsia="仿宋"/>
          <w:sz w:val="32"/>
          <w:lang w:val="en-US" w:eastAsia="zh-CN"/>
        </w:rPr>
        <w:t>19.77</w:t>
      </w:r>
      <w:r>
        <w:rPr>
          <w:rFonts w:ascii="仿宋" w:hAnsi="仿宋" w:eastAsia="仿宋"/>
          <w:sz w:val="32"/>
        </w:rPr>
        <w:t>%；经营支出 0 万元，占 0%。</w:t>
      </w:r>
    </w:p>
    <w:p w14:paraId="3D869720">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（三）部门整体支出绩效目标、指标</w:t>
      </w:r>
    </w:p>
    <w:p w14:paraId="56E18333">
      <w:pPr>
        <w:pStyle w:val="9"/>
        <w:rPr>
          <w:rFonts w:hint="eastAsia" w:ascii="仿宋" w:hAnsi="仿宋" w:eastAsia="仿宋" w:cs="仿宋"/>
          <w:sz w:val="32"/>
          <w:szCs w:val="32"/>
          <w:lang w:eastAsia="zh-CN"/>
        </w:rPr>
      </w:pPr>
      <w:r>
        <w:rPr>
          <w:rFonts w:hint="eastAsia" w:ascii="仿宋" w:hAnsi="仿宋" w:eastAsia="仿宋" w:cs="仿宋"/>
          <w:sz w:val="32"/>
          <w:szCs w:val="32"/>
        </w:rPr>
        <w:t>承担全面依法治区重大问题的政策研究。组织协调有关方面提出全面依法治区中长期规划建议，负责有关重大决策部署督查工作。负责区政府各部门、各乡（镇、区）政府规范性文件的备案审查工作。负责对区政府政策措施、规范性文件和合同协议的合法性审核工作；承办区政府交办的涉法事务；承办区政府规范性文件上报市政府和区人大常委会备案工作。承担统筹推进鹿泉法治政府建设的责任。指导、监督区政府各部门、各乡（镇、区）政府依法行政工作；负责综合协调行政执法，推进行政执法体制改革有关工作，推进严格规范公正文明执法；依法承办行政复议案件；受区政府委托，代理行政诉讼案件的应诉；受区政府委托，代理由市政府审理的行政复议裁决案件；指导、监督全区行政复议和行政应诉工作。承担统筹规划全区法治社会建设的责任。负责拟订全区法治宣传教育规划，组织实施普法宣传工作；负责全区依法治理和法治创建工作，推动全区人民参与和促进法治建设，指导全区人民调解、行政调解工作，负责全区人民陪审员、人民监督员选任管理工作；负责全区司法所建设。负责全区社区矫正工作，负责刑满释放人员帮教安置工作。负责拟订公共法律服务体系建设规划并组织实施，统筹和布局全区法律服务资源；负责全区律师、公证、法律援助、司法鉴定和基层法律服务管理工作。规划、协调、指导全区法治人才队伍建设相关工作；负责本系统队伍建设。</w:t>
      </w:r>
    </w:p>
    <w:p w14:paraId="3076FB71">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仿宋"/>
          <w:sz w:val="32"/>
          <w:szCs w:val="32"/>
        </w:rPr>
      </w:pPr>
      <w:r>
        <w:rPr>
          <w:rFonts w:hint="eastAsia" w:ascii="仿宋" w:hAnsi="仿宋" w:eastAsia="仿宋" w:cs="仿宋"/>
          <w:b/>
          <w:bCs/>
          <w:sz w:val="32"/>
          <w:szCs w:val="32"/>
        </w:rPr>
        <w:t>二、自评工作</w:t>
      </w:r>
      <w:r>
        <w:rPr>
          <w:rFonts w:hint="eastAsia" w:ascii="仿宋" w:hAnsi="仿宋" w:eastAsia="仿宋" w:cs="仿宋"/>
          <w:b/>
          <w:bCs/>
          <w:sz w:val="32"/>
          <w:szCs w:val="32"/>
          <w:lang w:eastAsia="zh-CN"/>
        </w:rPr>
        <w:t>开展</w:t>
      </w:r>
      <w:r>
        <w:rPr>
          <w:rFonts w:hint="eastAsia" w:ascii="仿宋" w:hAnsi="仿宋" w:eastAsia="仿宋" w:cs="仿宋"/>
          <w:b/>
          <w:bCs/>
          <w:sz w:val="32"/>
          <w:szCs w:val="32"/>
        </w:rPr>
        <w:t>情况</w:t>
      </w:r>
    </w:p>
    <w:p w14:paraId="27B8291D">
      <w:pPr>
        <w:widowControl w:val="0"/>
        <w:wordWrap/>
        <w:spacing w:line="560" w:lineRule="exact"/>
        <w:ind w:left="0" w:leftChars="0" w:right="0"/>
        <w:textAlignment w:val="auto"/>
        <w:outlineLvl w:val="9"/>
        <w:rPr>
          <w:rFonts w:hint="eastAsia" w:ascii="仿宋" w:hAnsi="仿宋" w:eastAsia="仿宋" w:cs="仿宋"/>
          <w:b w:val="0"/>
          <w:bCs w:val="0"/>
          <w:sz w:val="32"/>
          <w:szCs w:val="32"/>
        </w:rPr>
      </w:pPr>
      <w:r>
        <w:rPr>
          <w:rFonts w:hint="eastAsia" w:ascii="仿宋" w:hAnsi="仿宋" w:eastAsia="仿宋" w:cs="仿宋"/>
          <w:sz w:val="32"/>
          <w:szCs w:val="32"/>
        </w:rPr>
        <w:t xml:space="preserve">    </w:t>
      </w:r>
      <w:r>
        <w:rPr>
          <w:rFonts w:hint="eastAsia" w:ascii="仿宋" w:hAnsi="仿宋" w:eastAsia="仿宋" w:cs="仿宋"/>
          <w:b w:val="0"/>
          <w:bCs w:val="0"/>
          <w:sz w:val="32"/>
          <w:szCs w:val="32"/>
        </w:rPr>
        <w:t>（一）自评的组织工作</w:t>
      </w:r>
    </w:p>
    <w:p w14:paraId="22B1A87B">
      <w:pPr>
        <w:widowControl/>
        <w:shd w:val="clear" w:color="auto" w:fill="FFFFFF"/>
        <w:spacing w:line="480" w:lineRule="auto"/>
        <w:ind w:firstLine="480"/>
        <w:jc w:val="left"/>
        <w:rPr>
          <w:rFonts w:hint="eastAsia" w:ascii="仿宋" w:hAnsi="仿宋" w:eastAsia="仿宋" w:cs="仿宋"/>
          <w:color w:val="000000" w:themeColor="text1"/>
          <w:kern w:val="0"/>
          <w:sz w:val="32"/>
          <w:szCs w:val="32"/>
          <w14:textFill>
            <w14:solidFill>
              <w14:schemeClr w14:val="tx1"/>
            </w14:solidFill>
          </w14:textFill>
        </w:rPr>
      </w:pPr>
      <w:r>
        <w:rPr>
          <w:rFonts w:hint="eastAsia" w:ascii="仿宋" w:hAnsi="仿宋" w:eastAsia="仿宋" w:cs="仿宋"/>
          <w:sz w:val="32"/>
          <w:szCs w:val="32"/>
        </w:rPr>
        <w:t xml:space="preserve"> </w:t>
      </w:r>
      <w:r>
        <w:rPr>
          <w:rFonts w:hint="eastAsia" w:ascii="仿宋" w:hAnsi="仿宋" w:eastAsia="仿宋" w:cs="仿宋"/>
          <w:color w:val="000000" w:themeColor="text1"/>
          <w:kern w:val="0"/>
          <w:sz w:val="32"/>
          <w:szCs w:val="32"/>
          <w14:textFill>
            <w14:solidFill>
              <w14:schemeClr w14:val="tx1"/>
            </w14:solidFill>
          </w14:textFill>
        </w:rPr>
        <w:t>我局成立了以分管财务的副局长为组长，相关科室负责人为成员的预算绩效评价工作小组，明确熟悉财务工作的同志具体负责绩效评价工作，机关各科室密切配合，提供绩效评价所需要的数据和材料，力争做好</w:t>
      </w:r>
      <w:r>
        <w:rPr>
          <w:rFonts w:hint="eastAsia" w:ascii="仿宋" w:hAnsi="仿宋" w:eastAsia="仿宋" w:cs="仿宋"/>
          <w:color w:val="000000" w:themeColor="text1"/>
          <w:kern w:val="0"/>
          <w:sz w:val="32"/>
          <w:szCs w:val="32"/>
          <w:lang w:eastAsia="zh-CN"/>
          <w14:textFill>
            <w14:solidFill>
              <w14:schemeClr w14:val="tx1"/>
            </w14:solidFill>
          </w14:textFill>
        </w:rPr>
        <w:t>2025</w:t>
      </w:r>
      <w:r>
        <w:rPr>
          <w:rFonts w:hint="eastAsia" w:ascii="仿宋" w:hAnsi="仿宋" w:eastAsia="仿宋" w:cs="仿宋"/>
          <w:color w:val="000000" w:themeColor="text1"/>
          <w:kern w:val="0"/>
          <w:sz w:val="32"/>
          <w:szCs w:val="32"/>
          <w14:textFill>
            <w14:solidFill>
              <w14:schemeClr w14:val="tx1"/>
            </w14:solidFill>
          </w14:textFill>
        </w:rPr>
        <w:t>年预算绩效评价工作。主要工作情况自评如下：</w:t>
      </w:r>
    </w:p>
    <w:p w14:paraId="515A229C">
      <w:pPr>
        <w:widowControl/>
        <w:shd w:val="clear" w:color="auto" w:fill="FFFFFF"/>
        <w:spacing w:line="480" w:lineRule="auto"/>
        <w:ind w:firstLine="480"/>
        <w:jc w:val="left"/>
        <w:rPr>
          <w:rFonts w:hint="eastAsia" w:ascii="仿宋" w:hAnsi="仿宋" w:eastAsia="仿宋" w:cs="仿宋"/>
          <w:color w:val="000000" w:themeColor="text1"/>
          <w:kern w:val="0"/>
          <w:sz w:val="32"/>
          <w:szCs w:val="32"/>
          <w14:textFill>
            <w14:solidFill>
              <w14:schemeClr w14:val="tx1"/>
            </w14:solidFill>
          </w14:textFill>
        </w:rPr>
      </w:pPr>
      <w:r>
        <w:rPr>
          <w:rFonts w:hint="eastAsia" w:ascii="仿宋" w:hAnsi="仿宋" w:eastAsia="仿宋" w:cs="仿宋"/>
          <w:color w:val="000000" w:themeColor="text1"/>
          <w:kern w:val="0"/>
          <w:sz w:val="32"/>
          <w:szCs w:val="32"/>
          <w14:textFill>
            <w14:solidFill>
              <w14:schemeClr w14:val="tx1"/>
            </w14:solidFill>
          </w14:textFill>
        </w:rPr>
        <w:t>（</w:t>
      </w:r>
      <w:r>
        <w:rPr>
          <w:rFonts w:hint="eastAsia" w:ascii="仿宋" w:hAnsi="仿宋" w:eastAsia="仿宋" w:cs="仿宋"/>
          <w:color w:val="000000" w:themeColor="text1"/>
          <w:kern w:val="0"/>
          <w:sz w:val="32"/>
          <w:szCs w:val="32"/>
          <w:lang w:val="en-US" w:eastAsia="zh-CN"/>
          <w14:textFill>
            <w14:solidFill>
              <w14:schemeClr w14:val="tx1"/>
            </w14:solidFill>
          </w14:textFill>
        </w:rPr>
        <w:t>1</w:t>
      </w:r>
      <w:r>
        <w:rPr>
          <w:rFonts w:hint="eastAsia" w:ascii="仿宋" w:hAnsi="仿宋" w:eastAsia="仿宋" w:cs="仿宋"/>
          <w:color w:val="000000" w:themeColor="text1"/>
          <w:kern w:val="0"/>
          <w:sz w:val="32"/>
          <w:szCs w:val="32"/>
          <w14:textFill>
            <w14:solidFill>
              <w14:schemeClr w14:val="tx1"/>
            </w14:solidFill>
          </w14:textFill>
        </w:rPr>
        <w:t>）公共法律服务中心惠民生</w:t>
      </w:r>
    </w:p>
    <w:p w14:paraId="789BE502">
      <w:pPr>
        <w:widowControl/>
        <w:shd w:val="clear" w:color="auto" w:fill="FFFFFF"/>
        <w:spacing w:line="480" w:lineRule="auto"/>
        <w:ind w:firstLine="640" w:firstLineChars="200"/>
        <w:jc w:val="left"/>
        <w:rPr>
          <w:rFonts w:hint="eastAsia" w:ascii="仿宋" w:hAnsi="仿宋" w:eastAsia="仿宋" w:cs="仿宋"/>
          <w:color w:val="000000" w:themeColor="text1"/>
          <w:kern w:val="0"/>
          <w:sz w:val="32"/>
          <w:szCs w:val="32"/>
          <w14:textFill>
            <w14:solidFill>
              <w14:schemeClr w14:val="tx1"/>
            </w14:solidFill>
          </w14:textFill>
        </w:rPr>
      </w:pPr>
      <w:r>
        <w:rPr>
          <w:rFonts w:hint="eastAsia" w:ascii="仿宋" w:hAnsi="仿宋" w:eastAsia="仿宋" w:cs="仿宋"/>
          <w:color w:val="000000" w:themeColor="text1"/>
          <w:kern w:val="0"/>
          <w:sz w:val="32"/>
          <w:szCs w:val="32"/>
          <w14:textFill>
            <w14:solidFill>
              <w14:schemeClr w14:val="tx1"/>
            </w14:solidFill>
          </w14:textFill>
        </w:rPr>
        <w:t>多措并举推进法律援助便民服务。截止2025年12月底，区公共法律服务中心共办理各类法律援助案件484件，完成年度重点人群400件无偿法律援助服务任务的121%，提前并超额完成年度目标任务。案件类型涵盖劳动争议、工伤赔偿、老人赡养、刑事辩护等多个领域，有效维护了受援人的合法权益。多起案件获得受援人好评，今年获赠锦旗10面，如张某交通肇事案经律师辩护获缓刑、杨某工伤维权案获赔近8万元等，工作扎实有成效，法律援助质量不断提升。</w:t>
      </w:r>
    </w:p>
    <w:p w14:paraId="3FC75B24">
      <w:pPr>
        <w:widowControl/>
        <w:shd w:val="clear" w:color="auto" w:fill="FFFFFF"/>
        <w:spacing w:line="480" w:lineRule="auto"/>
        <w:ind w:firstLine="640" w:firstLineChars="200"/>
        <w:jc w:val="left"/>
        <w:rPr>
          <w:rFonts w:hint="eastAsia" w:ascii="仿宋" w:hAnsi="仿宋" w:eastAsia="仿宋" w:cs="仿宋"/>
          <w:color w:val="000000" w:themeColor="text1"/>
          <w:kern w:val="0"/>
          <w:sz w:val="32"/>
          <w:szCs w:val="32"/>
          <w14:textFill>
            <w14:solidFill>
              <w14:schemeClr w14:val="tx1"/>
            </w14:solidFill>
          </w14:textFill>
        </w:rPr>
      </w:pPr>
      <w:r>
        <w:rPr>
          <w:rFonts w:hint="eastAsia" w:ascii="仿宋" w:hAnsi="仿宋" w:eastAsia="仿宋" w:cs="仿宋"/>
          <w:color w:val="000000" w:themeColor="text1"/>
          <w:kern w:val="0"/>
          <w:sz w:val="32"/>
          <w:szCs w:val="32"/>
          <w14:textFill>
            <w14:solidFill>
              <w14:schemeClr w14:val="tx1"/>
            </w14:solidFill>
          </w14:textFill>
        </w:rPr>
        <w:t>区公共法律服务中心服务网络体系持续完善全力打造特色法律援助联络站建设，已在全区8所学校挂牌设立校园法律援助联络站，同时，在鹿泉监狱设立了“法律援助中心驻狱工作站”将服务延伸至特殊场所。同时对重点人群服务精准有效提供服务。一是保护未成年人权益，构建“预防+保护+救助+回归”全链条保障体系。今年办理未成年人法律援助案件85件，2025年开展未成年人专项普法活动20余场次。二是维护劳动者权益，针对欠薪问题，开展“安心行动”，受理劳动者法律援助案件105件。如成功帮助姚某追回被拖欠5年之久的薪资5.1万元。三是拓展特殊群体服务，如走进省女子强制隔离戒毒所、法律援助中心驻鹿泉监狱工作站开展“知宪于心 守宪于行”宪法宣讲，拓展“法律援助+特殊群体”服务模式。</w:t>
      </w:r>
    </w:p>
    <w:p w14:paraId="346312DD">
      <w:pPr>
        <w:widowControl/>
        <w:shd w:val="clear" w:color="auto" w:fill="FFFFFF"/>
        <w:spacing w:line="480" w:lineRule="auto"/>
        <w:ind w:firstLine="640" w:firstLineChars="200"/>
        <w:jc w:val="left"/>
        <w:rPr>
          <w:rFonts w:hint="eastAsia" w:ascii="仿宋" w:hAnsi="仿宋" w:eastAsia="仿宋" w:cs="仿宋"/>
          <w:color w:val="000000" w:themeColor="text1"/>
          <w:kern w:val="0"/>
          <w:sz w:val="32"/>
          <w:szCs w:val="32"/>
          <w14:textFill>
            <w14:solidFill>
              <w14:schemeClr w14:val="tx1"/>
            </w14:solidFill>
          </w14:textFill>
        </w:rPr>
      </w:pPr>
      <w:r>
        <w:rPr>
          <w:rFonts w:hint="eastAsia" w:ascii="仿宋" w:hAnsi="仿宋" w:eastAsia="仿宋" w:cs="仿宋"/>
          <w:color w:val="000000" w:themeColor="text1"/>
          <w:kern w:val="0"/>
          <w:sz w:val="32"/>
          <w:szCs w:val="32"/>
          <w14:textFill>
            <w14:solidFill>
              <w14:schemeClr w14:val="tx1"/>
            </w14:solidFill>
          </w14:textFill>
        </w:rPr>
        <w:t>（</w:t>
      </w:r>
      <w:r>
        <w:rPr>
          <w:rFonts w:hint="eastAsia" w:ascii="仿宋" w:hAnsi="仿宋" w:eastAsia="仿宋" w:cs="仿宋"/>
          <w:color w:val="000000" w:themeColor="text1"/>
          <w:kern w:val="0"/>
          <w:sz w:val="32"/>
          <w:szCs w:val="32"/>
          <w:lang w:val="en-US" w:eastAsia="zh-CN"/>
          <w14:textFill>
            <w14:solidFill>
              <w14:schemeClr w14:val="tx1"/>
            </w14:solidFill>
          </w14:textFill>
        </w:rPr>
        <w:t>2</w:t>
      </w:r>
      <w:r>
        <w:rPr>
          <w:rFonts w:hint="eastAsia" w:ascii="仿宋" w:hAnsi="仿宋" w:eastAsia="仿宋" w:cs="仿宋"/>
          <w:color w:val="000000" w:themeColor="text1"/>
          <w:kern w:val="0"/>
          <w:sz w:val="32"/>
          <w:szCs w:val="32"/>
          <w14:textFill>
            <w14:solidFill>
              <w14:schemeClr w14:val="tx1"/>
            </w14:solidFill>
          </w14:textFill>
        </w:rPr>
        <w:t>）深入推进“八五”普法规划贯彻落实</w:t>
      </w:r>
    </w:p>
    <w:p w14:paraId="13405ADA">
      <w:pPr>
        <w:widowControl/>
        <w:shd w:val="clear" w:color="auto" w:fill="FFFFFF"/>
        <w:spacing w:line="480" w:lineRule="auto"/>
        <w:ind w:firstLine="480"/>
        <w:jc w:val="left"/>
        <w:rPr>
          <w:rFonts w:hint="eastAsia" w:ascii="仿宋" w:hAnsi="仿宋" w:eastAsia="仿宋" w:cs="仿宋"/>
          <w:color w:val="000000" w:themeColor="text1"/>
          <w:kern w:val="0"/>
          <w:sz w:val="32"/>
          <w:szCs w:val="32"/>
          <w14:textFill>
            <w14:solidFill>
              <w14:schemeClr w14:val="tx1"/>
            </w14:solidFill>
          </w14:textFill>
        </w:rPr>
      </w:pPr>
      <w:r>
        <w:rPr>
          <w:rFonts w:hint="eastAsia" w:ascii="仿宋" w:hAnsi="仿宋" w:eastAsia="仿宋" w:cs="仿宋"/>
          <w:color w:val="000000" w:themeColor="text1"/>
          <w:kern w:val="0"/>
          <w:sz w:val="32"/>
          <w:szCs w:val="32"/>
          <w14:textFill>
            <w14:solidFill>
              <w14:schemeClr w14:val="tx1"/>
            </w14:solidFill>
          </w14:textFill>
        </w:rPr>
        <w:t>认真落实“谁执法谁普法”责任制，对全区3家红色法治文化阵地进行提升。利用“鹿泉普法”今日头条号发布法治资讯547篇，阅读量达4.6万。区司法局与区融媒体中心合作拍摄《法治时间》栏目累计播出10期。依托“小鹿普法”智慧普法平台发布法律信息24.8万余条，阅读量达37.6万次，咨询1023次。开展各类线下普法宣传活动500余场次，受众人员8万余名，加强法治文化阵地建设，乡（镇、区）和村（居）建设法治文化公园（或广场、长廊、一条街、专栏）覆盖率达100%。开展红色法治文化建设，迎接省级“八五”普法终期验收工作。</w:t>
      </w:r>
    </w:p>
    <w:p w14:paraId="1505AB10">
      <w:pPr>
        <w:widowControl/>
        <w:shd w:val="clear" w:color="auto" w:fill="FFFFFF"/>
        <w:spacing w:line="480" w:lineRule="auto"/>
        <w:ind w:firstLine="480"/>
        <w:jc w:val="left"/>
        <w:rPr>
          <w:rFonts w:hint="eastAsia" w:ascii="仿宋" w:hAnsi="仿宋" w:eastAsia="仿宋" w:cs="仿宋"/>
          <w:color w:val="000000" w:themeColor="text1"/>
          <w:kern w:val="0"/>
          <w:sz w:val="32"/>
          <w:szCs w:val="32"/>
          <w14:textFill>
            <w14:solidFill>
              <w14:schemeClr w14:val="tx1"/>
            </w14:solidFill>
          </w14:textFill>
        </w:rPr>
      </w:pPr>
      <w:r>
        <w:rPr>
          <w:rFonts w:hint="eastAsia" w:ascii="仿宋" w:hAnsi="仿宋" w:eastAsia="仿宋" w:cs="仿宋"/>
          <w:color w:val="000000" w:themeColor="text1"/>
          <w:kern w:val="0"/>
          <w:sz w:val="32"/>
          <w:szCs w:val="32"/>
          <w14:textFill>
            <w14:solidFill>
              <w14:schemeClr w14:val="tx1"/>
            </w14:solidFill>
          </w14:textFill>
        </w:rPr>
        <w:t>（</w:t>
      </w:r>
      <w:r>
        <w:rPr>
          <w:rFonts w:hint="eastAsia" w:ascii="仿宋" w:hAnsi="仿宋" w:eastAsia="仿宋" w:cs="仿宋"/>
          <w:color w:val="000000" w:themeColor="text1"/>
          <w:kern w:val="0"/>
          <w:sz w:val="32"/>
          <w:szCs w:val="32"/>
          <w:lang w:val="en-US" w:eastAsia="zh-CN"/>
          <w14:textFill>
            <w14:solidFill>
              <w14:schemeClr w14:val="tx1"/>
            </w14:solidFill>
          </w14:textFill>
        </w:rPr>
        <w:t>3</w:t>
      </w:r>
      <w:r>
        <w:rPr>
          <w:rFonts w:hint="eastAsia" w:ascii="仿宋" w:hAnsi="仿宋" w:eastAsia="仿宋" w:cs="仿宋"/>
          <w:color w:val="000000" w:themeColor="text1"/>
          <w:kern w:val="0"/>
          <w:sz w:val="32"/>
          <w:szCs w:val="32"/>
          <w14:textFill>
            <w14:solidFill>
              <w14:schemeClr w14:val="tx1"/>
            </w14:solidFill>
          </w14:textFill>
        </w:rPr>
        <w:t>）矛盾纠纷化解促和谐</w:t>
      </w:r>
    </w:p>
    <w:p w14:paraId="439583B4">
      <w:pPr>
        <w:widowControl/>
        <w:shd w:val="clear" w:color="auto" w:fill="FFFFFF"/>
        <w:spacing w:line="480" w:lineRule="auto"/>
        <w:ind w:firstLine="640" w:firstLineChars="200"/>
        <w:jc w:val="left"/>
        <w:rPr>
          <w:rFonts w:hint="eastAsia" w:ascii="仿宋_GB2312" w:hAnsi="仿宋_GB2312" w:eastAsia="仿宋_GB2312" w:cs="仿宋_GB2312"/>
          <w:b w:val="0"/>
          <w:bCs w:val="0"/>
          <w:i w:val="0"/>
          <w:iCs w:val="0"/>
          <w:caps w:val="0"/>
          <w:color w:val="0C0C0C"/>
          <w:spacing w:val="0"/>
          <w:sz w:val="32"/>
          <w:szCs w:val="32"/>
          <w:shd w:val="clear" w:color="auto" w:fill="FFFFFF"/>
          <w:lang w:val="en-US" w:eastAsia="zh-CN"/>
        </w:rPr>
      </w:pPr>
      <w:r>
        <w:rPr>
          <w:rFonts w:hint="eastAsia" w:ascii="仿宋_GB2312" w:hAnsi="仿宋_GB2312" w:eastAsia="仿宋_GB2312" w:cs="仿宋_GB2312"/>
          <w:b w:val="0"/>
          <w:bCs w:val="0"/>
          <w:i w:val="0"/>
          <w:iCs w:val="0"/>
          <w:caps w:val="0"/>
          <w:color w:val="0C0C0C"/>
          <w:spacing w:val="0"/>
          <w:sz w:val="32"/>
          <w:szCs w:val="32"/>
          <w:shd w:val="clear" w:color="auto" w:fill="FFFFFF"/>
          <w:lang w:val="en-US" w:eastAsia="zh-CN"/>
        </w:rPr>
        <w:t xml:space="preserve">2025年，我区开展了“化解矛盾风险 维护社会稳定”专项治理活动，实施多元化解，多调联动，推动各级人民调解组织开展矛盾纠纷化解；积极拓展商事调解、新业态调解等工作新领域；扎实开展“行业枫桥”“网上枫桥”排查化解工作；加强人民调解队伍建设，稳步推进司法所规范化建设。区、乡、村三级人民调解组织共受理各类纠纷3103件，调解成功3065件，调解成功率98.7%，涉及金额800余万元，收到群众赠送的锦旗20余面。  </w:t>
      </w:r>
    </w:p>
    <w:p w14:paraId="01F5D34B">
      <w:pPr>
        <w:widowControl/>
        <w:shd w:val="clear" w:color="auto" w:fill="FFFFFF"/>
        <w:spacing w:line="480" w:lineRule="auto"/>
        <w:ind w:firstLine="640" w:firstLineChars="200"/>
        <w:jc w:val="left"/>
        <w:rPr>
          <w:rFonts w:hint="eastAsia" w:ascii="仿宋" w:hAnsi="仿宋" w:eastAsia="仿宋" w:cs="仿宋"/>
          <w:color w:val="000000" w:themeColor="text1"/>
          <w:kern w:val="0"/>
          <w:sz w:val="32"/>
          <w:szCs w:val="32"/>
          <w14:textFill>
            <w14:solidFill>
              <w14:schemeClr w14:val="tx1"/>
            </w14:solidFill>
          </w14:textFill>
        </w:rPr>
      </w:pPr>
      <w:r>
        <w:rPr>
          <w:rFonts w:hint="eastAsia" w:ascii="仿宋" w:hAnsi="仿宋" w:eastAsia="仿宋" w:cs="仿宋"/>
          <w:color w:val="000000" w:themeColor="text1"/>
          <w:kern w:val="0"/>
          <w:sz w:val="32"/>
          <w:szCs w:val="32"/>
          <w14:textFill>
            <w14:solidFill>
              <w14:schemeClr w14:val="tx1"/>
            </w14:solidFill>
          </w14:textFill>
        </w:rPr>
        <w:t>（</w:t>
      </w:r>
      <w:r>
        <w:rPr>
          <w:rFonts w:hint="eastAsia" w:ascii="仿宋" w:hAnsi="仿宋" w:eastAsia="仿宋" w:cs="仿宋"/>
          <w:color w:val="000000" w:themeColor="text1"/>
          <w:kern w:val="0"/>
          <w:sz w:val="32"/>
          <w:szCs w:val="32"/>
          <w:lang w:val="en-US" w:eastAsia="zh-CN"/>
          <w14:textFill>
            <w14:solidFill>
              <w14:schemeClr w14:val="tx1"/>
            </w14:solidFill>
          </w14:textFill>
        </w:rPr>
        <w:t>4</w:t>
      </w:r>
      <w:r>
        <w:rPr>
          <w:rFonts w:hint="eastAsia" w:ascii="仿宋" w:hAnsi="仿宋" w:eastAsia="仿宋" w:cs="仿宋"/>
          <w:color w:val="000000" w:themeColor="text1"/>
          <w:kern w:val="0"/>
          <w:sz w:val="32"/>
          <w:szCs w:val="32"/>
          <w14:textFill>
            <w14:solidFill>
              <w14:schemeClr w14:val="tx1"/>
            </w14:solidFill>
          </w14:textFill>
        </w:rPr>
        <w:t>）</w:t>
      </w:r>
      <w:bookmarkStart w:id="0" w:name="OLE_LINK1"/>
      <w:r>
        <w:rPr>
          <w:rFonts w:hint="eastAsia" w:ascii="仿宋" w:hAnsi="仿宋" w:eastAsia="仿宋" w:cs="仿宋"/>
          <w:color w:val="000000" w:themeColor="text1"/>
          <w:kern w:val="0"/>
          <w:sz w:val="32"/>
          <w:szCs w:val="32"/>
          <w14:textFill>
            <w14:solidFill>
              <w14:schemeClr w14:val="tx1"/>
            </w14:solidFill>
          </w14:textFill>
        </w:rPr>
        <w:t>社矫对象监管无死角</w:t>
      </w:r>
    </w:p>
    <w:p w14:paraId="0E025582">
      <w:pPr>
        <w:widowControl/>
        <w:shd w:val="clear" w:color="auto" w:fill="FFFFFF"/>
        <w:spacing w:line="480" w:lineRule="auto"/>
        <w:ind w:firstLine="640" w:firstLineChars="200"/>
        <w:jc w:val="left"/>
        <w:rPr>
          <w:rFonts w:hint="eastAsia" w:ascii="仿宋" w:hAnsi="仿宋" w:eastAsia="仿宋" w:cs="仿宋"/>
          <w:color w:val="000000" w:themeColor="text1"/>
          <w:kern w:val="0"/>
          <w:sz w:val="32"/>
          <w:szCs w:val="32"/>
          <w14:textFill>
            <w14:solidFill>
              <w14:schemeClr w14:val="tx1"/>
            </w14:solidFill>
          </w14:textFill>
        </w:rPr>
      </w:pPr>
      <w:r>
        <w:rPr>
          <w:rFonts w:hint="eastAsia" w:ascii="仿宋" w:hAnsi="仿宋" w:eastAsia="仿宋" w:cs="仿宋"/>
          <w:color w:val="000000" w:themeColor="text1"/>
          <w:kern w:val="0"/>
          <w:sz w:val="32"/>
          <w:szCs w:val="32"/>
          <w:lang w:eastAsia="zh-CN"/>
          <w14:textFill>
            <w14:solidFill>
              <w14:schemeClr w14:val="tx1"/>
            </w14:solidFill>
          </w14:textFill>
        </w:rPr>
        <w:t>2025</w:t>
      </w:r>
      <w:r>
        <w:rPr>
          <w:rFonts w:hint="eastAsia" w:ascii="仿宋" w:hAnsi="仿宋" w:eastAsia="仿宋" w:cs="仿宋"/>
          <w:color w:val="000000" w:themeColor="text1"/>
          <w:kern w:val="0"/>
          <w:sz w:val="32"/>
          <w:szCs w:val="32"/>
          <w14:textFill>
            <w14:solidFill>
              <w14:schemeClr w14:val="tx1"/>
            </w14:solidFill>
          </w14:textFill>
        </w:rPr>
        <w:t>年以来，我区社区矫正工作以习近平新时代中国特色社会主义思想为指引，认真贯彻落实全市司法行政工作会议精神，每个季度进行一次社区矫正工作专项督查。截至</w:t>
      </w:r>
      <w:r>
        <w:rPr>
          <w:rFonts w:hint="eastAsia" w:ascii="仿宋" w:hAnsi="仿宋" w:eastAsia="仿宋" w:cs="仿宋"/>
          <w:color w:val="000000" w:themeColor="text1"/>
          <w:kern w:val="0"/>
          <w:sz w:val="32"/>
          <w:szCs w:val="32"/>
          <w:lang w:eastAsia="zh-CN"/>
          <w14:textFill>
            <w14:solidFill>
              <w14:schemeClr w14:val="tx1"/>
            </w14:solidFill>
          </w14:textFill>
        </w:rPr>
        <w:t>2025</w:t>
      </w:r>
      <w:r>
        <w:rPr>
          <w:rFonts w:hint="eastAsia" w:ascii="仿宋" w:hAnsi="仿宋" w:eastAsia="仿宋" w:cs="仿宋"/>
          <w:color w:val="000000" w:themeColor="text1"/>
          <w:kern w:val="0"/>
          <w:sz w:val="32"/>
          <w:szCs w:val="32"/>
          <w14:textFill>
            <w14:solidFill>
              <w14:schemeClr w14:val="tx1"/>
            </w14:solidFill>
          </w14:textFill>
        </w:rPr>
        <w:t>年1</w:t>
      </w:r>
      <w:r>
        <w:rPr>
          <w:rFonts w:hint="eastAsia" w:ascii="仿宋" w:hAnsi="仿宋" w:eastAsia="仿宋" w:cs="仿宋"/>
          <w:color w:val="000000" w:themeColor="text1"/>
          <w:kern w:val="0"/>
          <w:sz w:val="32"/>
          <w:szCs w:val="32"/>
          <w:lang w:val="en-US" w:eastAsia="zh-CN"/>
          <w14:textFill>
            <w14:solidFill>
              <w14:schemeClr w14:val="tx1"/>
            </w14:solidFill>
          </w14:textFill>
        </w:rPr>
        <w:t>2</w:t>
      </w:r>
      <w:r>
        <w:rPr>
          <w:rFonts w:hint="eastAsia" w:ascii="仿宋" w:hAnsi="仿宋" w:eastAsia="仿宋" w:cs="仿宋"/>
          <w:color w:val="000000" w:themeColor="text1"/>
          <w:kern w:val="0"/>
          <w:sz w:val="32"/>
          <w:szCs w:val="32"/>
          <w14:textFill>
            <w14:solidFill>
              <w14:schemeClr w14:val="tx1"/>
            </w14:solidFill>
          </w14:textFill>
        </w:rPr>
        <w:t>月，全</w:t>
      </w:r>
      <w:r>
        <w:rPr>
          <w:rFonts w:hint="eastAsia" w:ascii="仿宋" w:hAnsi="仿宋" w:eastAsia="仿宋" w:cs="仿宋"/>
          <w:color w:val="000000" w:themeColor="text1"/>
          <w:kern w:val="0"/>
          <w:sz w:val="32"/>
          <w:szCs w:val="32"/>
          <w:lang w:eastAsia="zh-CN"/>
          <w14:textFill>
            <w14:solidFill>
              <w14:schemeClr w14:val="tx1"/>
            </w14:solidFill>
          </w14:textFill>
        </w:rPr>
        <w:t>区</w:t>
      </w:r>
      <w:r>
        <w:rPr>
          <w:rFonts w:hint="eastAsia" w:ascii="仿宋" w:hAnsi="仿宋" w:eastAsia="仿宋" w:cs="仿宋"/>
          <w:color w:val="000000" w:themeColor="text1"/>
          <w:kern w:val="0"/>
          <w:sz w:val="32"/>
          <w:szCs w:val="32"/>
          <w14:textFill>
            <w14:solidFill>
              <w14:schemeClr w14:val="tx1"/>
            </w14:solidFill>
          </w14:textFill>
        </w:rPr>
        <w:t>在册社区服刑人员</w:t>
      </w:r>
      <w:r>
        <w:rPr>
          <w:rFonts w:hint="eastAsia" w:ascii="仿宋" w:hAnsi="仿宋" w:eastAsia="仿宋" w:cs="仿宋"/>
          <w:color w:val="000000" w:themeColor="text1"/>
          <w:kern w:val="0"/>
          <w:sz w:val="32"/>
          <w:szCs w:val="32"/>
          <w:lang w:val="en-US" w:eastAsia="zh-CN"/>
          <w14:textFill>
            <w14:solidFill>
              <w14:schemeClr w14:val="tx1"/>
            </w14:solidFill>
          </w14:textFill>
        </w:rPr>
        <w:t>3</w:t>
      </w:r>
      <w:r>
        <w:rPr>
          <w:rFonts w:hint="eastAsia" w:ascii="仿宋" w:hAnsi="仿宋" w:eastAsia="仿宋" w:cs="仿宋"/>
          <w:color w:val="000000" w:themeColor="text1"/>
          <w:kern w:val="0"/>
          <w:sz w:val="32"/>
          <w:szCs w:val="32"/>
          <w14:textFill>
            <w14:solidFill>
              <w14:schemeClr w14:val="tx1"/>
            </w14:solidFill>
          </w14:textFill>
        </w:rPr>
        <w:t>00余人，无脱管漏管和重新违法犯罪现象发生。</w:t>
      </w:r>
    </w:p>
    <w:bookmarkEnd w:id="0"/>
    <w:p w14:paraId="0FD0BB65">
      <w:pPr>
        <w:ind w:firstLine="640" w:firstLineChars="200"/>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w:t>
      </w:r>
      <w:r>
        <w:rPr>
          <w:rFonts w:hint="eastAsia" w:ascii="仿宋" w:hAnsi="仿宋" w:eastAsia="仿宋" w:cs="仿宋"/>
          <w:color w:val="000000" w:themeColor="text1"/>
          <w:sz w:val="32"/>
          <w:szCs w:val="32"/>
          <w:lang w:eastAsia="zh-CN"/>
          <w14:textFill>
            <w14:solidFill>
              <w14:schemeClr w14:val="tx1"/>
            </w14:solidFill>
          </w14:textFill>
        </w:rPr>
        <w:t>二</w:t>
      </w:r>
      <w:r>
        <w:rPr>
          <w:rFonts w:hint="eastAsia" w:ascii="仿宋" w:hAnsi="仿宋" w:eastAsia="仿宋" w:cs="仿宋"/>
          <w:color w:val="000000" w:themeColor="text1"/>
          <w:sz w:val="32"/>
          <w:szCs w:val="32"/>
          <w14:textFill>
            <w14:solidFill>
              <w14:schemeClr w14:val="tx1"/>
            </w14:solidFill>
          </w14:textFill>
        </w:rPr>
        <w:t>）建立绩效评价指标体系</w:t>
      </w:r>
    </w:p>
    <w:p w14:paraId="59A04403">
      <w:pPr>
        <w:ind w:firstLine="640" w:firstLineChars="200"/>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在开展预算绩效评价工作时，针对具体绩效评价对象的特点，设计具体的绩效评价指标体系。除共性指标外，必须设置能够体现项目特点和绩效的个性指标；项目产出指标与项目效果指标设置数量在8个（含）以上，分值权重占总体的65%以上。</w:t>
      </w:r>
    </w:p>
    <w:p w14:paraId="1ECF5460">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716D0E6F">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1E16128B">
      <w:pPr>
        <w:widowControl w:val="0"/>
        <w:wordWrap/>
        <w:spacing w:line="560" w:lineRule="exact"/>
        <w:ind w:left="0" w:leftChars="0" w:right="0" w:firstLine="640" w:firstLineChars="200"/>
        <w:textAlignment w:val="auto"/>
        <w:outlineLvl w:val="9"/>
        <w:rPr>
          <w:rFonts w:hint="eastAsia" w:ascii="仿宋" w:hAnsi="仿宋" w:eastAsia="仿宋" w:cs="仿宋"/>
          <w:b/>
          <w:bCs/>
          <w:sz w:val="32"/>
          <w:szCs w:val="32"/>
        </w:rPr>
      </w:pPr>
      <w:r>
        <w:rPr>
          <w:rFonts w:ascii="仿宋" w:hAnsi="仿宋" w:eastAsia="仿宋"/>
          <w:sz w:val="32"/>
        </w:rPr>
        <w:t xml:space="preserve">根据预算绩效管理要求，本部门组织对 </w:t>
      </w:r>
      <w:r>
        <w:rPr>
          <w:rFonts w:hint="eastAsia" w:ascii="仿宋" w:hAnsi="仿宋" w:eastAsia="仿宋"/>
          <w:sz w:val="32"/>
          <w:lang w:eastAsia="zh-CN"/>
        </w:rPr>
        <w:t>2025</w:t>
      </w:r>
      <w:r>
        <w:rPr>
          <w:rFonts w:ascii="仿宋" w:hAnsi="仿宋" w:eastAsia="仿宋"/>
          <w:sz w:val="32"/>
        </w:rPr>
        <w:t xml:space="preserve"> 年度一般公共预算项目支出全面开展绩效自评，其中，一级项目 1</w:t>
      </w:r>
      <w:r>
        <w:rPr>
          <w:rFonts w:hint="eastAsia" w:ascii="仿宋" w:hAnsi="仿宋" w:eastAsia="仿宋"/>
          <w:sz w:val="32"/>
          <w:lang w:val="en-US" w:eastAsia="zh-CN"/>
        </w:rPr>
        <w:t>9</w:t>
      </w:r>
      <w:r>
        <w:rPr>
          <w:rFonts w:ascii="仿宋" w:hAnsi="仿宋" w:eastAsia="仿宋"/>
          <w:sz w:val="32"/>
        </w:rPr>
        <w:t>个，共涉及资金</w:t>
      </w:r>
      <w:r>
        <w:rPr>
          <w:rFonts w:hint="eastAsia" w:ascii="仿宋" w:hAnsi="仿宋" w:eastAsia="仿宋"/>
          <w:sz w:val="32"/>
          <w:lang w:val="en-US" w:eastAsia="zh-CN"/>
        </w:rPr>
        <w:t>469.72</w:t>
      </w:r>
      <w:r>
        <w:rPr>
          <w:rFonts w:ascii="仿宋" w:hAnsi="仿宋" w:eastAsia="仿宋"/>
          <w:sz w:val="32"/>
        </w:rPr>
        <w:t>万元，占一般公共预算项目支出总额的 2</w:t>
      </w:r>
      <w:r>
        <w:rPr>
          <w:rFonts w:hint="eastAsia" w:ascii="仿宋" w:hAnsi="仿宋" w:eastAsia="仿宋"/>
          <w:sz w:val="32"/>
          <w:lang w:val="en-US" w:eastAsia="zh-CN"/>
        </w:rPr>
        <w:t>6.53%</w:t>
      </w:r>
      <w:r>
        <w:rPr>
          <w:rFonts w:ascii="仿宋" w:hAnsi="仿宋" w:eastAsia="仿宋"/>
          <w:sz w:val="32"/>
        </w:rPr>
        <w:t>。政府性基金预算项目 0 个,共涉及资金 0 万元，占政府性基金预算项目支出总额的 0%。</w:t>
      </w:r>
      <w:r>
        <w:rPr>
          <w:rFonts w:hint="eastAsia" w:ascii="仿宋" w:hAnsi="仿宋" w:eastAsia="仿宋" w:cs="仿宋"/>
          <w:b/>
          <w:bCs/>
          <w:sz w:val="32"/>
          <w:szCs w:val="32"/>
        </w:rPr>
        <w:t xml:space="preserve">    </w:t>
      </w:r>
    </w:p>
    <w:p w14:paraId="7341551E">
      <w:pPr>
        <w:widowControl w:val="0"/>
        <w:wordWrap/>
        <w:spacing w:line="560" w:lineRule="exact"/>
        <w:ind w:left="0" w:leftChars="0" w:right="0" w:firstLine="643" w:firstLineChars="200"/>
        <w:textAlignment w:val="auto"/>
        <w:outlineLvl w:val="9"/>
        <w:rPr>
          <w:rFonts w:hint="eastAsia" w:ascii="仿宋" w:hAnsi="仿宋" w:eastAsia="仿宋" w:cs="仿宋"/>
          <w:b/>
          <w:bCs/>
          <w:sz w:val="32"/>
          <w:szCs w:val="32"/>
          <w:lang w:eastAsia="zh-CN"/>
        </w:rPr>
      </w:pPr>
      <w:r>
        <w:rPr>
          <w:rFonts w:hint="eastAsia" w:ascii="仿宋" w:hAnsi="仿宋" w:eastAsia="仿宋" w:cs="仿宋"/>
          <w:b/>
          <w:bCs/>
          <w:sz w:val="32"/>
          <w:szCs w:val="32"/>
        </w:rPr>
        <w:t>（二）</w:t>
      </w:r>
      <w:r>
        <w:rPr>
          <w:rFonts w:hint="eastAsia" w:ascii="仿宋" w:hAnsi="仿宋" w:eastAsia="仿宋" w:cs="仿宋"/>
          <w:b/>
          <w:bCs/>
          <w:sz w:val="32"/>
          <w:szCs w:val="32"/>
          <w:lang w:eastAsia="zh-CN"/>
        </w:rPr>
        <w:t>分项绩效目标实现情况及指标分析</w:t>
      </w:r>
    </w:p>
    <w:p w14:paraId="7E633AE5">
      <w:pPr>
        <w:pStyle w:val="9"/>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1</w:t>
      </w:r>
      <w:r>
        <w:rPr>
          <w:rFonts w:hint="eastAsia" w:ascii="仿宋" w:hAnsi="仿宋" w:eastAsia="仿宋" w:cs="仿宋"/>
          <w:sz w:val="32"/>
          <w:szCs w:val="32"/>
        </w:rPr>
        <w:t>）重点推进社区矫正机构和建设工作场所，刑满释放人员安置帮教工作。</w:t>
      </w:r>
    </w:p>
    <w:p w14:paraId="070C8DCF">
      <w:pPr>
        <w:pStyle w:val="9"/>
        <w:rPr>
          <w:rFonts w:hint="eastAsia" w:ascii="仿宋" w:hAnsi="仿宋" w:eastAsia="仿宋" w:cs="仿宋"/>
          <w:sz w:val="32"/>
          <w:szCs w:val="32"/>
        </w:rPr>
      </w:pPr>
      <w:r>
        <w:rPr>
          <w:rFonts w:hint="eastAsia" w:ascii="仿宋" w:hAnsi="仿宋" w:eastAsia="仿宋" w:cs="仿宋"/>
          <w:sz w:val="32"/>
          <w:szCs w:val="32"/>
        </w:rPr>
        <w:t>绩效目标：依据法律、法规做好社区矫正对象、刑满释放人员的管理、教育、帮扶工作，最大限度降低重新违法犯罪和社会不稳定因素发生。</w:t>
      </w:r>
    </w:p>
    <w:p w14:paraId="2B5FC07D">
      <w:pPr>
        <w:pStyle w:val="9"/>
        <w:rPr>
          <w:rFonts w:hint="eastAsia" w:ascii="仿宋" w:hAnsi="仿宋" w:eastAsia="仿宋" w:cs="仿宋"/>
          <w:sz w:val="32"/>
          <w:szCs w:val="32"/>
        </w:rPr>
      </w:pPr>
      <w:r>
        <w:rPr>
          <w:rFonts w:hint="eastAsia" w:ascii="仿宋" w:hAnsi="仿宋" w:eastAsia="仿宋" w:cs="仿宋"/>
          <w:sz w:val="32"/>
          <w:szCs w:val="32"/>
        </w:rPr>
        <w:t>绩效指标：社区矫正对象的核查率达到百分之百，矫正对象对帮扶工作满意度，降低矫正人员的重新犯罪率。</w:t>
      </w:r>
    </w:p>
    <w:p w14:paraId="411AD2BD">
      <w:pPr>
        <w:pStyle w:val="9"/>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2</w:t>
      </w:r>
      <w:r>
        <w:rPr>
          <w:rFonts w:hint="eastAsia" w:ascii="仿宋" w:hAnsi="仿宋" w:eastAsia="仿宋" w:cs="仿宋"/>
          <w:sz w:val="32"/>
          <w:szCs w:val="32"/>
        </w:rPr>
        <w:t>）运用法治思维和法治方法化解社会矛盾纠纷。</w:t>
      </w:r>
    </w:p>
    <w:p w14:paraId="4D52B39C">
      <w:pPr>
        <w:pStyle w:val="9"/>
        <w:rPr>
          <w:rFonts w:hint="eastAsia" w:ascii="仿宋" w:hAnsi="仿宋" w:eastAsia="仿宋" w:cs="仿宋"/>
          <w:sz w:val="32"/>
          <w:szCs w:val="32"/>
        </w:rPr>
      </w:pPr>
      <w:r>
        <w:rPr>
          <w:rFonts w:hint="eastAsia" w:ascii="仿宋" w:hAnsi="仿宋" w:eastAsia="仿宋" w:cs="仿宋"/>
          <w:sz w:val="32"/>
          <w:szCs w:val="32"/>
        </w:rPr>
        <w:t>绩效目标：组建专业调解团队，实行跨区域调解，将矛盾化解在基层社会秩序平安稳定。</w:t>
      </w:r>
    </w:p>
    <w:p w14:paraId="215B834D">
      <w:pPr>
        <w:pStyle w:val="9"/>
        <w:rPr>
          <w:rFonts w:hint="eastAsia" w:ascii="仿宋" w:hAnsi="仿宋" w:eastAsia="仿宋" w:cs="仿宋"/>
          <w:sz w:val="32"/>
          <w:szCs w:val="32"/>
        </w:rPr>
      </w:pPr>
      <w:r>
        <w:rPr>
          <w:rFonts w:hint="eastAsia" w:ascii="仿宋" w:hAnsi="仿宋" w:eastAsia="仿宋" w:cs="仿宋"/>
          <w:sz w:val="32"/>
          <w:szCs w:val="32"/>
        </w:rPr>
        <w:t>绩效指标：聘请</w:t>
      </w:r>
      <w:r>
        <w:rPr>
          <w:rFonts w:hint="eastAsia" w:ascii="仿宋" w:hAnsi="仿宋" w:eastAsia="仿宋" w:cs="仿宋"/>
          <w:sz w:val="32"/>
          <w:szCs w:val="32"/>
          <w:lang w:val="en-US" w:eastAsia="zh-CN"/>
        </w:rPr>
        <w:t>52</w:t>
      </w:r>
      <w:r>
        <w:rPr>
          <w:rFonts w:hint="eastAsia" w:ascii="仿宋" w:hAnsi="仿宋" w:eastAsia="仿宋" w:cs="仿宋"/>
          <w:sz w:val="32"/>
          <w:szCs w:val="32"/>
        </w:rPr>
        <w:t>名专职调解员，按最低工资</w:t>
      </w:r>
      <w:r>
        <w:rPr>
          <w:rFonts w:hint="eastAsia" w:ascii="仿宋" w:hAnsi="仿宋" w:eastAsia="仿宋" w:cs="仿宋"/>
          <w:sz w:val="32"/>
          <w:szCs w:val="32"/>
          <w:lang w:val="en-US" w:eastAsia="zh-CN"/>
        </w:rPr>
        <w:t>22</w:t>
      </w:r>
      <w:r>
        <w:rPr>
          <w:rFonts w:hint="eastAsia" w:ascii="仿宋" w:hAnsi="仿宋" w:eastAsia="仿宋" w:cs="仿宋"/>
          <w:sz w:val="32"/>
          <w:szCs w:val="32"/>
        </w:rPr>
        <w:t>00元，“以案定补”财政补贴，每个案件补贴300-500元，促进人民调解工作质量和人民调解协议规范化水平。</w:t>
      </w:r>
    </w:p>
    <w:p w14:paraId="16ACA1FF">
      <w:pPr>
        <w:pStyle w:val="9"/>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3</w:t>
      </w:r>
      <w:r>
        <w:rPr>
          <w:rFonts w:hint="eastAsia" w:ascii="仿宋" w:hAnsi="仿宋" w:eastAsia="仿宋" w:cs="仿宋"/>
          <w:sz w:val="32"/>
          <w:szCs w:val="32"/>
        </w:rPr>
        <w:t>）依法受理行政复议申请，履行《中华人民共和国行政复议法》规定的各项职责，行政执法协调监督科负责全区行政执法综合协调工作，指导监督各部门严格规范公正文明执法。</w:t>
      </w:r>
    </w:p>
    <w:p w14:paraId="2268C498">
      <w:pPr>
        <w:pStyle w:val="9"/>
        <w:ind w:left="0" w:leftChars="0" w:firstLine="640" w:firstLineChars="200"/>
        <w:rPr>
          <w:rFonts w:hint="eastAsia" w:ascii="仿宋" w:hAnsi="仿宋" w:eastAsia="仿宋" w:cs="仿宋"/>
          <w:sz w:val="32"/>
          <w:szCs w:val="32"/>
        </w:rPr>
      </w:pPr>
      <w:r>
        <w:rPr>
          <w:rFonts w:hint="eastAsia" w:ascii="仿宋" w:hAnsi="仿宋" w:eastAsia="仿宋" w:cs="仿宋"/>
          <w:sz w:val="32"/>
          <w:szCs w:val="32"/>
        </w:rPr>
        <w:t>绩效目标：依法受理符合法律规定的行政复议申请，处理案件率达到100%，提升政府在群众中的公信力，对我区行政执法单位执法人员学习培训，使执法人员的业务水平得到进一步提高。</w:t>
      </w:r>
    </w:p>
    <w:p w14:paraId="550A1568">
      <w:pPr>
        <w:pStyle w:val="9"/>
        <w:rPr>
          <w:rFonts w:hint="eastAsia" w:ascii="仿宋" w:hAnsi="仿宋" w:eastAsia="仿宋" w:cs="仿宋"/>
          <w:sz w:val="32"/>
          <w:szCs w:val="32"/>
        </w:rPr>
      </w:pPr>
      <w:r>
        <w:rPr>
          <w:rFonts w:hint="eastAsia" w:ascii="仿宋" w:hAnsi="仿宋" w:eastAsia="仿宋" w:cs="仿宋"/>
          <w:sz w:val="32"/>
          <w:szCs w:val="32"/>
        </w:rPr>
        <w:t>绩效指标：对我区行政执法单位1</w:t>
      </w:r>
      <w:r>
        <w:rPr>
          <w:rFonts w:hint="eastAsia" w:ascii="仿宋" w:hAnsi="仿宋" w:eastAsia="仿宋" w:cs="仿宋"/>
          <w:sz w:val="32"/>
          <w:szCs w:val="32"/>
          <w:lang w:val="en-US" w:eastAsia="zh-CN"/>
        </w:rPr>
        <w:t>0</w:t>
      </w:r>
      <w:r>
        <w:rPr>
          <w:rFonts w:hint="eastAsia" w:ascii="仿宋" w:hAnsi="仿宋" w:eastAsia="仿宋" w:cs="仿宋"/>
          <w:sz w:val="32"/>
          <w:szCs w:val="32"/>
        </w:rPr>
        <w:t>00名执法人员培训</w:t>
      </w:r>
      <w:r>
        <w:rPr>
          <w:rFonts w:hint="eastAsia" w:ascii="仿宋" w:hAnsi="仿宋" w:eastAsia="仿宋" w:cs="仿宋"/>
          <w:sz w:val="32"/>
          <w:szCs w:val="32"/>
          <w:lang w:val="en-US" w:eastAsia="zh-CN"/>
        </w:rPr>
        <w:t>3</w:t>
      </w:r>
      <w:r>
        <w:rPr>
          <w:rFonts w:hint="eastAsia" w:ascii="仿宋" w:hAnsi="仿宋" w:eastAsia="仿宋" w:cs="仿宋"/>
          <w:sz w:val="32"/>
          <w:szCs w:val="32"/>
        </w:rPr>
        <w:t>0个课时以上并参加考试，行政复议案件的应诉率达到100%，执法案件中投诉的案件占总案件的比率不高于15%。</w:t>
      </w:r>
    </w:p>
    <w:p w14:paraId="3A4926A2">
      <w:pPr>
        <w:pStyle w:val="9"/>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）组织开展“八五”普法规划，落实“谁执法谁普法”责任制，提高全区公民法律意识和法律素质。</w:t>
      </w:r>
    </w:p>
    <w:p w14:paraId="715B0C95">
      <w:pPr>
        <w:pStyle w:val="9"/>
        <w:rPr>
          <w:rFonts w:hint="eastAsia" w:ascii="仿宋" w:hAnsi="仿宋" w:eastAsia="仿宋" w:cs="仿宋"/>
          <w:sz w:val="32"/>
          <w:szCs w:val="32"/>
        </w:rPr>
      </w:pPr>
      <w:r>
        <w:rPr>
          <w:rFonts w:hint="eastAsia" w:ascii="仿宋" w:hAnsi="仿宋" w:eastAsia="仿宋" w:cs="仿宋"/>
          <w:sz w:val="32"/>
          <w:szCs w:val="32"/>
        </w:rPr>
        <w:t>绩效目标：增强法治化管理水平，促进全区民主与法治建设，更好地服务保障“法治鹿泉、平安鹿泉”建设。</w:t>
      </w:r>
    </w:p>
    <w:p w14:paraId="2EC2AB46">
      <w:pPr>
        <w:pStyle w:val="9"/>
        <w:rPr>
          <w:rFonts w:hint="eastAsia" w:ascii="仿宋" w:hAnsi="仿宋" w:eastAsia="仿宋" w:cs="仿宋"/>
          <w:sz w:val="32"/>
          <w:szCs w:val="32"/>
        </w:rPr>
      </w:pPr>
      <w:r>
        <w:rPr>
          <w:rFonts w:hint="eastAsia" w:ascii="仿宋" w:hAnsi="仿宋" w:eastAsia="仿宋" w:cs="仿宋"/>
          <w:sz w:val="32"/>
          <w:szCs w:val="32"/>
        </w:rPr>
        <w:t>绩效指标：每月开展一次专项主题宣传活动；组织全区干部法律知识培训工作；编印普法教材、展牌等宣传资料；打造法治示范点，提高全区公民法律知晓率。</w:t>
      </w:r>
    </w:p>
    <w:p w14:paraId="4105E738">
      <w:pPr>
        <w:pStyle w:val="9"/>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5</w:t>
      </w:r>
      <w:r>
        <w:rPr>
          <w:rFonts w:hint="eastAsia" w:ascii="仿宋" w:hAnsi="仿宋" w:eastAsia="仿宋" w:cs="仿宋"/>
          <w:sz w:val="32"/>
          <w:szCs w:val="32"/>
        </w:rPr>
        <w:t>）办理法律援助案件，落实法律援助的法律法规和政策的执行。</w:t>
      </w:r>
    </w:p>
    <w:p w14:paraId="2F044B25">
      <w:pPr>
        <w:pStyle w:val="9"/>
        <w:rPr>
          <w:rFonts w:hint="eastAsia" w:ascii="仿宋" w:hAnsi="仿宋" w:eastAsia="仿宋" w:cs="仿宋"/>
          <w:sz w:val="32"/>
          <w:szCs w:val="32"/>
        </w:rPr>
      </w:pPr>
      <w:r>
        <w:rPr>
          <w:rFonts w:hint="eastAsia" w:ascii="仿宋" w:hAnsi="仿宋" w:eastAsia="仿宋" w:cs="仿宋"/>
          <w:sz w:val="32"/>
          <w:szCs w:val="32"/>
        </w:rPr>
        <w:t>绩效目标：管理“12348”法律援助热线，开展法律援助理论研究。扩大法律援助覆盖面，重点组织好法律援助咨询补贴、代书补贴、办案补贴直接用于法律援助案件，推动全区法律援助长足发展。</w:t>
      </w:r>
    </w:p>
    <w:p w14:paraId="026B5479">
      <w:pPr>
        <w:pStyle w:val="9"/>
        <w:rPr>
          <w:rFonts w:hint="eastAsia" w:ascii="仿宋" w:hAnsi="仿宋" w:eastAsia="仿宋" w:cs="仿宋"/>
          <w:sz w:val="32"/>
          <w:szCs w:val="32"/>
        </w:rPr>
      </w:pPr>
      <w:r>
        <w:rPr>
          <w:rFonts w:hint="eastAsia" w:ascii="仿宋" w:hAnsi="仿宋" w:eastAsia="仿宋" w:cs="仿宋"/>
          <w:sz w:val="32"/>
          <w:szCs w:val="32"/>
        </w:rPr>
        <w:t>绩效指标：组织全区律师、法律工作者为全区困难公民和特殊案件当事人提供法律咨询，全年无偿代理民事法律援助案件</w:t>
      </w:r>
      <w:r>
        <w:rPr>
          <w:rFonts w:hint="eastAsia" w:ascii="仿宋" w:hAnsi="仿宋" w:eastAsia="仿宋" w:cs="仿宋"/>
          <w:sz w:val="32"/>
          <w:szCs w:val="32"/>
          <w:lang w:val="en-US" w:eastAsia="zh-CN"/>
        </w:rPr>
        <w:t>465</w:t>
      </w:r>
      <w:r>
        <w:rPr>
          <w:rFonts w:hint="eastAsia" w:ascii="仿宋" w:hAnsi="仿宋" w:eastAsia="仿宋" w:cs="仿宋"/>
          <w:sz w:val="32"/>
          <w:szCs w:val="32"/>
        </w:rPr>
        <w:t>件，刑事辩护法律案件</w:t>
      </w:r>
      <w:r>
        <w:rPr>
          <w:rFonts w:hint="eastAsia" w:ascii="仿宋" w:hAnsi="仿宋" w:eastAsia="仿宋" w:cs="仿宋"/>
          <w:sz w:val="32"/>
          <w:szCs w:val="32"/>
          <w:lang w:val="en-US" w:eastAsia="zh-CN"/>
        </w:rPr>
        <w:t>1157</w:t>
      </w:r>
      <w:r>
        <w:rPr>
          <w:rFonts w:hint="eastAsia" w:ascii="仿宋" w:hAnsi="仿宋" w:eastAsia="仿宋" w:cs="仿宋"/>
          <w:sz w:val="32"/>
          <w:szCs w:val="32"/>
        </w:rPr>
        <w:t>件，法律咨询</w:t>
      </w:r>
      <w:r>
        <w:rPr>
          <w:rFonts w:hint="eastAsia" w:ascii="仿宋" w:hAnsi="仿宋" w:eastAsia="仿宋" w:cs="仿宋"/>
          <w:sz w:val="32"/>
          <w:szCs w:val="32"/>
          <w:lang w:val="en-US" w:eastAsia="zh-CN"/>
        </w:rPr>
        <w:t>6000</w:t>
      </w:r>
      <w:r>
        <w:rPr>
          <w:rFonts w:hint="eastAsia" w:ascii="仿宋" w:hAnsi="仿宋" w:eastAsia="仿宋" w:cs="仿宋"/>
          <w:sz w:val="32"/>
          <w:szCs w:val="32"/>
        </w:rPr>
        <w:t>人次。</w:t>
      </w:r>
    </w:p>
    <w:p w14:paraId="176ABBB0">
      <w:pPr>
        <w:widowControl w:val="0"/>
        <w:wordWrap/>
        <w:spacing w:line="560" w:lineRule="exact"/>
        <w:ind w:left="0" w:leftChars="0" w:right="0" w:firstLine="643" w:firstLineChars="20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rPr>
        <w:t>四、评价结论和评价等级</w:t>
      </w:r>
    </w:p>
    <w:p w14:paraId="4F5546C4">
      <w:pPr>
        <w:widowControl w:val="0"/>
        <w:wordWrap/>
        <w:spacing w:line="560" w:lineRule="exact"/>
        <w:ind w:left="0" w:leftChars="0" w:right="0" w:firstLine="640" w:firstLineChars="200"/>
        <w:textAlignment w:val="auto"/>
        <w:outlineLvl w:val="9"/>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根据</w:t>
      </w:r>
      <w:r>
        <w:rPr>
          <w:rFonts w:hint="eastAsia" w:ascii="仿宋" w:hAnsi="仿宋" w:eastAsia="仿宋" w:cs="仿宋"/>
          <w:color w:val="000000" w:themeColor="text1"/>
          <w:sz w:val="32"/>
          <w:szCs w:val="32"/>
          <w:lang w:val="en-US" w:eastAsia="zh-CN"/>
          <w14:textFill>
            <w14:solidFill>
              <w14:schemeClr w14:val="tx1"/>
            </w14:solidFill>
          </w14:textFill>
        </w:rPr>
        <w:t>部门职责和各项工作履职情况进行综合评价</w:t>
      </w:r>
      <w:r>
        <w:rPr>
          <w:rFonts w:hint="eastAsia" w:ascii="仿宋" w:hAnsi="仿宋" w:eastAsia="仿宋" w:cs="仿宋"/>
          <w:color w:val="000000" w:themeColor="text1"/>
          <w:sz w:val="32"/>
          <w:szCs w:val="32"/>
          <w14:textFill>
            <w14:solidFill>
              <w14:schemeClr w14:val="tx1"/>
            </w14:solidFill>
          </w14:textFill>
        </w:rPr>
        <w:t>给出总得分，指标体系设定满分100分，得出综合评价结论和项目综合绩效评价等级。</w:t>
      </w:r>
      <w:r>
        <w:rPr>
          <w:rFonts w:hint="eastAsia" w:ascii="仿宋" w:hAnsi="仿宋" w:eastAsia="仿宋" w:cs="仿宋"/>
          <w:color w:val="000000" w:themeColor="text1"/>
          <w:sz w:val="32"/>
          <w:szCs w:val="32"/>
          <w:lang w:val="en-US" w:eastAsia="zh-CN"/>
          <w14:textFill>
            <w14:solidFill>
              <w14:schemeClr w14:val="tx1"/>
            </w14:solidFill>
          </w14:textFill>
        </w:rPr>
        <w:t>我局部门整体支出自评价90分，整体支出综合绩效自评价行者等级为优秀</w:t>
      </w:r>
      <w:r>
        <w:rPr>
          <w:rFonts w:hint="eastAsia" w:ascii="仿宋" w:hAnsi="仿宋" w:eastAsia="仿宋" w:cs="仿宋"/>
          <w:color w:val="000000" w:themeColor="text1"/>
          <w:sz w:val="32"/>
          <w:szCs w:val="32"/>
          <w14:textFill>
            <w14:solidFill>
              <w14:schemeClr w14:val="tx1"/>
            </w14:solidFill>
          </w14:textFill>
        </w:rPr>
        <w:t>。</w:t>
      </w:r>
    </w:p>
    <w:p w14:paraId="326AE712">
      <w:pPr>
        <w:widowControl w:val="0"/>
        <w:wordWrap/>
        <w:spacing w:line="560" w:lineRule="exact"/>
        <w:ind w:left="0" w:leftChars="0" w:right="0" w:firstLine="643" w:firstLineChars="20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rPr>
        <w:t>五、存在的问题及改进措施</w:t>
      </w:r>
    </w:p>
    <w:p w14:paraId="4C607828">
      <w:pPr>
        <w:widowControl w:val="0"/>
        <w:wordWrap/>
        <w:spacing w:line="560" w:lineRule="exact"/>
        <w:ind w:left="0" w:leftChars="0" w:right="0" w:firstLine="640" w:firstLineChars="200"/>
        <w:textAlignment w:val="auto"/>
        <w:outlineLvl w:val="9"/>
        <w:rPr>
          <w:rFonts w:hint="eastAsia" w:ascii="仿宋" w:hAnsi="仿宋" w:eastAsia="仿宋" w:cs="仿宋"/>
          <w:color w:val="000000" w:themeColor="text1"/>
          <w:kern w:val="0"/>
          <w:sz w:val="32"/>
          <w:szCs w:val="32"/>
          <w14:textFill>
            <w14:solidFill>
              <w14:schemeClr w14:val="tx1"/>
            </w14:solidFill>
          </w14:textFill>
        </w:rPr>
      </w:pPr>
      <w:r>
        <w:rPr>
          <w:rFonts w:hint="eastAsia" w:ascii="仿宋" w:hAnsi="仿宋" w:eastAsia="仿宋" w:cs="仿宋"/>
          <w:color w:val="000000" w:themeColor="text1"/>
          <w:kern w:val="0"/>
          <w:sz w:val="32"/>
          <w:szCs w:val="32"/>
          <w:lang w:val="en-US" w:eastAsia="zh-CN"/>
          <w14:textFill>
            <w14:solidFill>
              <w14:schemeClr w14:val="tx1"/>
            </w14:solidFill>
          </w14:textFill>
        </w:rPr>
        <w:t>（一）存在的</w:t>
      </w:r>
      <w:r>
        <w:rPr>
          <w:rFonts w:hint="eastAsia" w:ascii="仿宋" w:hAnsi="仿宋" w:eastAsia="仿宋" w:cs="仿宋"/>
          <w:color w:val="000000" w:themeColor="text1"/>
          <w:kern w:val="0"/>
          <w:sz w:val="32"/>
          <w:szCs w:val="32"/>
          <w14:textFill>
            <w14:solidFill>
              <w14:schemeClr w14:val="tx1"/>
            </w14:solidFill>
          </w14:textFill>
        </w:rPr>
        <w:t>问题：</w:t>
      </w:r>
    </w:p>
    <w:p w14:paraId="347B531C">
      <w:pPr>
        <w:widowControl w:val="0"/>
        <w:wordWrap/>
        <w:spacing w:line="560" w:lineRule="exact"/>
        <w:ind w:left="0" w:leftChars="0" w:right="0" w:firstLine="640" w:firstLineChars="200"/>
        <w:textAlignment w:val="auto"/>
        <w:outlineLvl w:val="9"/>
        <w:rPr>
          <w:rFonts w:hint="eastAsia" w:ascii="仿宋" w:hAnsi="仿宋" w:eastAsia="仿宋" w:cs="仿宋"/>
          <w:color w:val="000000" w:themeColor="text1"/>
          <w:kern w:val="0"/>
          <w:sz w:val="32"/>
          <w:szCs w:val="32"/>
          <w:lang w:val="en-US" w:eastAsia="zh-CN"/>
          <w14:textFill>
            <w14:solidFill>
              <w14:schemeClr w14:val="tx1"/>
            </w14:solidFill>
          </w14:textFill>
        </w:rPr>
      </w:pPr>
      <w:r>
        <w:rPr>
          <w:rFonts w:hint="eastAsia" w:ascii="仿宋" w:hAnsi="仿宋" w:eastAsia="仿宋" w:cs="仿宋"/>
          <w:color w:val="000000" w:themeColor="text1"/>
          <w:kern w:val="0"/>
          <w:sz w:val="32"/>
          <w:szCs w:val="32"/>
          <w:lang w:val="en-US" w:eastAsia="zh-CN"/>
          <w14:textFill>
            <w14:solidFill>
              <w14:schemeClr w14:val="tx1"/>
            </w14:solidFill>
          </w14:textFill>
        </w:rPr>
        <w:t>一是制定绩效目标和工作计划有脱节现象，绩效目标和经费效益有差别。</w:t>
      </w:r>
    </w:p>
    <w:p w14:paraId="556B4F8A">
      <w:pPr>
        <w:widowControl w:val="0"/>
        <w:wordWrap/>
        <w:spacing w:line="560" w:lineRule="exact"/>
        <w:ind w:left="0" w:leftChars="0" w:right="0" w:firstLine="640" w:firstLineChars="200"/>
        <w:textAlignment w:val="auto"/>
        <w:outlineLvl w:val="9"/>
        <w:rPr>
          <w:rFonts w:hint="eastAsia" w:ascii="仿宋" w:hAnsi="仿宋" w:eastAsia="仿宋" w:cs="仿宋"/>
          <w:color w:val="000000" w:themeColor="text1"/>
          <w:kern w:val="0"/>
          <w:sz w:val="32"/>
          <w:szCs w:val="32"/>
          <w:lang w:val="en-US" w:eastAsia="zh-CN"/>
          <w14:textFill>
            <w14:solidFill>
              <w14:schemeClr w14:val="tx1"/>
            </w14:solidFill>
          </w14:textFill>
        </w:rPr>
      </w:pPr>
      <w:r>
        <w:rPr>
          <w:rFonts w:hint="eastAsia" w:ascii="仿宋" w:hAnsi="仿宋" w:eastAsia="仿宋" w:cs="仿宋"/>
          <w:color w:val="000000" w:themeColor="text1"/>
          <w:kern w:val="0"/>
          <w:sz w:val="32"/>
          <w:szCs w:val="32"/>
          <w:lang w:val="en-US" w:eastAsia="zh-CN"/>
          <w14:textFill>
            <w14:solidFill>
              <w14:schemeClr w14:val="tx1"/>
            </w14:solidFill>
          </w14:textFill>
        </w:rPr>
        <w:t>二是绩效自评过程，只是为了评价而评价，不能充分发挥绩效自评价对实际工作中实际运用的反馈作用。</w:t>
      </w:r>
    </w:p>
    <w:p w14:paraId="241CEB31">
      <w:pPr>
        <w:widowControl w:val="0"/>
        <w:wordWrap/>
        <w:spacing w:line="560" w:lineRule="exact"/>
        <w:ind w:left="0" w:leftChars="0" w:right="0" w:firstLine="640" w:firstLineChars="200"/>
        <w:textAlignment w:val="auto"/>
        <w:outlineLvl w:val="9"/>
        <w:rPr>
          <w:rFonts w:hint="default" w:ascii="仿宋" w:hAnsi="仿宋" w:eastAsia="仿宋" w:cs="仿宋"/>
          <w:color w:val="000000" w:themeColor="text1"/>
          <w:kern w:val="0"/>
          <w:sz w:val="32"/>
          <w:szCs w:val="32"/>
          <w:lang w:val="en-US" w:eastAsia="zh-CN"/>
          <w14:textFill>
            <w14:solidFill>
              <w14:schemeClr w14:val="tx1"/>
            </w14:solidFill>
          </w14:textFill>
        </w:rPr>
      </w:pPr>
      <w:r>
        <w:rPr>
          <w:rFonts w:hint="eastAsia" w:ascii="仿宋" w:hAnsi="仿宋" w:eastAsia="仿宋" w:cs="仿宋"/>
          <w:color w:val="000000" w:themeColor="text1"/>
          <w:kern w:val="0"/>
          <w:sz w:val="32"/>
          <w:szCs w:val="32"/>
          <w:lang w:val="en-US" w:eastAsia="zh-CN"/>
          <w14:textFill>
            <w14:solidFill>
              <w14:schemeClr w14:val="tx1"/>
            </w14:solidFill>
          </w14:textFill>
        </w:rPr>
        <w:t>三是绩效自评价过程中，工作人员对如何搞好绩效自评价方法和手段比较单一，内容形式比较简单。</w:t>
      </w:r>
    </w:p>
    <w:p w14:paraId="2ECFADA0">
      <w:pPr>
        <w:widowControl w:val="0"/>
        <w:numPr>
          <w:ilvl w:val="0"/>
          <w:numId w:val="2"/>
        </w:numPr>
        <w:wordWrap/>
        <w:spacing w:line="560" w:lineRule="exact"/>
        <w:ind w:left="0" w:leftChars="0" w:right="0" w:firstLine="640" w:firstLineChars="200"/>
        <w:textAlignment w:val="auto"/>
        <w:outlineLvl w:val="9"/>
        <w:rPr>
          <w:rFonts w:hint="eastAsia" w:ascii="仿宋" w:hAnsi="仿宋" w:eastAsia="仿宋" w:cs="仿宋"/>
          <w:color w:val="000000" w:themeColor="text1"/>
          <w:kern w:val="0"/>
          <w:sz w:val="32"/>
          <w:szCs w:val="32"/>
          <w:lang w:val="en-US" w:eastAsia="zh-CN"/>
          <w14:textFill>
            <w14:solidFill>
              <w14:schemeClr w14:val="tx1"/>
            </w14:solidFill>
          </w14:textFill>
        </w:rPr>
      </w:pPr>
      <w:r>
        <w:rPr>
          <w:rFonts w:hint="eastAsia" w:ascii="仿宋" w:hAnsi="仿宋" w:eastAsia="仿宋" w:cs="仿宋"/>
          <w:color w:val="000000" w:themeColor="text1"/>
          <w:kern w:val="0"/>
          <w:sz w:val="32"/>
          <w:szCs w:val="32"/>
          <w:lang w:val="en-US" w:eastAsia="zh-CN"/>
          <w14:textFill>
            <w14:solidFill>
              <w14:schemeClr w14:val="tx1"/>
            </w14:solidFill>
          </w14:textFill>
        </w:rPr>
        <w:t>针对问题提出具体的改进措施和建议</w:t>
      </w:r>
    </w:p>
    <w:p w14:paraId="288B8B42">
      <w:pPr>
        <w:widowControl w:val="0"/>
        <w:numPr>
          <w:ilvl w:val="0"/>
          <w:numId w:val="0"/>
        </w:numPr>
        <w:wordWrap/>
        <w:spacing w:line="560" w:lineRule="exact"/>
        <w:ind w:right="0" w:rightChars="0" w:firstLine="640" w:firstLineChars="200"/>
        <w:textAlignment w:val="auto"/>
        <w:outlineLvl w:val="9"/>
        <w:rPr>
          <w:rFonts w:hint="eastAsia" w:ascii="仿宋" w:hAnsi="仿宋" w:eastAsia="仿宋" w:cs="仿宋"/>
          <w:color w:val="000000" w:themeColor="text1"/>
          <w:kern w:val="0"/>
          <w:sz w:val="32"/>
          <w:szCs w:val="32"/>
          <w:lang w:val="en-US" w:eastAsia="zh-CN"/>
          <w14:textFill>
            <w14:solidFill>
              <w14:schemeClr w14:val="tx1"/>
            </w14:solidFill>
          </w14:textFill>
        </w:rPr>
      </w:pPr>
      <w:r>
        <w:rPr>
          <w:rFonts w:hint="eastAsia" w:ascii="仿宋" w:hAnsi="仿宋" w:eastAsia="仿宋" w:cs="仿宋"/>
          <w:color w:val="000000" w:themeColor="text1"/>
          <w:kern w:val="0"/>
          <w:sz w:val="32"/>
          <w:szCs w:val="32"/>
          <w:lang w:val="en-US" w:eastAsia="zh-CN"/>
          <w14:textFill>
            <w14:solidFill>
              <w14:schemeClr w14:val="tx1"/>
            </w14:solidFill>
          </w14:textFill>
        </w:rPr>
        <w:t>针对以上在自评价过程中存在的问题，我局将做好以下几个方面的工作。</w:t>
      </w:r>
    </w:p>
    <w:p w14:paraId="639965F3">
      <w:pPr>
        <w:widowControl w:val="0"/>
        <w:numPr>
          <w:ilvl w:val="0"/>
          <w:numId w:val="0"/>
        </w:numPr>
        <w:wordWrap/>
        <w:spacing w:line="560" w:lineRule="exact"/>
        <w:ind w:right="0" w:rightChars="0" w:firstLine="640" w:firstLineChars="200"/>
        <w:textAlignment w:val="auto"/>
        <w:outlineLvl w:val="9"/>
        <w:rPr>
          <w:rFonts w:hint="eastAsia" w:ascii="仿宋" w:hAnsi="仿宋" w:eastAsia="仿宋" w:cs="仿宋"/>
          <w:color w:val="000000" w:themeColor="text1"/>
          <w:kern w:val="0"/>
          <w:sz w:val="32"/>
          <w:szCs w:val="32"/>
          <w:lang w:val="en-US" w:eastAsia="zh-CN"/>
          <w14:textFill>
            <w14:solidFill>
              <w14:schemeClr w14:val="tx1"/>
            </w14:solidFill>
          </w14:textFill>
        </w:rPr>
      </w:pPr>
      <w:r>
        <w:rPr>
          <w:rFonts w:hint="eastAsia" w:ascii="仿宋" w:hAnsi="仿宋" w:eastAsia="仿宋" w:cs="仿宋"/>
          <w:color w:val="000000" w:themeColor="text1"/>
          <w:kern w:val="0"/>
          <w:sz w:val="32"/>
          <w:szCs w:val="32"/>
          <w:lang w:val="en-US" w:eastAsia="zh-CN"/>
          <w14:textFill>
            <w14:solidFill>
              <w14:schemeClr w14:val="tx1"/>
            </w14:solidFill>
          </w14:textFill>
        </w:rPr>
        <w:t>一是进一步加强制定绩效目标的准确性、有效性，进一步提高绩效目标和实际工作的切合度。</w:t>
      </w:r>
    </w:p>
    <w:p w14:paraId="074F6F25">
      <w:pPr>
        <w:widowControl w:val="0"/>
        <w:numPr>
          <w:ilvl w:val="0"/>
          <w:numId w:val="0"/>
        </w:numPr>
        <w:wordWrap/>
        <w:spacing w:line="560" w:lineRule="exact"/>
        <w:ind w:right="0" w:rightChars="0" w:firstLine="640" w:firstLineChars="200"/>
        <w:textAlignment w:val="auto"/>
        <w:outlineLvl w:val="9"/>
        <w:rPr>
          <w:rFonts w:hint="eastAsia" w:ascii="仿宋" w:hAnsi="仿宋" w:eastAsia="仿宋" w:cs="仿宋"/>
          <w:color w:val="000000" w:themeColor="text1"/>
          <w:kern w:val="0"/>
          <w:sz w:val="32"/>
          <w:szCs w:val="32"/>
          <w:lang w:val="en-US" w:eastAsia="zh-CN"/>
          <w14:textFill>
            <w14:solidFill>
              <w14:schemeClr w14:val="tx1"/>
            </w14:solidFill>
          </w14:textFill>
        </w:rPr>
      </w:pPr>
      <w:r>
        <w:rPr>
          <w:rFonts w:hint="eastAsia" w:ascii="仿宋" w:hAnsi="仿宋" w:eastAsia="仿宋" w:cs="仿宋"/>
          <w:color w:val="000000" w:themeColor="text1"/>
          <w:kern w:val="0"/>
          <w:sz w:val="32"/>
          <w:szCs w:val="32"/>
          <w:lang w:val="en-US" w:eastAsia="zh-CN"/>
          <w14:textFill>
            <w14:solidFill>
              <w14:schemeClr w14:val="tx1"/>
            </w14:solidFill>
          </w14:textFill>
        </w:rPr>
        <w:t>二是严把绩效自评关口，充分发挥提高绩效自评的反馈作用和激励作用。</w:t>
      </w:r>
    </w:p>
    <w:p w14:paraId="2F4D14FD">
      <w:pPr>
        <w:widowControl w:val="0"/>
        <w:numPr>
          <w:ilvl w:val="0"/>
          <w:numId w:val="0"/>
        </w:numPr>
        <w:wordWrap/>
        <w:spacing w:line="560" w:lineRule="exact"/>
        <w:ind w:right="0" w:rightChars="0" w:firstLine="640" w:firstLineChars="200"/>
        <w:textAlignment w:val="auto"/>
        <w:outlineLvl w:val="9"/>
        <w:rPr>
          <w:rFonts w:hint="default" w:ascii="仿宋" w:hAnsi="仿宋" w:eastAsia="仿宋" w:cs="仿宋"/>
          <w:color w:val="000000" w:themeColor="text1"/>
          <w:kern w:val="0"/>
          <w:sz w:val="32"/>
          <w:szCs w:val="32"/>
          <w:lang w:val="en-US" w:eastAsia="zh-CN"/>
          <w14:textFill>
            <w14:solidFill>
              <w14:schemeClr w14:val="tx1"/>
            </w14:solidFill>
          </w14:textFill>
        </w:rPr>
      </w:pPr>
      <w:r>
        <w:rPr>
          <w:rFonts w:hint="eastAsia" w:ascii="仿宋" w:hAnsi="仿宋" w:eastAsia="仿宋" w:cs="仿宋"/>
          <w:color w:val="000000" w:themeColor="text1"/>
          <w:kern w:val="0"/>
          <w:sz w:val="32"/>
          <w:szCs w:val="32"/>
          <w:lang w:val="en-US" w:eastAsia="zh-CN"/>
          <w14:textFill>
            <w14:solidFill>
              <w14:schemeClr w14:val="tx1"/>
            </w14:solidFill>
          </w14:textFill>
        </w:rPr>
        <w:t>三是加强对工作人员绩效自评价的培训学习，提高业务能力素质，充分利用各种方法，做好绩效自评价工作。</w:t>
      </w:r>
    </w:p>
    <w:p w14:paraId="278093A7">
      <w:pPr>
        <w:widowControl w:val="0"/>
        <w:wordWrap/>
        <w:spacing w:line="560" w:lineRule="exact"/>
        <w:ind w:left="0" w:leftChars="0" w:right="0"/>
        <w:textAlignment w:val="auto"/>
        <w:outlineLvl w:val="9"/>
        <w:rPr>
          <w:rFonts w:hint="eastAsia" w:ascii="仿宋" w:hAnsi="仿宋" w:eastAsia="仿宋" w:cs="仿宋"/>
          <w:sz w:val="32"/>
          <w:szCs w:val="32"/>
        </w:rPr>
      </w:pPr>
    </w:p>
    <w:p w14:paraId="78B45770">
      <w:pPr>
        <w:widowControl w:val="0"/>
        <w:wordWrap/>
        <w:spacing w:line="560" w:lineRule="exact"/>
        <w:ind w:left="0" w:leftChars="0" w:right="0"/>
        <w:textAlignment w:val="auto"/>
        <w:outlineLvl w:val="9"/>
        <w:rPr>
          <w:rFonts w:hint="eastAsia" w:ascii="仿宋" w:hAnsi="仿宋" w:eastAsia="仿宋" w:cs="仿宋"/>
          <w:sz w:val="32"/>
          <w:szCs w:val="32"/>
        </w:rPr>
      </w:pPr>
    </w:p>
    <w:p w14:paraId="0F5F9F87">
      <w:pPr>
        <w:widowControl w:val="0"/>
        <w:wordWrap/>
        <w:spacing w:line="560" w:lineRule="exact"/>
        <w:ind w:left="0" w:leftChars="0" w:right="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石家庄市鹿泉区司法局</w:t>
      </w:r>
    </w:p>
    <w:p w14:paraId="1AB3229B">
      <w:pPr>
        <w:widowControl w:val="0"/>
        <w:wordWrap/>
        <w:spacing w:line="560" w:lineRule="exact"/>
        <w:ind w:left="0" w:leftChars="0" w:right="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2026年5月7日 </w:t>
      </w: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仿宋_GB2312">
    <w:altName w:val="方正仿宋_GBK"/>
    <w:panose1 w:val="02010609030101010101"/>
    <w:charset w:val="86"/>
    <w:family w:val="auto"/>
    <w:pitch w:val="default"/>
    <w:sig w:usb0="00000000" w:usb1="00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155AF8">
    <w:pPr>
      <w:pStyle w:val="2"/>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9A2245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59A2245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B3BAD3"/>
    <w:multiLevelType w:val="singleLevel"/>
    <w:tmpl w:val="08B3BAD3"/>
    <w:lvl w:ilvl="0" w:tentative="0">
      <w:start w:val="2"/>
      <w:numFmt w:val="chineseCounting"/>
      <w:suff w:val="nothing"/>
      <w:lvlText w:val="（%1）"/>
      <w:lvlJc w:val="left"/>
      <w:rPr>
        <w:rFonts w:hint="eastAsia"/>
      </w:rPr>
    </w:lvl>
  </w:abstractNum>
  <w:abstractNum w:abstractNumId="1">
    <w:nsid w:val="5E68489B"/>
    <w:multiLevelType w:val="singleLevel"/>
    <w:tmpl w:val="5E68489B"/>
    <w:lvl w:ilvl="0" w:tentative="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I4MjhkZTMzYzY1MDQ0MWQ0ZjhiNjYxMWQwMzgwMTQifQ=="/>
  </w:docVars>
  <w:rsids>
    <w:rsidRoot w:val="0EBD2122"/>
    <w:rsid w:val="007E6C1F"/>
    <w:rsid w:val="00AF566A"/>
    <w:rsid w:val="00B6553A"/>
    <w:rsid w:val="01B104CA"/>
    <w:rsid w:val="02106AB0"/>
    <w:rsid w:val="02B43A28"/>
    <w:rsid w:val="03F26793"/>
    <w:rsid w:val="04475879"/>
    <w:rsid w:val="046F331E"/>
    <w:rsid w:val="0676612F"/>
    <w:rsid w:val="07956271"/>
    <w:rsid w:val="09721397"/>
    <w:rsid w:val="0BB63BED"/>
    <w:rsid w:val="0EB97A43"/>
    <w:rsid w:val="0EBD2122"/>
    <w:rsid w:val="0F214EAE"/>
    <w:rsid w:val="10256E2D"/>
    <w:rsid w:val="113373E5"/>
    <w:rsid w:val="11B71E6A"/>
    <w:rsid w:val="11BF549D"/>
    <w:rsid w:val="13690617"/>
    <w:rsid w:val="14FE4A9D"/>
    <w:rsid w:val="165F32D7"/>
    <w:rsid w:val="1AAF0063"/>
    <w:rsid w:val="1B2578B9"/>
    <w:rsid w:val="1BE140DE"/>
    <w:rsid w:val="1FB23774"/>
    <w:rsid w:val="1FEA15B7"/>
    <w:rsid w:val="20A53730"/>
    <w:rsid w:val="248C197D"/>
    <w:rsid w:val="250718B0"/>
    <w:rsid w:val="252959AF"/>
    <w:rsid w:val="25995858"/>
    <w:rsid w:val="277A6671"/>
    <w:rsid w:val="290D27BA"/>
    <w:rsid w:val="292D35B7"/>
    <w:rsid w:val="2A594280"/>
    <w:rsid w:val="2BDB094E"/>
    <w:rsid w:val="2CC4675B"/>
    <w:rsid w:val="31EC619B"/>
    <w:rsid w:val="33EB6CFF"/>
    <w:rsid w:val="35A12947"/>
    <w:rsid w:val="36A75B98"/>
    <w:rsid w:val="37387040"/>
    <w:rsid w:val="3AFB41D3"/>
    <w:rsid w:val="3B625C0A"/>
    <w:rsid w:val="3C79639B"/>
    <w:rsid w:val="3CEE1963"/>
    <w:rsid w:val="3FAA2F41"/>
    <w:rsid w:val="40CF58D3"/>
    <w:rsid w:val="44045420"/>
    <w:rsid w:val="4C9C27FE"/>
    <w:rsid w:val="4F6873EB"/>
    <w:rsid w:val="512260B4"/>
    <w:rsid w:val="51EB4B97"/>
    <w:rsid w:val="52886C6B"/>
    <w:rsid w:val="52BD6ACB"/>
    <w:rsid w:val="55537534"/>
    <w:rsid w:val="561A74F1"/>
    <w:rsid w:val="597244E8"/>
    <w:rsid w:val="5DA9362C"/>
    <w:rsid w:val="5EB71C30"/>
    <w:rsid w:val="5EFB42AC"/>
    <w:rsid w:val="5F967FE2"/>
    <w:rsid w:val="63FFCF8B"/>
    <w:rsid w:val="653C3FC2"/>
    <w:rsid w:val="66AF0CE5"/>
    <w:rsid w:val="674E2973"/>
    <w:rsid w:val="6AC537CF"/>
    <w:rsid w:val="6B455028"/>
    <w:rsid w:val="6B7F2F65"/>
    <w:rsid w:val="6BE56631"/>
    <w:rsid w:val="6E5B14A6"/>
    <w:rsid w:val="6F864754"/>
    <w:rsid w:val="702332EC"/>
    <w:rsid w:val="711B255E"/>
    <w:rsid w:val="71E94B9F"/>
    <w:rsid w:val="7317199D"/>
    <w:rsid w:val="73887A3B"/>
    <w:rsid w:val="786864A1"/>
    <w:rsid w:val="78F9F6DA"/>
    <w:rsid w:val="79BF60C5"/>
    <w:rsid w:val="7BB51E06"/>
    <w:rsid w:val="7C387F7C"/>
    <w:rsid w:val="7FE83423"/>
    <w:rsid w:val="BFF52E26"/>
    <w:rsid w:val="FBD6CD6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paragraph" w:customStyle="1" w:styleId="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Pages>
  <Words>160</Words>
  <Characters>916</Characters>
  <Lines>7</Lines>
  <Paragraphs>2</Paragraphs>
  <TotalTime>20</TotalTime>
  <ScaleCrop>false</ScaleCrop>
  <LinksUpToDate>false</LinksUpToDate>
  <CharactersWithSpaces>0</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2020-02-06T11:46:00Z</dcterms:created>
  <dc:creator>欣欣大人</dc:creator>
  <cp:lastModifiedBy>uos</cp:lastModifiedBy>
  <cp:lastPrinted>2024-05-10T14:45:00Z</cp:lastPrinted>
  <dcterms:modified xsi:type="dcterms:W3CDTF">2026-05-27T15:30:33Z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97D2128A2F248CA1947DFC696517E2C9_43</vt:lpwstr>
  </property>
</Properties>
</file>