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keepNext w:val="0"/>
        <w:keepLines w:val="0"/>
        <w:pageBreakBefore w:val="0"/>
        <w:widowControl w:val="0"/>
        <w:kinsoku/>
        <w:wordWrap/>
        <w:topLinePunct w:val="0"/>
        <w:autoSpaceDE/>
        <w:autoSpaceDN/>
        <w:bidi w:val="0"/>
        <w:spacing w:line="578" w:lineRule="exact"/>
        <w:jc w:val="center"/>
        <w:rPr>
          <w:rFonts w:ascii="宋体" w:hAnsi="宋体" w:cs="宋体"/>
          <w:b/>
          <w:bCs/>
          <w:sz w:val="44"/>
          <w:szCs w:val="44"/>
        </w:rPr>
      </w:pPr>
      <w:r>
        <w:rPr>
          <w:rFonts w:hint="eastAsia" w:ascii="宋体" w:hAnsi="宋体" w:cs="宋体"/>
          <w:b/>
          <w:bCs/>
          <w:sz w:val="44"/>
          <w:szCs w:val="44"/>
        </w:rPr>
        <w:t xml:space="preserve">中国共产党石家庄市鹿泉区纪律检查委员会 </w:t>
      </w:r>
    </w:p>
    <w:p>
      <w:pPr>
        <w:spacing w:line="560" w:lineRule="exact"/>
        <w:jc w:val="center"/>
        <w:rPr>
          <w:rFonts w:ascii="宋体" w:hAnsi="宋体" w:cs="宋体"/>
          <w:b/>
          <w:bCs/>
          <w:sz w:val="44"/>
          <w:szCs w:val="44"/>
        </w:rPr>
      </w:pPr>
      <w:r>
        <w:rPr>
          <w:rFonts w:hint="eastAsia" w:ascii="宋体" w:hAnsi="宋体" w:cs="宋体"/>
          <w:b/>
          <w:bCs/>
          <w:sz w:val="44"/>
          <w:szCs w:val="44"/>
          <w:lang w:val="en-US" w:eastAsia="zh-CN"/>
        </w:rPr>
        <w:t>2025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）、《鹿泉区区级部门项目绩效自评管理办法》（鹿财字</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号）</w:t>
      </w:r>
      <w:r>
        <w:rPr>
          <w:rFonts w:hint="eastAsia" w:ascii="仿宋" w:hAnsi="仿宋" w:eastAsia="仿宋"/>
          <w:sz w:val="32"/>
          <w:szCs w:val="32"/>
        </w:rPr>
        <w:t>文件精神，遵循“科学性、规范性、客观性和公正性”的原则，对</w:t>
      </w:r>
      <w:r>
        <w:rPr>
          <w:rFonts w:hint="eastAsia" w:ascii="仿宋_GB2312" w:hAnsi="仿宋_GB2312" w:eastAsia="仿宋_GB2312" w:cs="仿宋_GB2312"/>
          <w:sz w:val="32"/>
          <w:szCs w:val="32"/>
        </w:rPr>
        <w:t>中国共产党石家庄市鹿泉区纪</w:t>
      </w:r>
      <w:r>
        <w:rPr>
          <w:rFonts w:hint="eastAsia" w:ascii="仿宋_GB2312" w:hAnsi="仿宋_GB2312" w:eastAsia="仿宋_GB2312" w:cs="仿宋_GB2312"/>
          <w:sz w:val="32"/>
          <w:szCs w:val="32"/>
          <w:lang w:eastAsia="zh-CN"/>
        </w:rPr>
        <w:t>律</w:t>
      </w:r>
      <w:r>
        <w:rPr>
          <w:rFonts w:hint="eastAsia" w:ascii="仿宋_GB2312" w:hAnsi="仿宋_GB2312" w:eastAsia="仿宋_GB2312" w:cs="仿宋_GB2312"/>
          <w:sz w:val="32"/>
          <w:szCs w:val="32"/>
        </w:rPr>
        <w:t>检查委员会</w:t>
      </w:r>
      <w:r>
        <w:rPr>
          <w:rFonts w:hint="eastAsia" w:ascii="仿宋" w:hAnsi="仿宋" w:eastAsia="仿宋"/>
          <w:sz w:val="32"/>
          <w:szCs w:val="32"/>
        </w:rPr>
        <w:t>部门</w:t>
      </w:r>
      <w:r>
        <w:rPr>
          <w:rFonts w:hint="eastAsia" w:ascii="仿宋" w:hAnsi="仿宋" w:eastAsia="仿宋"/>
          <w:sz w:val="32"/>
          <w:szCs w:val="32"/>
          <w:lang w:val="en-US" w:eastAsia="zh-CN"/>
        </w:rPr>
        <w:t>2025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topLinePunct w:val="0"/>
        <w:autoSpaceDE/>
        <w:autoSpaceDN/>
        <w:bidi w:val="0"/>
        <w:spacing w:line="578" w:lineRule="exact"/>
        <w:ind w:firstLine="643"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部门职能</w:t>
      </w:r>
      <w:r>
        <w:rPr>
          <w:rFonts w:hint="eastAsia" w:ascii="仿宋_GB2312" w:hAnsi="仿宋_GB2312" w:eastAsia="仿宋_GB2312" w:cs="仿宋_GB2312"/>
          <w:kern w:val="0"/>
          <w:sz w:val="32"/>
          <w:szCs w:val="32"/>
        </w:rPr>
        <w:t>：</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1.负责全区党的纪律检查工作。</w:t>
      </w:r>
    </w:p>
    <w:p>
      <w:pPr>
        <w:keepNext w:val="0"/>
        <w:keepLines w:val="0"/>
        <w:pageBreakBefore w:val="0"/>
        <w:widowControl w:val="0"/>
        <w:kinsoku/>
        <w:wordWrap/>
        <w:topLinePunct w:val="0"/>
        <w:autoSpaceDE/>
        <w:autoSpaceDN/>
        <w:bidi w:val="0"/>
        <w:spacing w:line="578" w:lineRule="exact"/>
        <w:ind w:left="638" w:leftChars="304" w:firstLine="0" w:firstLineChars="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kern w:val="0"/>
          <w:sz w:val="32"/>
          <w:szCs w:val="32"/>
          <w:lang w:val="en-US" w:eastAsia="zh-CN"/>
        </w:rPr>
        <w:t>.</w:t>
      </w:r>
      <w:r>
        <w:rPr>
          <w:rFonts w:hint="eastAsia" w:ascii="仿宋_GB2312" w:hAnsi="仿宋_GB2312" w:eastAsia="仿宋_GB2312" w:cs="仿宋_GB2312"/>
          <w:kern w:val="0"/>
          <w:sz w:val="32"/>
          <w:szCs w:val="32"/>
        </w:rPr>
        <w:t>依照党的章程和其他党内法规履行监督、执纪、问责职责。3</w:t>
      </w:r>
      <w:r>
        <w:rPr>
          <w:rFonts w:hint="eastAsia" w:ascii="仿宋_GB2312" w:hAnsi="仿宋_GB2312" w:eastAsia="仿宋_GB2312" w:cs="仿宋_GB2312"/>
          <w:kern w:val="0"/>
          <w:sz w:val="32"/>
          <w:szCs w:val="32"/>
          <w:lang w:val="en-US" w:eastAsia="zh-CN"/>
        </w:rPr>
        <w:t>.</w:t>
      </w:r>
      <w:r>
        <w:rPr>
          <w:rFonts w:hint="eastAsia" w:ascii="仿宋_GB2312" w:hAnsi="仿宋_GB2312" w:eastAsia="仿宋_GB2312" w:cs="仿宋_GB2312"/>
          <w:kern w:val="0"/>
          <w:sz w:val="32"/>
          <w:szCs w:val="32"/>
        </w:rPr>
        <w:t>支持配合巡视、巡察工作。</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4.负责全区监察工作。贯彻落实党中央和省委、市委、区委关于监察工作的决策部署，维护宪法法律，依法对区委管理的行使公权力的公职人员进行监察,调查职务违法和职务犯罪，开展廉政建设和反腐败工作。</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5.依照法律规定履行监督、调查、处置职责。</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6.负责组织协调全面从严治党、党风廉政建设和反腐败宣传教育工作。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rPr>
        <w:t>7.负责综合分析全面从严治党、党风廉政建设和反腐败工作情况，对纪检监察工作重要理论及实践问题进行调查研究；制定或者修改全区纪检监察制度规定，参与起草有关规范性文件。</w:t>
      </w:r>
      <w:r>
        <w:rPr>
          <w:rFonts w:hint="eastAsia" w:ascii="仿宋_GB2312" w:hAnsi="仿宋_GB2312" w:eastAsia="仿宋_GB2312" w:cs="仿宋_GB2312"/>
          <w:kern w:val="0"/>
          <w:sz w:val="32"/>
          <w:szCs w:val="32"/>
          <w:lang w:val="en-US" w:eastAsia="zh-CN"/>
        </w:rPr>
        <w:t xml:space="preserve">   </w:t>
      </w:r>
    </w:p>
    <w:p>
      <w:pPr>
        <w:pStyle w:val="11"/>
        <w:rPr>
          <w:rFonts w:hint="default"/>
          <w:lang w:val="en-US"/>
        </w:rPr>
      </w:pPr>
      <w:r>
        <w:rPr>
          <w:rFonts w:hint="eastAsia" w:ascii="仿宋_GB2312" w:hAnsi="仿宋_GB2312" w:eastAsia="仿宋_GB2312" w:cs="仿宋_GB2312"/>
          <w:kern w:val="0"/>
          <w:sz w:val="32"/>
          <w:szCs w:val="32"/>
          <w:lang w:val="en-US" w:eastAsia="zh-CN"/>
        </w:rPr>
        <w:t xml:space="preserve">    8.</w:t>
      </w:r>
      <w:r>
        <w:rPr>
          <w:rFonts w:hint="eastAsia" w:ascii="仿宋_GB2312" w:hAnsi="仿宋_GB2312" w:eastAsia="仿宋_GB2312" w:cs="仿宋_GB2312"/>
          <w:kern w:val="0"/>
          <w:sz w:val="32"/>
          <w:szCs w:val="32"/>
        </w:rPr>
        <w:t>负责组织协调全区反腐败追逃追赃和防逃工作，督促有关单位做好相关工作。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9.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10.完成市纪委监委、区委交办的其他任务。</w:t>
      </w:r>
    </w:p>
    <w:p>
      <w:pPr>
        <w:keepNext w:val="0"/>
        <w:keepLines w:val="0"/>
        <w:pageBreakBefore w:val="0"/>
        <w:widowControl w:val="0"/>
        <w:kinsoku/>
        <w:wordWrap/>
        <w:topLinePunct w:val="0"/>
        <w:autoSpaceDE/>
        <w:autoSpaceDN/>
        <w:bidi w:val="0"/>
        <w:adjustRightInd w:val="0"/>
        <w:snapToGrid w:val="0"/>
        <w:spacing w:line="578" w:lineRule="exact"/>
        <w:ind w:firstLine="643" w:firstLineChars="200"/>
        <w:rPr>
          <w:rFonts w:hint="eastAsia" w:ascii="仿宋_GB2312" w:hAnsi="仿宋_GB2312" w:eastAsia="仿宋_GB2312" w:cs="仿宋_GB2312"/>
          <w:sz w:val="32"/>
          <w:szCs w:val="32"/>
          <w:highlight w:val="yellow"/>
        </w:rPr>
      </w:pPr>
      <w:r>
        <w:rPr>
          <w:rFonts w:hint="eastAsia" w:ascii="仿宋_GB2312" w:hAnsi="仿宋_GB2312" w:eastAsia="仿宋_GB2312" w:cs="仿宋_GB2312"/>
          <w:b/>
          <w:bCs/>
          <w:kern w:val="0"/>
          <w:sz w:val="32"/>
          <w:szCs w:val="32"/>
        </w:rPr>
        <w:t>组织机构</w:t>
      </w:r>
      <w:r>
        <w:rPr>
          <w:rFonts w:hint="eastAsia" w:ascii="仿宋_GB2312" w:hAnsi="仿宋_GB2312" w:eastAsia="仿宋_GB2312" w:cs="仿宋_GB2312"/>
          <w:kern w:val="0"/>
          <w:sz w:val="32"/>
          <w:szCs w:val="32"/>
        </w:rPr>
        <w:t>：从决算编报单位构成看，纳入202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年度本部门决算汇编范围的独立核算单位（以下简称“单位”）共1个，即：中国共产党石家庄市鹿泉区纪律检查委员会。下属事业单位：石家庄市鹿泉区委廉政教育中心，不独立核算，统一纳入区纪委核算；中共石家庄市鹿泉区委巡察工作领导小组办公室，属于区委工作机关，设在区纪委，不独立核算，统一纳入区纪委核算。</w:t>
      </w:r>
    </w:p>
    <w:p>
      <w:pPr>
        <w:keepNext w:val="0"/>
        <w:keepLines w:val="0"/>
        <w:pageBreakBefore w:val="0"/>
        <w:widowControl w:val="0"/>
        <w:kinsoku/>
        <w:wordWrap/>
        <w:topLinePunct w:val="0"/>
        <w:autoSpaceDE/>
        <w:autoSpaceDN/>
        <w:bidi w:val="0"/>
        <w:adjustRightInd w:val="0"/>
        <w:snapToGrid w:val="0"/>
        <w:spacing w:line="578"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人员编制</w:t>
      </w:r>
      <w:r>
        <w:rPr>
          <w:rFonts w:hint="eastAsia" w:ascii="仿宋_GB2312" w:hAnsi="仿宋_GB2312" w:eastAsia="仿宋_GB2312" w:cs="仿宋_GB2312"/>
          <w:sz w:val="32"/>
          <w:szCs w:val="32"/>
        </w:rPr>
        <w:t>：我部门现有行政编制人员</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人，事业编制人员6人。</w:t>
      </w:r>
    </w:p>
    <w:p>
      <w:pPr>
        <w:keepNext w:val="0"/>
        <w:keepLines w:val="0"/>
        <w:pageBreakBefore w:val="0"/>
        <w:widowControl w:val="0"/>
        <w:kinsoku/>
        <w:wordWrap/>
        <w:topLinePunct w:val="0"/>
        <w:autoSpaceDE/>
        <w:autoSpaceDN/>
        <w:bidi w:val="0"/>
        <w:adjustRightInd w:val="0"/>
        <w:snapToGrid w:val="0"/>
        <w:spacing w:line="578" w:lineRule="exact"/>
        <w:ind w:firstLine="643"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 w:val="32"/>
          <w:szCs w:val="32"/>
          <w:highlight w:val="none"/>
        </w:rPr>
        <w:t>资</w:t>
      </w:r>
      <w:r>
        <w:rPr>
          <w:rFonts w:hint="eastAsia" w:ascii="仿宋_GB2312" w:hAnsi="仿宋_GB2312" w:eastAsia="仿宋_GB2312" w:cs="仿宋_GB2312"/>
          <w:b/>
          <w:bCs/>
          <w:color w:val="auto"/>
          <w:sz w:val="32"/>
          <w:szCs w:val="32"/>
          <w:highlight w:val="none"/>
        </w:rPr>
        <w:t>产：</w:t>
      </w:r>
      <w:r>
        <w:rPr>
          <w:rFonts w:hint="eastAsia" w:ascii="仿宋_GB2312" w:hAnsi="仿宋_GB2312" w:eastAsia="仿宋_GB2312" w:cs="仿宋_GB2312"/>
          <w:color w:val="auto"/>
          <w:sz w:val="32"/>
          <w:szCs w:val="32"/>
        </w:rPr>
        <w:t>中国共产党石家庄市鹿泉区纪律检查委员会（含所属单位）上年末固定资产金额为</w:t>
      </w:r>
      <w:r>
        <w:rPr>
          <w:rFonts w:hint="eastAsia" w:ascii="仿宋_GB2312" w:hAnsi="仿宋_GB2312" w:eastAsia="仿宋_GB2312" w:cs="仿宋_GB2312"/>
          <w:color w:val="auto"/>
          <w:sz w:val="32"/>
          <w:szCs w:val="32"/>
          <w:highlight w:val="none"/>
          <w:lang w:val="en-US" w:eastAsia="zh-CN"/>
        </w:rPr>
        <w:t>581.44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w:t>
      </w:r>
    </w:p>
    <w:p>
      <w:pPr>
        <w:adjustRightInd w:val="0"/>
        <w:snapToGrid w:val="0"/>
        <w:spacing w:line="560" w:lineRule="exact"/>
        <w:ind w:firstLine="640" w:firstLineChars="200"/>
        <w:rPr>
          <w:rFonts w:hint="default" w:ascii="仿宋" w:hAnsi="仿宋" w:eastAsia="仿宋"/>
          <w:color w:val="C00000"/>
          <w:sz w:val="32"/>
          <w:szCs w:val="32"/>
          <w:lang w:val="en-US" w:eastAsia="zh-CN"/>
        </w:rPr>
      </w:pPr>
    </w:p>
    <w:p>
      <w:pPr>
        <w:adjustRightInd w:val="0"/>
        <w:snapToGrid w:val="0"/>
        <w:spacing w:line="560" w:lineRule="exact"/>
        <w:ind w:firstLine="640" w:firstLineChars="200"/>
        <w:rPr>
          <w:rFonts w:hint="eastAsia" w:ascii="楷体" w:hAnsi="楷体" w:eastAsia="楷体" w:cs="楷体_GB2312"/>
          <w:bCs/>
          <w:color w:val="auto"/>
          <w:sz w:val="32"/>
          <w:szCs w:val="32"/>
          <w:highlight w:val="none"/>
        </w:rPr>
      </w:pPr>
      <w:r>
        <w:rPr>
          <w:rFonts w:hint="eastAsia" w:ascii="楷体" w:hAnsi="楷体" w:eastAsia="楷体" w:cs="楷体_GB2312"/>
          <w:bCs/>
          <w:color w:val="auto"/>
          <w:sz w:val="32"/>
          <w:szCs w:val="32"/>
        </w:rPr>
        <w:t>（二）部门收支预决算情况</w:t>
      </w:r>
    </w:p>
    <w:p>
      <w:pPr>
        <w:keepNext w:val="0"/>
        <w:keepLines w:val="0"/>
        <w:pageBreakBefore w:val="0"/>
        <w:widowControl w:val="0"/>
        <w:kinsoku/>
        <w:wordWrap/>
        <w:topLinePunct w:val="0"/>
        <w:autoSpaceDE/>
        <w:autoSpaceDN/>
        <w:bidi w:val="0"/>
        <w:adjustRightInd w:val="0"/>
        <w:snapToGrid w:val="0"/>
        <w:spacing w:line="578" w:lineRule="exact"/>
        <w:ind w:firstLine="640" w:firstLineChars="200"/>
        <w:rPr>
          <w:rFonts w:hint="eastAsia" w:ascii="楷体" w:hAnsi="楷体" w:eastAsia="楷体" w:cs="楷体_GB2312"/>
          <w:bCs/>
          <w:sz w:val="32"/>
          <w:szCs w:val="32"/>
          <w:highlight w:val="none"/>
        </w:rPr>
      </w:pPr>
      <w:r>
        <w:rPr>
          <w:rFonts w:hint="eastAsia" w:ascii="仿宋_GB2312" w:hAnsi="仿宋_GB2312" w:eastAsia="仿宋_GB2312" w:cs="仿宋_GB2312"/>
          <w:color w:val="auto"/>
          <w:sz w:val="32"/>
          <w:szCs w:val="32"/>
          <w:highlight w:val="none"/>
        </w:rPr>
        <w:t>本部门</w:t>
      </w:r>
      <w:r>
        <w:rPr>
          <w:rFonts w:hint="eastAsia" w:ascii="仿宋_GB2312" w:hAnsi="仿宋_GB2312" w:eastAsia="仿宋_GB2312" w:cs="仿宋_GB2312"/>
          <w:color w:val="auto"/>
          <w:sz w:val="32"/>
          <w:szCs w:val="32"/>
          <w:highlight w:val="none"/>
          <w:lang w:val="en-US" w:eastAsia="zh-CN"/>
        </w:rPr>
        <w:t>2025</w:t>
      </w:r>
      <w:r>
        <w:rPr>
          <w:rFonts w:hint="eastAsia" w:ascii="仿宋_GB2312" w:hAnsi="仿宋_GB2312" w:eastAsia="仿宋_GB2312" w:cs="仿宋_GB2312"/>
          <w:color w:val="auto"/>
          <w:sz w:val="32"/>
          <w:szCs w:val="32"/>
          <w:highlight w:val="none"/>
        </w:rPr>
        <w:t>年度收、支总计（含结转和结余）</w:t>
      </w:r>
      <w:r>
        <w:rPr>
          <w:rFonts w:hint="eastAsia" w:ascii="仿宋_GB2312" w:hAnsi="仿宋_GB2312" w:eastAsia="仿宋_GB2312" w:cs="仿宋_GB2312"/>
          <w:color w:val="auto"/>
          <w:sz w:val="32"/>
          <w:szCs w:val="32"/>
          <w:highlight w:val="none"/>
          <w:lang w:val="en-US" w:eastAsia="zh-CN"/>
        </w:rPr>
        <w:t>2318.83</w:t>
      </w:r>
      <w:r>
        <w:rPr>
          <w:rFonts w:hint="eastAsia" w:ascii="仿宋_GB2312" w:hAnsi="仿宋_GB2312" w:eastAsia="仿宋_GB2312" w:cs="仿宋_GB2312"/>
          <w:color w:val="auto"/>
          <w:sz w:val="32"/>
          <w:szCs w:val="32"/>
          <w:highlight w:val="none"/>
        </w:rPr>
        <w:t>万元。本部门</w:t>
      </w:r>
      <w:r>
        <w:rPr>
          <w:rFonts w:hint="eastAsia" w:ascii="仿宋_GB2312" w:hAnsi="仿宋_GB2312" w:eastAsia="仿宋_GB2312" w:cs="仿宋_GB2312"/>
          <w:color w:val="auto"/>
          <w:sz w:val="32"/>
          <w:szCs w:val="32"/>
          <w:highlight w:val="none"/>
          <w:lang w:val="en-US" w:eastAsia="zh-CN"/>
        </w:rPr>
        <w:t>2025</w:t>
      </w:r>
      <w:r>
        <w:rPr>
          <w:rFonts w:hint="eastAsia" w:ascii="仿宋_GB2312" w:hAnsi="仿宋_GB2312" w:eastAsia="仿宋_GB2312" w:cs="仿宋_GB2312"/>
          <w:color w:val="auto"/>
          <w:sz w:val="32"/>
          <w:szCs w:val="32"/>
          <w:highlight w:val="none"/>
        </w:rPr>
        <w:t>年度财政拨款本年收入</w:t>
      </w:r>
      <w:r>
        <w:rPr>
          <w:rFonts w:hint="eastAsia" w:ascii="仿宋_GB2312" w:hAnsi="仿宋_GB2312" w:eastAsia="仿宋_GB2312" w:cs="仿宋_GB2312"/>
          <w:color w:val="auto"/>
          <w:sz w:val="32"/>
          <w:szCs w:val="32"/>
          <w:highlight w:val="none"/>
          <w:lang w:val="en-US" w:eastAsia="zh-CN"/>
        </w:rPr>
        <w:t>2318.83</w:t>
      </w:r>
      <w:r>
        <w:rPr>
          <w:rFonts w:hint="eastAsia" w:ascii="仿宋_GB2312" w:hAnsi="仿宋_GB2312" w:eastAsia="仿宋_GB2312" w:cs="仿宋_GB2312"/>
          <w:color w:val="auto"/>
          <w:sz w:val="32"/>
          <w:szCs w:val="32"/>
          <w:highlight w:val="none"/>
        </w:rPr>
        <w:t>万元，完成年初预算的1</w:t>
      </w:r>
      <w:r>
        <w:rPr>
          <w:rFonts w:hint="eastAsia" w:ascii="仿宋_GB2312" w:hAnsi="仿宋_GB2312" w:eastAsia="仿宋_GB2312" w:cs="仿宋_GB2312"/>
          <w:color w:val="auto"/>
          <w:sz w:val="32"/>
          <w:szCs w:val="32"/>
          <w:highlight w:val="none"/>
          <w:lang w:val="en-US" w:eastAsia="zh-CN"/>
        </w:rPr>
        <w:t>00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2025</w:t>
      </w:r>
      <w:r>
        <w:rPr>
          <w:rFonts w:hint="eastAsia" w:ascii="仿宋_GB2312" w:hAnsi="仿宋_GB2312" w:eastAsia="仿宋_GB2312" w:cs="仿宋_GB2312"/>
          <w:color w:val="auto"/>
          <w:sz w:val="32"/>
          <w:szCs w:val="32"/>
          <w:highlight w:val="none"/>
        </w:rPr>
        <w:t>年度财政拨款支出</w:t>
      </w:r>
      <w:r>
        <w:rPr>
          <w:rFonts w:hint="eastAsia" w:ascii="仿宋_GB2312" w:hAnsi="仿宋_GB2312" w:eastAsia="仿宋_GB2312" w:cs="仿宋_GB2312"/>
          <w:color w:val="auto"/>
          <w:sz w:val="32"/>
          <w:szCs w:val="32"/>
          <w:highlight w:val="none"/>
          <w:lang w:val="en-US" w:eastAsia="zh-CN"/>
        </w:rPr>
        <w:t>2318.83</w:t>
      </w:r>
      <w:r>
        <w:rPr>
          <w:rFonts w:hint="eastAsia" w:ascii="仿宋_GB2312" w:hAnsi="仿宋_GB2312" w:eastAsia="仿宋_GB2312" w:cs="仿宋_GB2312"/>
          <w:color w:val="auto"/>
          <w:sz w:val="32"/>
          <w:szCs w:val="32"/>
          <w:highlight w:val="none"/>
        </w:rPr>
        <w:t>万元。</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做好纪检监察工作，</w:t>
      </w:r>
      <w:r>
        <w:rPr>
          <w:rFonts w:hint="eastAsia" w:ascii="仿宋_GB2312" w:hAnsi="仿宋_GB2312" w:eastAsia="仿宋_GB2312" w:cs="仿宋_GB2312"/>
          <w:sz w:val="32"/>
          <w:szCs w:val="32"/>
          <w:lang w:val="en-US" w:eastAsia="zh-CN"/>
        </w:rPr>
        <w:t>坚持以习近平新时代中国特色社会主义思想为指导，全面贯彻落实党的二十大和二十届二中、三中全会精神，深入学习贯彻习近平总书记关于党的建设的重要思想、关于党的自我革命的重要思想，深刻领悟“两个确立”的决定性意义，增强“四个意识”、坚定“四个自信”、做到“两个维护”，按照二十届中央纪委四次全会、省纪委十届五次全会、市纪委十一届五次全会部署和区委工作要求，坚持用改革精神和严的标准管党治党，推动落实全面从严治党政治责任，推动健全全面从严治党体系，纵深推进正风肃纪反腐，持续推进新征程纪检监察工作高质量发展，以全面从严治党新成效为加快建设现代化、国际化美丽省会城市提供坚强纪律保障。</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_GB2312"/>
          <w:sz w:val="32"/>
          <w:szCs w:val="32"/>
          <w:lang w:eastAsia="zh-CN"/>
        </w:rPr>
      </w:pPr>
      <w:r>
        <w:rPr>
          <w:rFonts w:hint="eastAsia" w:ascii="仿宋" w:hAnsi="仿宋" w:eastAsia="仿宋"/>
          <w:sz w:val="32"/>
          <w:szCs w:val="32"/>
        </w:rPr>
        <w:t xml:space="preserve">    </w:t>
      </w:r>
      <w:r>
        <w:rPr>
          <w:rFonts w:hint="eastAsia" w:ascii="仿宋" w:hAnsi="仿宋" w:eastAsia="仿宋"/>
          <w:sz w:val="32"/>
          <w:szCs w:val="32"/>
          <w:lang w:eastAsia="zh-CN"/>
        </w:rPr>
        <w:t>严格按照</w:t>
      </w:r>
      <w:r>
        <w:rPr>
          <w:rFonts w:hint="eastAsia" w:ascii="仿宋_GB2312" w:hAnsi="仿宋_GB2312" w:eastAsia="仿宋_GB2312" w:cs="仿宋_GB2312"/>
          <w:sz w:val="32"/>
          <w:szCs w:val="32"/>
          <w:lang w:eastAsia="zh-CN"/>
        </w:rPr>
        <w:t>《关于全面实施预算绩效管理的实施意见》（鹿发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）、《鹿泉区区级部门项目绩效自评管理办法》（鹿财字</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号）</w:t>
      </w:r>
      <w:r>
        <w:rPr>
          <w:rFonts w:hint="eastAsia" w:ascii="仿宋" w:hAnsi="仿宋" w:eastAsia="仿宋"/>
          <w:sz w:val="32"/>
          <w:szCs w:val="32"/>
        </w:rPr>
        <w:t>文件精神</w:t>
      </w:r>
      <w:r>
        <w:rPr>
          <w:rFonts w:hint="eastAsia" w:ascii="仿宋" w:hAnsi="仿宋" w:eastAsia="仿宋"/>
          <w:sz w:val="32"/>
          <w:szCs w:val="32"/>
          <w:lang w:eastAsia="zh-CN"/>
        </w:rPr>
        <w:t>，</w:t>
      </w:r>
      <w:r>
        <w:rPr>
          <w:rFonts w:hint="eastAsia" w:ascii="仿宋_GB2312" w:hAnsi="仿宋_GB2312" w:eastAsia="仿宋_GB2312" w:cs="仿宋_GB2312"/>
          <w:sz w:val="32"/>
          <w:szCs w:val="32"/>
        </w:rPr>
        <w:t>对自评工作进行研究和部署</w:t>
      </w:r>
      <w:r>
        <w:rPr>
          <w:rFonts w:hint="eastAsia" w:ascii="仿宋_GB2312" w:hAnsi="仿宋_GB2312" w:eastAsia="仿宋_GB2312" w:cs="仿宋_GB2312"/>
          <w:sz w:val="32"/>
          <w:szCs w:val="32"/>
          <w:lang w:eastAsia="zh-CN"/>
        </w:rPr>
        <w:t>，强化项目绩效管理。</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topLinePunct w:val="0"/>
        <w:autoSpaceDE/>
        <w:autoSpaceDN/>
        <w:bidi w:val="0"/>
        <w:adjustRightInd w:val="0"/>
        <w:snapToGrid w:val="0"/>
        <w:spacing w:line="578" w:lineRule="exact"/>
        <w:ind w:firstLine="640" w:firstLineChars="200"/>
        <w:rPr>
          <w:rFonts w:ascii="楷体" w:hAnsi="楷体" w:eastAsia="楷体" w:cs="楷体_GB2312"/>
          <w:bCs/>
          <w:sz w:val="32"/>
          <w:szCs w:val="32"/>
        </w:rPr>
      </w:pPr>
      <w:r>
        <w:rPr>
          <w:rFonts w:hint="eastAsia" w:ascii="仿宋_GB2312" w:hAnsi="仿宋_GB2312" w:eastAsia="仿宋_GB2312" w:cs="仿宋_GB2312"/>
          <w:sz w:val="32"/>
          <w:szCs w:val="32"/>
          <w:lang w:eastAsia="zh-CN"/>
        </w:rPr>
        <w:t>按照预算项目绩效目标，</w:t>
      </w:r>
      <w:r>
        <w:rPr>
          <w:rFonts w:hint="eastAsia" w:ascii="仿宋_GB2312" w:hAnsi="仿宋_GB2312" w:eastAsia="仿宋_GB2312" w:cs="仿宋_GB2312"/>
          <w:sz w:val="32"/>
          <w:szCs w:val="32"/>
        </w:rPr>
        <w:t>对照各实施项目的内容逐条逐项自评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部门整体支出绩效数据采集的主要依据有：年度预算报告、决算报表、综合业务数据、单位年终考核等资料</w:t>
      </w:r>
      <w:r>
        <w:rPr>
          <w:rFonts w:hint="eastAsia" w:ascii="仿宋_GB2312" w:hAnsi="仿宋_GB2312" w:eastAsia="仿宋_GB2312" w:cs="仿宋_GB2312"/>
          <w:sz w:val="32"/>
          <w:szCs w:val="32"/>
          <w:lang w:eastAsia="zh-CN"/>
        </w:rPr>
        <w:t>。</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12"/>
        <w:keepNext w:val="0"/>
        <w:keepLines w:val="0"/>
        <w:pageBreakBefore w:val="0"/>
        <w:widowControl w:val="0"/>
        <w:kinsoku/>
        <w:wordWrap/>
        <w:topLinePunct w:val="0"/>
        <w:autoSpaceDE/>
        <w:autoSpaceDN/>
        <w:bidi w:val="0"/>
        <w:spacing w:line="578" w:lineRule="exact"/>
        <w:rPr>
          <w:rFonts w:ascii="仿宋" w:hAnsi="仿宋" w:eastAsia="仿宋"/>
          <w:sz w:val="32"/>
          <w:szCs w:val="32"/>
        </w:rPr>
      </w:pPr>
      <w:r>
        <w:rPr>
          <w:rFonts w:hint="eastAsia" w:ascii="仿宋_GB2312" w:hAnsi="仿宋_GB2312" w:eastAsia="仿宋_GB2312" w:cs="仿宋_GB2312"/>
          <w:sz w:val="32"/>
          <w:szCs w:val="32"/>
        </w:rPr>
        <w:t>以习近平新时代中国特色社会主义思想为指导，以落实党的二十大精神为主线，按照党的自我革命战略部署和全面从严治党战略方针，深刻领悟“两个确立”的决定性意义，增强“四个意识”、坚定“四个自信”、做到“两个维护”，认真落实健全全面从严治党体系任务要求，坚持全的要求、严的基调、稳的步伐、笃的定力、治的理念，抓监督、转作风、肃纪律、反腐败，深入推进新时代新征程纪检监察工作高质量发展，为加快建设现代化经济强区、魅力鹿泉、生态宜居宜业宜游新城区提供坚强政治保障。</w:t>
      </w:r>
    </w:p>
    <w:p>
      <w:pPr>
        <w:spacing w:line="560" w:lineRule="exact"/>
        <w:ind w:firstLine="642"/>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1.纪检监察业务费</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保障单位人员办案经费，提高案件办结率，案件办结率85%,缩短案件办理时效，保证案件在3个月内办结，降低错案率，提高群众满意度，降低执法行为投诉率，为国家挽回经济损失</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lang w:val="en-US" w:eastAsia="zh-CN"/>
        </w:rPr>
        <w:t>万元以上，资金预算执行率55.76%。</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2.乡镇纪检监察业务费</w:t>
      </w:r>
    </w:p>
    <w:p>
      <w:pPr>
        <w:keepNext w:val="0"/>
        <w:keepLines w:val="0"/>
        <w:pageBreakBefore w:val="0"/>
        <w:widowControl w:val="0"/>
        <w:kinsoku/>
        <w:wordWrap/>
        <w:topLinePunct w:val="0"/>
        <w:autoSpaceDE/>
        <w:autoSpaceDN/>
        <w:bidi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保障45名乡镇纪检人员办案经费，提高乡镇纪检人员办案效率，案件办结率85%以上，缩短办案时效至3个月内办结，推动监督执纪工作向纵深发展，全覆盖。资金预算执行率75%。</w:t>
      </w:r>
    </w:p>
    <w:p>
      <w:pPr>
        <w:keepNext w:val="0"/>
        <w:keepLines w:val="0"/>
        <w:pageBreakBefore w:val="0"/>
        <w:widowControl w:val="0"/>
        <w:numPr>
          <w:ilvl w:val="0"/>
          <w:numId w:val="3"/>
        </w:numPr>
        <w:kinsoku/>
        <w:wordWrap/>
        <w:topLinePunct w:val="0"/>
        <w:autoSpaceDE/>
        <w:autoSpaceDN/>
        <w:bidi w:val="0"/>
        <w:spacing w:line="578" w:lineRule="exact"/>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巡察巡视专项经费</w:t>
      </w:r>
    </w:p>
    <w:p>
      <w:pPr>
        <w:keepNext w:val="0"/>
        <w:keepLines w:val="0"/>
        <w:pageBreakBefore w:val="0"/>
        <w:widowControl w:val="0"/>
        <w:kinsoku/>
        <w:wordWrap/>
        <w:overflowPunct w:val="0"/>
        <w:topLinePunct w:val="0"/>
        <w:autoSpaceDE/>
        <w:autoSpaceDN/>
        <w:bidi w:val="0"/>
        <w:adjustRightInd/>
        <w:snapToGrid/>
        <w:spacing w:line="578" w:lineRule="exact"/>
        <w:ind w:firstLine="640" w:firstLineChars="200"/>
        <w:jc w:val="both"/>
        <w:textAlignment w:val="auto"/>
        <w:outlineLvl w:val="1"/>
        <w:rPr>
          <w:rFonts w:hint="eastAsia" w:ascii="宋体" w:hAnsi="宋体" w:eastAsia="仿宋_GB2312" w:cs="仿宋_GB2312"/>
          <w:b w:val="0"/>
          <w:bCs w:val="0"/>
          <w:spacing w:val="0"/>
          <w:kern w:val="0"/>
          <w:sz w:val="32"/>
          <w:szCs w:val="32"/>
          <w:lang w:val="en-US" w:eastAsia="zh-CN"/>
        </w:rPr>
      </w:pPr>
      <w:r>
        <w:rPr>
          <w:rFonts w:hint="eastAsia" w:ascii="宋体" w:hAnsi="宋体" w:eastAsia="仿宋_GB2312" w:cs="仿宋_GB2312"/>
          <w:b w:val="0"/>
          <w:bCs w:val="0"/>
          <w:spacing w:val="0"/>
          <w:kern w:val="0"/>
          <w:sz w:val="32"/>
          <w:szCs w:val="32"/>
          <w:lang w:val="en-US" w:eastAsia="zh-CN"/>
        </w:rPr>
        <w:t>第九轮巡察建3个巡察组，对获鹿镇党委所辖的一街社区等25个村（社区）党组织，宜安镇党委所辖牛山村、裴村2个村级党组织，经济开发区所辖方台等5个社区党组织，共计32个村（社区）党组织开展常规巡察，对寺家庄镇党委及所辖平南村等6个村级党组织开展巡察“回头看”，共发现问题1241个，</w:t>
      </w:r>
      <w:r>
        <w:rPr>
          <w:rFonts w:hint="eastAsia" w:ascii="宋体" w:hAnsi="宋体" w:eastAsia="仿宋_GB2312" w:cs="仿宋_GB2312"/>
          <w:b w:val="0"/>
          <w:bCs w:val="0"/>
          <w:spacing w:val="0"/>
          <w:kern w:val="0"/>
          <w:sz w:val="32"/>
          <w:szCs w:val="32"/>
          <w:highlight w:val="none"/>
          <w:lang w:val="en-US" w:eastAsia="zh-CN"/>
        </w:rPr>
        <w:t>移交问题线索65件，给予党纪政务处分54人，运用“第一种形态”处理20人。</w:t>
      </w:r>
      <w:r>
        <w:rPr>
          <w:rFonts w:hint="eastAsia" w:ascii="宋体" w:hAnsi="宋体" w:eastAsia="仿宋_GB2312" w:cs="仿宋_GB2312"/>
          <w:b w:val="0"/>
          <w:bCs w:val="0"/>
          <w:spacing w:val="0"/>
          <w:kern w:val="0"/>
          <w:sz w:val="32"/>
          <w:szCs w:val="32"/>
          <w:lang w:val="en-US" w:eastAsia="zh-CN"/>
        </w:rPr>
        <w:t>第十轮巡察组建3个巡察组，对区市场监督管理局等6个单位开展巡察“回头看”，通过持续性监督推动改革发展和巡察整改任务落地落实。</w:t>
      </w:r>
      <w:r>
        <w:rPr>
          <w:rFonts w:hint="eastAsia" w:ascii="宋体" w:hAnsi="宋体" w:eastAsia="仿宋_GB2312" w:cs="仿宋_GB2312"/>
          <w:b w:val="0"/>
          <w:bCs w:val="0"/>
          <w:color w:val="auto"/>
          <w:spacing w:val="0"/>
          <w:kern w:val="0"/>
          <w:sz w:val="32"/>
          <w:szCs w:val="32"/>
        </w:rPr>
        <w:t>积极配合市委</w:t>
      </w:r>
      <w:r>
        <w:rPr>
          <w:rFonts w:hint="eastAsia" w:ascii="宋体" w:hAnsi="宋体" w:eastAsia="仿宋_GB2312" w:cs="仿宋_GB2312"/>
          <w:b w:val="0"/>
          <w:bCs w:val="0"/>
          <w:color w:val="auto"/>
          <w:spacing w:val="0"/>
          <w:kern w:val="0"/>
          <w:sz w:val="32"/>
          <w:szCs w:val="32"/>
          <w:lang w:eastAsia="zh-CN"/>
        </w:rPr>
        <w:t>第九轮第十六巡察组</w:t>
      </w:r>
      <w:r>
        <w:rPr>
          <w:rFonts w:hint="eastAsia" w:ascii="宋体" w:hAnsi="宋体" w:eastAsia="仿宋_GB2312" w:cs="仿宋_GB2312"/>
          <w:b w:val="0"/>
          <w:bCs w:val="0"/>
          <w:color w:val="auto"/>
          <w:spacing w:val="0"/>
          <w:kern w:val="0"/>
          <w:sz w:val="32"/>
          <w:szCs w:val="32"/>
          <w:lang w:val="en-US" w:eastAsia="zh-CN"/>
        </w:rPr>
        <w:t>开展对经济开发区的常规巡察和对区委办、区委宣传部、区委统战部、区委政法委、获鹿镇党委及2个村级党组织的提级巡察工作。</w:t>
      </w:r>
    </w:p>
    <w:p>
      <w:pPr>
        <w:keepNext w:val="0"/>
        <w:keepLines w:val="0"/>
        <w:pageBreakBefore w:val="0"/>
        <w:widowControl w:val="0"/>
        <w:numPr>
          <w:ilvl w:val="0"/>
          <w:numId w:val="0"/>
        </w:numPr>
        <w:kinsoku/>
        <w:wordWrap/>
        <w:topLinePunct w:val="0"/>
        <w:autoSpaceDE/>
        <w:autoSpaceDN/>
        <w:bidi w:val="0"/>
        <w:spacing w:line="578"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4.办案一体化平台建设</w:t>
      </w:r>
    </w:p>
    <w:p>
      <w:pPr>
        <w:pStyle w:val="9"/>
        <w:numPr>
          <w:ilvl w:val="0"/>
          <w:numId w:val="0"/>
        </w:numPr>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贯彻落实中央纪委、国家监委工作部署，以信息化引领纪检监察工作规范化，省纪委研究决定，建设集线索处置、案件查办、措施管理、智慧审理、数字监管等功能于一体的办案工作平台，购买国产涉密笔记本电脑数量11台，提高纪检监察工作的信息化水平，使纪检监察工作更加规范化。</w:t>
      </w:r>
      <w:r>
        <w:rPr>
          <w:rFonts w:hint="eastAsia" w:ascii="仿宋_GB2312" w:hAnsi="仿宋_GB2312" w:eastAsia="仿宋_GB2312" w:cs="仿宋_GB2312"/>
          <w:color w:val="auto"/>
          <w:sz w:val="32"/>
          <w:szCs w:val="32"/>
          <w:lang w:eastAsia="zh-CN"/>
        </w:rPr>
        <w:t>资金预算执行率</w:t>
      </w:r>
      <w:r>
        <w:rPr>
          <w:rFonts w:hint="eastAsia" w:ascii="仿宋_GB2312" w:hAnsi="仿宋_GB2312" w:eastAsia="仿宋_GB2312" w:cs="仿宋_GB2312"/>
          <w:color w:val="auto"/>
          <w:sz w:val="32"/>
          <w:szCs w:val="32"/>
          <w:lang w:val="en-US" w:eastAsia="zh-CN"/>
        </w:rPr>
        <w:t>100%。</w:t>
      </w:r>
    </w:p>
    <w:p>
      <w:pPr>
        <w:numPr>
          <w:ilvl w:val="0"/>
          <w:numId w:val="4"/>
        </w:numPr>
        <w:ind w:left="480" w:leftChars="0" w:firstLine="0" w:firstLineChars="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巡察信息化建设平台建设</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该项目的实施一方面可提高巡察工作的信息化水平，使巡察工作更加规范化，保障信息安全，防止重要信息泄露；另一方面可提高巡察工作效率，提升工作质效。购买</w:t>
      </w:r>
      <w:r>
        <w:rPr>
          <w:rFonts w:hint="eastAsia" w:ascii="宋体" w:hAnsi="宋体" w:eastAsia="仿宋_GB2312" w:cs="仿宋_GB2312"/>
          <w:b w:val="0"/>
          <w:bCs w:val="0"/>
          <w:sz w:val="32"/>
          <w:szCs w:val="32"/>
          <w:lang w:val="en-US" w:eastAsia="zh-CN"/>
        </w:rPr>
        <w:t>国产台式内网机10台；国产涉密笔记本9台；国产黑白打印机10台；国产扫描仪5台。产</w:t>
      </w:r>
      <w:r>
        <w:rPr>
          <w:rFonts w:hint="eastAsia" w:ascii="宋体" w:hAnsi="宋体" w:eastAsia="仿宋_GB2312" w:cs="仿宋_GB2312"/>
          <w:sz w:val="32"/>
          <w:szCs w:val="32"/>
          <w:lang w:val="en-US" w:eastAsia="zh-CN"/>
        </w:rPr>
        <w:t>品合格率=100%，完成项目时效≤12个月。</w:t>
      </w:r>
    </w:p>
    <w:p>
      <w:pPr>
        <w:spacing w:line="560" w:lineRule="exact"/>
        <w:ind w:firstLine="640" w:firstLineChars="200"/>
        <w:rPr>
          <w:rFonts w:ascii="黑体" w:hAnsi="黑体" w:eastAsia="黑体"/>
          <w:sz w:val="32"/>
          <w:szCs w:val="32"/>
        </w:rPr>
      </w:pPr>
      <w:bookmarkStart w:id="0" w:name="_GoBack"/>
      <w:bookmarkEnd w:id="0"/>
      <w:r>
        <w:rPr>
          <w:rFonts w:hint="eastAsia" w:ascii="黑体" w:hAnsi="黑体" w:eastAsia="黑体"/>
          <w:sz w:val="32"/>
          <w:szCs w:val="32"/>
        </w:rPr>
        <w:t>四、评价结论和评价等级</w:t>
      </w:r>
    </w:p>
    <w:p>
      <w:pPr>
        <w:numPr>
          <w:ilvl w:val="0"/>
          <w:numId w:val="0"/>
        </w:numPr>
        <w:spacing w:line="560" w:lineRule="exact"/>
        <w:ind w:firstLine="640" w:firstLineChars="200"/>
        <w:rPr>
          <w:rFonts w:hint="default" w:ascii="仿宋_GB2312" w:hAnsi="仿宋_GB2312" w:eastAsia="仿宋_GB2312" w:cs="仿宋_GB2312"/>
          <w:color w:val="C00000"/>
          <w:lang w:val="en-US" w:eastAsia="zh-CN"/>
        </w:rPr>
      </w:pPr>
      <w:r>
        <w:rPr>
          <w:rFonts w:hint="eastAsia" w:ascii="仿宋_GB2312" w:hAnsi="仿宋_GB2312" w:eastAsia="仿宋_GB2312" w:cs="仿宋_GB2312"/>
          <w:sz w:val="32"/>
          <w:szCs w:val="32"/>
          <w:lang w:val="en-US" w:eastAsia="zh-CN"/>
        </w:rPr>
        <w:t>根据项目执行情况和项目绩效情况：1.</w:t>
      </w:r>
      <w:r>
        <w:rPr>
          <w:rFonts w:hint="eastAsia" w:ascii="仿宋_GB2312" w:hAnsi="仿宋_GB2312" w:eastAsia="仿宋_GB2312" w:cs="仿宋_GB2312"/>
          <w:b w:val="0"/>
          <w:bCs w:val="0"/>
          <w:sz w:val="32"/>
          <w:szCs w:val="32"/>
          <w:lang w:val="en-US" w:eastAsia="zh-CN"/>
        </w:rPr>
        <w:t>纪检监察业务费</w:t>
      </w:r>
      <w:r>
        <w:rPr>
          <w:rFonts w:hint="eastAsia" w:ascii="仿宋_GB2312" w:hAnsi="仿宋_GB2312" w:eastAsia="仿宋_GB2312" w:cs="仿宋_GB2312"/>
          <w:sz w:val="32"/>
          <w:szCs w:val="32"/>
          <w:lang w:val="en-US" w:eastAsia="zh-CN"/>
        </w:rPr>
        <w:t>91分，优秀。2.乡镇纪检监察业务费97.5分，优秀。3.巡察巡视专项经费94.1分，优秀。4.办案一体化平台建设98分，优秀。</w:t>
      </w:r>
      <w:r>
        <w:rPr>
          <w:rFonts w:hint="eastAsia" w:ascii="仿宋_GB2312" w:hAnsi="仿宋_GB2312" w:eastAsia="仿宋_GB2312" w:cs="仿宋_GB2312"/>
          <w:color w:val="auto"/>
          <w:sz w:val="32"/>
          <w:szCs w:val="32"/>
          <w:lang w:val="en-US" w:eastAsia="zh-CN"/>
        </w:rPr>
        <w:t>5.巡察信息化建设平台建设</w:t>
      </w:r>
      <w:r>
        <w:rPr>
          <w:rFonts w:hint="eastAsia" w:ascii="仿宋_GB2312" w:hAnsi="仿宋_GB2312" w:eastAsia="仿宋_GB2312" w:cs="仿宋_GB2312"/>
          <w:color w:val="auto"/>
          <w:kern w:val="2"/>
          <w:sz w:val="32"/>
          <w:szCs w:val="32"/>
          <w:lang w:val="en-US" w:eastAsia="zh-CN" w:bidi="ar-SA"/>
        </w:rPr>
        <w:t>97分，优秀。6.中央转移支付资金99分，优秀。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项目绩效评估指标设置不够专业，缺乏量化标准，评估主观性强。</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keepNext w:val="0"/>
        <w:keepLines w:val="0"/>
        <w:pageBreakBefore w:val="0"/>
        <w:widowControl w:val="0"/>
        <w:kinsoku/>
        <w:wordWrap/>
        <w:topLinePunct w:val="0"/>
        <w:autoSpaceDE/>
        <w:autoSpaceDN/>
        <w:bidi w:val="0"/>
        <w:spacing w:line="578" w:lineRule="exact"/>
        <w:ind w:firstLine="640" w:firstLineChars="200"/>
        <w:rPr>
          <w:rFonts w:hint="default"/>
          <w:lang w:val="en-US" w:eastAsia="zh-CN"/>
        </w:rPr>
      </w:pPr>
      <w:r>
        <w:rPr>
          <w:rFonts w:hint="eastAsia" w:ascii="仿宋_GB2312" w:hAnsi="仿宋_GB2312" w:eastAsia="仿宋_GB2312" w:cs="仿宋_GB2312"/>
          <w:sz w:val="32"/>
          <w:szCs w:val="32"/>
          <w:lang w:val="en-US" w:eastAsia="zh-CN"/>
        </w:rPr>
        <w:t>措施：1.制定科学合理的绩效评估指标和评估方法，确保绩效评估结果客观公正。2.针对预算执行率不高的项目，年初制定合理的项目预算，项目过程中监控，及时调整。3.加强与财政绩效科的沟通协调，按照绩效评价原则，开展资金安全性、规范性的监督，确保专项资金的使用符合绩效管理要求。</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11"/>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豆立功</w:t>
      </w:r>
      <w:r>
        <w:rPr>
          <w:rFonts w:hint="eastAsia" w:ascii="仿宋_GB2312" w:hAnsi="仿宋_GB2312" w:eastAsia="仿宋_GB2312" w:cs="仿宋_GB2312"/>
          <w:sz w:val="32"/>
          <w:szCs w:val="32"/>
          <w:lang w:val="en-US" w:eastAsia="zh-CN"/>
        </w:rPr>
        <w:t xml:space="preserve">  办公室主任、二级主任科员</w:t>
      </w:r>
    </w:p>
    <w:p>
      <w:pPr>
        <w:pStyle w:val="11"/>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杨楠    党风政风监督室主任</w:t>
      </w:r>
    </w:p>
    <w:p>
      <w:pPr>
        <w:pStyle w:val="11"/>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王洋    区委廉政教育中心主任</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E61932"/>
    <w:multiLevelType w:val="singleLevel"/>
    <w:tmpl w:val="8BE61932"/>
    <w:lvl w:ilvl="0" w:tentative="0">
      <w:start w:val="5"/>
      <w:numFmt w:val="decimal"/>
      <w:lvlText w:val="%1."/>
      <w:lvlJc w:val="left"/>
      <w:pPr>
        <w:tabs>
          <w:tab w:val="left" w:pos="312"/>
        </w:tabs>
        <w:ind w:left="480" w:leftChars="0" w:firstLine="0" w:firstLineChars="0"/>
      </w:pPr>
    </w:lvl>
  </w:abstractNum>
  <w:abstractNum w:abstractNumId="1">
    <w:nsid w:val="AC263DB5"/>
    <w:multiLevelType w:val="singleLevel"/>
    <w:tmpl w:val="AC263DB5"/>
    <w:lvl w:ilvl="0" w:tentative="0">
      <w:start w:val="3"/>
      <w:numFmt w:val="decimal"/>
      <w:lvlText w:val="%1."/>
      <w:lvlJc w:val="left"/>
      <w:pPr>
        <w:tabs>
          <w:tab w:val="left" w:pos="312"/>
        </w:tabs>
      </w:p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4015"/>
    <w:rsid w:val="007E6C1F"/>
    <w:rsid w:val="00956A93"/>
    <w:rsid w:val="009E575C"/>
    <w:rsid w:val="00AF167E"/>
    <w:rsid w:val="00AF566A"/>
    <w:rsid w:val="00B478EA"/>
    <w:rsid w:val="00B6553A"/>
    <w:rsid w:val="00BC6576"/>
    <w:rsid w:val="00CE06BA"/>
    <w:rsid w:val="00F441CC"/>
    <w:rsid w:val="017B30C0"/>
    <w:rsid w:val="01AB5DF6"/>
    <w:rsid w:val="01B104CA"/>
    <w:rsid w:val="02106AB0"/>
    <w:rsid w:val="02B43A28"/>
    <w:rsid w:val="02C51A74"/>
    <w:rsid w:val="032B2879"/>
    <w:rsid w:val="035B5702"/>
    <w:rsid w:val="045F7637"/>
    <w:rsid w:val="046F331E"/>
    <w:rsid w:val="05DF1A88"/>
    <w:rsid w:val="061A6A13"/>
    <w:rsid w:val="0630109B"/>
    <w:rsid w:val="069713E4"/>
    <w:rsid w:val="06A44794"/>
    <w:rsid w:val="06F87A9A"/>
    <w:rsid w:val="077113CC"/>
    <w:rsid w:val="07956271"/>
    <w:rsid w:val="079F680F"/>
    <w:rsid w:val="07E601E5"/>
    <w:rsid w:val="08272D5A"/>
    <w:rsid w:val="08A92D8C"/>
    <w:rsid w:val="08E35BA2"/>
    <w:rsid w:val="08EE4F0A"/>
    <w:rsid w:val="093875F8"/>
    <w:rsid w:val="09721397"/>
    <w:rsid w:val="0A277219"/>
    <w:rsid w:val="0A6B06B5"/>
    <w:rsid w:val="0AC14F7E"/>
    <w:rsid w:val="0AF15CA3"/>
    <w:rsid w:val="0BB63BED"/>
    <w:rsid w:val="0BFE754B"/>
    <w:rsid w:val="0D3A4542"/>
    <w:rsid w:val="0D480B50"/>
    <w:rsid w:val="0E283DD1"/>
    <w:rsid w:val="0E2B53B5"/>
    <w:rsid w:val="0E701B7F"/>
    <w:rsid w:val="0EA23B55"/>
    <w:rsid w:val="0EB97A43"/>
    <w:rsid w:val="0EBD2122"/>
    <w:rsid w:val="0ED00B30"/>
    <w:rsid w:val="0F214EAE"/>
    <w:rsid w:val="0F7179E5"/>
    <w:rsid w:val="0FBE4754"/>
    <w:rsid w:val="0FF96230"/>
    <w:rsid w:val="1057315A"/>
    <w:rsid w:val="109011C1"/>
    <w:rsid w:val="109333C0"/>
    <w:rsid w:val="114866D0"/>
    <w:rsid w:val="11A519E7"/>
    <w:rsid w:val="11B71E6A"/>
    <w:rsid w:val="11C56D1B"/>
    <w:rsid w:val="12D2628C"/>
    <w:rsid w:val="13451BD9"/>
    <w:rsid w:val="14D37DB8"/>
    <w:rsid w:val="15353059"/>
    <w:rsid w:val="15356823"/>
    <w:rsid w:val="18FF4775"/>
    <w:rsid w:val="19091D99"/>
    <w:rsid w:val="1A0B1EF0"/>
    <w:rsid w:val="1AAF0063"/>
    <w:rsid w:val="1ACF330A"/>
    <w:rsid w:val="1B221A8F"/>
    <w:rsid w:val="1BE140DE"/>
    <w:rsid w:val="1C1E64AF"/>
    <w:rsid w:val="1D07548F"/>
    <w:rsid w:val="1DFD4CF9"/>
    <w:rsid w:val="1F220215"/>
    <w:rsid w:val="1F296315"/>
    <w:rsid w:val="1FEC076E"/>
    <w:rsid w:val="203A3726"/>
    <w:rsid w:val="21870379"/>
    <w:rsid w:val="21B70742"/>
    <w:rsid w:val="222F6916"/>
    <w:rsid w:val="229B0D79"/>
    <w:rsid w:val="232531F5"/>
    <w:rsid w:val="233C68DC"/>
    <w:rsid w:val="2364201F"/>
    <w:rsid w:val="23E36A84"/>
    <w:rsid w:val="247533D8"/>
    <w:rsid w:val="248C197D"/>
    <w:rsid w:val="24E73020"/>
    <w:rsid w:val="252959AF"/>
    <w:rsid w:val="262074A0"/>
    <w:rsid w:val="26D37563"/>
    <w:rsid w:val="277A6671"/>
    <w:rsid w:val="2801545A"/>
    <w:rsid w:val="2895092F"/>
    <w:rsid w:val="289D5FE9"/>
    <w:rsid w:val="292D35B7"/>
    <w:rsid w:val="295D1F1A"/>
    <w:rsid w:val="298270C0"/>
    <w:rsid w:val="299B4FB9"/>
    <w:rsid w:val="2B367A27"/>
    <w:rsid w:val="2BD006A6"/>
    <w:rsid w:val="2BFE1A97"/>
    <w:rsid w:val="2C540DCB"/>
    <w:rsid w:val="2C9727BE"/>
    <w:rsid w:val="2D607001"/>
    <w:rsid w:val="2D65261D"/>
    <w:rsid w:val="2E400BEE"/>
    <w:rsid w:val="2EAF7CFC"/>
    <w:rsid w:val="2EE23DA1"/>
    <w:rsid w:val="30404316"/>
    <w:rsid w:val="3093617D"/>
    <w:rsid w:val="31951BED"/>
    <w:rsid w:val="31A400CB"/>
    <w:rsid w:val="3204001F"/>
    <w:rsid w:val="3250001A"/>
    <w:rsid w:val="32817910"/>
    <w:rsid w:val="32A45F5E"/>
    <w:rsid w:val="32EC6CC2"/>
    <w:rsid w:val="33017FD7"/>
    <w:rsid w:val="3390162D"/>
    <w:rsid w:val="3394781F"/>
    <w:rsid w:val="33EA09B4"/>
    <w:rsid w:val="33EB6CFF"/>
    <w:rsid w:val="34B62DCC"/>
    <w:rsid w:val="35A12947"/>
    <w:rsid w:val="36BE38ED"/>
    <w:rsid w:val="37387040"/>
    <w:rsid w:val="37BB4835"/>
    <w:rsid w:val="3875319E"/>
    <w:rsid w:val="38F41093"/>
    <w:rsid w:val="3928193B"/>
    <w:rsid w:val="39EB5322"/>
    <w:rsid w:val="3B625C0A"/>
    <w:rsid w:val="3BCD3469"/>
    <w:rsid w:val="3C0B7B0F"/>
    <w:rsid w:val="3CEE1963"/>
    <w:rsid w:val="3D3F2FAB"/>
    <w:rsid w:val="3D513BA1"/>
    <w:rsid w:val="3E794E78"/>
    <w:rsid w:val="3E7D1438"/>
    <w:rsid w:val="3F3E16E8"/>
    <w:rsid w:val="3F5A5E55"/>
    <w:rsid w:val="3F93165A"/>
    <w:rsid w:val="3FF077F6"/>
    <w:rsid w:val="434774ED"/>
    <w:rsid w:val="436B78D3"/>
    <w:rsid w:val="451D1EB7"/>
    <w:rsid w:val="45F50C5C"/>
    <w:rsid w:val="468D4D4B"/>
    <w:rsid w:val="47A15D2F"/>
    <w:rsid w:val="48010ED3"/>
    <w:rsid w:val="48AD604A"/>
    <w:rsid w:val="48BD0863"/>
    <w:rsid w:val="49305C97"/>
    <w:rsid w:val="4A4D30D0"/>
    <w:rsid w:val="4A4D7CF5"/>
    <w:rsid w:val="4B061C55"/>
    <w:rsid w:val="4C9C27FE"/>
    <w:rsid w:val="4CE40897"/>
    <w:rsid w:val="4D6C4743"/>
    <w:rsid w:val="4E566091"/>
    <w:rsid w:val="4F843B05"/>
    <w:rsid w:val="501B4D5B"/>
    <w:rsid w:val="50A1659E"/>
    <w:rsid w:val="512260B4"/>
    <w:rsid w:val="51232581"/>
    <w:rsid w:val="528A0579"/>
    <w:rsid w:val="52BD6ACB"/>
    <w:rsid w:val="52EC2DA6"/>
    <w:rsid w:val="52EE3131"/>
    <w:rsid w:val="547C1AD5"/>
    <w:rsid w:val="55537534"/>
    <w:rsid w:val="55AE3CCC"/>
    <w:rsid w:val="55B27940"/>
    <w:rsid w:val="55D81C71"/>
    <w:rsid w:val="55DA4515"/>
    <w:rsid w:val="55E91362"/>
    <w:rsid w:val="55EC3C30"/>
    <w:rsid w:val="561A74F1"/>
    <w:rsid w:val="576B12C7"/>
    <w:rsid w:val="57F27EB4"/>
    <w:rsid w:val="57F6355F"/>
    <w:rsid w:val="584858D9"/>
    <w:rsid w:val="58CC3432"/>
    <w:rsid w:val="5947398E"/>
    <w:rsid w:val="595E53AE"/>
    <w:rsid w:val="597244E8"/>
    <w:rsid w:val="5A9F5239"/>
    <w:rsid w:val="5AA80549"/>
    <w:rsid w:val="5BDE0D11"/>
    <w:rsid w:val="5DD56503"/>
    <w:rsid w:val="5EB71C30"/>
    <w:rsid w:val="602D580B"/>
    <w:rsid w:val="60B6009B"/>
    <w:rsid w:val="60BB427C"/>
    <w:rsid w:val="61173123"/>
    <w:rsid w:val="613C017D"/>
    <w:rsid w:val="634718C9"/>
    <w:rsid w:val="634B3FC6"/>
    <w:rsid w:val="6368323D"/>
    <w:rsid w:val="63EB3189"/>
    <w:rsid w:val="6500511D"/>
    <w:rsid w:val="65E55821"/>
    <w:rsid w:val="660221F0"/>
    <w:rsid w:val="665276CB"/>
    <w:rsid w:val="66AF0CE5"/>
    <w:rsid w:val="66D60CC4"/>
    <w:rsid w:val="67C36810"/>
    <w:rsid w:val="68832120"/>
    <w:rsid w:val="69440121"/>
    <w:rsid w:val="69761EAA"/>
    <w:rsid w:val="6A944000"/>
    <w:rsid w:val="6AC537CF"/>
    <w:rsid w:val="6D044365"/>
    <w:rsid w:val="6E5B14A6"/>
    <w:rsid w:val="6F660EF5"/>
    <w:rsid w:val="6F7277FE"/>
    <w:rsid w:val="6FED0388"/>
    <w:rsid w:val="70175990"/>
    <w:rsid w:val="70A20F88"/>
    <w:rsid w:val="70BE17FE"/>
    <w:rsid w:val="711B255E"/>
    <w:rsid w:val="71617E94"/>
    <w:rsid w:val="71FF5FA3"/>
    <w:rsid w:val="73457D87"/>
    <w:rsid w:val="735B56D0"/>
    <w:rsid w:val="73EE1255"/>
    <w:rsid w:val="73FA6A09"/>
    <w:rsid w:val="746F1D15"/>
    <w:rsid w:val="74AB530E"/>
    <w:rsid w:val="75736724"/>
    <w:rsid w:val="776A0B4D"/>
    <w:rsid w:val="779C6CE2"/>
    <w:rsid w:val="786E328A"/>
    <w:rsid w:val="78D83037"/>
    <w:rsid w:val="7957407F"/>
    <w:rsid w:val="79810E7A"/>
    <w:rsid w:val="79DA4E7D"/>
    <w:rsid w:val="7B3070C9"/>
    <w:rsid w:val="7BB51E06"/>
    <w:rsid w:val="7BCB3F53"/>
    <w:rsid w:val="7C387F7C"/>
    <w:rsid w:val="7C726ED3"/>
    <w:rsid w:val="7E2861D1"/>
    <w:rsid w:val="7E8A21A9"/>
    <w:rsid w:val="7F413842"/>
    <w:rsid w:val="7FC2098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1"/>
    <w:pPr>
      <w:widowControl w:val="0"/>
      <w:adjustRightInd/>
      <w:snapToGrid/>
      <w:spacing w:after="0"/>
      <w:jc w:val="both"/>
    </w:pPr>
    <w:rPr>
      <w:rFonts w:ascii="宋体" w:hAnsi="宋体" w:eastAsia="仿宋_GB2312" w:cs="Times New Roman"/>
      <w:kern w:val="2"/>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正文-公1"/>
    <w:basedOn w:val="8"/>
    <w:next w:val="1"/>
    <w:qFormat/>
    <w:uiPriority w:val="0"/>
    <w:pPr>
      <w:ind w:firstLine="200" w:firstLineChars="200"/>
    </w:pPr>
  </w:style>
  <w:style w:type="paragraph" w:customStyle="1" w:styleId="8">
    <w:name w:val="正文 New New New New New New New New New New New New New New New New New New New New New New New New New New New New New New New New New New New New New New New New New New New New New New New New New New New New New New New New New New New New New New Ne"/>
    <w:next w:val="7"/>
    <w:qFormat/>
    <w:uiPriority w:val="0"/>
    <w:pPr>
      <w:widowControl w:val="0"/>
      <w:jc w:val="both"/>
    </w:pPr>
    <w:rPr>
      <w:rFonts w:ascii="Times New Roman" w:hAnsi="Times New Roman" w:eastAsia="宋体" w:cs="Times New Roman"/>
      <w:kern w:val="2"/>
      <w:sz w:val="21"/>
      <w:lang w:val="en-US" w:eastAsia="zh-CN"/>
    </w:rPr>
  </w:style>
  <w:style w:type="paragraph" w:customStyle="1" w:styleId="9">
    <w:name w:val="Body Text First Indent 21"/>
    <w:basedOn w:val="10"/>
    <w:next w:val="1"/>
    <w:qFormat/>
    <w:uiPriority w:val="0"/>
    <w:pPr>
      <w:spacing w:line="360" w:lineRule="auto"/>
      <w:ind w:firstLine="420" w:firstLineChars="200"/>
    </w:pPr>
  </w:style>
  <w:style w:type="paragraph" w:customStyle="1" w:styleId="10">
    <w:name w:val="Body Text Indent1"/>
    <w:basedOn w:val="1"/>
    <w:qFormat/>
    <w:uiPriority w:val="0"/>
    <w:pPr>
      <w:spacing w:line="560" w:lineRule="exact"/>
      <w:ind w:firstLine="600"/>
    </w:pPr>
    <w:rPr>
      <w:szCs w:val="24"/>
    </w:rPr>
  </w:style>
  <w:style w:type="paragraph" w:customStyle="1" w:styleId="11">
    <w:name w:val="_Style 1"/>
    <w:unhideWhenUsed/>
    <w:qFormat/>
    <w:uiPriority w:val="1"/>
    <w:pPr>
      <w:widowControl w:val="0"/>
      <w:jc w:val="both"/>
    </w:pPr>
    <w:rPr>
      <w:rFonts w:hint="eastAsia" w:ascii="宋体" w:hAnsi="宋体" w:eastAsia="宋体" w:cs="Times New Roman"/>
      <w:kern w:val="2"/>
      <w:sz w:val="32"/>
      <w:szCs w:val="22"/>
      <w:lang w:val="en-US" w:eastAsia="zh-CN" w:bidi="ar-SA"/>
    </w:rPr>
  </w:style>
  <w:style w:type="paragraph" w:customStyle="1" w:styleId="12">
    <w:name w:val="插入文本样式-插入总体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2968</Words>
  <Characters>3096</Characters>
  <Lines>4</Lines>
  <Paragraphs>1</Paragraphs>
  <TotalTime>2</TotalTime>
  <ScaleCrop>false</ScaleCrop>
  <LinksUpToDate>false</LinksUpToDate>
  <CharactersWithSpaces>3131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2026-05-25T01:25:16Z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ies>
</file>