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ms-word.document.macroEnabled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AFD1B1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</w:t>
      </w:r>
    </w:p>
    <w:p w14:paraId="630C59CD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6BDDF9E4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中共石家庄市鹿泉区委老干部局部门</w:t>
      </w:r>
    </w:p>
    <w:p w14:paraId="3DC899A9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671CB230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52ECCE4D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贯彻落实石家庄市鹿泉区人民政府《关于全面实施预算绩效管理的实施意见》（鹿发〔2019〕8号）文件精神，遵循“科学性、规范性、客观性和公正性”的原则，对中共石家庄市鹿泉区委老干部局部门202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61B34B45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365B741A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79CEDA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>1.部门职能</w:t>
      </w:r>
    </w:p>
    <w:p w14:paraId="186EE0D8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1.全面贯彻加强党对离退休干部工作的集中统一领导要求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负责宣传贯彻落实党中央、国务院和省、市、区党委、政府关于离退休干部工作的方针政策、措施等</w:t>
      </w:r>
      <w:r>
        <w:rPr>
          <w:rFonts w:hint="eastAsia" w:ascii="仿宋" w:hAnsi="仿宋" w:eastAsia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/>
          <w:sz w:val="32"/>
          <w:szCs w:val="32"/>
        </w:rPr>
        <w:t>拟订或参与拟订全区离退休干部工作有关具体规定和办法</w:t>
      </w:r>
      <w:r>
        <w:rPr>
          <w:rFonts w:hint="eastAsia" w:ascii="仿宋" w:hAnsi="仿宋" w:eastAsia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/>
          <w:sz w:val="32"/>
          <w:szCs w:val="32"/>
        </w:rPr>
        <w:t>总结宣传全区离退休干部工作和先进典型。</w:t>
      </w:r>
    </w:p>
    <w:p w14:paraId="310FC4C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2.负责指导、督促、检查全区的离退休干部工作；组织和协调有关部门做好离退休干部工作。</w:t>
      </w:r>
    </w:p>
    <w:p w14:paraId="56682990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3.负责督促检查各乡（镇、区）和区直各部门落实离退休干部的政治和生活待遇，组织做好走访慰问工作；督促检查离休干部“两费”(离休费、医药费)落实情况</w:t>
      </w:r>
      <w:r>
        <w:rPr>
          <w:rFonts w:hint="eastAsia" w:ascii="仿宋" w:hAnsi="仿宋" w:eastAsia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/>
          <w:sz w:val="32"/>
          <w:szCs w:val="32"/>
        </w:rPr>
        <w:t>调查研究离退休干部政治和生活待遇中存在的问题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协调有关部门提出解决办法。</w:t>
      </w:r>
    </w:p>
    <w:p w14:paraId="450D7161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4.加强对全区离退休干部的政治引领和教育管理。负责做好新形势下离退休干部党组织建设工作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拟订离退休干部思想政治工作的制度办法和措施</w:t>
      </w:r>
      <w:r>
        <w:rPr>
          <w:rFonts w:hint="eastAsia" w:ascii="仿宋" w:hAnsi="仿宋" w:eastAsia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/>
          <w:sz w:val="32"/>
          <w:szCs w:val="32"/>
        </w:rPr>
        <w:t>组织开展离退休干部党组织书记的教育培训工作。</w:t>
      </w:r>
    </w:p>
    <w:p w14:paraId="142175AA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5.指导全区老干部活动中心等活动阵地建设与管理。</w:t>
      </w:r>
    </w:p>
    <w:p w14:paraId="65C41FFB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6.指导各乡（镇、区）和区直各部门组织离退休干部利用自身优势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在政治、经济、文化和青少年教育等各领域发挥作用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增添正能量。</w:t>
      </w:r>
    </w:p>
    <w:p w14:paraId="286127FB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7.了解离退休干部对医疗保健方面的意见和要求。组织指导离退休干部开展健康科学的文化健身、保健讲座、参观学习等活动。</w:t>
      </w:r>
    </w:p>
    <w:p w14:paraId="6AB28CA1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8.负责易地安置离休干部服务管理工作。</w:t>
      </w:r>
    </w:p>
    <w:p w14:paraId="589F7CA0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9.会同有关部门拟订治丧办法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指导逝世老干部的善后工作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协助承办区委交办的丧葬事宜。</w:t>
      </w:r>
    </w:p>
    <w:p w14:paraId="3CEF916D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10.承担区老干部工作领导小组、区关心下一代工作委员会的日常工作。</w:t>
      </w:r>
    </w:p>
    <w:p w14:paraId="7BF23F6D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11.完成区委交办的其他任务。</w:t>
      </w:r>
    </w:p>
    <w:p w14:paraId="336897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>2.组织机构及人员</w:t>
      </w:r>
    </w:p>
    <w:p w14:paraId="236F67B6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中共石家庄市鹿泉区委老干部局是由财政拨款的正科级行政单位，下设办公室，其所属事业单位为石家庄市鹿泉区老干部活动中心。部门共有15个编制，其中行政编6名，事业编9名。</w:t>
      </w:r>
    </w:p>
    <w:p w14:paraId="5247C5CD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4E0BE293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本部门2025年度决算收入合计540.80万元，支出合计540.80万元；本部门2025年度预算收入合计516.40万元，支出合计516.40万元。</w:t>
      </w:r>
    </w:p>
    <w:p w14:paraId="2A4D3690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7F662D13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1.总体绩效目标</w:t>
      </w:r>
    </w:p>
    <w:p w14:paraId="4520832B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以贯彻落实党和国家关于离退休干部的方针政策为目标。全面落实全区离休干部政治、生活待遇，组织离退休干部开展有益身心健康的各项文体活动，充分发挥离退休干部的政治、经验、威望等优势，为我区各项事业发展发挥作用。全年召开处级老干部座谈会和不同层次老干部座谈会各1次，走访慰问老干部2次；利用重大节日举办文艺演出1次；举办老年大学书画展1次；开展基层老干部文体活动1次。</w:t>
      </w:r>
    </w:p>
    <w:p w14:paraId="2A499B27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2.分项绩效目标</w:t>
      </w:r>
    </w:p>
    <w:p w14:paraId="5ABBC08B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一、加强离退休干部思想政治建设，组织开展各项有益身心健康的活动</w:t>
      </w:r>
    </w:p>
    <w:p w14:paraId="589C548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贯彻落实国家关于离退休干部的方针政策，组织离退休干部阅文和学习并参加报告会、通报会、参观经济建设等政治活动，重大节日走访慰问，全面落实老干部政治待遇。落实离退休干部生活待遇“3+2”机制，让每位老干部感受到政治上的关心、生活上的爱护。</w:t>
      </w:r>
    </w:p>
    <w:p w14:paraId="73972F27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绩效指标：组织组织全区老干部政治理论学习5次；举办文艺演出1次；举办老年大学书画展1次；开展基层老干部文体活动1次。</w:t>
      </w:r>
    </w:p>
    <w:p w14:paraId="235FD7BA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二、认真落实企业离休干部政治生活待遇</w:t>
      </w:r>
    </w:p>
    <w:p w14:paraId="70AD326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绩效目标：认真落实企业离休干部政治生活待遇，充分体现党和政府对企业离休干部的关怀。</w:t>
      </w:r>
      <w:bookmarkStart w:id="0" w:name="_GoBack"/>
      <w:bookmarkEnd w:id="0"/>
    </w:p>
    <w:p w14:paraId="19F5FE72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绩效指标：中秋节、春节期间慰问企业离休干部和副处以上离退休干部，组织召开处级老干部情况通报及座谈会。</w:t>
      </w:r>
    </w:p>
    <w:p w14:paraId="1285FB71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390BCED4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1C6DE812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根据《关于全面实施预算绩效管理的实施意见》（鹿发﹝2019﹞8号）文件要求，对自评工作进行研究和部署。</w:t>
      </w:r>
    </w:p>
    <w:p w14:paraId="480068EA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0" w:firstLineChars="200"/>
        <w:textAlignment w:val="auto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</w:t>
      </w: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二</w:t>
      </w:r>
      <w:r>
        <w:rPr>
          <w:rFonts w:hint="eastAsia" w:ascii="楷体" w:hAnsi="楷体" w:eastAsia="楷体" w:cs="楷体_GB2312"/>
          <w:bCs/>
          <w:sz w:val="32"/>
          <w:szCs w:val="32"/>
        </w:rPr>
        <w:t>）自评的方法和过程</w:t>
      </w:r>
    </w:p>
    <w:p w14:paraId="1B7C7EAD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0" w:firstLineChars="2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对照各实施项目的内容逐条逐项自评。部门整体支出绩效数据采集的主要依据有：年度预算报告、决算报表、单位年终考核汇编等资料。</w:t>
      </w:r>
    </w:p>
    <w:p w14:paraId="3EA383F0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220965A2">
      <w:pPr>
        <w:numPr>
          <w:ilvl w:val="0"/>
          <w:numId w:val="2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7CB77EEE">
      <w:pPr>
        <w:spacing w:line="560" w:lineRule="exact"/>
        <w:ind w:firstLine="640" w:firstLineChars="200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经过一年的工作，已经实现了贯彻落实党和国家关于离退休干部的方针政策的目标。全面落实全区离休干部政治、生活待遇，组织离退休干部开展有益身心健康的各项文体活动，充分发挥离退休干部的政治、经验、威望等优势，为我区各项事业发展发挥作用。全年利用重大节日举办文艺演出1次；举办老年大学书画展1次；开展基层老干部文体活动1次。安排照顾离退休干部晚年生活，解决离退休干部思想政治建设、党支部建设、各类文体活动的经费开支。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</w:t>
      </w:r>
    </w:p>
    <w:p w14:paraId="787028DE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3DB53288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本部门组织对“离退休特需费”、“企业离休公用经费及老干部专项活动经费”等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个一级项目开展了评价，涉及一般公共预算支出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62.97</w:t>
      </w:r>
      <w:r>
        <w:rPr>
          <w:rFonts w:hint="eastAsia" w:ascii="仿宋" w:hAnsi="仿宋" w:eastAsia="仿宋"/>
          <w:sz w:val="32"/>
          <w:szCs w:val="32"/>
        </w:rPr>
        <w:t>万元。从评价情况来看，评价结果均为优秀。</w:t>
      </w:r>
    </w:p>
    <w:tbl>
      <w:tblPr>
        <w:tblStyle w:val="5"/>
        <w:tblpPr w:leftFromText="180" w:rightFromText="180" w:vertAnchor="text" w:tblpXSpec="center" w:tblpY="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8"/>
        <w:gridCol w:w="1496"/>
        <w:gridCol w:w="1132"/>
        <w:gridCol w:w="1132"/>
        <w:gridCol w:w="1133"/>
        <w:gridCol w:w="1133"/>
        <w:gridCol w:w="1133"/>
        <w:gridCol w:w="1133"/>
      </w:tblGrid>
      <w:tr w14:paraId="7A0418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68" w:type="dxa"/>
            <w:vAlign w:val="center"/>
          </w:tcPr>
          <w:p w14:paraId="4C4C43F4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序号</w:t>
            </w:r>
          </w:p>
        </w:tc>
        <w:tc>
          <w:tcPr>
            <w:tcW w:w="1496" w:type="dxa"/>
            <w:vAlign w:val="center"/>
          </w:tcPr>
          <w:p w14:paraId="34CD5087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1132" w:type="dxa"/>
            <w:vAlign w:val="center"/>
          </w:tcPr>
          <w:p w14:paraId="55200A62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项目实施单位</w:t>
            </w:r>
          </w:p>
        </w:tc>
        <w:tc>
          <w:tcPr>
            <w:tcW w:w="1132" w:type="dxa"/>
            <w:vAlign w:val="center"/>
          </w:tcPr>
          <w:p w14:paraId="70141B4D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预算数（调整后）</w:t>
            </w:r>
          </w:p>
        </w:tc>
        <w:tc>
          <w:tcPr>
            <w:tcW w:w="1133" w:type="dxa"/>
            <w:vAlign w:val="center"/>
          </w:tcPr>
          <w:p w14:paraId="278ACA5A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执行时（至20</w:t>
            </w: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24</w:t>
            </w: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年底）</w:t>
            </w:r>
          </w:p>
        </w:tc>
        <w:tc>
          <w:tcPr>
            <w:tcW w:w="1133" w:type="dxa"/>
            <w:vAlign w:val="center"/>
          </w:tcPr>
          <w:p w14:paraId="3B4CE009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结余交回财政数</w:t>
            </w:r>
          </w:p>
        </w:tc>
        <w:tc>
          <w:tcPr>
            <w:tcW w:w="1133" w:type="dxa"/>
            <w:vAlign w:val="center"/>
          </w:tcPr>
          <w:p w14:paraId="7F6BADE5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 w14:paraId="72943375">
            <w:pPr>
              <w:bidi w:val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  <w:t>自评得分</w:t>
            </w:r>
          </w:p>
        </w:tc>
        <w:tc>
          <w:tcPr>
            <w:tcW w:w="1133" w:type="dxa"/>
            <w:vAlign w:val="center"/>
          </w:tcPr>
          <w:p w14:paraId="19ABD45A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 w14:paraId="1D3AAE5F">
            <w:pPr>
              <w:bidi w:val="0"/>
              <w:jc w:val="center"/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自评结果</w:t>
            </w:r>
          </w:p>
        </w:tc>
      </w:tr>
      <w:tr w14:paraId="157810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68" w:type="dxa"/>
            <w:vAlign w:val="center"/>
          </w:tcPr>
          <w:p w14:paraId="49B9BA78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496" w:type="dxa"/>
            <w:vAlign w:val="center"/>
          </w:tcPr>
          <w:p w14:paraId="1F3D1DA2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离退休特需费</w:t>
            </w:r>
          </w:p>
        </w:tc>
        <w:tc>
          <w:tcPr>
            <w:tcW w:w="1132" w:type="dxa"/>
            <w:vAlign w:val="center"/>
          </w:tcPr>
          <w:p w14:paraId="3DF8189F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老干部局</w:t>
            </w:r>
          </w:p>
        </w:tc>
        <w:tc>
          <w:tcPr>
            <w:tcW w:w="1132" w:type="dxa"/>
            <w:vAlign w:val="center"/>
          </w:tcPr>
          <w:p w14:paraId="231DD94B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6</w:t>
            </w:r>
          </w:p>
        </w:tc>
        <w:tc>
          <w:tcPr>
            <w:tcW w:w="1133" w:type="dxa"/>
            <w:vAlign w:val="center"/>
          </w:tcPr>
          <w:p w14:paraId="205C888A">
            <w:pPr>
              <w:tabs>
                <w:tab w:val="left" w:pos="587"/>
              </w:tabs>
              <w:adjustRightInd w:val="0"/>
              <w:snapToGrid w:val="0"/>
              <w:spacing w:line="580" w:lineRule="exact"/>
              <w:jc w:val="left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ab/>
            </w: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6</w:t>
            </w:r>
          </w:p>
        </w:tc>
        <w:tc>
          <w:tcPr>
            <w:tcW w:w="1133" w:type="dxa"/>
            <w:vAlign w:val="center"/>
          </w:tcPr>
          <w:p w14:paraId="040032A0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center"/>
          </w:tcPr>
          <w:p w14:paraId="74E8DE57">
            <w:pPr>
              <w:bidi w:val="0"/>
              <w:jc w:val="center"/>
              <w:rPr>
                <w:rFonts w:hint="default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  <w:t>98</w:t>
            </w:r>
          </w:p>
        </w:tc>
        <w:tc>
          <w:tcPr>
            <w:tcW w:w="1133" w:type="dxa"/>
            <w:vAlign w:val="center"/>
          </w:tcPr>
          <w:p w14:paraId="71D5CD11">
            <w:pPr>
              <w:bidi w:val="0"/>
              <w:jc w:val="center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优秀</w:t>
            </w:r>
          </w:p>
        </w:tc>
      </w:tr>
      <w:tr w14:paraId="4C02DA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0" w:hRule="atLeast"/>
        </w:trPr>
        <w:tc>
          <w:tcPr>
            <w:tcW w:w="768" w:type="dxa"/>
            <w:vAlign w:val="center"/>
          </w:tcPr>
          <w:p w14:paraId="7B9A2CE6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496" w:type="dxa"/>
            <w:vAlign w:val="center"/>
          </w:tcPr>
          <w:p w14:paraId="0B4D3CB5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企业离休公用经费及老干部专项活动经费</w:t>
            </w:r>
          </w:p>
        </w:tc>
        <w:tc>
          <w:tcPr>
            <w:tcW w:w="1132" w:type="dxa"/>
            <w:vAlign w:val="center"/>
          </w:tcPr>
          <w:p w14:paraId="5BA85348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老干部局</w:t>
            </w:r>
          </w:p>
        </w:tc>
        <w:tc>
          <w:tcPr>
            <w:tcW w:w="1132" w:type="dxa"/>
            <w:vAlign w:val="center"/>
          </w:tcPr>
          <w:p w14:paraId="243B2556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50.97</w:t>
            </w:r>
          </w:p>
        </w:tc>
        <w:tc>
          <w:tcPr>
            <w:tcW w:w="1133" w:type="dxa"/>
            <w:vAlign w:val="center"/>
          </w:tcPr>
          <w:p w14:paraId="7EBF4418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50.97</w:t>
            </w:r>
          </w:p>
        </w:tc>
        <w:tc>
          <w:tcPr>
            <w:tcW w:w="1133" w:type="dxa"/>
            <w:vAlign w:val="center"/>
          </w:tcPr>
          <w:p w14:paraId="5D5F750E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center"/>
          </w:tcPr>
          <w:p w14:paraId="074498A6">
            <w:pPr>
              <w:bidi w:val="0"/>
              <w:jc w:val="center"/>
              <w:rPr>
                <w:rFonts w:hint="default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  <w:t>98</w:t>
            </w:r>
          </w:p>
        </w:tc>
        <w:tc>
          <w:tcPr>
            <w:tcW w:w="1133" w:type="dxa"/>
            <w:vAlign w:val="center"/>
          </w:tcPr>
          <w:p w14:paraId="1CE0F455">
            <w:pPr>
              <w:bidi w:val="0"/>
              <w:jc w:val="center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优秀</w:t>
            </w:r>
          </w:p>
        </w:tc>
      </w:tr>
      <w:tr w14:paraId="6E1A8F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68" w:type="dxa"/>
            <w:vAlign w:val="center"/>
          </w:tcPr>
          <w:p w14:paraId="63FD1370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496" w:type="dxa"/>
            <w:vAlign w:val="center"/>
          </w:tcPr>
          <w:p w14:paraId="02C0C333"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抗战时期及以前参加革命工作的离休干部一次性补助</w:t>
            </w:r>
          </w:p>
        </w:tc>
        <w:tc>
          <w:tcPr>
            <w:tcW w:w="1132" w:type="dxa"/>
            <w:vAlign w:val="center"/>
          </w:tcPr>
          <w:p w14:paraId="74B6D2B1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老干部局</w:t>
            </w:r>
          </w:p>
        </w:tc>
        <w:tc>
          <w:tcPr>
            <w:tcW w:w="1132" w:type="dxa"/>
            <w:vAlign w:val="center"/>
          </w:tcPr>
          <w:p w14:paraId="037216B5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6</w:t>
            </w:r>
          </w:p>
        </w:tc>
        <w:tc>
          <w:tcPr>
            <w:tcW w:w="1133" w:type="dxa"/>
            <w:vAlign w:val="center"/>
          </w:tcPr>
          <w:p w14:paraId="3B96D651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6</w:t>
            </w:r>
          </w:p>
        </w:tc>
        <w:tc>
          <w:tcPr>
            <w:tcW w:w="1133" w:type="dxa"/>
            <w:vAlign w:val="center"/>
          </w:tcPr>
          <w:p w14:paraId="63B7A912"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center"/>
          </w:tcPr>
          <w:p w14:paraId="4C54FFC4">
            <w:pPr>
              <w:bidi w:val="0"/>
              <w:jc w:val="center"/>
              <w:rPr>
                <w:rFonts w:hint="default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  <w:t>100</w:t>
            </w:r>
          </w:p>
        </w:tc>
        <w:tc>
          <w:tcPr>
            <w:tcW w:w="1133" w:type="dxa"/>
            <w:vAlign w:val="center"/>
          </w:tcPr>
          <w:p w14:paraId="673A266A">
            <w:pPr>
              <w:bidi w:val="0"/>
              <w:jc w:val="center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优秀</w:t>
            </w:r>
          </w:p>
        </w:tc>
      </w:tr>
    </w:tbl>
    <w:p w14:paraId="48114A77">
      <w:pPr>
        <w:spacing w:line="560" w:lineRule="exact"/>
        <w:rPr>
          <w:rFonts w:hint="eastAsia" w:ascii="仿宋" w:hAnsi="仿宋" w:eastAsia="仿宋"/>
          <w:sz w:val="32"/>
          <w:szCs w:val="32"/>
        </w:rPr>
      </w:pPr>
    </w:p>
    <w:p w14:paraId="0B22219C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1B0B2E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最终得分99</w:t>
      </w:r>
      <w:r>
        <w:rPr>
          <w:rFonts w:hint="eastAsia" w:ascii="仿宋" w:hAnsi="仿宋" w:eastAsia="仿宋"/>
          <w:sz w:val="32"/>
          <w:szCs w:val="32"/>
        </w:rPr>
        <w:t>分，综合绩效评价等级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为优秀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604EF2FA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4FCC5DBA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402D89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2025年参加活动人均费用低于预期指标值</w:t>
      </w:r>
      <w:r>
        <w:rPr>
          <w:rFonts w:hint="eastAsia" w:ascii="仿宋" w:hAnsi="仿宋" w:eastAsia="仿宋"/>
          <w:sz w:val="32"/>
          <w:szCs w:val="32"/>
        </w:rPr>
        <w:t>，该指标阈值设计不合理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6E347A8A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 w14:paraId="3FCC07DF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下一步</w:t>
      </w:r>
      <w:r>
        <w:rPr>
          <w:rFonts w:hint="eastAsia" w:ascii="仿宋" w:hAnsi="仿宋" w:eastAsia="仿宋"/>
          <w:sz w:val="32"/>
          <w:szCs w:val="32"/>
        </w:rPr>
        <w:t>将根据历史经验，更加科学地设计预期指标值。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altName w:val="Noto Music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Noto Music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楷体">
    <w:altName w:val="方正楷体_GBK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_GB2312">
    <w:altName w:val="方正楷体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Noto Music">
    <w:panose1 w:val="020B0502040504020204"/>
    <w:charset w:val="00"/>
    <w:family w:val="auto"/>
    <w:pitch w:val="default"/>
    <w:sig w:usb0="00000003" w:usb1="02006000" w:usb2="01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34AE3A">
    <w:pPr>
      <w:pStyle w:val="2"/>
    </w:pPr>
    <w:r>
      <w:pict>
        <v:shape id="Quad Arrow 3073" o:spid="_x0000_s3073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01FDC19C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DFF655C"/>
    <w:multiLevelType w:val="singleLevel"/>
    <w:tmpl w:val="BDFF655C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,3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B713F"/>
    <w:rsid w:val="00376610"/>
    <w:rsid w:val="007B43E1"/>
    <w:rsid w:val="007E6C1F"/>
    <w:rsid w:val="008E3731"/>
    <w:rsid w:val="00956A93"/>
    <w:rsid w:val="009E575C"/>
    <w:rsid w:val="009F674E"/>
    <w:rsid w:val="00AF167E"/>
    <w:rsid w:val="00AF566A"/>
    <w:rsid w:val="00B478EA"/>
    <w:rsid w:val="00B6553A"/>
    <w:rsid w:val="00BC6576"/>
    <w:rsid w:val="00C66976"/>
    <w:rsid w:val="00CE06BA"/>
    <w:rsid w:val="00E00E65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0F8C29DD"/>
    <w:rsid w:val="11B71E6A"/>
    <w:rsid w:val="1AAF0063"/>
    <w:rsid w:val="1BE140DE"/>
    <w:rsid w:val="248C197D"/>
    <w:rsid w:val="252959AF"/>
    <w:rsid w:val="277A6671"/>
    <w:rsid w:val="292D35B7"/>
    <w:rsid w:val="32817910"/>
    <w:rsid w:val="33EB6CFF"/>
    <w:rsid w:val="35A12947"/>
    <w:rsid w:val="37387040"/>
    <w:rsid w:val="37BFD1AC"/>
    <w:rsid w:val="3B625C0A"/>
    <w:rsid w:val="3CEE1963"/>
    <w:rsid w:val="3FDFD95F"/>
    <w:rsid w:val="436B78D3"/>
    <w:rsid w:val="45FDEEE5"/>
    <w:rsid w:val="4C9C27FE"/>
    <w:rsid w:val="4F5D3228"/>
    <w:rsid w:val="512260B4"/>
    <w:rsid w:val="52BD6ACB"/>
    <w:rsid w:val="55537534"/>
    <w:rsid w:val="561A74F1"/>
    <w:rsid w:val="58255193"/>
    <w:rsid w:val="597244E8"/>
    <w:rsid w:val="5EB71C30"/>
    <w:rsid w:val="66AF0CE5"/>
    <w:rsid w:val="6AC537CF"/>
    <w:rsid w:val="6E5B14A6"/>
    <w:rsid w:val="6FEF7EF0"/>
    <w:rsid w:val="6FFFAE2D"/>
    <w:rsid w:val="711B255E"/>
    <w:rsid w:val="77DFF329"/>
    <w:rsid w:val="77E14440"/>
    <w:rsid w:val="7A5F3B59"/>
    <w:rsid w:val="7B9FB62B"/>
    <w:rsid w:val="7BB51E06"/>
    <w:rsid w:val="7BE2C85C"/>
    <w:rsid w:val="7C387F7C"/>
    <w:rsid w:val="7DBE5D93"/>
    <w:rsid w:val="7FE83423"/>
    <w:rsid w:val="9F725ECB"/>
    <w:rsid w:val="B5DB684A"/>
    <w:rsid w:val="B5EE0F5A"/>
    <w:rsid w:val="B74F7C18"/>
    <w:rsid w:val="B7FF38C2"/>
    <w:rsid w:val="BD7F3221"/>
    <w:rsid w:val="BF7BAC08"/>
    <w:rsid w:val="BFFF3CA1"/>
    <w:rsid w:val="BFFF5E7A"/>
    <w:rsid w:val="BFFFF79B"/>
    <w:rsid w:val="C715A839"/>
    <w:rsid w:val="D5DF8E71"/>
    <w:rsid w:val="DA90E266"/>
    <w:rsid w:val="DFB29BFD"/>
    <w:rsid w:val="E5FDCAED"/>
    <w:rsid w:val="EFFD3EB0"/>
    <w:rsid w:val="F8BAF792"/>
    <w:rsid w:val="FAF785DB"/>
    <w:rsid w:val="FBBF336F"/>
    <w:rsid w:val="FDDF06A9"/>
    <w:rsid w:val="FE178144"/>
    <w:rsid w:val="FEE690E3"/>
    <w:rsid w:val="FF8F4049"/>
    <w:rsid w:val="FF9EC2F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9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99"/>
    <w:rPr>
      <w:rFonts w:cs="Calibri"/>
      <w:kern w:val="0"/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插入文本样式-插入部门职责文件"/>
    <w:basedOn w:val="1"/>
    <w:qFormat/>
    <w:uiPriority w:val="99"/>
    <w:pPr>
      <w:spacing w:line="500" w:lineRule="exact"/>
      <w:ind w:firstLine="560"/>
    </w:pPr>
    <w:rPr>
      <w:rFonts w:eastAsia="方正仿宋_GBK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579</Words>
  <Characters>596</Characters>
  <Lines>4</Lines>
  <Paragraphs>1</Paragraphs>
  <TotalTime>23</TotalTime>
  <ScaleCrop>false</ScaleCrop>
  <LinksUpToDate>false</LinksUpToDate>
  <CharactersWithSpaces>618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2020-02-05T19:46:00Z</dcterms:created>
  <dc:creator>欣欣大人</dc:creator>
  <cp:lastModifiedBy>uos</cp:lastModifiedBy>
  <cp:lastPrinted>2026-05-07T15:21:33Z</cp:lastPrinted>
  <dcterms:modified xsi:type="dcterms:W3CDTF">2026-05-07T15:26:54Z</dcterms:modified>
  <dc:title>附件3：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eyJoZGlkIjoiNDYwYTg2YzZjOTgxYTI5MDNjNmQwYjRiMTRmY2I4OWMiLCJ1c2VySWQiOiIxNzUwMzQ2NjM4In0=</vt:lpwstr>
  </property>
</Properties>
</file>