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C8CBD1">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7841A4B3">
      <w:pPr>
        <w:spacing w:line="560" w:lineRule="exact"/>
        <w:jc w:val="center"/>
        <w:rPr>
          <w:rFonts w:ascii="宋体" w:hAnsi="宋体" w:cs="宋体"/>
          <w:b/>
          <w:bCs/>
          <w:sz w:val="44"/>
          <w:szCs w:val="44"/>
        </w:rPr>
      </w:pPr>
    </w:p>
    <w:p w14:paraId="2E754FA6">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妇联</w:t>
      </w:r>
      <w:r>
        <w:rPr>
          <w:rFonts w:hint="eastAsia" w:ascii="宋体" w:hAnsi="宋体" w:cs="宋体"/>
          <w:b/>
          <w:bCs/>
          <w:sz w:val="44"/>
          <w:szCs w:val="44"/>
        </w:rPr>
        <w:t>部门</w:t>
      </w:r>
    </w:p>
    <w:p w14:paraId="1B37F3F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1DB37398">
      <w:pPr>
        <w:spacing w:line="560" w:lineRule="exact"/>
        <w:jc w:val="center"/>
        <w:rPr>
          <w:rFonts w:ascii="华文楷体" w:eastAsia="华文楷体"/>
          <w:sz w:val="32"/>
          <w:szCs w:val="32"/>
        </w:rPr>
      </w:pPr>
    </w:p>
    <w:p w14:paraId="1630F0A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妇联</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75276D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6A35E5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02AB801">
      <w:pPr>
        <w:adjustRightInd w:val="0"/>
        <w:snapToGrid w:val="0"/>
        <w:spacing w:line="580" w:lineRule="exact"/>
        <w:ind w:firstLine="640" w:firstLineChars="200"/>
        <w:rPr>
          <w:rFonts w:hint="eastAsia" w:ascii="仿宋_GB2312" w:eastAsia="仿宋_GB2312"/>
          <w:color w:val="auto"/>
          <w:sz w:val="32"/>
          <w:szCs w:val="32"/>
          <w:lang w:eastAsia="zh-CN"/>
        </w:rPr>
      </w:pPr>
      <w:r>
        <w:rPr>
          <w:rFonts w:hint="eastAsia" w:ascii="仿宋_GB2312" w:eastAsia="仿宋_GB2312"/>
          <w:color w:val="auto"/>
          <w:sz w:val="32"/>
          <w:szCs w:val="32"/>
          <w:lang w:eastAsia="zh-CN"/>
        </w:rPr>
        <w:t>鹿泉区妇女联合会是群团组织，</w:t>
      </w:r>
      <w:r>
        <w:rPr>
          <w:rFonts w:hint="eastAsia" w:ascii="仿宋_GB2312" w:eastAsia="仿宋_GB2312"/>
          <w:color w:val="auto"/>
          <w:sz w:val="32"/>
          <w:szCs w:val="32"/>
        </w:rPr>
        <w:t>团结动员妇女参加经济社会建设。完成区委区政府交办的工作任务，全区妇女精神面貌有较大改观，创业就业能力逐步增强，素质得到全面提升。基层组织各项建设得到加强，农村“两委”中女性成员比例提高，妇女联合会干部工作能力和水平提高；提高妇女科技素质和农业经营管理能力，促进妇女创业就业。2、维护妇女儿童合法权益促进妇女儿童发展。帮助权益受到侵害的妇女儿童解决困难和问题，提高广大妇女儿童的维权意识和维权能力，有效维护妇女儿童合法权益；规范妇女信访秩序，促进社会和谐稳定。 3、服务广大妇女儿童。为社会广大妇女儿童服务，关爱儿童健康、教育、生活、平安。4、强化妇女联合会干部队伍素质培训。继续深化实施素质提升培训计划围绕本地实际开展妇女联合会干部轮训，实现多层次、多领域、多方位的教育培训，不断提升妇女联合会干部主动适应新常态、创新发展妇女联合会工作的能力和水平。 5、注重从源头上推动解决妇女儿童权益重点难点问题。深入研究农村改革中农村妇女权益保障问题, 及时提出意见建议,在农村土地确权登记颁证工作中维护好农村妇女权益；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施项目纳入政府民生工程。6、注重法制宣传教育和服 务。大力宣传反家庭暴力法，让学法、守法、尊法、用法成为妇女的自觉行动。进一步探索承接政府转移出来的涉及妇女儿童和家庭的公共服务,加大对年轻女性、老龄妇女、困境儿童等群体的帮扶力度。</w:t>
      </w:r>
      <w:r>
        <w:rPr>
          <w:rFonts w:hint="eastAsia" w:ascii="仿宋_GB2312" w:eastAsia="仿宋_GB2312"/>
          <w:color w:val="auto"/>
          <w:sz w:val="32"/>
          <w:szCs w:val="32"/>
          <w:lang w:val="en-US" w:eastAsia="zh-CN"/>
        </w:rPr>
        <w:t>7、</w:t>
      </w:r>
      <w:r>
        <w:rPr>
          <w:rFonts w:hint="default" w:ascii="仿宋_GB2312" w:eastAsia="仿宋_GB2312"/>
          <w:color w:val="auto"/>
          <w:sz w:val="32"/>
          <w:szCs w:val="32"/>
          <w:lang w:val="en-US" w:eastAsia="zh-CN"/>
        </w:rPr>
        <w:t>建对符合政府安排工作条件退役士兵，帮扶救助，加大就业援助，通过公益</w:t>
      </w:r>
      <w:r>
        <w:rPr>
          <w:rFonts w:hint="eastAsia" w:ascii="仿宋_GB2312" w:eastAsia="仿宋_GB2312"/>
          <w:color w:val="auto"/>
          <w:sz w:val="32"/>
          <w:szCs w:val="32"/>
          <w:lang w:val="en-US" w:eastAsia="zh-CN"/>
        </w:rPr>
        <w:t>性</w:t>
      </w:r>
      <w:bookmarkStart w:id="0" w:name="_GoBack"/>
      <w:bookmarkEnd w:id="0"/>
      <w:r>
        <w:rPr>
          <w:rFonts w:hint="default" w:ascii="仿宋_GB2312" w:eastAsia="仿宋_GB2312"/>
          <w:color w:val="auto"/>
          <w:sz w:val="32"/>
          <w:szCs w:val="32"/>
          <w:lang w:val="en-US" w:eastAsia="zh-CN"/>
        </w:rPr>
        <w:t>岗位予以安置。我单位共有1名退役人员</w:t>
      </w:r>
      <w:r>
        <w:rPr>
          <w:rFonts w:hint="eastAsia" w:ascii="仿宋_GB2312" w:eastAsia="仿宋_GB2312"/>
          <w:color w:val="auto"/>
          <w:sz w:val="32"/>
          <w:szCs w:val="32"/>
          <w:lang w:val="en-US" w:eastAsia="zh-CN"/>
        </w:rPr>
        <w:t>。8、</w:t>
      </w:r>
      <w:r>
        <w:rPr>
          <w:rFonts w:hint="eastAsia" w:ascii="仿宋_GB2312" w:eastAsia="仿宋_GB2312"/>
          <w:color w:val="auto"/>
          <w:sz w:val="32"/>
          <w:szCs w:val="32"/>
          <w:lang w:eastAsia="zh-CN"/>
        </w:rPr>
        <w:t>人员情况：20</w:t>
      </w:r>
      <w:r>
        <w:rPr>
          <w:rFonts w:hint="eastAsia" w:ascii="仿宋_GB2312" w:eastAsia="仿宋_GB2312"/>
          <w:color w:val="auto"/>
          <w:sz w:val="32"/>
          <w:szCs w:val="32"/>
          <w:lang w:val="en-US" w:eastAsia="zh-CN"/>
        </w:rPr>
        <w:t>25</w:t>
      </w:r>
      <w:r>
        <w:rPr>
          <w:rFonts w:hint="eastAsia" w:ascii="仿宋_GB2312" w:eastAsia="仿宋_GB2312"/>
          <w:color w:val="auto"/>
          <w:sz w:val="32"/>
          <w:szCs w:val="32"/>
          <w:lang w:eastAsia="zh-CN"/>
        </w:rPr>
        <w:t>年末，本单位核定编制</w:t>
      </w:r>
      <w:r>
        <w:rPr>
          <w:rFonts w:hint="eastAsia" w:ascii="仿宋_GB2312" w:eastAsia="仿宋_GB2312"/>
          <w:color w:val="auto"/>
          <w:sz w:val="32"/>
          <w:szCs w:val="32"/>
          <w:lang w:val="en-US" w:eastAsia="zh-CN"/>
        </w:rPr>
        <w:t>7</w:t>
      </w:r>
      <w:r>
        <w:rPr>
          <w:rFonts w:hint="eastAsia" w:ascii="仿宋_GB2312" w:eastAsia="仿宋_GB2312"/>
          <w:color w:val="auto"/>
          <w:sz w:val="32"/>
          <w:szCs w:val="32"/>
          <w:lang w:eastAsia="zh-CN"/>
        </w:rPr>
        <w:t>人，实际在职</w:t>
      </w:r>
      <w:r>
        <w:rPr>
          <w:rFonts w:hint="eastAsia" w:ascii="仿宋_GB2312" w:eastAsia="仿宋_GB2312"/>
          <w:color w:val="auto"/>
          <w:sz w:val="32"/>
          <w:szCs w:val="32"/>
          <w:lang w:val="en-US" w:eastAsia="zh-CN"/>
        </w:rPr>
        <w:t>6</w:t>
      </w:r>
      <w:r>
        <w:rPr>
          <w:rFonts w:hint="eastAsia" w:ascii="仿宋_GB2312" w:eastAsia="仿宋_GB2312"/>
          <w:color w:val="auto"/>
          <w:sz w:val="32"/>
          <w:szCs w:val="32"/>
          <w:lang w:eastAsia="zh-CN"/>
        </w:rPr>
        <w:t>人，退休职工</w:t>
      </w:r>
      <w:r>
        <w:rPr>
          <w:rFonts w:hint="eastAsia" w:ascii="仿宋_GB2312" w:eastAsia="仿宋_GB2312"/>
          <w:color w:val="auto"/>
          <w:sz w:val="32"/>
          <w:szCs w:val="32"/>
          <w:lang w:val="en-US" w:eastAsia="zh-CN"/>
        </w:rPr>
        <w:t>7</w:t>
      </w:r>
      <w:r>
        <w:rPr>
          <w:rFonts w:hint="eastAsia" w:ascii="仿宋_GB2312" w:eastAsia="仿宋_GB2312"/>
          <w:color w:val="auto"/>
          <w:sz w:val="32"/>
          <w:szCs w:val="32"/>
          <w:lang w:eastAsia="zh-CN"/>
        </w:rPr>
        <w:t>人。</w:t>
      </w:r>
    </w:p>
    <w:p w14:paraId="22A09190">
      <w:pPr>
        <w:numPr>
          <w:ilvl w:val="0"/>
          <w:numId w:val="1"/>
        </w:num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楷体" w:hAnsi="楷体" w:eastAsia="楷体" w:cs="楷体_GB2312"/>
          <w:bCs/>
          <w:color w:val="auto"/>
          <w:sz w:val="32"/>
          <w:szCs w:val="32"/>
        </w:rPr>
        <w:t>部门收支预决算情况</w:t>
      </w:r>
    </w:p>
    <w:p w14:paraId="26DCC13A">
      <w:pPr>
        <w:adjustRightInd w:val="0"/>
        <w:snapToGrid w:val="0"/>
        <w:spacing w:line="580" w:lineRule="exact"/>
        <w:ind w:firstLine="640" w:firstLineChars="200"/>
        <w:rPr>
          <w:rFonts w:hint="eastAsia" w:ascii="楷体" w:hAnsi="楷体" w:eastAsia="楷体" w:cs="楷体_GB2312"/>
          <w:bCs/>
          <w:color w:val="auto"/>
          <w:sz w:val="32"/>
          <w:szCs w:val="32"/>
        </w:rPr>
      </w:pPr>
      <w:r>
        <w:rPr>
          <w:rFonts w:hint="eastAsia" w:ascii="仿宋_GB2312" w:eastAsia="仿宋_GB2312"/>
          <w:color w:val="auto"/>
          <w:sz w:val="32"/>
          <w:szCs w:val="32"/>
          <w:lang w:val="en-US" w:eastAsia="zh-CN"/>
        </w:rPr>
        <w:t>2025</w:t>
      </w:r>
      <w:r>
        <w:rPr>
          <w:rFonts w:hint="eastAsia" w:ascii="仿宋_GB2312" w:eastAsia="仿宋_GB2312"/>
          <w:color w:val="auto"/>
          <w:sz w:val="32"/>
          <w:szCs w:val="32"/>
        </w:rPr>
        <w:t>年财政批复部门收支预算为189.74万元。其中：其中：基本支出155.51万元，占</w:t>
      </w:r>
      <w:r>
        <w:rPr>
          <w:rFonts w:hint="eastAsia" w:ascii="仿宋_GB2312" w:eastAsia="仿宋_GB2312"/>
          <w:color w:val="auto"/>
          <w:sz w:val="32"/>
          <w:szCs w:val="32"/>
          <w:lang w:val="en-US" w:eastAsia="zh-CN"/>
        </w:rPr>
        <w:t>81.9</w:t>
      </w:r>
      <w:r>
        <w:rPr>
          <w:rFonts w:hint="eastAsia" w:ascii="仿宋_GB2312" w:eastAsia="仿宋_GB2312"/>
          <w:color w:val="auto"/>
          <w:sz w:val="32"/>
          <w:szCs w:val="32"/>
        </w:rPr>
        <w:t>%；项目支出34.23万元，占</w:t>
      </w:r>
      <w:r>
        <w:rPr>
          <w:rFonts w:hint="eastAsia" w:ascii="仿宋_GB2312" w:eastAsia="仿宋_GB2312"/>
          <w:color w:val="auto"/>
          <w:sz w:val="32"/>
          <w:szCs w:val="32"/>
          <w:lang w:val="en-US" w:eastAsia="zh-CN"/>
        </w:rPr>
        <w:t>18.1</w:t>
      </w:r>
      <w:r>
        <w:rPr>
          <w:rFonts w:hint="eastAsia" w:ascii="仿宋_GB2312" w:eastAsia="仿宋_GB2312"/>
          <w:color w:val="auto"/>
          <w:sz w:val="32"/>
          <w:szCs w:val="32"/>
        </w:rPr>
        <w:t>%基本支出中：人员经费 118.84万元，主要包括基本工资、津贴补贴、奖金、机关事业单位基本养老保险缴费、职业年金缴费、职工基本医疗保险缴费、住房公积金、其他社会保障缴费、退休费</w:t>
      </w:r>
      <w:r>
        <w:rPr>
          <w:rFonts w:hint="eastAsia" w:ascii="仿宋_GB2312" w:eastAsia="仿宋_GB2312"/>
          <w:color w:val="auto"/>
          <w:sz w:val="32"/>
          <w:szCs w:val="32"/>
          <w:lang w:eastAsia="zh-CN"/>
        </w:rPr>
        <w:t>。</w:t>
      </w:r>
      <w:r>
        <w:rPr>
          <w:rFonts w:hint="eastAsia" w:ascii="仿宋_GB2312" w:eastAsia="仿宋_GB2312"/>
          <w:color w:val="auto"/>
          <w:sz w:val="32"/>
          <w:szCs w:val="32"/>
        </w:rPr>
        <w:t>公用经费 36.66万元，主要包括办公费、邮电费、委托业务费、工会经费、福利费、公务用车运行维护费、其他交通费用、其他商</w:t>
      </w:r>
      <w:r>
        <w:rPr>
          <w:rFonts w:hint="eastAsia" w:ascii="仿宋_GB2312" w:hAnsi="Times New Roman" w:eastAsia="仿宋_GB2312" w:cs="仿宋_GB2312"/>
          <w:color w:val="auto"/>
          <w:sz w:val="32"/>
          <w:szCs w:val="32"/>
        </w:rPr>
        <w:t>品和服务支出</w:t>
      </w:r>
      <w:r>
        <w:rPr>
          <w:rFonts w:hint="eastAsia" w:ascii="仿宋_GB2312" w:hAnsi="Times New Roman" w:eastAsia="仿宋_GB2312" w:cs="仿宋_GB2312"/>
          <w:color w:val="auto"/>
          <w:sz w:val="32"/>
          <w:szCs w:val="32"/>
          <w:lang w:eastAsia="zh-CN"/>
        </w:rPr>
        <w:t>。</w:t>
      </w:r>
    </w:p>
    <w:p w14:paraId="7D0D735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53A8EDF">
      <w:pPr>
        <w:adjustRightInd w:val="0"/>
        <w:snapToGrid w:val="0"/>
        <w:spacing w:line="580" w:lineRule="exact"/>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以习近平新时代中国特色社会主义思想为指导，深入贯彻党的十九大和十九届二中、三中、四中、五中全会精神，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14:paraId="00A3769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A046561">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1089F32">
      <w:pPr>
        <w:adjustRightInd w:val="0"/>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14:paraId="4D119747">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F1B5978">
      <w:pPr>
        <w:widowControl w:val="0"/>
        <w:wordWrap/>
        <w:spacing w:line="560" w:lineRule="exact"/>
        <w:ind w:left="0" w:leftChars="0" w:right="0" w:firstLine="640"/>
        <w:textAlignment w:val="auto"/>
        <w:outlineLvl w:val="9"/>
        <w:rPr>
          <w:rFonts w:ascii="楷体" w:hAnsi="楷体" w:eastAsia="楷体" w:cs="楷体_GB2312"/>
          <w:bCs/>
          <w:sz w:val="32"/>
          <w:szCs w:val="32"/>
        </w:rPr>
      </w:pPr>
      <w:r>
        <w:rPr>
          <w:rFonts w:hint="eastAsia" w:ascii="仿宋" w:hAnsi="仿宋" w:eastAsia="仿宋"/>
          <w:sz w:val="32"/>
          <w:szCs w:val="32"/>
        </w:rPr>
        <w:t>对照各实施项目的内容逐条逐项自评。部门整体支出绩效数据采集的主要依据有：年度预算报告、决算报表、金财系统综合业务数据、单位年终考核汇编等资料</w:t>
      </w:r>
      <w:r>
        <w:rPr>
          <w:rFonts w:hint="eastAsia" w:ascii="仿宋" w:hAnsi="仿宋" w:eastAsia="仿宋"/>
          <w:sz w:val="32"/>
          <w:szCs w:val="32"/>
          <w:lang w:eastAsia="zh-CN"/>
        </w:rPr>
        <w:t>。</w:t>
      </w:r>
    </w:p>
    <w:p w14:paraId="00855C2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690CDC8">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1E47FF9">
      <w:pPr>
        <w:widowControl w:val="0"/>
        <w:wordWrap/>
        <w:spacing w:line="560" w:lineRule="exact"/>
        <w:ind w:left="0" w:leftChars="0" w:right="0" w:firstLine="640"/>
        <w:textAlignment w:val="auto"/>
        <w:outlineLvl w:val="9"/>
        <w:rPr>
          <w:rFonts w:hint="eastAsia" w:ascii="仿宋" w:hAnsi="仿宋" w:eastAsia="仿宋"/>
          <w:sz w:val="32"/>
          <w:szCs w:val="32"/>
        </w:rPr>
      </w:pPr>
      <w:r>
        <w:rPr>
          <w:rFonts w:hint="eastAsia" w:ascii="仿宋" w:hAnsi="仿宋" w:eastAsia="仿宋"/>
          <w:sz w:val="32"/>
          <w:szCs w:val="32"/>
        </w:rPr>
        <w:t>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14:paraId="613679B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9D75392">
      <w:pPr>
        <w:adjustRightInd w:val="0"/>
        <w:snapToGrid w:val="0"/>
        <w:spacing w:line="58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drawing>
          <wp:anchor distT="0" distB="0" distL="114300" distR="114300" simplePos="0" relativeHeight="251660288" behindDoc="1" locked="0" layoutInCell="1" allowOverlap="1">
            <wp:simplePos x="0" y="0"/>
            <wp:positionH relativeFrom="page">
              <wp:posOffset>5758180</wp:posOffset>
            </wp:positionH>
            <wp:positionV relativeFrom="page">
              <wp:posOffset>2146935</wp:posOffset>
            </wp:positionV>
            <wp:extent cx="7569200" cy="10705465"/>
            <wp:effectExtent l="0" t="0" r="0" b="0"/>
            <wp:wrapNone/>
            <wp:docPr id="1"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9"/>
                    <pic:cNvPicPr>
                      <a:picLocks noChangeAspect="1"/>
                    </pic:cNvPicPr>
                  </pic:nvPicPr>
                  <pic:blipFill>
                    <a:blip r:embed="rId5"/>
                    <a:stretch>
                      <a:fillRect/>
                    </a:stretch>
                  </pic:blipFill>
                  <pic:spPr>
                    <a:xfrm>
                      <a:off x="0" y="0"/>
                      <a:ext cx="7569200" cy="10705465"/>
                    </a:xfrm>
                    <a:prstGeom prst="rect">
                      <a:avLst/>
                    </a:prstGeom>
                    <a:noFill/>
                    <a:ln>
                      <a:noFill/>
                    </a:ln>
                  </pic:spPr>
                </pic:pic>
              </a:graphicData>
            </a:graphic>
          </wp:anchor>
        </w:drawing>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美丽庭院项目绩效目标完成情况：一是开展活动次数完成指标；二是为每户发放成本达到指标。深化美丽庭院创建，实现创建工作提档升级，对评选出美丽庭院户和精品庭院户进行评比表彰，巩固提升打造成果。发挥妇女优势，积极投身到创建美丽庭院中，让妇女们高度重视并且学会创建技巧。以家庭面貌的焕然一新促农村面貌的改造升级，达到房前屋后干干净净，村容村貌整齐有序焕然一新，并达到群众满意的实际效果。绩效指标：</w:t>
      </w:r>
      <w:r>
        <w:rPr>
          <w:rFonts w:hint="eastAsia" w:ascii="仿宋_GB2312" w:hAnsi="仿宋_GB2312" w:eastAsia="仿宋_GB2312" w:cs="仿宋_GB2312"/>
          <w:color w:val="auto"/>
          <w:sz w:val="32"/>
          <w:szCs w:val="32"/>
          <w:lang w:eastAsia="zh-CN"/>
        </w:rPr>
        <w:t>打造美丽庭院示范街</w:t>
      </w:r>
      <w:r>
        <w:rPr>
          <w:rFonts w:hint="eastAsia" w:ascii="仿宋_GB2312" w:hAnsi="仿宋_GB2312" w:eastAsia="仿宋_GB2312" w:cs="仿宋_GB2312"/>
          <w:color w:val="auto"/>
          <w:sz w:val="32"/>
          <w:szCs w:val="32"/>
          <w:lang w:val="en-US" w:eastAsia="zh-CN"/>
        </w:rPr>
        <w:t>10条，打造美丽庭院示范户3000户，成立帮帮团数量10个，开展观摩会20次，</w:t>
      </w:r>
      <w:r>
        <w:rPr>
          <w:rFonts w:hint="eastAsia" w:ascii="仿宋_GB2312" w:hAnsi="仿宋_GB2312" w:eastAsia="仿宋_GB2312" w:cs="仿宋_GB2312"/>
          <w:color w:val="auto"/>
          <w:sz w:val="32"/>
          <w:szCs w:val="32"/>
        </w:rPr>
        <w:t>经费使用率达到95%以上，美丽庭院示范户满意度达到 95%。发现的主要问题及原因：一是部分人员参与度不高。下一步改进措施：增加活动人数。</w:t>
      </w:r>
    </w:p>
    <w:p w14:paraId="5A2FBA39">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妇女儿童发展专项项目绩效目标完成情况：一是在法定节日组织和开展活动、组织妇女联合会干部等妇女参加培训提高业务水平。</w:t>
      </w:r>
      <w:r>
        <w:rPr>
          <w:rFonts w:hint="eastAsia" w:ascii="仿宋_GB2312" w:hAnsi="仿宋_GB2312" w:eastAsia="仿宋_GB2312" w:cs="仿宋_GB2312"/>
          <w:color w:val="auto"/>
          <w:sz w:val="32"/>
          <w:szCs w:val="32"/>
          <w:lang w:eastAsia="zh-CN"/>
        </w:rPr>
        <w:t>六一关爱慰问活动</w:t>
      </w:r>
      <w:r>
        <w:rPr>
          <w:rFonts w:hint="eastAsia" w:ascii="仿宋_GB2312" w:hAnsi="仿宋_GB2312" w:eastAsia="仿宋_GB2312" w:cs="仿宋_GB2312"/>
          <w:color w:val="auto"/>
          <w:sz w:val="32"/>
          <w:szCs w:val="32"/>
          <w:lang w:val="en-US" w:eastAsia="zh-CN"/>
        </w:rPr>
        <w:t>1次</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“河北福嫂.燕赵家政”活动20次，反家暴宣传活动15次,</w:t>
      </w:r>
      <w:r>
        <w:rPr>
          <w:rFonts w:hint="eastAsia" w:ascii="仿宋_GB2312" w:hAnsi="仿宋_GB2312" w:eastAsia="仿宋_GB2312" w:cs="仿宋_GB2312"/>
          <w:color w:val="auto"/>
          <w:sz w:val="32"/>
          <w:szCs w:val="32"/>
        </w:rPr>
        <w:t>专款专用率达到 100%</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妇女儿童满意度达到95%。发现的主要问题及原因：一是社会影响力不够大，影响范围不够广。下一步改进措施：一是扩大社会影响力，增加参与活动的妇女人数。</w:t>
      </w:r>
    </w:p>
    <w:p w14:paraId="1C00653D">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（3）三八国际妇女节活动经费</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lang w:eastAsia="zh-CN"/>
        </w:rPr>
        <w:t>举行三八妇女表彰活动，制作一条宣传片，表彰</w:t>
      </w:r>
      <w:r>
        <w:rPr>
          <w:rFonts w:hint="eastAsia" w:ascii="仿宋_GB2312" w:hAnsi="仿宋_GB2312" w:eastAsia="仿宋_GB2312" w:cs="仿宋_GB2312"/>
          <w:color w:val="auto"/>
          <w:sz w:val="32"/>
          <w:szCs w:val="32"/>
          <w:lang w:val="en-US" w:eastAsia="zh-CN"/>
        </w:rPr>
        <w:t>64人，慰问10人。</w:t>
      </w:r>
      <w:r>
        <w:rPr>
          <w:rFonts w:hint="eastAsia" w:ascii="仿宋_GB2312" w:hAnsi="仿宋_GB2312" w:eastAsia="仿宋_GB2312" w:cs="仿宋_GB2312"/>
          <w:color w:val="auto"/>
          <w:sz w:val="32"/>
          <w:szCs w:val="32"/>
        </w:rPr>
        <w:t>发现的主要问题及原因：下一步要更加提升服务满意度，表彰慰问更多的妇女。下一步改进措施：提升服务满意度，表彰慰问更多的妇女。</w:t>
      </w:r>
    </w:p>
    <w:p w14:paraId="171DC6D7">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（4）军队退役人员公益岗工资</w:t>
      </w:r>
      <w:r>
        <w:rPr>
          <w:rFonts w:hint="eastAsia" w:ascii="仿宋_GB2312" w:hAnsi="仿宋_GB2312" w:eastAsia="仿宋_GB2312" w:cs="仿宋_GB2312"/>
          <w:color w:val="auto"/>
          <w:sz w:val="32"/>
          <w:szCs w:val="32"/>
        </w:rPr>
        <w:t>项目绩效目标完成情况：通过项目实施，完成了年初设定的各项绩效目标，一是严格落实上级政策，对单位内部的退役军人公益岗进行妥善安置。二是及时发放本单位</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名退役军人公益岗的工资待遇及相关补贴，保障其合法权益。发现的主要问题及原因：下一步提高社会影响力。下一步改进措施：提高社会影响力。</w:t>
      </w:r>
    </w:p>
    <w:p w14:paraId="62B836ED">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（5）2025年省级妇女之家建设专项资金</w:t>
      </w:r>
      <w:r>
        <w:rPr>
          <w:rFonts w:hint="eastAsia" w:ascii="仿宋_GB2312" w:hAnsi="仿宋_GB2312" w:eastAsia="仿宋_GB2312" w:cs="仿宋_GB2312"/>
          <w:color w:val="auto"/>
          <w:sz w:val="32"/>
          <w:szCs w:val="32"/>
        </w:rPr>
        <w:t>项目绩效目标完成情况：妇女之家建设，搭建场所，规范服务，提高“妇女之家”使用率，充分挖掘“妇女之家”在宣传教育、维权服务、组织开展活动等方面的功能，定期组织妇女学习党的路线、方针、政策，学习创业就业、婚姻家庭、帮扶救助、心理健康知识等。今年建设打造省级示范妇女之家1所。发现的主要问题及原因：下一步提高社会影响力。下一步改进措施：提高社会影响力。</w:t>
      </w:r>
    </w:p>
    <w:p w14:paraId="4703D57A">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071FF3B">
      <w:pPr>
        <w:widowControl w:val="0"/>
        <w:wordWrap/>
        <w:spacing w:line="560" w:lineRule="exact"/>
        <w:ind w:left="0" w:leftChars="0" w:right="0" w:firstLine="640" w:firstLineChars="200"/>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根据项目执行情况和项目绩效情况，1、</w:t>
      </w:r>
      <w:r>
        <w:rPr>
          <w:rFonts w:hint="eastAsia" w:ascii="仿宋_GB2312" w:hAnsi="仿宋_GB2312" w:eastAsia="仿宋_GB2312" w:cs="仿宋_GB2312"/>
          <w:color w:val="auto"/>
          <w:sz w:val="32"/>
          <w:szCs w:val="32"/>
        </w:rPr>
        <w:t>美丽庭院项目</w:t>
      </w:r>
      <w:r>
        <w:rPr>
          <w:rFonts w:hint="eastAsia" w:ascii="仿宋" w:hAnsi="仿宋" w:eastAsia="仿宋"/>
          <w:color w:val="auto"/>
          <w:sz w:val="32"/>
          <w:szCs w:val="32"/>
          <w:lang w:val="en-US" w:eastAsia="zh-CN"/>
        </w:rPr>
        <w:t>综合绩效评分为99分，优秀。2、</w:t>
      </w:r>
      <w:r>
        <w:rPr>
          <w:rFonts w:hint="eastAsia" w:ascii="仿宋_GB2312" w:hAnsi="仿宋_GB2312" w:eastAsia="仿宋_GB2312" w:cs="仿宋_GB2312"/>
          <w:color w:val="auto"/>
          <w:sz w:val="32"/>
          <w:szCs w:val="32"/>
        </w:rPr>
        <w:t>妇女儿童发展专项项目</w:t>
      </w:r>
      <w:r>
        <w:rPr>
          <w:rFonts w:hint="eastAsia" w:ascii="仿宋" w:hAnsi="仿宋" w:eastAsia="仿宋"/>
          <w:color w:val="auto"/>
          <w:sz w:val="32"/>
          <w:szCs w:val="32"/>
          <w:lang w:val="en-US" w:eastAsia="zh-CN"/>
        </w:rPr>
        <w:t>综合绩效评分为99分，优秀。3、</w:t>
      </w:r>
      <w:r>
        <w:rPr>
          <w:rFonts w:hint="eastAsia" w:ascii="仿宋_GB2312" w:hAnsi="仿宋_GB2312" w:eastAsia="仿宋_GB2312" w:cs="仿宋_GB2312"/>
          <w:color w:val="auto"/>
          <w:sz w:val="32"/>
          <w:szCs w:val="32"/>
          <w:lang w:val="en-US" w:eastAsia="zh-CN"/>
        </w:rPr>
        <w:t>三八国际妇女节活动经费</w:t>
      </w:r>
      <w:r>
        <w:rPr>
          <w:rFonts w:hint="eastAsia" w:ascii="仿宋_GB2312" w:hAnsi="仿宋_GB2312" w:eastAsia="仿宋_GB2312" w:cs="仿宋_GB2312"/>
          <w:color w:val="auto"/>
          <w:sz w:val="32"/>
          <w:szCs w:val="32"/>
        </w:rPr>
        <w:t>项目</w:t>
      </w:r>
      <w:r>
        <w:rPr>
          <w:rFonts w:hint="eastAsia" w:ascii="仿宋" w:hAnsi="仿宋" w:eastAsia="仿宋"/>
          <w:color w:val="auto"/>
          <w:sz w:val="32"/>
          <w:szCs w:val="32"/>
          <w:lang w:val="en-US" w:eastAsia="zh-CN"/>
        </w:rPr>
        <w:t>综合绩效评分为100分，优秀。4、</w:t>
      </w:r>
      <w:r>
        <w:rPr>
          <w:rFonts w:hint="eastAsia" w:ascii="仿宋_GB2312" w:hAnsi="仿宋_GB2312" w:eastAsia="仿宋_GB2312" w:cs="仿宋_GB2312"/>
          <w:color w:val="auto"/>
          <w:sz w:val="32"/>
          <w:szCs w:val="32"/>
        </w:rPr>
        <w:t>妇女儿童发展</w:t>
      </w:r>
      <w:r>
        <w:rPr>
          <w:rFonts w:hint="eastAsia" w:ascii="仿宋_GB2312" w:hAnsi="仿宋_GB2312" w:eastAsia="仿宋_GB2312" w:cs="仿宋_GB2312"/>
          <w:color w:val="auto"/>
          <w:sz w:val="32"/>
          <w:szCs w:val="32"/>
          <w:lang w:eastAsia="zh-CN"/>
        </w:rPr>
        <w:t>规划</w:t>
      </w:r>
      <w:r>
        <w:rPr>
          <w:rFonts w:hint="eastAsia" w:ascii="仿宋_GB2312" w:hAnsi="仿宋_GB2312" w:eastAsia="仿宋_GB2312" w:cs="仿宋_GB2312"/>
          <w:color w:val="auto"/>
          <w:sz w:val="32"/>
          <w:szCs w:val="32"/>
        </w:rPr>
        <w:t>项目</w:t>
      </w:r>
      <w:r>
        <w:rPr>
          <w:rFonts w:hint="eastAsia" w:ascii="仿宋" w:hAnsi="仿宋" w:eastAsia="仿宋"/>
          <w:color w:val="auto"/>
          <w:sz w:val="32"/>
          <w:szCs w:val="32"/>
          <w:lang w:val="en-US" w:eastAsia="zh-CN"/>
        </w:rPr>
        <w:t>综合绩效评分为100分，优秀。5、</w:t>
      </w:r>
      <w:r>
        <w:rPr>
          <w:rFonts w:hint="eastAsia" w:ascii="仿宋_GB2312" w:hAnsi="仿宋_GB2312" w:eastAsia="仿宋_GB2312" w:cs="仿宋_GB2312"/>
          <w:color w:val="auto"/>
          <w:sz w:val="32"/>
          <w:szCs w:val="32"/>
          <w:lang w:val="en-US" w:eastAsia="zh-CN"/>
        </w:rPr>
        <w:t>军队退役人员公益岗工资</w:t>
      </w:r>
      <w:r>
        <w:rPr>
          <w:rFonts w:hint="eastAsia" w:ascii="仿宋_GB2312" w:hAnsi="仿宋_GB2312" w:eastAsia="仿宋_GB2312" w:cs="仿宋_GB2312"/>
          <w:color w:val="auto"/>
          <w:sz w:val="32"/>
          <w:szCs w:val="32"/>
        </w:rPr>
        <w:t>项目</w:t>
      </w:r>
      <w:r>
        <w:rPr>
          <w:rFonts w:hint="eastAsia" w:ascii="仿宋" w:hAnsi="仿宋" w:eastAsia="仿宋"/>
          <w:color w:val="auto"/>
          <w:sz w:val="32"/>
          <w:szCs w:val="32"/>
          <w:lang w:val="en-US" w:eastAsia="zh-CN"/>
        </w:rPr>
        <w:t>综合绩效评分为100分，优秀。</w:t>
      </w:r>
    </w:p>
    <w:p w14:paraId="4845ABD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1187E1B">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0B00E0D">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eastAsia="zh-CN"/>
        </w:rPr>
        <w:t>制度不完善，加强支出管理，加强绩效监控</w:t>
      </w:r>
    </w:p>
    <w:p w14:paraId="4FDE93F9">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1D2BF13F">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eastAsia="zh-CN"/>
        </w:rP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 2、加强支出管理。强化财政预算执行刚性，编细编实预算，对预算的事前、事中、事后进行全过程控制，进一步提高财政资金使用效益。加强支出结构优化，通过加快履行政府采购手续、尽快启动项目、及时支付资金、9 月底前细化代编预算等多种举措，确保按照时间节点完成支出任务。 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 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0389512E">
      <w:pPr>
        <w:spacing w:line="560" w:lineRule="exact"/>
        <w:ind w:left="420" w:leftChars="0" w:firstLine="420" w:firstLineChars="0"/>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ECD34C">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56198A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zql5uc8AAAAFAQAADwAAAAAAAAABACAAAAAiAAAAZHJzL2Rvd25yZXYueG1sUEsBAhQAFAAA&#10;AAgAh07iQFsTsRu/AQAAnQMAAA4AAAAAAAAAAQAgAAAAHgEAAGRycy9lMm9Eb2MueG1sUEsFBgAA&#10;AAAGAAYAWQEAAE8FAAAAAA==&#10;">
              <v:fill on="f" focussize="0,0"/>
              <v:stroke on="f"/>
              <v:imagedata o:title=""/>
              <o:lock v:ext="edit" aspectratio="f"/>
              <v:textbox inset="0mm,0mm,0mm,0mm" style="mso-fit-shape-to-text:t;">
                <w:txbxContent>
                  <w:p w14:paraId="456198A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80A4DAD"/>
    <w:multiLevelType w:val="singleLevel"/>
    <w:tmpl w:val="280A4DA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EBD2122"/>
    <w:rsid w:val="000B0260"/>
    <w:rsid w:val="00615EA1"/>
    <w:rsid w:val="007E6C1F"/>
    <w:rsid w:val="00956A93"/>
    <w:rsid w:val="009E575C"/>
    <w:rsid w:val="00AF167E"/>
    <w:rsid w:val="00AF566A"/>
    <w:rsid w:val="00B478EA"/>
    <w:rsid w:val="00B6553A"/>
    <w:rsid w:val="00BC6576"/>
    <w:rsid w:val="00CE06BA"/>
    <w:rsid w:val="00F441CC"/>
    <w:rsid w:val="01B104CA"/>
    <w:rsid w:val="02106AB0"/>
    <w:rsid w:val="02B43A28"/>
    <w:rsid w:val="04561A95"/>
    <w:rsid w:val="046F331E"/>
    <w:rsid w:val="056E2B3B"/>
    <w:rsid w:val="06182AFF"/>
    <w:rsid w:val="06DF0467"/>
    <w:rsid w:val="073267E9"/>
    <w:rsid w:val="07941252"/>
    <w:rsid w:val="07956271"/>
    <w:rsid w:val="089B6610"/>
    <w:rsid w:val="09721397"/>
    <w:rsid w:val="0B1526A9"/>
    <w:rsid w:val="0B426C4C"/>
    <w:rsid w:val="0B5A4560"/>
    <w:rsid w:val="0BB63BED"/>
    <w:rsid w:val="0CBB102F"/>
    <w:rsid w:val="0CE95B9C"/>
    <w:rsid w:val="0E23197C"/>
    <w:rsid w:val="0EB97A43"/>
    <w:rsid w:val="0EBD2122"/>
    <w:rsid w:val="0F214EAE"/>
    <w:rsid w:val="0F563291"/>
    <w:rsid w:val="0F8E0001"/>
    <w:rsid w:val="101A465A"/>
    <w:rsid w:val="11B71E6A"/>
    <w:rsid w:val="146B158C"/>
    <w:rsid w:val="18DA6CE0"/>
    <w:rsid w:val="198B3B37"/>
    <w:rsid w:val="1A054363"/>
    <w:rsid w:val="1A823504"/>
    <w:rsid w:val="1AAF0063"/>
    <w:rsid w:val="1AE85075"/>
    <w:rsid w:val="1BE140DE"/>
    <w:rsid w:val="1D6F7FA1"/>
    <w:rsid w:val="2186530F"/>
    <w:rsid w:val="223236E9"/>
    <w:rsid w:val="223631D9"/>
    <w:rsid w:val="248C197D"/>
    <w:rsid w:val="249A4F80"/>
    <w:rsid w:val="249B37C8"/>
    <w:rsid w:val="252959AF"/>
    <w:rsid w:val="25485EEE"/>
    <w:rsid w:val="25F52A64"/>
    <w:rsid w:val="26976211"/>
    <w:rsid w:val="277A6671"/>
    <w:rsid w:val="285919D0"/>
    <w:rsid w:val="292D35B7"/>
    <w:rsid w:val="295D53A7"/>
    <w:rsid w:val="2A900FAD"/>
    <w:rsid w:val="2F8F217B"/>
    <w:rsid w:val="30586A11"/>
    <w:rsid w:val="313308E4"/>
    <w:rsid w:val="319111AE"/>
    <w:rsid w:val="322E591F"/>
    <w:rsid w:val="32817910"/>
    <w:rsid w:val="33CC3841"/>
    <w:rsid w:val="33EB6CFF"/>
    <w:rsid w:val="34E16979"/>
    <w:rsid w:val="35A12947"/>
    <w:rsid w:val="37387040"/>
    <w:rsid w:val="382C3AE1"/>
    <w:rsid w:val="38853A46"/>
    <w:rsid w:val="3B625C0A"/>
    <w:rsid w:val="3CEE1963"/>
    <w:rsid w:val="3F19380F"/>
    <w:rsid w:val="42AF5A23"/>
    <w:rsid w:val="432602A9"/>
    <w:rsid w:val="436B78D3"/>
    <w:rsid w:val="478A34FC"/>
    <w:rsid w:val="49441489"/>
    <w:rsid w:val="494D6C5C"/>
    <w:rsid w:val="4C1930A0"/>
    <w:rsid w:val="4C9C27FE"/>
    <w:rsid w:val="4D2E2B7B"/>
    <w:rsid w:val="4D9549A9"/>
    <w:rsid w:val="4F50502B"/>
    <w:rsid w:val="50FE0AB7"/>
    <w:rsid w:val="512260B4"/>
    <w:rsid w:val="52BD6ACB"/>
    <w:rsid w:val="53CB1124"/>
    <w:rsid w:val="53FA37B7"/>
    <w:rsid w:val="55537534"/>
    <w:rsid w:val="55AA2FBB"/>
    <w:rsid w:val="561A74F1"/>
    <w:rsid w:val="58AB1524"/>
    <w:rsid w:val="597244E8"/>
    <w:rsid w:val="5B172EA1"/>
    <w:rsid w:val="5DA90530"/>
    <w:rsid w:val="5E940365"/>
    <w:rsid w:val="5EB71C30"/>
    <w:rsid w:val="607B5C80"/>
    <w:rsid w:val="6118702B"/>
    <w:rsid w:val="620C3034"/>
    <w:rsid w:val="6331614D"/>
    <w:rsid w:val="640F6E0B"/>
    <w:rsid w:val="66AF0CE5"/>
    <w:rsid w:val="69126A56"/>
    <w:rsid w:val="698A613C"/>
    <w:rsid w:val="69C46091"/>
    <w:rsid w:val="6A2B7DCF"/>
    <w:rsid w:val="6AC537CF"/>
    <w:rsid w:val="6E5B14A6"/>
    <w:rsid w:val="6EFF5CCE"/>
    <w:rsid w:val="70B054D2"/>
    <w:rsid w:val="711B255E"/>
    <w:rsid w:val="74253AE1"/>
    <w:rsid w:val="74F00593"/>
    <w:rsid w:val="7621652A"/>
    <w:rsid w:val="76790114"/>
    <w:rsid w:val="78C064CE"/>
    <w:rsid w:val="7AF9179F"/>
    <w:rsid w:val="7BB51E06"/>
    <w:rsid w:val="7C387F7C"/>
    <w:rsid w:val="7C5E2286"/>
    <w:rsid w:val="7F182BC0"/>
    <w:rsid w:val="7FE83423"/>
    <w:rsid w:val="FFF77B3B"/>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3287</Words>
  <Characters>3366</Characters>
  <Lines>4</Lines>
  <Paragraphs>1</Paragraphs>
  <TotalTime>2</TotalTime>
  <ScaleCrop>false</ScaleCrop>
  <LinksUpToDate>false</LinksUpToDate>
  <CharactersWithSpaces>3399</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uos</cp:lastModifiedBy>
  <cp:lastPrinted>2026-05-06T14:13:00Z</cp:lastPrinted>
  <dcterms:modified xsi:type="dcterms:W3CDTF">2026-05-26T14:19:22Z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497D6D5DE9974281A7FC6D86D5072B09_13</vt:lpwstr>
  </property>
  <property fmtid="{D5CDD505-2E9C-101B-9397-08002B2CF9AE}" pid="4" name="KSOTemplateDocerSaveRecord">
    <vt:lpwstr>eyJoZGlkIjoiYzY3NWZiY2YwNzhhNzE1M2ViMWJiNzlhZjhkZjNlNDgiLCJ1c2VySWQiOiIxNzUwMTQwNDUwIn0=</vt:lpwstr>
  </property>
</Properties>
</file>