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7C2D19">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14:paraId="6771D7A0">
      <w:pPr>
        <w:spacing w:line="560" w:lineRule="exact"/>
        <w:jc w:val="center"/>
        <w:rPr>
          <w:rFonts w:ascii="宋体" w:hAnsi="宋体" w:cs="宋体"/>
          <w:b/>
          <w:bCs/>
          <w:sz w:val="44"/>
          <w:szCs w:val="44"/>
        </w:rPr>
      </w:pPr>
    </w:p>
    <w:p w14:paraId="2CDAF13F">
      <w:pPr>
        <w:spacing w:line="560" w:lineRule="exact"/>
        <w:jc w:val="center"/>
        <w:rPr>
          <w:rFonts w:ascii="宋体" w:hAnsi="宋体" w:cs="宋体"/>
          <w:b/>
          <w:bCs/>
          <w:sz w:val="44"/>
          <w:szCs w:val="44"/>
        </w:rPr>
      </w:pPr>
      <w:r>
        <w:rPr>
          <w:rFonts w:hint="eastAsia" w:ascii="宋体" w:hAnsi="宋体" w:cs="宋体"/>
          <w:b/>
          <w:bCs/>
          <w:sz w:val="44"/>
          <w:szCs w:val="44"/>
          <w:lang w:eastAsia="zh-CN"/>
        </w:rPr>
        <w:t>石家庄市鹿泉区文学艺术界联合会</w:t>
      </w:r>
      <w:r>
        <w:rPr>
          <w:rFonts w:hint="eastAsia" w:ascii="宋体" w:hAnsi="宋体" w:cs="宋体"/>
          <w:b/>
          <w:bCs/>
          <w:sz w:val="44"/>
          <w:szCs w:val="44"/>
        </w:rPr>
        <w:t>部门</w:t>
      </w:r>
    </w:p>
    <w:p w14:paraId="4ACAACF9">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3F5423FF">
      <w:pPr>
        <w:spacing w:line="560" w:lineRule="exact"/>
        <w:jc w:val="center"/>
        <w:rPr>
          <w:rFonts w:ascii="华文楷体" w:eastAsia="华文楷体"/>
          <w:sz w:val="32"/>
          <w:szCs w:val="32"/>
        </w:rPr>
      </w:pPr>
    </w:p>
    <w:p w14:paraId="3043250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val="en-US" w:eastAsia="zh-CN"/>
        </w:rPr>
        <w:t>区文联</w:t>
      </w:r>
      <w:r>
        <w:rPr>
          <w:rFonts w:hint="eastAsia" w:ascii="仿宋" w:hAnsi="仿宋" w:eastAsia="仿宋"/>
          <w:sz w:val="32"/>
          <w:szCs w:val="32"/>
        </w:rPr>
        <w:t>部门20</w:t>
      </w:r>
      <w:r>
        <w:rPr>
          <w:rFonts w:hint="eastAsia" w:ascii="仿宋" w:hAnsi="仿宋" w:eastAsia="仿宋"/>
          <w:sz w:val="32"/>
          <w:szCs w:val="32"/>
          <w:lang w:val="en-US" w:eastAsia="zh-CN"/>
        </w:rPr>
        <w:t>25</w:t>
      </w:r>
      <w:r>
        <w:rPr>
          <w:rFonts w:hint="eastAsia" w:ascii="仿宋" w:hAnsi="仿宋" w:eastAsia="仿宋"/>
          <w:sz w:val="32"/>
          <w:szCs w:val="32"/>
        </w:rPr>
        <w:t>年整体支出情况实施了财政支出绩效自评价，形成本评价报告。</w:t>
      </w:r>
    </w:p>
    <w:p w14:paraId="2797C1A8">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4F8C8D2A">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284573D">
      <w:pPr>
        <w:keepNext w:val="0"/>
        <w:keepLines w:val="0"/>
        <w:pageBreakBefore w:val="0"/>
        <w:widowControl w:val="0"/>
        <w:kinsoku/>
        <w:wordWrap/>
        <w:overflowPunct/>
        <w:topLinePunct w:val="0"/>
        <w:autoSpaceDE/>
        <w:autoSpaceDN/>
        <w:bidi w:val="0"/>
        <w:adjustRightInd w:val="0"/>
        <w:snapToGrid w:val="0"/>
        <w:spacing w:line="560" w:lineRule="atLeast"/>
        <w:ind w:left="0" w:leftChars="0" w:right="0" w:firstLine="640" w:firstLineChars="200"/>
        <w:textAlignment w:val="auto"/>
        <w:outlineLvl w:val="9"/>
        <w:rPr>
          <w:rFonts w:hint="default" w:ascii="仿宋" w:hAnsi="仿宋" w:eastAsia="仿宋"/>
          <w:sz w:val="32"/>
          <w:szCs w:val="32"/>
          <w:lang w:val="en-US" w:eastAsia="zh-CN"/>
        </w:rPr>
      </w:pPr>
      <w:r>
        <w:rPr>
          <w:rFonts w:hint="eastAsia" w:ascii="仿宋" w:hAnsi="仿宋" w:eastAsia="仿宋"/>
          <w:sz w:val="32"/>
          <w:szCs w:val="32"/>
          <w:lang w:val="en-US" w:eastAsia="zh-CN"/>
        </w:rPr>
        <w:t>石家庄市鹿泉区文学艺术界联合会是鹿泉区委区政府领导下的群团组织，</w:t>
      </w:r>
      <w:r>
        <w:rPr>
          <w:rFonts w:hint="eastAsia" w:ascii="仿宋" w:hAnsi="仿宋" w:eastAsia="仿宋"/>
          <w:sz w:val="32"/>
          <w:szCs w:val="32"/>
        </w:rPr>
        <w:t>是党和政府联系文艺界的桥梁和纽带，是繁荣发展社会主义文艺事业、建设社会主义先进文化的重要力量。</w:t>
      </w:r>
      <w:r>
        <w:rPr>
          <w:rFonts w:hint="eastAsia" w:ascii="仿宋" w:hAnsi="仿宋" w:eastAsia="仿宋"/>
          <w:sz w:val="32"/>
          <w:szCs w:val="32"/>
          <w:lang w:val="en-US" w:eastAsia="zh-CN"/>
        </w:rPr>
        <w:t>其主要职责为：</w:t>
      </w:r>
    </w:p>
    <w:p w14:paraId="276E3966">
      <w:pPr>
        <w:keepNext w:val="0"/>
        <w:keepLines w:val="0"/>
        <w:pageBreakBefore w:val="0"/>
        <w:widowControl w:val="0"/>
        <w:kinsoku/>
        <w:wordWrap/>
        <w:overflowPunct/>
        <w:topLinePunct w:val="0"/>
        <w:autoSpaceDE/>
        <w:autoSpaceDN/>
        <w:bidi w:val="0"/>
        <w:adjustRightInd w:val="0"/>
        <w:snapToGrid w:val="0"/>
        <w:spacing w:line="560" w:lineRule="atLeast"/>
        <w:ind w:left="0" w:leftChars="0" w:right="0" w:firstLine="640" w:firstLineChars="200"/>
        <w:textAlignment w:val="auto"/>
        <w:outlineLvl w:val="9"/>
        <w:rPr>
          <w:rFonts w:hint="eastAsia" w:ascii="仿宋_GB2312" w:eastAsia="仿宋_GB2312" w:cs="仿宋_GB2312"/>
          <w:kern w:val="0"/>
          <w:sz w:val="32"/>
          <w:szCs w:val="32"/>
        </w:rPr>
      </w:pPr>
      <w:r>
        <w:rPr>
          <w:rFonts w:hint="eastAsia" w:ascii="仿宋" w:hAnsi="仿宋" w:eastAsia="仿宋"/>
          <w:sz w:val="32"/>
          <w:szCs w:val="32"/>
          <w:lang w:val="en-US" w:eastAsia="zh-CN"/>
        </w:rPr>
        <w:t>1、</w:t>
      </w:r>
      <w:r>
        <w:rPr>
          <w:rFonts w:hint="eastAsia" w:ascii="仿宋" w:hAnsi="仿宋" w:eastAsia="仿宋"/>
          <w:sz w:val="32"/>
          <w:szCs w:val="32"/>
        </w:rPr>
        <w:t>坚持和加强党的全面领导，贯彻落实党对文艺工作的方针政策和决策部署，对各团体</w:t>
      </w:r>
      <w:r>
        <w:rPr>
          <w:rFonts w:hint="eastAsia" w:ascii="仿宋_GB2312" w:eastAsia="仿宋_GB2312" w:cs="仿宋_GB2312"/>
          <w:kern w:val="0"/>
          <w:sz w:val="32"/>
          <w:szCs w:val="32"/>
        </w:rPr>
        <w:t>会员、文艺工作者及新文艺组织、新文艺群体开展团结引导、联络协调、服务管理、自律维权工作。团结广大文艺工作者，反映和听取文艺界的情况和意见，引导广大文艺工作者听党话跟党走。</w:t>
      </w:r>
    </w:p>
    <w:p w14:paraId="51AC7F59">
      <w:pPr>
        <w:keepNext w:val="0"/>
        <w:keepLines w:val="0"/>
        <w:pageBreakBefore w:val="0"/>
        <w:widowControl w:val="0"/>
        <w:kinsoku/>
        <w:wordWrap/>
        <w:overflowPunct/>
        <w:topLinePunct w:val="0"/>
        <w:autoSpaceDE/>
        <w:autoSpaceDN/>
        <w:bidi w:val="0"/>
        <w:spacing w:line="560" w:lineRule="atLeast"/>
        <w:ind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2、</w:t>
      </w:r>
      <w:r>
        <w:rPr>
          <w:rFonts w:hint="eastAsia" w:ascii="仿宋_GB2312" w:eastAsia="仿宋_GB2312" w:cs="仿宋_GB2312"/>
          <w:kern w:val="0"/>
          <w:sz w:val="32"/>
          <w:szCs w:val="32"/>
        </w:rPr>
        <w:t>组织召开全区文联代表大会，全委会和主席团会议；组织召开全区文艺家协会代表大会、理事会、主席团会议以及全区文联系统工作会议。</w:t>
      </w:r>
    </w:p>
    <w:p w14:paraId="0194A532">
      <w:pPr>
        <w:keepNext w:val="0"/>
        <w:keepLines w:val="0"/>
        <w:pageBreakBefore w:val="0"/>
        <w:widowControl w:val="0"/>
        <w:kinsoku/>
        <w:wordWrap/>
        <w:overflowPunct/>
        <w:topLinePunct w:val="0"/>
        <w:autoSpaceDE/>
        <w:autoSpaceDN/>
        <w:bidi w:val="0"/>
        <w:spacing w:line="560" w:lineRule="atLeast"/>
        <w:ind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3、</w:t>
      </w:r>
      <w:r>
        <w:rPr>
          <w:rFonts w:hint="eastAsia" w:ascii="仿宋_GB2312" w:eastAsia="仿宋_GB2312" w:cs="仿宋_GB2312"/>
          <w:kern w:val="0"/>
          <w:sz w:val="32"/>
          <w:szCs w:val="32"/>
        </w:rPr>
        <w:t>组织开展采风创作、文艺志愿服务、主题文艺活动、展演展示展播等文艺实践活动。组织开展文艺人才教育培训、培养举荐、创作扶持等工作。</w:t>
      </w:r>
    </w:p>
    <w:p w14:paraId="3292FAC0">
      <w:pPr>
        <w:keepNext w:val="0"/>
        <w:keepLines w:val="0"/>
        <w:pageBreakBefore w:val="0"/>
        <w:widowControl w:val="0"/>
        <w:kinsoku/>
        <w:wordWrap/>
        <w:overflowPunct/>
        <w:topLinePunct w:val="0"/>
        <w:autoSpaceDE/>
        <w:autoSpaceDN/>
        <w:bidi w:val="0"/>
        <w:spacing w:line="560" w:lineRule="atLeast"/>
        <w:ind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4、</w:t>
      </w:r>
      <w:r>
        <w:rPr>
          <w:rFonts w:hint="eastAsia" w:ascii="仿宋_GB2312" w:eastAsia="仿宋_GB2312" w:cs="仿宋_GB2312"/>
          <w:kern w:val="0"/>
          <w:sz w:val="32"/>
          <w:szCs w:val="32"/>
        </w:rPr>
        <w:t>协同有关部门组织文艺活动的重大评奖活动。组织开展文艺评论、文艺理论研究、学术交流研讨等活动。</w:t>
      </w:r>
    </w:p>
    <w:p w14:paraId="7DFC2906">
      <w:pPr>
        <w:keepNext w:val="0"/>
        <w:keepLines w:val="0"/>
        <w:pageBreakBefore w:val="0"/>
        <w:widowControl w:val="0"/>
        <w:kinsoku/>
        <w:wordWrap/>
        <w:overflowPunct/>
        <w:topLinePunct w:val="0"/>
        <w:autoSpaceDE/>
        <w:autoSpaceDN/>
        <w:bidi w:val="0"/>
        <w:spacing w:line="560" w:lineRule="atLeast"/>
        <w:ind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5、</w:t>
      </w:r>
      <w:r>
        <w:rPr>
          <w:rFonts w:hint="eastAsia" w:ascii="仿宋_GB2312" w:eastAsia="仿宋_GB2312" w:cs="仿宋_GB2312"/>
          <w:kern w:val="0"/>
          <w:sz w:val="32"/>
          <w:szCs w:val="32"/>
        </w:rPr>
        <w:t>依法开展文艺领域行业教育、行业自律、行业服务和行业管理工作，开展行风建设和职业道德建设。</w:t>
      </w:r>
    </w:p>
    <w:p w14:paraId="637F9BEC">
      <w:pPr>
        <w:keepNext w:val="0"/>
        <w:keepLines w:val="0"/>
        <w:pageBreakBefore w:val="0"/>
        <w:widowControl w:val="0"/>
        <w:kinsoku/>
        <w:wordWrap/>
        <w:overflowPunct/>
        <w:topLinePunct w:val="0"/>
        <w:autoSpaceDE/>
        <w:autoSpaceDN/>
        <w:bidi w:val="0"/>
        <w:spacing w:line="560" w:lineRule="atLeast"/>
        <w:ind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6、</w:t>
      </w:r>
      <w:r>
        <w:rPr>
          <w:rFonts w:hint="eastAsia" w:ascii="仿宋_GB2312" w:eastAsia="仿宋_GB2312" w:cs="仿宋_GB2312"/>
          <w:kern w:val="0"/>
          <w:sz w:val="32"/>
          <w:szCs w:val="32"/>
        </w:rPr>
        <w:t>服务区委、区政府工作大局，传播中华优秀传统文化，组织开展文化交流合作。</w:t>
      </w:r>
    </w:p>
    <w:p w14:paraId="7FDED503">
      <w:pPr>
        <w:keepNext w:val="0"/>
        <w:keepLines w:val="0"/>
        <w:pageBreakBefore w:val="0"/>
        <w:widowControl w:val="0"/>
        <w:kinsoku/>
        <w:wordWrap/>
        <w:overflowPunct/>
        <w:topLinePunct w:val="0"/>
        <w:autoSpaceDE/>
        <w:autoSpaceDN/>
        <w:bidi w:val="0"/>
        <w:spacing w:line="560" w:lineRule="atLeast"/>
        <w:ind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7、</w:t>
      </w:r>
      <w:r>
        <w:rPr>
          <w:rFonts w:hint="eastAsia" w:ascii="仿宋_GB2312" w:eastAsia="仿宋_GB2312" w:cs="仿宋_GB2312"/>
          <w:kern w:val="0"/>
          <w:sz w:val="32"/>
          <w:szCs w:val="32"/>
        </w:rPr>
        <w:t>组织开展文艺领域侵权纠纷调解、权益保护协调合作、诉求表达处理、法律志愿服务等维权服务工作，维护文艺工作者合法权益。</w:t>
      </w:r>
    </w:p>
    <w:p w14:paraId="49DCCC92">
      <w:pPr>
        <w:keepNext w:val="0"/>
        <w:keepLines w:val="0"/>
        <w:pageBreakBefore w:val="0"/>
        <w:widowControl w:val="0"/>
        <w:kinsoku/>
        <w:wordWrap/>
        <w:overflowPunct/>
        <w:topLinePunct w:val="0"/>
        <w:autoSpaceDE/>
        <w:autoSpaceDN/>
        <w:bidi w:val="0"/>
        <w:spacing w:line="560" w:lineRule="atLeast"/>
        <w:ind w:firstLine="640" w:firstLineChars="200"/>
        <w:textAlignment w:val="auto"/>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8、</w:t>
      </w:r>
      <w:r>
        <w:rPr>
          <w:rFonts w:hint="eastAsia" w:ascii="仿宋_GB2312" w:eastAsia="仿宋_GB2312" w:cs="仿宋_GB2312"/>
          <w:kern w:val="0"/>
          <w:sz w:val="32"/>
          <w:szCs w:val="32"/>
        </w:rPr>
        <w:t>引导网络文艺创作生产，促进传统文艺和网络文艺融合发展。</w:t>
      </w:r>
    </w:p>
    <w:p w14:paraId="60070416">
      <w:pPr>
        <w:adjustRightInd w:val="0"/>
        <w:snapToGrid w:val="0"/>
        <w:spacing w:line="56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9、</w:t>
      </w:r>
      <w:r>
        <w:rPr>
          <w:rFonts w:hint="eastAsia" w:ascii="仿宋_GB2312" w:eastAsia="仿宋_GB2312" w:cs="仿宋_GB2312"/>
          <w:kern w:val="0"/>
          <w:sz w:val="32"/>
          <w:szCs w:val="32"/>
        </w:rPr>
        <w:t>联络、协调、服务和指导各文艺家协会，对区文联业务主管的社会组织进行日常联系和监督管理，依法依章程指导基层文联工作。编辑出版有关文艺刊物和文艺书籍。</w:t>
      </w:r>
    </w:p>
    <w:p w14:paraId="6414B663">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1FDB3786">
      <w:pPr>
        <w:keepNext w:val="0"/>
        <w:keepLines w:val="0"/>
        <w:pageBreakBefore w:val="0"/>
        <w:widowControl w:val="0"/>
        <w:kinsoku/>
        <w:wordWrap/>
        <w:overflowPunct/>
        <w:topLinePunct w:val="0"/>
        <w:autoSpaceDE/>
        <w:autoSpaceDN/>
        <w:bidi w:val="0"/>
        <w:adjustRightInd w:val="0"/>
        <w:snapToGrid w:val="0"/>
        <w:spacing w:line="560" w:lineRule="atLeast"/>
        <w:ind w:firstLine="640" w:firstLineChars="200"/>
        <w:textAlignment w:val="auto"/>
        <w:rPr>
          <w:rFonts w:hint="eastAsia" w:ascii="仿宋_GB2312" w:hAnsi="Times New Roman" w:eastAsia="仿宋_GB2312" w:cs="仿宋_GB2312"/>
          <w:sz w:val="32"/>
          <w:szCs w:val="32"/>
        </w:rPr>
      </w:pPr>
      <w:r>
        <w:rPr>
          <w:rFonts w:hint="eastAsia" w:ascii="仿宋_GB2312" w:eastAsia="仿宋_GB2312"/>
          <w:color w:val="auto"/>
          <w:sz w:val="32"/>
          <w:szCs w:val="32"/>
          <w:highlight w:val="none"/>
          <w:lang w:val="en-US" w:eastAsia="zh-CN"/>
        </w:rPr>
        <w:t>2025</w:t>
      </w:r>
      <w:r>
        <w:rPr>
          <w:rFonts w:hint="eastAsia" w:ascii="仿宋_GB2312" w:eastAsia="仿宋_GB2312"/>
          <w:color w:val="auto"/>
          <w:sz w:val="32"/>
          <w:szCs w:val="32"/>
          <w:highlight w:val="none"/>
        </w:rPr>
        <w:t>年财政批复部门</w:t>
      </w:r>
      <w:r>
        <w:rPr>
          <w:rFonts w:hint="eastAsia" w:ascii="仿宋_GB2312" w:eastAsia="仿宋_GB2312"/>
          <w:color w:val="auto"/>
          <w:sz w:val="32"/>
          <w:szCs w:val="32"/>
          <w:highlight w:val="none"/>
          <w:lang w:val="en-US" w:eastAsia="zh-CN"/>
        </w:rPr>
        <w:t>收入</w:t>
      </w:r>
      <w:r>
        <w:rPr>
          <w:rFonts w:hint="eastAsia" w:ascii="仿宋_GB2312" w:eastAsia="仿宋_GB2312"/>
          <w:color w:val="auto"/>
          <w:sz w:val="32"/>
          <w:szCs w:val="32"/>
          <w:highlight w:val="none"/>
        </w:rPr>
        <w:t>预算为</w:t>
      </w:r>
      <w:r>
        <w:rPr>
          <w:rFonts w:hint="eastAsia" w:ascii="仿宋_GB2312" w:hAnsi="仿宋" w:eastAsia="仿宋_GB2312"/>
          <w:sz w:val="32"/>
          <w:szCs w:val="32"/>
          <w:highlight w:val="none"/>
          <w:lang w:val="en-US" w:eastAsia="zh-CN"/>
        </w:rPr>
        <w:t>265.93</w:t>
      </w:r>
      <w:r>
        <w:rPr>
          <w:rFonts w:hint="eastAsia" w:ascii="仿宋_GB2312" w:hAnsi="Times New Roman" w:eastAsia="仿宋_GB2312" w:cs="仿宋_GB2312"/>
          <w:sz w:val="32"/>
          <w:szCs w:val="32"/>
          <w:highlight w:val="none"/>
        </w:rPr>
        <w:t>万元，其中：一般公共预算拨款收入</w:t>
      </w:r>
      <w:r>
        <w:rPr>
          <w:rFonts w:hint="eastAsia" w:ascii="仿宋_GB2312" w:hAnsi="仿宋" w:eastAsia="仿宋_GB2312"/>
          <w:sz w:val="32"/>
          <w:szCs w:val="32"/>
          <w:highlight w:val="none"/>
          <w:lang w:val="en-US" w:eastAsia="zh-CN"/>
        </w:rPr>
        <w:t>265.93</w:t>
      </w:r>
      <w:r>
        <w:rPr>
          <w:rFonts w:hint="eastAsia" w:ascii="仿宋_GB2312" w:hAnsi="Times New Roman" w:eastAsia="仿宋_GB2312" w:cs="仿宋_GB2312"/>
          <w:sz w:val="32"/>
          <w:szCs w:val="32"/>
          <w:highlight w:val="none"/>
        </w:rPr>
        <w:t>万元，</w:t>
      </w:r>
      <w:r>
        <w:rPr>
          <w:rFonts w:hint="eastAsia" w:ascii="仿宋_GB2312" w:hAnsi="Times New Roman" w:eastAsia="仿宋_GB2312" w:cs="仿宋_GB2312"/>
          <w:sz w:val="32"/>
          <w:szCs w:val="32"/>
        </w:rPr>
        <w:t>基金预算收入0万元，财政专户核拨收入0万元，其他来源收入0万元。</w:t>
      </w:r>
    </w:p>
    <w:p w14:paraId="1C099366">
      <w:pPr>
        <w:keepNext w:val="0"/>
        <w:keepLines w:val="0"/>
        <w:pageBreakBefore w:val="0"/>
        <w:widowControl w:val="0"/>
        <w:kinsoku/>
        <w:wordWrap/>
        <w:overflowPunct/>
        <w:topLinePunct w:val="0"/>
        <w:autoSpaceDE/>
        <w:autoSpaceDN/>
        <w:bidi w:val="0"/>
        <w:adjustRightInd w:val="0"/>
        <w:snapToGrid w:val="0"/>
        <w:spacing w:line="560" w:lineRule="atLeast"/>
        <w:ind w:firstLine="640" w:firstLineChars="200"/>
        <w:textAlignment w:val="auto"/>
        <w:rPr>
          <w:rFonts w:hint="eastAsia" w:ascii="仿宋_GB2312" w:hAnsi="Times New Roman" w:eastAsia="仿宋_GB2312" w:cs="仿宋_GB2312"/>
          <w:sz w:val="32"/>
          <w:szCs w:val="32"/>
          <w:highlight w:val="none"/>
        </w:rPr>
      </w:pPr>
      <w:r>
        <w:rPr>
          <w:rFonts w:hint="eastAsia" w:ascii="仿宋_GB2312" w:eastAsia="仿宋_GB2312"/>
          <w:color w:val="auto"/>
          <w:sz w:val="32"/>
          <w:szCs w:val="32"/>
          <w:highlight w:val="none"/>
          <w:lang w:val="en-US" w:eastAsia="zh-CN"/>
        </w:rPr>
        <w:t>2025</w:t>
      </w:r>
      <w:r>
        <w:rPr>
          <w:rFonts w:hint="eastAsia" w:ascii="仿宋_GB2312" w:eastAsia="仿宋_GB2312"/>
          <w:color w:val="auto"/>
          <w:sz w:val="32"/>
          <w:szCs w:val="32"/>
          <w:highlight w:val="none"/>
        </w:rPr>
        <w:t>年财政批复部门</w:t>
      </w:r>
      <w:r>
        <w:rPr>
          <w:rFonts w:hint="eastAsia" w:ascii="仿宋_GB2312" w:eastAsia="仿宋_GB2312"/>
          <w:color w:val="auto"/>
          <w:sz w:val="32"/>
          <w:szCs w:val="32"/>
          <w:highlight w:val="none"/>
          <w:lang w:val="en-US" w:eastAsia="zh-CN"/>
        </w:rPr>
        <w:t>支出</w:t>
      </w:r>
      <w:r>
        <w:rPr>
          <w:rFonts w:hint="eastAsia" w:ascii="仿宋_GB2312" w:eastAsia="仿宋_GB2312"/>
          <w:color w:val="auto"/>
          <w:sz w:val="32"/>
          <w:szCs w:val="32"/>
          <w:highlight w:val="none"/>
        </w:rPr>
        <w:t>预算为</w:t>
      </w:r>
      <w:r>
        <w:rPr>
          <w:rFonts w:hint="eastAsia" w:ascii="仿宋_GB2312" w:hAnsi="仿宋" w:eastAsia="仿宋_GB2312"/>
          <w:sz w:val="32"/>
          <w:szCs w:val="32"/>
          <w:highlight w:val="none"/>
          <w:lang w:val="en-US" w:eastAsia="zh-CN"/>
        </w:rPr>
        <w:t>265.93</w:t>
      </w:r>
      <w:r>
        <w:rPr>
          <w:rFonts w:hint="eastAsia" w:ascii="仿宋_GB2312" w:hAnsi="Times New Roman" w:eastAsia="仿宋_GB2312" w:cs="仿宋_GB2312"/>
          <w:sz w:val="32"/>
          <w:szCs w:val="32"/>
          <w:highlight w:val="none"/>
        </w:rPr>
        <w:t>万元，其中基本支出</w:t>
      </w:r>
      <w:r>
        <w:rPr>
          <w:rFonts w:hint="eastAsia" w:ascii="仿宋" w:hAnsi="仿宋" w:eastAsia="仿宋"/>
          <w:sz w:val="32"/>
          <w:szCs w:val="32"/>
          <w:highlight w:val="none"/>
          <w:lang w:val="en-US" w:eastAsia="zh-CN"/>
        </w:rPr>
        <w:t>150.93</w:t>
      </w:r>
      <w:r>
        <w:rPr>
          <w:rFonts w:hint="eastAsia" w:ascii="仿宋_GB2312" w:hAnsi="Times New Roman" w:eastAsia="仿宋_GB2312" w:cs="仿宋_GB2312"/>
          <w:sz w:val="32"/>
          <w:szCs w:val="32"/>
          <w:highlight w:val="none"/>
        </w:rPr>
        <w:t>万元，包括人员经费</w:t>
      </w:r>
      <w:r>
        <w:rPr>
          <w:rFonts w:hint="eastAsia" w:ascii="仿宋" w:hAnsi="仿宋" w:eastAsia="仿宋"/>
          <w:sz w:val="32"/>
          <w:szCs w:val="32"/>
          <w:highlight w:val="none"/>
          <w:lang w:val="en-US" w:eastAsia="zh-CN"/>
        </w:rPr>
        <w:t>123.84</w:t>
      </w:r>
      <w:r>
        <w:rPr>
          <w:rFonts w:hint="eastAsia" w:ascii="仿宋_GB2312" w:hAnsi="Times New Roman" w:eastAsia="仿宋_GB2312" w:cs="仿宋_GB2312"/>
          <w:sz w:val="32"/>
          <w:szCs w:val="32"/>
          <w:highlight w:val="none"/>
        </w:rPr>
        <w:t>万元和公用经费</w:t>
      </w:r>
      <w:r>
        <w:rPr>
          <w:rFonts w:hint="eastAsia" w:ascii="仿宋" w:hAnsi="仿宋" w:eastAsia="仿宋" w:cs="Times New Roman"/>
          <w:sz w:val="32"/>
          <w:szCs w:val="32"/>
          <w:highlight w:val="none"/>
          <w:lang w:val="en-US" w:eastAsia="zh-CN"/>
        </w:rPr>
        <w:t>27.09</w:t>
      </w:r>
      <w:r>
        <w:rPr>
          <w:rFonts w:hint="eastAsia" w:ascii="仿宋_GB2312" w:hAnsi="Times New Roman" w:eastAsia="仿宋_GB2312" w:cs="仿宋_GB2312"/>
          <w:sz w:val="32"/>
          <w:szCs w:val="32"/>
          <w:highlight w:val="none"/>
        </w:rPr>
        <w:t>万元；项目支出</w:t>
      </w:r>
      <w:r>
        <w:rPr>
          <w:rFonts w:hint="eastAsia" w:ascii="仿宋_GB2312" w:hAnsi="Times New Roman" w:eastAsia="仿宋_GB2312" w:cs="仿宋_GB2312"/>
          <w:sz w:val="32"/>
          <w:szCs w:val="32"/>
          <w:highlight w:val="none"/>
          <w:lang w:val="en-US" w:eastAsia="zh-CN"/>
        </w:rPr>
        <w:t>115</w:t>
      </w:r>
      <w:r>
        <w:rPr>
          <w:rFonts w:hint="eastAsia" w:ascii="仿宋_GB2312" w:hAnsi="Times New Roman" w:eastAsia="仿宋_GB2312" w:cs="仿宋_GB2312"/>
          <w:sz w:val="32"/>
          <w:szCs w:val="32"/>
          <w:highlight w:val="none"/>
        </w:rPr>
        <w:t>万元</w:t>
      </w:r>
      <w:r>
        <w:rPr>
          <w:rFonts w:hint="eastAsia" w:ascii="仿宋_GB2312" w:hAnsi="Times New Roman" w:eastAsia="仿宋_GB2312" w:cs="仿宋_GB2312"/>
          <w:sz w:val="32"/>
          <w:szCs w:val="32"/>
          <w:highlight w:val="none"/>
          <w:lang w:eastAsia="zh-CN"/>
        </w:rPr>
        <w:t>。其他支出</w:t>
      </w:r>
      <w:r>
        <w:rPr>
          <w:rFonts w:hint="eastAsia" w:ascii="仿宋_GB2312" w:hAnsi="Times New Roman" w:eastAsia="仿宋_GB2312" w:cs="仿宋_GB2312"/>
          <w:sz w:val="32"/>
          <w:szCs w:val="32"/>
          <w:highlight w:val="none"/>
          <w:lang w:val="en-US" w:eastAsia="zh-CN"/>
        </w:rPr>
        <w:t>0万元</w:t>
      </w:r>
      <w:r>
        <w:rPr>
          <w:rFonts w:hint="eastAsia" w:ascii="仿宋_GB2312" w:hAnsi="Times New Roman" w:eastAsia="仿宋_GB2312" w:cs="仿宋_GB2312"/>
          <w:sz w:val="32"/>
          <w:szCs w:val="32"/>
          <w:highlight w:val="none"/>
        </w:rPr>
        <w:t>。</w:t>
      </w:r>
    </w:p>
    <w:p w14:paraId="77EF88D6">
      <w:pPr>
        <w:keepNext w:val="0"/>
        <w:keepLines w:val="0"/>
        <w:pageBreakBefore w:val="0"/>
        <w:widowControl w:val="0"/>
        <w:kinsoku/>
        <w:wordWrap/>
        <w:overflowPunct/>
        <w:topLinePunct w:val="0"/>
        <w:autoSpaceDE/>
        <w:autoSpaceDN/>
        <w:bidi w:val="0"/>
        <w:adjustRightInd w:val="0"/>
        <w:snapToGrid w:val="0"/>
        <w:spacing w:line="560" w:lineRule="atLeast"/>
        <w:ind w:firstLine="640" w:firstLineChars="200"/>
        <w:textAlignment w:val="auto"/>
        <w:rPr>
          <w:rFonts w:hint="eastAsia" w:ascii="仿宋_GB2312" w:hAnsi="Times New Roman" w:eastAsia="仿宋_GB2312" w:cs="仿宋_GB2312"/>
          <w:sz w:val="32"/>
          <w:szCs w:val="32"/>
        </w:rPr>
      </w:pPr>
      <w:r>
        <w:rPr>
          <w:rFonts w:hint="eastAsia" w:ascii="仿宋_GB2312" w:eastAsia="仿宋_GB2312"/>
          <w:color w:val="auto"/>
          <w:sz w:val="32"/>
          <w:szCs w:val="32"/>
          <w:highlight w:val="none"/>
          <w:lang w:val="en-US" w:eastAsia="zh-CN"/>
        </w:rPr>
        <w:t>2025</w:t>
      </w:r>
      <w:r>
        <w:rPr>
          <w:rFonts w:hint="eastAsia" w:ascii="仿宋_GB2312" w:eastAsia="仿宋_GB2312"/>
          <w:color w:val="auto"/>
          <w:sz w:val="32"/>
          <w:szCs w:val="32"/>
          <w:highlight w:val="none"/>
        </w:rPr>
        <w:t>年部门</w:t>
      </w:r>
      <w:r>
        <w:rPr>
          <w:rFonts w:hint="eastAsia" w:ascii="仿宋_GB2312" w:eastAsia="仿宋_GB2312"/>
          <w:color w:val="auto"/>
          <w:sz w:val="32"/>
          <w:szCs w:val="32"/>
          <w:highlight w:val="none"/>
          <w:lang w:val="en-US" w:eastAsia="zh-CN"/>
        </w:rPr>
        <w:t>收入决算为199.37万元，其中</w:t>
      </w:r>
      <w:r>
        <w:rPr>
          <w:rFonts w:hint="eastAsia" w:ascii="仿宋_GB2312" w:hAnsi="Times New Roman" w:eastAsia="仿宋_GB2312" w:cs="仿宋_GB2312"/>
          <w:sz w:val="32"/>
          <w:szCs w:val="32"/>
          <w:highlight w:val="none"/>
        </w:rPr>
        <w:t>：一般公共预算拨款收入</w:t>
      </w:r>
      <w:r>
        <w:rPr>
          <w:rFonts w:hint="eastAsia" w:ascii="仿宋_GB2312" w:hAnsi="仿宋" w:eastAsia="仿宋_GB2312"/>
          <w:sz w:val="32"/>
          <w:szCs w:val="32"/>
          <w:highlight w:val="none"/>
          <w:lang w:val="en-US" w:eastAsia="zh-CN"/>
        </w:rPr>
        <w:t>199.37</w:t>
      </w:r>
      <w:r>
        <w:rPr>
          <w:rFonts w:hint="eastAsia" w:ascii="仿宋_GB2312" w:hAnsi="Times New Roman" w:eastAsia="仿宋_GB2312" w:cs="仿宋_GB2312"/>
          <w:sz w:val="32"/>
          <w:szCs w:val="32"/>
          <w:highlight w:val="none"/>
        </w:rPr>
        <w:t>万元，</w:t>
      </w:r>
      <w:r>
        <w:rPr>
          <w:rFonts w:hint="eastAsia" w:ascii="仿宋_GB2312" w:hAnsi="Times New Roman" w:eastAsia="仿宋_GB2312" w:cs="仿宋_GB2312"/>
          <w:sz w:val="32"/>
          <w:szCs w:val="32"/>
        </w:rPr>
        <w:t>基金预算收入0万元，财政专户核拨收入0万元，其他来源收入0万元。</w:t>
      </w:r>
    </w:p>
    <w:p w14:paraId="00B54434">
      <w:pPr>
        <w:keepNext w:val="0"/>
        <w:keepLines w:val="0"/>
        <w:pageBreakBefore w:val="0"/>
        <w:widowControl w:val="0"/>
        <w:kinsoku/>
        <w:wordWrap/>
        <w:overflowPunct/>
        <w:topLinePunct w:val="0"/>
        <w:autoSpaceDE/>
        <w:autoSpaceDN/>
        <w:bidi w:val="0"/>
        <w:adjustRightInd w:val="0"/>
        <w:snapToGrid w:val="0"/>
        <w:spacing w:line="560" w:lineRule="atLeast"/>
        <w:ind w:firstLine="640" w:firstLineChars="200"/>
        <w:textAlignment w:val="auto"/>
        <w:rPr>
          <w:rFonts w:hint="eastAsia" w:ascii="仿宋_GB2312" w:hAnsi="Times New Roman" w:eastAsia="仿宋_GB2312" w:cs="仿宋_GB2312"/>
          <w:sz w:val="32"/>
          <w:szCs w:val="32"/>
          <w:highlight w:val="none"/>
        </w:rPr>
      </w:pPr>
      <w:r>
        <w:rPr>
          <w:rFonts w:hint="eastAsia" w:ascii="仿宋_GB2312" w:eastAsia="仿宋_GB2312"/>
          <w:color w:val="auto"/>
          <w:sz w:val="32"/>
          <w:szCs w:val="32"/>
          <w:highlight w:val="none"/>
          <w:lang w:val="en-US" w:eastAsia="zh-CN"/>
        </w:rPr>
        <w:t>2025</w:t>
      </w:r>
      <w:r>
        <w:rPr>
          <w:rFonts w:hint="eastAsia" w:ascii="仿宋_GB2312" w:eastAsia="仿宋_GB2312"/>
          <w:color w:val="auto"/>
          <w:sz w:val="32"/>
          <w:szCs w:val="32"/>
          <w:highlight w:val="none"/>
        </w:rPr>
        <w:t>年部门</w:t>
      </w:r>
      <w:r>
        <w:rPr>
          <w:rFonts w:hint="eastAsia" w:ascii="仿宋_GB2312" w:eastAsia="仿宋_GB2312"/>
          <w:color w:val="auto"/>
          <w:sz w:val="32"/>
          <w:szCs w:val="32"/>
          <w:highlight w:val="none"/>
          <w:lang w:val="en-US" w:eastAsia="zh-CN"/>
        </w:rPr>
        <w:t>支出决算</w:t>
      </w:r>
      <w:r>
        <w:rPr>
          <w:rFonts w:hint="eastAsia" w:ascii="仿宋_GB2312" w:eastAsia="仿宋_GB2312"/>
          <w:color w:val="auto"/>
          <w:sz w:val="32"/>
          <w:szCs w:val="32"/>
          <w:highlight w:val="none"/>
        </w:rPr>
        <w:t>为</w:t>
      </w:r>
      <w:r>
        <w:rPr>
          <w:rFonts w:hint="eastAsia" w:ascii="仿宋_GB2312" w:eastAsia="仿宋_GB2312"/>
          <w:color w:val="auto"/>
          <w:sz w:val="32"/>
          <w:szCs w:val="32"/>
          <w:highlight w:val="none"/>
          <w:lang w:val="en-US" w:eastAsia="zh-CN"/>
        </w:rPr>
        <w:t>199.37</w:t>
      </w:r>
      <w:r>
        <w:rPr>
          <w:rFonts w:hint="eastAsia" w:ascii="仿宋_GB2312" w:hAnsi="Times New Roman" w:eastAsia="仿宋_GB2312" w:cs="仿宋_GB2312"/>
          <w:sz w:val="32"/>
          <w:szCs w:val="32"/>
          <w:highlight w:val="none"/>
        </w:rPr>
        <w:t>万元，其中基本支出</w:t>
      </w:r>
      <w:r>
        <w:rPr>
          <w:rFonts w:hint="eastAsia" w:ascii="仿宋" w:hAnsi="仿宋" w:eastAsia="仿宋"/>
          <w:sz w:val="32"/>
          <w:szCs w:val="32"/>
          <w:highlight w:val="none"/>
          <w:lang w:val="en-US" w:eastAsia="zh-CN"/>
        </w:rPr>
        <w:t>162.2</w:t>
      </w:r>
      <w:r>
        <w:rPr>
          <w:rFonts w:hint="eastAsia" w:ascii="仿宋_GB2312" w:hAnsi="Times New Roman" w:eastAsia="仿宋_GB2312" w:cs="仿宋_GB2312"/>
          <w:sz w:val="32"/>
          <w:szCs w:val="32"/>
          <w:highlight w:val="none"/>
        </w:rPr>
        <w:t>万元，包括人员经费</w:t>
      </w:r>
      <w:r>
        <w:rPr>
          <w:rFonts w:hint="eastAsia" w:ascii="仿宋" w:hAnsi="仿宋" w:eastAsia="仿宋"/>
          <w:sz w:val="32"/>
          <w:szCs w:val="32"/>
          <w:highlight w:val="none"/>
          <w:lang w:val="en-US" w:eastAsia="zh-CN"/>
        </w:rPr>
        <w:t>137.56</w:t>
      </w:r>
      <w:r>
        <w:rPr>
          <w:rFonts w:hint="eastAsia" w:ascii="仿宋_GB2312" w:hAnsi="Times New Roman" w:eastAsia="仿宋_GB2312" w:cs="仿宋_GB2312"/>
          <w:sz w:val="32"/>
          <w:szCs w:val="32"/>
          <w:highlight w:val="none"/>
        </w:rPr>
        <w:t>万元和公用经费</w:t>
      </w:r>
      <w:r>
        <w:rPr>
          <w:rFonts w:hint="eastAsia" w:ascii="仿宋" w:hAnsi="仿宋" w:eastAsia="仿宋" w:cs="Times New Roman"/>
          <w:sz w:val="32"/>
          <w:szCs w:val="32"/>
          <w:highlight w:val="none"/>
          <w:lang w:val="en-US" w:eastAsia="zh-CN"/>
        </w:rPr>
        <w:t>24.64</w:t>
      </w:r>
      <w:r>
        <w:rPr>
          <w:rFonts w:hint="eastAsia" w:ascii="仿宋_GB2312" w:hAnsi="Times New Roman" w:eastAsia="仿宋_GB2312" w:cs="仿宋_GB2312"/>
          <w:sz w:val="32"/>
          <w:szCs w:val="32"/>
          <w:highlight w:val="none"/>
        </w:rPr>
        <w:t>万元；项目支出</w:t>
      </w:r>
      <w:r>
        <w:rPr>
          <w:rFonts w:hint="eastAsia" w:ascii="仿宋_GB2312" w:hAnsi="Times New Roman" w:eastAsia="仿宋_GB2312" w:cs="仿宋_GB2312"/>
          <w:sz w:val="32"/>
          <w:szCs w:val="32"/>
          <w:highlight w:val="none"/>
          <w:lang w:val="en-US" w:eastAsia="zh-CN"/>
        </w:rPr>
        <w:t>37.17</w:t>
      </w:r>
      <w:r>
        <w:rPr>
          <w:rFonts w:hint="eastAsia" w:ascii="仿宋_GB2312" w:hAnsi="Times New Roman" w:eastAsia="仿宋_GB2312" w:cs="仿宋_GB2312"/>
          <w:sz w:val="32"/>
          <w:szCs w:val="32"/>
          <w:highlight w:val="none"/>
        </w:rPr>
        <w:t>万元</w:t>
      </w:r>
      <w:r>
        <w:rPr>
          <w:rFonts w:hint="eastAsia" w:ascii="仿宋_GB2312" w:hAnsi="Times New Roman" w:eastAsia="仿宋_GB2312" w:cs="仿宋_GB2312"/>
          <w:sz w:val="32"/>
          <w:szCs w:val="32"/>
          <w:highlight w:val="none"/>
          <w:lang w:eastAsia="zh-CN"/>
        </w:rPr>
        <w:t>。其他支出</w:t>
      </w:r>
      <w:r>
        <w:rPr>
          <w:rFonts w:hint="eastAsia" w:ascii="仿宋_GB2312" w:hAnsi="Times New Roman" w:eastAsia="仿宋_GB2312" w:cs="仿宋_GB2312"/>
          <w:sz w:val="32"/>
          <w:szCs w:val="32"/>
          <w:highlight w:val="none"/>
          <w:lang w:val="en-US" w:eastAsia="zh-CN"/>
        </w:rPr>
        <w:t>0万元</w:t>
      </w:r>
      <w:r>
        <w:rPr>
          <w:rFonts w:hint="eastAsia" w:ascii="仿宋_GB2312" w:hAnsi="Times New Roman" w:eastAsia="仿宋_GB2312" w:cs="仿宋_GB2312"/>
          <w:sz w:val="32"/>
          <w:szCs w:val="32"/>
          <w:highlight w:val="none"/>
        </w:rPr>
        <w:t>。</w:t>
      </w:r>
    </w:p>
    <w:p w14:paraId="1C22D2CC">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7598EB30">
      <w:pPr>
        <w:keepNext w:val="0"/>
        <w:keepLines w:val="0"/>
        <w:pageBreakBefore w:val="0"/>
        <w:widowControl w:val="0"/>
        <w:kinsoku/>
        <w:wordWrap/>
        <w:overflowPunct/>
        <w:topLinePunct w:val="0"/>
        <w:autoSpaceDE/>
        <w:autoSpaceDN/>
        <w:bidi w:val="0"/>
        <w:adjustRightInd w:val="0"/>
        <w:snapToGrid w:val="0"/>
        <w:spacing w:line="560" w:lineRule="atLeast"/>
        <w:ind w:firstLine="640" w:firstLineChars="200"/>
        <w:textAlignment w:val="auto"/>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坚持以习近平新时代中国特色社会主义思想为指导，全面贯彻党的</w:t>
      </w:r>
      <w:r>
        <w:rPr>
          <w:rFonts w:hint="eastAsia" w:ascii="仿宋_GB2312" w:hAnsi="Times New Roman" w:eastAsia="仿宋_GB2312" w:cs="仿宋_GB2312"/>
          <w:sz w:val="32"/>
          <w:szCs w:val="32"/>
          <w:lang w:val="en-US" w:eastAsia="zh-CN"/>
        </w:rPr>
        <w:t>二十大</w:t>
      </w:r>
      <w:r>
        <w:rPr>
          <w:rFonts w:hint="eastAsia" w:ascii="仿宋_GB2312" w:hAnsi="Times New Roman" w:eastAsia="仿宋_GB2312" w:cs="仿宋_GB2312"/>
          <w:sz w:val="32"/>
          <w:szCs w:val="32"/>
        </w:rPr>
        <w:t>精神，认真学习贯彻习近平总书记关于文艺工作的重要讲话精神，在区委</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lang w:val="en-US" w:eastAsia="zh-CN"/>
        </w:rPr>
        <w:t>区政府</w:t>
      </w:r>
      <w:r>
        <w:rPr>
          <w:rFonts w:hint="eastAsia" w:ascii="仿宋_GB2312" w:hAnsi="Times New Roman" w:eastAsia="仿宋_GB2312" w:cs="仿宋_GB2312"/>
          <w:sz w:val="32"/>
          <w:szCs w:val="32"/>
        </w:rPr>
        <w:t>的正确领导下，坚持文艺为人民群众共服务的目标任务，不断增强“四个意识”</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坚定“四个自信”</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做到“两个维护”</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不断强化文联组织的政治性、先进性、群众性，切实履行好“团结引导、联络协调、服务管理、自律维权”的基本职能，团结引领广大文艺工作者深入生活、扎根人民，自觉肩负起举旗帜、聚民心、育新人、兴文化、展形象的使命任务，用心用情用功抒写新时代新征程中鹿泉昂扬向上的奋斗历程，推动全区文艺事业高质量发展，加快建设经济强区、魅力鹿泉、生态宜居宜业宜游新城区。</w:t>
      </w:r>
    </w:p>
    <w:p w14:paraId="13D280E0">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15AE3EED">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32F26021">
      <w:pPr>
        <w:keepNext w:val="0"/>
        <w:keepLines w:val="0"/>
        <w:pageBreakBefore w:val="0"/>
        <w:widowControl w:val="0"/>
        <w:kinsoku/>
        <w:wordWrap/>
        <w:overflowPunct/>
        <w:topLinePunct w:val="0"/>
        <w:autoSpaceDE/>
        <w:autoSpaceDN/>
        <w:bidi w:val="0"/>
        <w:adjustRightInd w:val="0"/>
        <w:snapToGrid w:val="0"/>
        <w:spacing w:line="560" w:lineRule="atLeast"/>
        <w:ind w:firstLine="640" w:firstLineChars="200"/>
        <w:textAlignment w:val="auto"/>
        <w:rPr>
          <w:rFonts w:ascii="仿宋" w:hAnsi="仿宋" w:eastAsia="仿宋"/>
          <w:sz w:val="32"/>
          <w:szCs w:val="32"/>
        </w:rPr>
      </w:pPr>
      <w:r>
        <w:rPr>
          <w:rFonts w:hint="eastAsia" w:ascii="仿宋_GB2312" w:eastAsia="仿宋_GB2312"/>
          <w:sz w:val="32"/>
          <w:szCs w:val="32"/>
        </w:rPr>
        <w:t>根据</w:t>
      </w:r>
      <w:r>
        <w:rPr>
          <w:rFonts w:hint="eastAsia" w:ascii="仿宋" w:hAnsi="仿宋" w:eastAsia="仿宋"/>
          <w:sz w:val="32"/>
          <w:szCs w:val="32"/>
          <w:lang w:eastAsia="zh-CN"/>
        </w:rPr>
        <w:t>《关于全面实施预算绩效管理的实施意见》（鹿发﹝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_GB2312" w:eastAsia="仿宋_GB2312"/>
          <w:sz w:val="32"/>
          <w:szCs w:val="32"/>
        </w:rPr>
        <w:t>文件要求，对自评工作进行研究和部署</w:t>
      </w:r>
      <w:r>
        <w:rPr>
          <w:rFonts w:hint="eastAsia" w:ascii="仿宋_GB2312" w:eastAsia="仿宋_GB2312"/>
          <w:sz w:val="32"/>
          <w:szCs w:val="32"/>
          <w:lang w:eastAsia="zh-CN"/>
        </w:rPr>
        <w:t>。</w:t>
      </w:r>
    </w:p>
    <w:p w14:paraId="59880CE5">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70E65E92">
      <w:pPr>
        <w:keepNext w:val="0"/>
        <w:keepLines w:val="0"/>
        <w:pageBreakBefore w:val="0"/>
        <w:widowControl w:val="0"/>
        <w:kinsoku/>
        <w:wordWrap/>
        <w:overflowPunct/>
        <w:topLinePunct w:val="0"/>
        <w:autoSpaceDE/>
        <w:autoSpaceDN/>
        <w:bidi w:val="0"/>
        <w:adjustRightInd w:val="0"/>
        <w:snapToGrid w:val="0"/>
        <w:spacing w:line="560" w:lineRule="atLeas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对照各实施项目的内容逐条逐项自评。部门整体支出绩效数据采集的主要依据有：年度预算报告、决算报表、金财系统综合业务数据、单位年终考核汇编等资料。</w:t>
      </w:r>
    </w:p>
    <w:p w14:paraId="3451EE3A">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3422F82A">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1E27EAEF">
      <w:pPr>
        <w:keepNext w:val="0"/>
        <w:keepLines w:val="0"/>
        <w:pageBreakBefore w:val="0"/>
        <w:widowControl w:val="0"/>
        <w:kinsoku/>
        <w:wordWrap/>
        <w:overflowPunct/>
        <w:topLinePunct w:val="0"/>
        <w:autoSpaceDE/>
        <w:autoSpaceDN/>
        <w:bidi w:val="0"/>
        <w:adjustRightInd w:val="0"/>
        <w:snapToGrid w:val="0"/>
        <w:spacing w:line="56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5</w:t>
      </w:r>
      <w:r>
        <w:rPr>
          <w:rFonts w:hint="eastAsia" w:ascii="仿宋" w:hAnsi="仿宋" w:eastAsia="仿宋" w:cs="仿宋"/>
          <w:sz w:val="32"/>
          <w:szCs w:val="32"/>
        </w:rPr>
        <w:t>年</w:t>
      </w:r>
      <w:r>
        <w:rPr>
          <w:rFonts w:hint="eastAsia" w:ascii="仿宋" w:hAnsi="仿宋" w:eastAsia="仿宋" w:cs="仿宋"/>
          <w:sz w:val="32"/>
          <w:szCs w:val="32"/>
          <w:lang w:val="en-US" w:eastAsia="zh-CN"/>
        </w:rPr>
        <w:t>预算</w:t>
      </w:r>
      <w:r>
        <w:rPr>
          <w:rFonts w:hint="eastAsia" w:ascii="仿宋" w:hAnsi="仿宋" w:eastAsia="仿宋" w:cs="仿宋"/>
          <w:sz w:val="32"/>
          <w:szCs w:val="32"/>
        </w:rPr>
        <w:t>项目共</w:t>
      </w:r>
      <w:r>
        <w:rPr>
          <w:rFonts w:hint="eastAsia" w:ascii="仿宋" w:hAnsi="仿宋" w:eastAsia="仿宋" w:cs="仿宋"/>
          <w:sz w:val="32"/>
          <w:szCs w:val="32"/>
          <w:lang w:val="en-US" w:eastAsia="zh-CN"/>
        </w:rPr>
        <w:t>7</w:t>
      </w:r>
      <w:r>
        <w:rPr>
          <w:rFonts w:hint="eastAsia" w:ascii="仿宋" w:hAnsi="仿宋" w:eastAsia="仿宋" w:cs="仿宋"/>
          <w:sz w:val="32"/>
          <w:szCs w:val="32"/>
        </w:rPr>
        <w:t>个，</w:t>
      </w:r>
      <w:r>
        <w:rPr>
          <w:rFonts w:hint="eastAsia" w:ascii="仿宋" w:hAnsi="仿宋" w:eastAsia="仿宋" w:cs="仿宋"/>
          <w:sz w:val="32"/>
          <w:szCs w:val="32"/>
          <w:highlight w:val="none"/>
        </w:rPr>
        <w:t>涉及专项资金</w:t>
      </w:r>
      <w:r>
        <w:rPr>
          <w:rFonts w:hint="eastAsia" w:ascii="仿宋_GB2312" w:hAnsi="仿宋_GB2312" w:eastAsia="仿宋_GB2312" w:cs="仿宋_GB2312"/>
          <w:sz w:val="32"/>
          <w:szCs w:val="32"/>
          <w:highlight w:val="none"/>
        </w:rPr>
        <w:t>预算</w:t>
      </w:r>
      <w:r>
        <w:rPr>
          <w:rFonts w:hint="eastAsia" w:ascii="仿宋_GB2312" w:hAnsi="Times New Roman" w:eastAsia="仿宋_GB2312" w:cs="仿宋_GB2312"/>
          <w:sz w:val="32"/>
          <w:szCs w:val="32"/>
          <w:highlight w:val="none"/>
          <w:lang w:val="en-US" w:eastAsia="zh-CN"/>
        </w:rPr>
        <w:t>115</w:t>
      </w:r>
      <w:r>
        <w:rPr>
          <w:rFonts w:hint="eastAsia" w:ascii="仿宋" w:hAnsi="仿宋" w:eastAsia="仿宋" w:cs="仿宋"/>
          <w:sz w:val="32"/>
          <w:szCs w:val="32"/>
          <w:highlight w:val="none"/>
        </w:rPr>
        <w:t>万元。</w:t>
      </w:r>
      <w:r>
        <w:rPr>
          <w:rFonts w:hint="eastAsia" w:ascii="仿宋" w:hAnsi="仿宋" w:eastAsia="仿宋" w:cs="仿宋"/>
          <w:sz w:val="32"/>
          <w:szCs w:val="32"/>
          <w:highlight w:val="none"/>
          <w:lang w:eastAsia="zh-CN"/>
        </w:rPr>
        <w:t>其中</w:t>
      </w:r>
      <w:r>
        <w:rPr>
          <w:rFonts w:hint="eastAsia" w:ascii="仿宋" w:hAnsi="仿宋" w:eastAsia="仿宋" w:cs="仿宋"/>
          <w:sz w:val="32"/>
          <w:szCs w:val="32"/>
          <w:highlight w:val="none"/>
          <w:lang w:val="en-US" w:eastAsia="zh-CN"/>
        </w:rPr>
        <w:t>文艺家之家运转费3万元、文艺家之家设备招标项目经费20万元、文艺家之家加固经费20万元、文艺家之家维修改造项目经费30万元财政未拨款，因此全年</w:t>
      </w:r>
      <w:r>
        <w:rPr>
          <w:rFonts w:hint="eastAsia" w:ascii="仿宋" w:hAnsi="仿宋" w:eastAsia="仿宋" w:cs="仿宋"/>
          <w:sz w:val="32"/>
          <w:szCs w:val="32"/>
          <w:highlight w:val="none"/>
        </w:rPr>
        <w:t>实际支出</w:t>
      </w:r>
      <w:r>
        <w:rPr>
          <w:rFonts w:hint="eastAsia" w:ascii="仿宋" w:hAnsi="仿宋" w:eastAsia="仿宋" w:cs="仿宋"/>
          <w:sz w:val="32"/>
          <w:szCs w:val="32"/>
          <w:highlight w:val="none"/>
          <w:lang w:val="en-US" w:eastAsia="zh-CN"/>
        </w:rPr>
        <w:t>37.17</w:t>
      </w:r>
      <w:r>
        <w:rPr>
          <w:rFonts w:hint="eastAsia" w:ascii="仿宋" w:hAnsi="仿宋" w:eastAsia="仿宋" w:cs="仿宋"/>
          <w:sz w:val="32"/>
          <w:szCs w:val="32"/>
          <w:highlight w:val="none"/>
        </w:rPr>
        <w:t>万元，资金支出达</w:t>
      </w:r>
      <w:r>
        <w:rPr>
          <w:rFonts w:hint="eastAsia" w:ascii="仿宋" w:hAnsi="仿宋" w:eastAsia="仿宋" w:cs="仿宋"/>
          <w:sz w:val="32"/>
          <w:szCs w:val="32"/>
          <w:highlight w:val="none"/>
          <w:lang w:val="en-US" w:eastAsia="zh-CN"/>
        </w:rPr>
        <w:t>88.5</w:t>
      </w:r>
      <w:r>
        <w:rPr>
          <w:rFonts w:hint="eastAsia" w:ascii="仿宋" w:hAnsi="仿宋" w:eastAsia="仿宋" w:cs="仿宋"/>
          <w:sz w:val="32"/>
          <w:szCs w:val="32"/>
          <w:highlight w:val="none"/>
        </w:rPr>
        <w:t>%，</w:t>
      </w:r>
      <w:r>
        <w:rPr>
          <w:rFonts w:hint="eastAsia" w:ascii="仿宋" w:hAnsi="仿宋" w:eastAsia="仿宋" w:cs="仿宋"/>
          <w:sz w:val="32"/>
          <w:szCs w:val="32"/>
        </w:rPr>
        <w:t>专项资金支出进度完成</w:t>
      </w:r>
      <w:r>
        <w:rPr>
          <w:rFonts w:hint="eastAsia" w:ascii="仿宋" w:hAnsi="仿宋" w:eastAsia="仿宋" w:cs="仿宋"/>
          <w:sz w:val="32"/>
          <w:szCs w:val="32"/>
          <w:lang w:eastAsia="zh-CN"/>
        </w:rPr>
        <w:t>情况良好</w:t>
      </w:r>
      <w:r>
        <w:rPr>
          <w:rFonts w:hint="eastAsia" w:ascii="仿宋" w:hAnsi="仿宋" w:eastAsia="仿宋" w:cs="仿宋"/>
          <w:sz w:val="32"/>
          <w:szCs w:val="32"/>
        </w:rPr>
        <w:t>。</w:t>
      </w:r>
      <w:r>
        <w:rPr>
          <w:rFonts w:hint="eastAsia" w:ascii="仿宋" w:hAnsi="仿宋" w:eastAsia="仿宋" w:cs="仿宋"/>
          <w:sz w:val="32"/>
          <w:szCs w:val="32"/>
          <w:lang w:eastAsia="zh-CN"/>
        </w:rPr>
        <w:t>大部分项目</w:t>
      </w:r>
      <w:r>
        <w:rPr>
          <w:rFonts w:hint="eastAsia" w:ascii="仿宋" w:hAnsi="仿宋" w:eastAsia="仿宋" w:cs="仿宋"/>
          <w:sz w:val="32"/>
          <w:szCs w:val="32"/>
        </w:rPr>
        <w:t>根据年初绩效目标指标，及时掌握项目实施进展、资金拨付和有关绩效目标指标完成情况，及时纠正预算执行中偏离绩效目标指标的项目管理行为或资金支付行为，做到了预算执行与绩效运行“双监控”。</w:t>
      </w:r>
    </w:p>
    <w:p w14:paraId="1A2E644C">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4BBA14DB">
      <w:pPr>
        <w:pStyle w:val="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rPr>
        <w:t>《鹿泉文苑》等书籍印刷费</w:t>
      </w:r>
      <w:r>
        <w:rPr>
          <w:rFonts w:hint="eastAsia" w:ascii="仿宋" w:hAnsi="仿宋" w:eastAsia="仿宋" w:cs="仿宋"/>
          <w:sz w:val="32"/>
          <w:szCs w:val="32"/>
          <w:lang w:val="en-US" w:eastAsia="zh-CN"/>
        </w:rPr>
        <w:t>2.58</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该项目为区财政资金，资金到位和到位及时等情况好</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1FE89642">
      <w:pPr>
        <w:keepNext w:val="0"/>
        <w:keepLines w:val="0"/>
        <w:pageBreakBefore w:val="0"/>
        <w:widowControl w:val="0"/>
        <w:kinsoku/>
        <w:wordWrap/>
        <w:overflowPunct/>
        <w:topLinePunct w:val="0"/>
        <w:autoSpaceDE/>
        <w:autoSpaceDN/>
        <w:bidi w:val="0"/>
        <w:adjustRightInd/>
        <w:snapToGrid/>
        <w:spacing w:line="560" w:lineRule="atLeas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2、</w:t>
      </w:r>
      <w:r>
        <w:rPr>
          <w:rFonts w:hint="eastAsia" w:ascii="仿宋" w:hAnsi="仿宋" w:eastAsia="仿宋" w:cs="仿宋"/>
          <w:sz w:val="32"/>
          <w:szCs w:val="32"/>
        </w:rPr>
        <w:t>协会活动经费</w:t>
      </w:r>
      <w:r>
        <w:rPr>
          <w:rFonts w:hint="eastAsia" w:ascii="仿宋" w:hAnsi="仿宋" w:eastAsia="仿宋" w:cs="仿宋"/>
          <w:sz w:val="32"/>
          <w:szCs w:val="32"/>
          <w:lang w:val="en-US" w:eastAsia="zh-CN"/>
        </w:rPr>
        <w:t>1.58</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该项目为区财政资金，管理制度健全、制度执行有效性、项目质量可控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1838568A">
      <w:pPr>
        <w:pStyle w:val="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3、</w:t>
      </w:r>
      <w:r>
        <w:rPr>
          <w:rFonts w:hint="eastAsia" w:ascii="仿宋" w:hAnsi="仿宋" w:eastAsia="仿宋"/>
          <w:sz w:val="32"/>
          <w:szCs w:val="32"/>
          <w:lang w:val="en-US" w:eastAsia="zh-CN"/>
        </w:rPr>
        <w:t>文艺繁荣奖经费3.01万元。</w:t>
      </w:r>
      <w:r>
        <w:rPr>
          <w:rFonts w:hint="eastAsia" w:ascii="仿宋" w:hAnsi="仿宋" w:eastAsia="仿宋" w:cs="仿宋"/>
          <w:sz w:val="32"/>
          <w:szCs w:val="32"/>
        </w:rPr>
        <w:t>该项目为区财政资金，</w:t>
      </w:r>
      <w:r>
        <w:rPr>
          <w:rFonts w:hint="eastAsia" w:ascii="仿宋" w:hAnsi="仿宋" w:eastAsia="仿宋" w:cs="仿宋"/>
          <w:sz w:val="32"/>
          <w:szCs w:val="32"/>
          <w:lang w:eastAsia="zh-CN"/>
        </w:rPr>
        <w:t>由于财政未拨款，</w:t>
      </w:r>
      <w:r>
        <w:rPr>
          <w:rFonts w:hint="eastAsia" w:ascii="仿宋" w:hAnsi="仿宋" w:eastAsia="仿宋" w:cs="仿宋"/>
          <w:sz w:val="32"/>
          <w:szCs w:val="32"/>
        </w:rPr>
        <w:t>该项目为区财政资金，资金到位和到位及时等情况好</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76BE76C2">
      <w:pPr>
        <w:pStyle w:val="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4.文艺家之家维修改造项目经费30万元。</w:t>
      </w:r>
      <w:r>
        <w:rPr>
          <w:rFonts w:hint="eastAsia" w:ascii="仿宋" w:hAnsi="仿宋" w:eastAsia="仿宋" w:cs="仿宋"/>
          <w:sz w:val="32"/>
          <w:szCs w:val="32"/>
        </w:rPr>
        <w:t>该项目为区财政资金，资金到位和到位及时等情况好</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该项目管理制度健全、制度执行有效性、项目质量可控</w:t>
      </w:r>
      <w:r>
        <w:rPr>
          <w:rFonts w:hint="eastAsia" w:ascii="仿宋" w:hAnsi="仿宋" w:eastAsia="仿宋" w:cs="仿宋"/>
          <w:sz w:val="32"/>
          <w:szCs w:val="32"/>
          <w:lang w:eastAsia="zh-CN"/>
        </w:rPr>
        <w:t>；</w:t>
      </w:r>
      <w:r>
        <w:rPr>
          <w:rFonts w:hint="eastAsia" w:ascii="仿宋" w:hAnsi="仿宋" w:eastAsia="仿宋" w:cs="仿宋"/>
          <w:sz w:val="32"/>
          <w:szCs w:val="32"/>
        </w:rPr>
        <w:t>该项目管理制度健全、资金使用合规、财务监控有效</w:t>
      </w:r>
      <w:r>
        <w:rPr>
          <w:rFonts w:hint="eastAsia" w:ascii="仿宋" w:hAnsi="仿宋" w:eastAsia="仿宋" w:cs="仿宋"/>
          <w:sz w:val="32"/>
          <w:szCs w:val="32"/>
          <w:lang w:eastAsia="zh-CN"/>
        </w:rPr>
        <w:t>；</w:t>
      </w:r>
      <w:r>
        <w:rPr>
          <w:rFonts w:hint="eastAsia" w:ascii="仿宋" w:hAnsi="仿宋" w:eastAsia="仿宋" w:cs="仿宋"/>
          <w:sz w:val="32"/>
          <w:szCs w:val="32"/>
        </w:rPr>
        <w:t>该项目的实际完成率、完成及时率、质量达标率、成本节约率</w:t>
      </w:r>
      <w:r>
        <w:rPr>
          <w:rFonts w:hint="eastAsia" w:ascii="仿宋" w:hAnsi="仿宋" w:eastAsia="仿宋" w:cs="仿宋"/>
          <w:sz w:val="32"/>
          <w:szCs w:val="32"/>
          <w:lang w:val="en-US" w:eastAsia="zh-CN"/>
        </w:rPr>
        <w:t>好；</w:t>
      </w:r>
      <w:r>
        <w:rPr>
          <w:rFonts w:hint="eastAsia" w:ascii="仿宋" w:hAnsi="仿宋" w:eastAsia="仿宋" w:cs="仿宋"/>
          <w:sz w:val="32"/>
          <w:szCs w:val="32"/>
        </w:rPr>
        <w:t>该项目的经济效益、社会效益、生态效益好、可持续影响明显</w:t>
      </w:r>
      <w:r>
        <w:rPr>
          <w:rFonts w:hint="eastAsia" w:ascii="仿宋" w:hAnsi="仿宋" w:eastAsia="仿宋" w:cs="仿宋"/>
          <w:sz w:val="32"/>
          <w:szCs w:val="32"/>
          <w:lang w:eastAsia="zh-CN"/>
        </w:rPr>
        <w:t>。</w:t>
      </w:r>
    </w:p>
    <w:p w14:paraId="42825F50">
      <w:pPr>
        <w:pStyle w:val="6"/>
        <w:keepNext w:val="0"/>
        <w:keepLines w:val="0"/>
        <w:pageBreakBefore w:val="0"/>
        <w:widowControl w:val="0"/>
        <w:kinsoku/>
        <w:wordWrap/>
        <w:overflowPunct/>
        <w:topLinePunct w:val="0"/>
        <w:autoSpaceDE/>
        <w:autoSpaceDN/>
        <w:bidi w:val="0"/>
        <w:adjustRightInd/>
        <w:snapToGrid/>
        <w:spacing w:before="0" w:after="0" w:line="560" w:lineRule="atLeas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5.文艺家之家加固经费、</w:t>
      </w:r>
      <w:r>
        <w:rPr>
          <w:rFonts w:hint="eastAsia" w:ascii="仿宋" w:hAnsi="仿宋" w:eastAsia="仿宋"/>
          <w:sz w:val="32"/>
          <w:szCs w:val="32"/>
          <w:lang w:val="en-US" w:eastAsia="zh-CN"/>
        </w:rPr>
        <w:t>文艺家之家运转费、文艺家之家设备招标经费等3个</w:t>
      </w:r>
      <w:r>
        <w:rPr>
          <w:rFonts w:hint="eastAsia" w:ascii="仿宋" w:hAnsi="仿宋" w:eastAsia="仿宋" w:cs="仿宋"/>
          <w:sz w:val="32"/>
          <w:szCs w:val="32"/>
        </w:rPr>
        <w:t>项目为区财政资金，</w:t>
      </w:r>
      <w:r>
        <w:rPr>
          <w:rFonts w:hint="eastAsia" w:ascii="仿宋" w:hAnsi="仿宋" w:eastAsia="仿宋" w:cs="仿宋"/>
          <w:sz w:val="32"/>
          <w:szCs w:val="32"/>
          <w:lang w:eastAsia="zh-CN"/>
        </w:rPr>
        <w:t>由于财政未拨款，该项目未能于</w:t>
      </w:r>
      <w:r>
        <w:rPr>
          <w:rFonts w:hint="eastAsia" w:ascii="仿宋" w:hAnsi="仿宋" w:eastAsia="仿宋" w:cs="仿宋"/>
          <w:sz w:val="32"/>
          <w:szCs w:val="32"/>
          <w:lang w:val="en-US" w:eastAsia="zh-CN"/>
        </w:rPr>
        <w:t>2025年</w:t>
      </w:r>
      <w:r>
        <w:rPr>
          <w:rFonts w:hint="eastAsia" w:ascii="仿宋" w:hAnsi="仿宋" w:eastAsia="仿宋" w:cs="仿宋"/>
          <w:sz w:val="32"/>
          <w:szCs w:val="32"/>
          <w:lang w:eastAsia="zh-CN"/>
        </w:rPr>
        <w:t>执行。</w:t>
      </w:r>
    </w:p>
    <w:p w14:paraId="457393B2">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51462FC9">
      <w:pPr>
        <w:spacing w:line="560" w:lineRule="exact"/>
        <w:ind w:firstLine="640" w:firstLineChars="200"/>
        <w:rPr>
          <w:rFonts w:hint="default" w:ascii="仿宋" w:hAnsi="仿宋" w:eastAsia="仿宋"/>
          <w:color w:val="auto"/>
          <w:sz w:val="32"/>
          <w:szCs w:val="32"/>
          <w:lang w:val="en-US" w:eastAsia="zh-CN"/>
        </w:rPr>
      </w:pPr>
      <w:r>
        <w:rPr>
          <w:rFonts w:hint="eastAsia" w:ascii="仿宋" w:hAnsi="仿宋" w:eastAsia="仿宋"/>
          <w:color w:val="auto"/>
          <w:sz w:val="32"/>
          <w:szCs w:val="32"/>
          <w:lang w:val="en-US" w:eastAsia="zh-CN"/>
        </w:rPr>
        <w:t>根据项目执行情况和项目绩效情况，1、</w:t>
      </w:r>
      <w:r>
        <w:rPr>
          <w:rFonts w:hint="eastAsia" w:ascii="仿宋" w:hAnsi="仿宋" w:eastAsia="仿宋" w:cs="仿宋"/>
          <w:color w:val="auto"/>
          <w:sz w:val="32"/>
          <w:szCs w:val="32"/>
        </w:rPr>
        <w:t>《鹿泉文苑》等书籍印刷费</w:t>
      </w:r>
      <w:r>
        <w:rPr>
          <w:rFonts w:hint="eastAsia" w:ascii="仿宋" w:hAnsi="仿宋" w:eastAsia="仿宋"/>
          <w:color w:val="auto"/>
          <w:sz w:val="32"/>
          <w:szCs w:val="32"/>
          <w:lang w:val="en-US" w:eastAsia="zh-CN"/>
        </w:rPr>
        <w:t>综合绩效评分为100分，优秀。2、</w:t>
      </w:r>
      <w:r>
        <w:rPr>
          <w:rFonts w:hint="eastAsia" w:ascii="仿宋" w:hAnsi="仿宋" w:eastAsia="仿宋" w:cs="仿宋"/>
          <w:color w:val="auto"/>
          <w:sz w:val="32"/>
          <w:szCs w:val="32"/>
        </w:rPr>
        <w:t>协会活动经费</w:t>
      </w:r>
      <w:r>
        <w:rPr>
          <w:rFonts w:hint="eastAsia" w:ascii="仿宋_GB2312" w:hAnsi="仿宋_GB2312" w:eastAsia="仿宋_GB2312" w:cs="仿宋_GB2312"/>
          <w:color w:val="auto"/>
          <w:sz w:val="32"/>
          <w:szCs w:val="32"/>
        </w:rPr>
        <w:t>项目</w:t>
      </w:r>
      <w:r>
        <w:rPr>
          <w:rFonts w:hint="eastAsia" w:ascii="仿宋" w:hAnsi="仿宋" w:eastAsia="仿宋"/>
          <w:color w:val="auto"/>
          <w:sz w:val="32"/>
          <w:szCs w:val="32"/>
          <w:lang w:val="en-US" w:eastAsia="zh-CN"/>
        </w:rPr>
        <w:t>综合绩效评分为100分，优秀。3、文艺繁荣奖经费</w:t>
      </w:r>
      <w:r>
        <w:rPr>
          <w:rFonts w:hint="eastAsia" w:ascii="仿宋_GB2312" w:hAnsi="仿宋_GB2312" w:eastAsia="仿宋_GB2312" w:cs="仿宋_GB2312"/>
          <w:color w:val="auto"/>
          <w:sz w:val="32"/>
          <w:szCs w:val="32"/>
        </w:rPr>
        <w:t>项目</w:t>
      </w:r>
      <w:r>
        <w:rPr>
          <w:rFonts w:hint="eastAsia" w:ascii="仿宋" w:hAnsi="仿宋" w:eastAsia="仿宋"/>
          <w:color w:val="auto"/>
          <w:sz w:val="32"/>
          <w:szCs w:val="32"/>
          <w:lang w:val="en-US" w:eastAsia="zh-CN"/>
        </w:rPr>
        <w:t>综合绩效评分为100分，优秀。4、</w:t>
      </w:r>
      <w:r>
        <w:rPr>
          <w:rFonts w:hint="eastAsia" w:ascii="仿宋" w:hAnsi="仿宋" w:eastAsia="仿宋" w:cs="仿宋"/>
          <w:color w:val="auto"/>
          <w:sz w:val="32"/>
          <w:szCs w:val="32"/>
          <w:lang w:val="en-US" w:eastAsia="zh-CN"/>
        </w:rPr>
        <w:t>文艺家之家维修改造项目</w:t>
      </w:r>
      <w:r>
        <w:rPr>
          <w:rFonts w:hint="eastAsia" w:ascii="仿宋_GB2312" w:hAnsi="仿宋_GB2312" w:eastAsia="仿宋_GB2312" w:cs="仿宋_GB2312"/>
          <w:color w:val="auto"/>
          <w:sz w:val="32"/>
          <w:szCs w:val="32"/>
        </w:rPr>
        <w:t>项目</w:t>
      </w:r>
      <w:r>
        <w:rPr>
          <w:rFonts w:hint="eastAsia" w:ascii="仿宋" w:hAnsi="仿宋" w:eastAsia="仿宋"/>
          <w:color w:val="auto"/>
          <w:sz w:val="32"/>
          <w:szCs w:val="32"/>
          <w:lang w:val="en-US" w:eastAsia="zh-CN"/>
        </w:rPr>
        <w:t>综合绩效评分为100分，优秀。</w:t>
      </w:r>
      <w:r>
        <w:rPr>
          <w:rFonts w:hint="eastAsia" w:ascii="仿宋" w:hAnsi="仿宋" w:eastAsia="仿宋"/>
          <w:color w:val="auto"/>
          <w:sz w:val="32"/>
          <w:szCs w:val="32"/>
        </w:rPr>
        <w:t>根据部门职责定位和各项工作履职情况</w:t>
      </w:r>
      <w:r>
        <w:rPr>
          <w:rFonts w:hint="eastAsia" w:ascii="仿宋" w:hAnsi="仿宋" w:eastAsia="仿宋"/>
          <w:color w:val="auto"/>
          <w:sz w:val="32"/>
          <w:szCs w:val="32"/>
          <w:lang w:eastAsia="zh-CN"/>
        </w:rPr>
        <w:t>，</w:t>
      </w:r>
      <w:r>
        <w:rPr>
          <w:rFonts w:hint="eastAsia" w:ascii="仿宋" w:hAnsi="仿宋" w:eastAsia="仿宋"/>
          <w:color w:val="auto"/>
          <w:sz w:val="32"/>
          <w:szCs w:val="32"/>
          <w:lang w:val="en-US" w:eastAsia="zh-CN"/>
        </w:rPr>
        <w:t>石家庄市鹿泉区文学艺术界联合会</w:t>
      </w:r>
      <w:r>
        <w:rPr>
          <w:rFonts w:hint="eastAsia" w:ascii="仿宋" w:hAnsi="仿宋" w:eastAsia="仿宋"/>
          <w:color w:val="auto"/>
          <w:sz w:val="32"/>
          <w:szCs w:val="32"/>
          <w:lang w:eastAsia="zh-CN"/>
        </w:rPr>
        <w:t>202</w:t>
      </w:r>
      <w:r>
        <w:rPr>
          <w:rFonts w:hint="eastAsia" w:ascii="仿宋" w:hAnsi="仿宋" w:eastAsia="仿宋"/>
          <w:color w:val="auto"/>
          <w:sz w:val="32"/>
          <w:szCs w:val="32"/>
          <w:lang w:val="en-US" w:eastAsia="zh-CN"/>
        </w:rPr>
        <w:t>5</w:t>
      </w:r>
      <w:r>
        <w:rPr>
          <w:rFonts w:hint="eastAsia" w:ascii="仿宋" w:hAnsi="仿宋" w:eastAsia="仿宋"/>
          <w:color w:val="auto"/>
          <w:sz w:val="32"/>
          <w:szCs w:val="32"/>
        </w:rPr>
        <w:t>年整体支出</w:t>
      </w:r>
      <w:r>
        <w:rPr>
          <w:rFonts w:hint="eastAsia" w:ascii="仿宋" w:hAnsi="仿宋" w:eastAsia="仿宋"/>
          <w:color w:val="auto"/>
          <w:sz w:val="32"/>
          <w:szCs w:val="32"/>
          <w:lang w:val="en-US" w:eastAsia="zh-CN"/>
        </w:rPr>
        <w:t>综合绩效得分100分，</w:t>
      </w:r>
      <w:r>
        <w:rPr>
          <w:rFonts w:hint="eastAsia" w:ascii="仿宋" w:hAnsi="仿宋" w:eastAsia="仿宋"/>
          <w:color w:val="auto"/>
          <w:sz w:val="32"/>
          <w:szCs w:val="32"/>
        </w:rPr>
        <w:t>综合绩效评价等级</w:t>
      </w:r>
      <w:r>
        <w:rPr>
          <w:rFonts w:hint="eastAsia" w:ascii="仿宋" w:hAnsi="仿宋" w:eastAsia="仿宋"/>
          <w:color w:val="auto"/>
          <w:sz w:val="32"/>
          <w:szCs w:val="32"/>
          <w:lang w:val="en-US" w:eastAsia="zh-CN"/>
        </w:rPr>
        <w:t>优秀。</w:t>
      </w:r>
    </w:p>
    <w:p w14:paraId="23E32F4F">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6429FCB4">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0B326627">
      <w:pPr>
        <w:spacing w:line="560" w:lineRule="exact"/>
        <w:ind w:firstLine="640" w:firstLineChars="200"/>
        <w:rPr>
          <w:rFonts w:hint="eastAsia" w:ascii="楷体" w:hAnsi="楷体" w:eastAsia="楷体"/>
          <w:bCs/>
          <w:sz w:val="32"/>
          <w:szCs w:val="32"/>
        </w:rPr>
      </w:pPr>
      <w:r>
        <w:rPr>
          <w:rFonts w:hint="eastAsia" w:ascii="仿宋" w:hAnsi="仿宋" w:eastAsia="仿宋"/>
          <w:sz w:val="32"/>
          <w:szCs w:val="32"/>
          <w:lang w:eastAsia="zh-CN"/>
        </w:rPr>
        <w:t>支出</w:t>
      </w:r>
      <w:r>
        <w:rPr>
          <w:rFonts w:hint="eastAsia" w:ascii="仿宋" w:hAnsi="仿宋" w:eastAsia="仿宋"/>
          <w:sz w:val="32"/>
          <w:szCs w:val="32"/>
          <w:lang w:val="en-US" w:eastAsia="zh-CN"/>
        </w:rPr>
        <w:t>进度不足</w:t>
      </w:r>
      <w:r>
        <w:rPr>
          <w:rFonts w:hint="eastAsia" w:ascii="仿宋" w:hAnsi="仿宋" w:eastAsia="仿宋"/>
          <w:sz w:val="32"/>
          <w:szCs w:val="32"/>
          <w:lang w:eastAsia="zh-CN"/>
        </w:rPr>
        <w:t>，绩效</w:t>
      </w:r>
      <w:bookmarkStart w:id="0" w:name="_GoBack"/>
      <w:bookmarkEnd w:id="0"/>
      <w:r>
        <w:rPr>
          <w:rFonts w:hint="eastAsia" w:ascii="仿宋" w:hAnsi="仿宋" w:eastAsia="仿宋"/>
          <w:sz w:val="32"/>
          <w:szCs w:val="32"/>
          <w:lang w:eastAsia="zh-CN"/>
        </w:rPr>
        <w:t>监控</w:t>
      </w:r>
      <w:r>
        <w:rPr>
          <w:rFonts w:hint="eastAsia" w:ascii="仿宋" w:hAnsi="仿宋" w:eastAsia="仿宋"/>
          <w:sz w:val="32"/>
          <w:szCs w:val="32"/>
          <w:lang w:val="en-US" w:eastAsia="zh-CN"/>
        </w:rPr>
        <w:t>还需进一步加强。</w:t>
      </w:r>
    </w:p>
    <w:p w14:paraId="73AA0E55">
      <w:pPr>
        <w:numPr>
          <w:ilvl w:val="0"/>
          <w:numId w:val="2"/>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6392402C">
      <w:pPr>
        <w:keepNext w:val="0"/>
        <w:keepLines w:val="0"/>
        <w:pageBreakBefore w:val="0"/>
        <w:widowControl w:val="0"/>
        <w:kinsoku/>
        <w:wordWrap/>
        <w:overflowPunct/>
        <w:topLinePunct w:val="0"/>
        <w:autoSpaceDE/>
        <w:autoSpaceDN/>
        <w:bidi w:val="0"/>
        <w:adjustRightInd/>
        <w:snapToGrid/>
        <w:spacing w:line="560" w:lineRule="atLeas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一是对于绩效目标执行</w:t>
      </w:r>
      <w:r>
        <w:rPr>
          <w:rFonts w:hint="eastAsia" w:ascii="仿宋" w:hAnsi="仿宋" w:eastAsia="仿宋" w:cs="仿宋"/>
          <w:sz w:val="32"/>
          <w:szCs w:val="32"/>
          <w:lang w:val="en-US" w:eastAsia="zh-CN"/>
        </w:rPr>
        <w:t>的</w:t>
      </w:r>
      <w:r>
        <w:rPr>
          <w:rFonts w:hint="eastAsia" w:ascii="仿宋" w:hAnsi="仿宋" w:eastAsia="仿宋" w:cs="仿宋"/>
          <w:sz w:val="32"/>
          <w:szCs w:val="32"/>
        </w:rPr>
        <w:t>项目，</w:t>
      </w:r>
      <w:r>
        <w:rPr>
          <w:rFonts w:hint="eastAsia" w:ascii="仿宋" w:hAnsi="仿宋" w:eastAsia="仿宋" w:cs="仿宋"/>
          <w:sz w:val="32"/>
          <w:szCs w:val="32"/>
          <w:lang w:val="en-US" w:eastAsia="zh-CN"/>
        </w:rPr>
        <w:t>进一步</w:t>
      </w:r>
      <w:r>
        <w:rPr>
          <w:rFonts w:hint="eastAsia" w:ascii="仿宋" w:hAnsi="仿宋" w:eastAsia="仿宋" w:cs="仿宋"/>
          <w:sz w:val="32"/>
          <w:szCs w:val="32"/>
        </w:rPr>
        <w:t>加强财政资金使用效益跟踪“回头看”，针对资金绩效运行状况，及时预控。查找资金使用管理过程中的薄弱环节并及时完善，保障项目正常运行，实现预期绩效目标。</w:t>
      </w:r>
    </w:p>
    <w:p w14:paraId="297BA8BE">
      <w:pPr>
        <w:keepNext w:val="0"/>
        <w:keepLines w:val="0"/>
        <w:pageBreakBefore w:val="0"/>
        <w:widowControl w:val="0"/>
        <w:kinsoku/>
        <w:wordWrap/>
        <w:overflowPunct/>
        <w:topLinePunct w:val="0"/>
        <w:autoSpaceDE/>
        <w:autoSpaceDN/>
        <w:bidi w:val="0"/>
        <w:adjustRightInd/>
        <w:snapToGrid/>
        <w:spacing w:line="560" w:lineRule="atLeast"/>
        <w:ind w:firstLine="640" w:firstLineChars="200"/>
        <w:textAlignment w:val="auto"/>
        <w:rPr>
          <w:rFonts w:ascii="仿宋" w:hAnsi="仿宋" w:eastAsia="仿宋"/>
        </w:rPr>
      </w:pPr>
      <w:r>
        <w:rPr>
          <w:rFonts w:hint="eastAsia" w:ascii="仿宋" w:hAnsi="仿宋" w:eastAsia="仿宋" w:cs="仿宋"/>
          <w:sz w:val="32"/>
          <w:szCs w:val="32"/>
        </w:rPr>
        <w:t>二是加强日常监控工作。严格人员管理，加强人员培训，熟练掌握预算编制和预算执行等各项政策，确保预算指标执行过程不交叉，不断提高绩效目标管理水平。</w:t>
      </w:r>
    </w:p>
    <w:sectPr>
      <w:footerReference r:id="rId3" w:type="default"/>
      <w:pgSz w:w="11906" w:h="16838"/>
      <w:pgMar w:top="1440" w:right="1474" w:bottom="1440" w:left="1587" w:header="851" w:footer="992" w:gutter="0"/>
      <w:pgNumType w:fmt="decimal"/>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C4926B">
    <w:pPr>
      <w:pStyle w:val="2"/>
    </w:pPr>
    <w:r>
      <w:pict>
        <v:shape id="Quad Arrow 3073" o:spid="_x0000_s3073" o:spt="202" type="#_x0000_t202" style="position:absolute;left:0pt;margin-top:1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16pt,0mm,16pt,0mm" style="mso-fit-shape-to-text:t;">
            <w:txbxContent>
              <w:p w14:paraId="170D4AF5">
                <w:pPr>
                  <w:snapToGrid w:val="0"/>
                  <w:rPr>
                    <w:rFonts w:ascii="宋体" w:hAnsi="宋体" w:eastAsia="宋体"/>
                    <w:sz w:val="28"/>
                  </w:rPr>
                </w:pPr>
                <w:r>
                  <w:rPr>
                    <w:rFonts w:ascii="宋体" w:hAnsi="宋体" w:eastAsia="宋体"/>
                    <w:sz w:val="28"/>
                  </w:rPr>
                  <w:t>—</w:t>
                </w:r>
                <w:r>
                  <w:rPr>
                    <w:rFonts w:ascii="宋体" w:hAnsi="宋体" w:eastAsia="宋体"/>
                    <w:sz w:val="24"/>
                  </w:rPr>
                  <w:t>　</w:t>
                </w:r>
                <w:r>
                  <w:rPr>
                    <w:rFonts w:ascii="宋体" w:hAnsi="宋体" w:eastAsia="宋体"/>
                    <w:sz w:val="28"/>
                  </w:rPr>
                  <w:fldChar w:fldCharType="begin"/>
                </w:r>
                <w:r>
                  <w:rPr>
                    <w:rFonts w:ascii="宋体" w:hAnsi="宋体" w:eastAsia="宋体"/>
                    <w:sz w:val="28"/>
                  </w:rPr>
                  <w:instrText xml:space="preserve"> PAGE  \* MERGEFORMAT </w:instrText>
                </w:r>
                <w:r>
                  <w:rPr>
                    <w:rFonts w:ascii="宋体" w:hAnsi="宋体" w:eastAsia="宋体"/>
                    <w:sz w:val="28"/>
                  </w:rPr>
                  <w:fldChar w:fldCharType="separate"/>
                </w:r>
                <w:r>
                  <w:rPr>
                    <w:rFonts w:ascii="宋体" w:hAnsi="宋体" w:eastAsia="宋体"/>
                    <w:sz w:val="28"/>
                  </w:rPr>
                  <w:t>- 1 -</w:t>
                </w:r>
                <w:r>
                  <w:rPr>
                    <w:rFonts w:ascii="宋体" w:hAnsi="宋体" w:eastAsia="宋体"/>
                    <w:sz w:val="28"/>
                  </w:rPr>
                  <w:fldChar w:fldCharType="end"/>
                </w:r>
                <w:r>
                  <w:rPr>
                    <w:rFonts w:ascii="宋体" w:hAnsi="宋体" w:eastAsia="宋体"/>
                    <w:sz w:val="24"/>
                  </w:rPr>
                  <w:t>　</w:t>
                </w:r>
                <w:r>
                  <w:rPr>
                    <w:rFonts w:ascii="宋体" w:hAnsi="宋体" w:eastAsia="宋体"/>
                    <w:sz w:val="28"/>
                  </w:rPr>
                  <w:t>—</w:t>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WZjMDU0MDdkZDM2MTJhZjE1YTk4YjIwN2ZmYTg4MTgifQ=="/>
  </w:docVars>
  <w:rsids>
    <w:rsidRoot w:val="0EBD2122"/>
    <w:rsid w:val="000B0260"/>
    <w:rsid w:val="001B713F"/>
    <w:rsid w:val="00376610"/>
    <w:rsid w:val="007E6C1F"/>
    <w:rsid w:val="008E3731"/>
    <w:rsid w:val="00956A93"/>
    <w:rsid w:val="009E575C"/>
    <w:rsid w:val="009F674E"/>
    <w:rsid w:val="00AF167E"/>
    <w:rsid w:val="00AF566A"/>
    <w:rsid w:val="00B478EA"/>
    <w:rsid w:val="00B6553A"/>
    <w:rsid w:val="00BC6576"/>
    <w:rsid w:val="00C66976"/>
    <w:rsid w:val="00CE06BA"/>
    <w:rsid w:val="00F441CC"/>
    <w:rsid w:val="01B104CA"/>
    <w:rsid w:val="02106AB0"/>
    <w:rsid w:val="02B43A28"/>
    <w:rsid w:val="046F331E"/>
    <w:rsid w:val="07956271"/>
    <w:rsid w:val="08544750"/>
    <w:rsid w:val="09721397"/>
    <w:rsid w:val="0ACD0E05"/>
    <w:rsid w:val="0BB63BED"/>
    <w:rsid w:val="0EB97A43"/>
    <w:rsid w:val="0EBD2122"/>
    <w:rsid w:val="0F214EAE"/>
    <w:rsid w:val="0FCF7FFC"/>
    <w:rsid w:val="1130337F"/>
    <w:rsid w:val="11B71E6A"/>
    <w:rsid w:val="135C37D3"/>
    <w:rsid w:val="178F5592"/>
    <w:rsid w:val="17F84715"/>
    <w:rsid w:val="1855407B"/>
    <w:rsid w:val="18C820AD"/>
    <w:rsid w:val="194A5C14"/>
    <w:rsid w:val="1AAF0063"/>
    <w:rsid w:val="1ACC2CF0"/>
    <w:rsid w:val="1BE140DE"/>
    <w:rsid w:val="1E1D56DB"/>
    <w:rsid w:val="209E2790"/>
    <w:rsid w:val="222F2333"/>
    <w:rsid w:val="248C197D"/>
    <w:rsid w:val="252959AF"/>
    <w:rsid w:val="277A6671"/>
    <w:rsid w:val="28400AB5"/>
    <w:rsid w:val="292D35B7"/>
    <w:rsid w:val="32817910"/>
    <w:rsid w:val="3296737C"/>
    <w:rsid w:val="33EB6CFF"/>
    <w:rsid w:val="35A12947"/>
    <w:rsid w:val="37152F66"/>
    <w:rsid w:val="37387040"/>
    <w:rsid w:val="383A26FD"/>
    <w:rsid w:val="39240C19"/>
    <w:rsid w:val="39885D54"/>
    <w:rsid w:val="3B625C0A"/>
    <w:rsid w:val="3CEE1963"/>
    <w:rsid w:val="3FAD6080"/>
    <w:rsid w:val="418E271A"/>
    <w:rsid w:val="436B78D3"/>
    <w:rsid w:val="48FB0953"/>
    <w:rsid w:val="4A230D13"/>
    <w:rsid w:val="4C9C27FE"/>
    <w:rsid w:val="4EB71DE7"/>
    <w:rsid w:val="4F6D68D9"/>
    <w:rsid w:val="512260B4"/>
    <w:rsid w:val="52BD6ACB"/>
    <w:rsid w:val="551B75AE"/>
    <w:rsid w:val="55537534"/>
    <w:rsid w:val="561A74F1"/>
    <w:rsid w:val="597244E8"/>
    <w:rsid w:val="5A6A0A65"/>
    <w:rsid w:val="5E306F33"/>
    <w:rsid w:val="5EB71C30"/>
    <w:rsid w:val="64C125EE"/>
    <w:rsid w:val="652F71C0"/>
    <w:rsid w:val="66AF0CE5"/>
    <w:rsid w:val="66BC09E3"/>
    <w:rsid w:val="6AC537CF"/>
    <w:rsid w:val="6E5B14A6"/>
    <w:rsid w:val="70BD7BEF"/>
    <w:rsid w:val="711B255E"/>
    <w:rsid w:val="7259262A"/>
    <w:rsid w:val="74DC6AB5"/>
    <w:rsid w:val="7574536F"/>
    <w:rsid w:val="77221CA7"/>
    <w:rsid w:val="77DB2DDC"/>
    <w:rsid w:val="7A8143AF"/>
    <w:rsid w:val="7BB51E06"/>
    <w:rsid w:val="7C387F7C"/>
    <w:rsid w:val="7F465091"/>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2983</Words>
  <Characters>3124</Characters>
  <Lines>4</Lines>
  <Paragraphs>1</Paragraphs>
  <TotalTime>0</TotalTime>
  <ScaleCrop>false</ScaleCrop>
  <LinksUpToDate>false</LinksUpToDate>
  <CharactersWithSpaces>3141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黄美玲</cp:lastModifiedBy>
  <cp:lastPrinted>2024-03-06T07:40:00Z</cp:lastPrinted>
  <dcterms:modified xsi:type="dcterms:W3CDTF">2026-04-22T08:25:02Z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96934721B1514D3FBAA28020338CE855_12</vt:lpwstr>
  </property>
  <property fmtid="{D5CDD505-2E9C-101B-9397-08002B2CF9AE}" pid="4" name="KSOTemplateDocerSaveRecord">
    <vt:lpwstr>eyJoZGlkIjoiMmRhMzVjMjUxNGEyZTI4ODhkZDRhYTkxNzgwNDkwZDAiLCJ1c2VySWQiOiIxNzQ4NjUzOTQzIn0=</vt:lpwstr>
  </property>
</Properties>
</file>