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111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111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5076.52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340.48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2358.47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443.95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2633.51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5417.00</w:t>
            </w:r>
          </w:p>
        </w:tc>
        <w:tc>
          <w:tcPr>
            <w:tcW w:w="4535" w:type="dxa"/>
            <w:vAlign w:val="center"/>
          </w:tcPr>
          <w:p>
            <w:pPr>
              <w:pStyle w:val="15"/>
            </w:pPr>
            <w:r>
              <w:t>本年支出合计</w:t>
            </w:r>
          </w:p>
        </w:tc>
        <w:tc>
          <w:tcPr>
            <w:tcW w:w="2126" w:type="dxa"/>
            <w:vAlign w:val="center"/>
          </w:tcPr>
          <w:p>
            <w:pPr>
              <w:pStyle w:val="16"/>
            </w:pPr>
            <w:r>
              <w:t>5746.22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329.22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5746.22</w:t>
            </w:r>
          </w:p>
        </w:tc>
        <w:tc>
          <w:tcPr>
            <w:tcW w:w="4535" w:type="dxa"/>
            <w:vAlign w:val="center"/>
          </w:tcPr>
          <w:p>
            <w:pPr>
              <w:pStyle w:val="15"/>
            </w:pPr>
            <w:r>
              <w:t>支出总计</w:t>
            </w:r>
          </w:p>
        </w:tc>
        <w:tc>
          <w:tcPr>
            <w:tcW w:w="2126" w:type="dxa"/>
            <w:vAlign w:val="center"/>
          </w:tcPr>
          <w:p>
            <w:pPr>
              <w:pStyle w:val="16"/>
            </w:pPr>
            <w:r>
              <w:t>5746.22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5746.22</w:t>
            </w:r>
          </w:p>
        </w:tc>
        <w:tc>
          <w:tcPr>
            <w:tcW w:w="1134" w:type="dxa"/>
            <w:vAlign w:val="center"/>
          </w:tcPr>
          <w:p>
            <w:pPr>
              <w:pStyle w:val="16"/>
            </w:pPr>
            <w:r>
              <w:t>5417.00</w:t>
            </w:r>
          </w:p>
        </w:tc>
        <w:tc>
          <w:tcPr>
            <w:tcW w:w="1134" w:type="dxa"/>
            <w:vAlign w:val="center"/>
          </w:tcPr>
          <w:p>
            <w:pPr>
              <w:pStyle w:val="16"/>
            </w:pPr>
            <w:r>
              <w:t>5417.00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2358.47</w:t>
            </w:r>
          </w:p>
        </w:tc>
        <w:tc>
          <w:tcPr>
            <w:tcW w:w="1134" w:type="dxa"/>
            <w:vAlign w:val="center"/>
          </w:tcPr>
          <w:p>
            <w:pPr>
              <w:pStyle w:val="12"/>
            </w:pPr>
            <w:r>
              <w:t>2132.88</w:t>
            </w:r>
          </w:p>
        </w:tc>
        <w:tc>
          <w:tcPr>
            <w:tcW w:w="1134" w:type="dxa"/>
            <w:vAlign w:val="center"/>
          </w:tcPr>
          <w:p>
            <w:pPr>
              <w:pStyle w:val="12"/>
            </w:pPr>
            <w:r>
              <w:t>2132.88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1009.08</w:t>
            </w:r>
          </w:p>
        </w:tc>
        <w:tc>
          <w:tcPr>
            <w:tcW w:w="1134" w:type="dxa"/>
            <w:vAlign w:val="center"/>
          </w:tcPr>
          <w:p>
            <w:pPr>
              <w:pStyle w:val="12"/>
            </w:pPr>
            <w:r>
              <w:t>1006.96</w:t>
            </w:r>
          </w:p>
        </w:tc>
        <w:tc>
          <w:tcPr>
            <w:tcW w:w="1134" w:type="dxa"/>
            <w:vAlign w:val="center"/>
          </w:tcPr>
          <w:p>
            <w:pPr>
              <w:pStyle w:val="12"/>
            </w:pPr>
            <w:r>
              <w:t>1006.96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707.14</w:t>
            </w:r>
          </w:p>
        </w:tc>
        <w:tc>
          <w:tcPr>
            <w:tcW w:w="1134" w:type="dxa"/>
            <w:vAlign w:val="center"/>
          </w:tcPr>
          <w:p>
            <w:pPr>
              <w:pStyle w:val="12"/>
            </w:pPr>
            <w:r>
              <w:t>707.14</w:t>
            </w:r>
          </w:p>
        </w:tc>
        <w:tc>
          <w:tcPr>
            <w:tcW w:w="1134" w:type="dxa"/>
            <w:vAlign w:val="center"/>
          </w:tcPr>
          <w:p>
            <w:pPr>
              <w:pStyle w:val="12"/>
            </w:pPr>
            <w:r>
              <w:t>707.14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2070102</w:t>
            </w:r>
          </w:p>
        </w:tc>
        <w:tc>
          <w:tcPr>
            <w:tcW w:w="1559" w:type="dxa"/>
            <w:vAlign w:val="center"/>
          </w:tcPr>
          <w:p>
            <w:pPr>
              <w:pStyle w:val="13"/>
            </w:pPr>
            <w:r>
              <w:t>一般行政管理事务</w:t>
            </w:r>
          </w:p>
        </w:tc>
        <w:tc>
          <w:tcPr>
            <w:tcW w:w="1134" w:type="dxa"/>
            <w:vAlign w:val="center"/>
          </w:tcPr>
          <w:p>
            <w:pPr>
              <w:pStyle w:val="12"/>
            </w:pPr>
            <w:r>
              <w:t>103.21</w:t>
            </w:r>
          </w:p>
        </w:tc>
        <w:tc>
          <w:tcPr>
            <w:tcW w:w="1134" w:type="dxa"/>
            <w:vAlign w:val="center"/>
          </w:tcPr>
          <w:p>
            <w:pPr>
              <w:pStyle w:val="12"/>
            </w:pPr>
            <w:r>
              <w:t>103.21</w:t>
            </w:r>
          </w:p>
        </w:tc>
        <w:tc>
          <w:tcPr>
            <w:tcW w:w="1134" w:type="dxa"/>
            <w:vAlign w:val="center"/>
          </w:tcPr>
          <w:p>
            <w:pPr>
              <w:pStyle w:val="12"/>
            </w:pPr>
            <w:r>
              <w:t>103.21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129.44</w:t>
            </w:r>
          </w:p>
        </w:tc>
        <w:tc>
          <w:tcPr>
            <w:tcW w:w="1134" w:type="dxa"/>
            <w:vAlign w:val="center"/>
          </w:tcPr>
          <w:p>
            <w:pPr>
              <w:pStyle w:val="12"/>
            </w:pPr>
            <w:r>
              <w:t>129.44</w:t>
            </w:r>
          </w:p>
        </w:tc>
        <w:tc>
          <w:tcPr>
            <w:tcW w:w="1134" w:type="dxa"/>
            <w:vAlign w:val="center"/>
          </w:tcPr>
          <w:p>
            <w:pPr>
              <w:pStyle w:val="12"/>
            </w:pPr>
            <w:r>
              <w:t>129.44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2070108</w:t>
            </w:r>
          </w:p>
        </w:tc>
        <w:tc>
          <w:tcPr>
            <w:tcW w:w="1559" w:type="dxa"/>
            <w:vAlign w:val="center"/>
          </w:tcPr>
          <w:p>
            <w:pPr>
              <w:pStyle w:val="13"/>
            </w:pPr>
            <w:r>
              <w:t>文化活动</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2070113</w:t>
            </w:r>
          </w:p>
        </w:tc>
        <w:tc>
          <w:tcPr>
            <w:tcW w:w="1559" w:type="dxa"/>
            <w:vAlign w:val="center"/>
          </w:tcPr>
          <w:p>
            <w:pPr>
              <w:pStyle w:val="13"/>
            </w:pPr>
            <w:r>
              <w:t>旅游宣传</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34.79</w:t>
            </w:r>
          </w:p>
        </w:tc>
        <w:tc>
          <w:tcPr>
            <w:tcW w:w="1134" w:type="dxa"/>
            <w:vAlign w:val="center"/>
          </w:tcPr>
          <w:p>
            <w:pPr>
              <w:pStyle w:val="12"/>
            </w:pPr>
            <w:r>
              <w:t>32.68</w:t>
            </w:r>
          </w:p>
        </w:tc>
        <w:tc>
          <w:tcPr>
            <w:tcW w:w="1134" w:type="dxa"/>
            <w:vAlign w:val="center"/>
          </w:tcPr>
          <w:p>
            <w:pPr>
              <w:pStyle w:val="12"/>
            </w:pPr>
            <w:r>
              <w:t>32.68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232.80</w:t>
            </w:r>
          </w:p>
        </w:tc>
        <w:tc>
          <w:tcPr>
            <w:tcW w:w="1134" w:type="dxa"/>
            <w:vAlign w:val="center"/>
          </w:tcPr>
          <w:p>
            <w:pPr>
              <w:pStyle w:val="12"/>
            </w:pPr>
            <w:r>
              <w:t>166.91</w:t>
            </w:r>
          </w:p>
        </w:tc>
        <w:tc>
          <w:tcPr>
            <w:tcW w:w="1134" w:type="dxa"/>
            <w:vAlign w:val="center"/>
          </w:tcPr>
          <w:p>
            <w:pPr>
              <w:pStyle w:val="12"/>
            </w:pPr>
            <w:r>
              <w:t>166.91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2070201</w:t>
            </w:r>
          </w:p>
        </w:tc>
        <w:tc>
          <w:tcPr>
            <w:tcW w:w="1559" w:type="dxa"/>
            <w:vAlign w:val="center"/>
          </w:tcPr>
          <w:p>
            <w:pPr>
              <w:pStyle w:val="13"/>
            </w:pPr>
            <w:r>
              <w:t>行政运行</w:t>
            </w:r>
          </w:p>
        </w:tc>
        <w:tc>
          <w:tcPr>
            <w:tcW w:w="1134" w:type="dxa"/>
            <w:vAlign w:val="center"/>
          </w:tcPr>
          <w:p>
            <w:pPr>
              <w:pStyle w:val="12"/>
            </w:pPr>
            <w:r>
              <w:t>92.19</w:t>
            </w:r>
          </w:p>
        </w:tc>
        <w:tc>
          <w:tcPr>
            <w:tcW w:w="1134" w:type="dxa"/>
            <w:vAlign w:val="center"/>
          </w:tcPr>
          <w:p>
            <w:pPr>
              <w:pStyle w:val="12"/>
            </w:pPr>
            <w:r>
              <w:t>92.19</w:t>
            </w:r>
          </w:p>
        </w:tc>
        <w:tc>
          <w:tcPr>
            <w:tcW w:w="1134" w:type="dxa"/>
            <w:vAlign w:val="center"/>
          </w:tcPr>
          <w:p>
            <w:pPr>
              <w:pStyle w:val="12"/>
            </w:pPr>
            <w:r>
              <w:t>92.19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140.61</w:t>
            </w:r>
          </w:p>
        </w:tc>
        <w:tc>
          <w:tcPr>
            <w:tcW w:w="1134" w:type="dxa"/>
            <w:vAlign w:val="center"/>
          </w:tcPr>
          <w:p>
            <w:pPr>
              <w:pStyle w:val="12"/>
            </w:pPr>
            <w:r>
              <w:t>74.72</w:t>
            </w:r>
          </w:p>
        </w:tc>
        <w:tc>
          <w:tcPr>
            <w:tcW w:w="1134" w:type="dxa"/>
            <w:vAlign w:val="center"/>
          </w:tcPr>
          <w:p>
            <w:pPr>
              <w:pStyle w:val="12"/>
            </w:pPr>
            <w:r>
              <w:t>74.72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369.89</w:t>
            </w:r>
          </w:p>
        </w:tc>
        <w:tc>
          <w:tcPr>
            <w:tcW w:w="1134" w:type="dxa"/>
            <w:vAlign w:val="center"/>
          </w:tcPr>
          <w:p>
            <w:pPr>
              <w:pStyle w:val="12"/>
            </w:pPr>
            <w:r>
              <w:t>272.62</w:t>
            </w:r>
          </w:p>
        </w:tc>
        <w:tc>
          <w:tcPr>
            <w:tcW w:w="1134" w:type="dxa"/>
            <w:vAlign w:val="center"/>
          </w:tcPr>
          <w:p>
            <w:pPr>
              <w:pStyle w:val="12"/>
            </w:pPr>
            <w:r>
              <w:t>272.62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2070301</w:t>
            </w:r>
          </w:p>
        </w:tc>
        <w:tc>
          <w:tcPr>
            <w:tcW w:w="1559" w:type="dxa"/>
            <w:vAlign w:val="center"/>
          </w:tcPr>
          <w:p>
            <w:pPr>
              <w:pStyle w:val="13"/>
            </w:pPr>
            <w:r>
              <w:t>行政运行</w:t>
            </w:r>
          </w:p>
        </w:tc>
        <w:tc>
          <w:tcPr>
            <w:tcW w:w="1134" w:type="dxa"/>
            <w:vAlign w:val="center"/>
          </w:tcPr>
          <w:p>
            <w:pPr>
              <w:pStyle w:val="12"/>
            </w:pPr>
            <w:r>
              <w:t>154.62</w:t>
            </w:r>
          </w:p>
        </w:tc>
        <w:tc>
          <w:tcPr>
            <w:tcW w:w="1134" w:type="dxa"/>
            <w:vAlign w:val="center"/>
          </w:tcPr>
          <w:p>
            <w:pPr>
              <w:pStyle w:val="12"/>
            </w:pPr>
            <w:r>
              <w:t>154.62</w:t>
            </w:r>
          </w:p>
        </w:tc>
        <w:tc>
          <w:tcPr>
            <w:tcW w:w="1134" w:type="dxa"/>
            <w:vAlign w:val="center"/>
          </w:tcPr>
          <w:p>
            <w:pPr>
              <w:pStyle w:val="12"/>
            </w:pPr>
            <w:r>
              <w:t>154.62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2070305</w:t>
            </w:r>
          </w:p>
        </w:tc>
        <w:tc>
          <w:tcPr>
            <w:tcW w:w="1559" w:type="dxa"/>
            <w:vAlign w:val="center"/>
          </w:tcPr>
          <w:p>
            <w:pPr>
              <w:pStyle w:val="13"/>
            </w:pPr>
            <w:r>
              <w:t>体育竞赛</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2070307</w:t>
            </w:r>
          </w:p>
        </w:tc>
        <w:tc>
          <w:tcPr>
            <w:tcW w:w="1559" w:type="dxa"/>
            <w:vAlign w:val="center"/>
          </w:tcPr>
          <w:p>
            <w:pPr>
              <w:pStyle w:val="13"/>
            </w:pPr>
            <w:r>
              <w:t>体育场馆</w:t>
            </w:r>
          </w:p>
        </w:tc>
        <w:tc>
          <w:tcPr>
            <w:tcW w:w="1134" w:type="dxa"/>
            <w:vAlign w:val="center"/>
          </w:tcPr>
          <w:p>
            <w:pPr>
              <w:pStyle w:val="12"/>
            </w:pPr>
            <w:r>
              <w:t>200.27</w:t>
            </w:r>
          </w:p>
        </w:tc>
        <w:tc>
          <w:tcPr>
            <w:tcW w:w="1134" w:type="dxa"/>
            <w:vAlign w:val="center"/>
          </w:tcPr>
          <w:p>
            <w:pPr>
              <w:pStyle w:val="12"/>
            </w:pPr>
            <w:r>
              <w:t>103.00</w:t>
            </w:r>
          </w:p>
        </w:tc>
        <w:tc>
          <w:tcPr>
            <w:tcW w:w="1134" w:type="dxa"/>
            <w:vAlign w:val="center"/>
          </w:tcPr>
          <w:p>
            <w:pPr>
              <w:pStyle w:val="12"/>
            </w:pPr>
            <w:r>
              <w:t>103.00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2070399</w:t>
            </w:r>
          </w:p>
        </w:tc>
        <w:tc>
          <w:tcPr>
            <w:tcW w:w="1559" w:type="dxa"/>
            <w:vAlign w:val="center"/>
          </w:tcPr>
          <w:p>
            <w:pPr>
              <w:pStyle w:val="13"/>
            </w:pPr>
            <w:r>
              <w:t>其他体育支出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20709</w:t>
            </w:r>
          </w:p>
        </w:tc>
        <w:tc>
          <w:tcPr>
            <w:tcW w:w="1559" w:type="dxa"/>
            <w:vAlign w:val="center"/>
          </w:tcPr>
          <w:p>
            <w:pPr>
              <w:pStyle w:val="13"/>
            </w:pPr>
            <w:r>
              <w:t>旅游发展基金支出</w:t>
            </w:r>
          </w:p>
        </w:tc>
        <w:tc>
          <w:tcPr>
            <w:tcW w:w="1134" w:type="dxa"/>
            <w:vAlign w:val="center"/>
          </w:tcPr>
          <w:p>
            <w:pPr>
              <w:pStyle w:val="12"/>
            </w:pPr>
            <w:r>
              <w:t>38.87</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2070904</w:t>
            </w:r>
          </w:p>
        </w:tc>
        <w:tc>
          <w:tcPr>
            <w:tcW w:w="1559" w:type="dxa"/>
            <w:vAlign w:val="center"/>
          </w:tcPr>
          <w:p>
            <w:pPr>
              <w:pStyle w:val="13"/>
            </w:pPr>
            <w:r>
              <w:t>地方旅游开发项目补助</w:t>
            </w:r>
          </w:p>
        </w:tc>
        <w:tc>
          <w:tcPr>
            <w:tcW w:w="1134" w:type="dxa"/>
            <w:vAlign w:val="center"/>
          </w:tcPr>
          <w:p>
            <w:pPr>
              <w:pStyle w:val="12"/>
            </w:pPr>
            <w:r>
              <w:t>27.65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2070999</w:t>
            </w:r>
          </w:p>
        </w:tc>
        <w:tc>
          <w:tcPr>
            <w:tcW w:w="1559" w:type="dxa"/>
            <w:vAlign w:val="center"/>
          </w:tcPr>
          <w:p>
            <w:pPr>
              <w:pStyle w:val="13"/>
            </w:pPr>
            <w:r>
              <w:t>其他旅游发展基金支出</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707.83</w:t>
            </w:r>
          </w:p>
        </w:tc>
        <w:tc>
          <w:tcPr>
            <w:tcW w:w="1134" w:type="dxa"/>
            <w:vAlign w:val="center"/>
          </w:tcPr>
          <w:p>
            <w:pPr>
              <w:pStyle w:val="12"/>
            </w:pPr>
            <w:r>
              <w:t>675.17</w:t>
            </w:r>
          </w:p>
        </w:tc>
        <w:tc>
          <w:tcPr>
            <w:tcW w:w="1134" w:type="dxa"/>
            <w:vAlign w:val="center"/>
          </w:tcPr>
          <w:p>
            <w:pPr>
              <w:pStyle w:val="12"/>
            </w:pPr>
            <w:r>
              <w:t>675.17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707.83</w:t>
            </w:r>
          </w:p>
        </w:tc>
        <w:tc>
          <w:tcPr>
            <w:tcW w:w="1134" w:type="dxa"/>
            <w:vAlign w:val="center"/>
          </w:tcPr>
          <w:p>
            <w:pPr>
              <w:pStyle w:val="12"/>
            </w:pPr>
            <w:r>
              <w:t>675.17</w:t>
            </w:r>
          </w:p>
        </w:tc>
        <w:tc>
          <w:tcPr>
            <w:tcW w:w="1134" w:type="dxa"/>
            <w:vAlign w:val="center"/>
          </w:tcPr>
          <w:p>
            <w:pPr>
              <w:pStyle w:val="12"/>
            </w:pPr>
            <w:r>
              <w:t>675.17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443.95</w:t>
            </w:r>
          </w:p>
        </w:tc>
        <w:tc>
          <w:tcPr>
            <w:tcW w:w="1134" w:type="dxa"/>
            <w:vAlign w:val="center"/>
          </w:tcPr>
          <w:p>
            <w:pPr>
              <w:pStyle w:val="12"/>
            </w:pPr>
            <w:r>
              <w:t>443.95</w:t>
            </w:r>
          </w:p>
        </w:tc>
        <w:tc>
          <w:tcPr>
            <w:tcW w:w="1134" w:type="dxa"/>
            <w:vAlign w:val="center"/>
          </w:tcPr>
          <w:p>
            <w:pPr>
              <w:pStyle w:val="12"/>
            </w:pPr>
            <w:r>
              <w:t>443.95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397.87</w:t>
            </w:r>
          </w:p>
        </w:tc>
        <w:tc>
          <w:tcPr>
            <w:tcW w:w="1134" w:type="dxa"/>
            <w:vAlign w:val="center"/>
          </w:tcPr>
          <w:p>
            <w:pPr>
              <w:pStyle w:val="12"/>
            </w:pPr>
            <w:r>
              <w:t>397.87</w:t>
            </w:r>
          </w:p>
        </w:tc>
        <w:tc>
          <w:tcPr>
            <w:tcW w:w="1134" w:type="dxa"/>
            <w:vAlign w:val="center"/>
          </w:tcPr>
          <w:p>
            <w:pPr>
              <w:pStyle w:val="12"/>
            </w:pPr>
            <w:r>
              <w:t>397.87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151.85</w:t>
            </w:r>
          </w:p>
        </w:tc>
        <w:tc>
          <w:tcPr>
            <w:tcW w:w="1134" w:type="dxa"/>
            <w:vAlign w:val="center"/>
          </w:tcPr>
          <w:p>
            <w:pPr>
              <w:pStyle w:val="12"/>
            </w:pPr>
            <w:r>
              <w:t>151.85</w:t>
            </w:r>
          </w:p>
        </w:tc>
        <w:tc>
          <w:tcPr>
            <w:tcW w:w="1134" w:type="dxa"/>
            <w:vAlign w:val="center"/>
          </w:tcPr>
          <w:p>
            <w:pPr>
              <w:pStyle w:val="12"/>
            </w:pPr>
            <w:r>
              <w:t>151.85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134.87</w:t>
            </w:r>
          </w:p>
        </w:tc>
        <w:tc>
          <w:tcPr>
            <w:tcW w:w="1134" w:type="dxa"/>
            <w:vAlign w:val="center"/>
          </w:tcPr>
          <w:p>
            <w:pPr>
              <w:pStyle w:val="12"/>
            </w:pPr>
            <w:r>
              <w:t>134.87</w:t>
            </w:r>
          </w:p>
        </w:tc>
        <w:tc>
          <w:tcPr>
            <w:tcW w:w="1134" w:type="dxa"/>
            <w:vAlign w:val="center"/>
          </w:tcPr>
          <w:p>
            <w:pPr>
              <w:pStyle w:val="12"/>
            </w:pPr>
            <w:r>
              <w:t>134.87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108.61</w:t>
            </w:r>
          </w:p>
        </w:tc>
        <w:tc>
          <w:tcPr>
            <w:tcW w:w="1134" w:type="dxa"/>
            <w:vAlign w:val="center"/>
          </w:tcPr>
          <w:p>
            <w:pPr>
              <w:pStyle w:val="12"/>
            </w:pPr>
            <w:r>
              <w:t>108.61</w:t>
            </w:r>
          </w:p>
        </w:tc>
        <w:tc>
          <w:tcPr>
            <w:tcW w:w="1134" w:type="dxa"/>
            <w:vAlign w:val="center"/>
          </w:tcPr>
          <w:p>
            <w:pPr>
              <w:pStyle w:val="12"/>
            </w:pPr>
            <w:r>
              <w:t>108.61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2.54</w:t>
            </w:r>
          </w:p>
        </w:tc>
        <w:tc>
          <w:tcPr>
            <w:tcW w:w="1134" w:type="dxa"/>
            <w:vAlign w:val="center"/>
          </w:tcPr>
          <w:p>
            <w:pPr>
              <w:pStyle w:val="12"/>
            </w:pPr>
            <w:r>
              <w:t>2.54</w:t>
            </w:r>
          </w:p>
        </w:tc>
        <w:tc>
          <w:tcPr>
            <w:tcW w:w="1134" w:type="dxa"/>
            <w:vAlign w:val="center"/>
          </w:tcPr>
          <w:p>
            <w:pPr>
              <w:pStyle w:val="12"/>
            </w:pPr>
            <w:r>
              <w:t>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33.85</w:t>
            </w:r>
          </w:p>
        </w:tc>
        <w:tc>
          <w:tcPr>
            <w:tcW w:w="1134" w:type="dxa"/>
            <w:vAlign w:val="center"/>
          </w:tcPr>
          <w:p>
            <w:pPr>
              <w:pStyle w:val="12"/>
            </w:pPr>
            <w:r>
              <w:t>33.85</w:t>
            </w:r>
          </w:p>
        </w:tc>
        <w:tc>
          <w:tcPr>
            <w:tcW w:w="1134" w:type="dxa"/>
            <w:vAlign w:val="center"/>
          </w:tcPr>
          <w:p>
            <w:pPr>
              <w:pStyle w:val="12"/>
            </w:pPr>
            <w:r>
              <w:t>33.85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37.24</w:t>
            </w:r>
          </w:p>
        </w:tc>
        <w:tc>
          <w:tcPr>
            <w:tcW w:w="1134" w:type="dxa"/>
            <w:vAlign w:val="center"/>
          </w:tcPr>
          <w:p>
            <w:pPr>
              <w:pStyle w:val="12"/>
            </w:pPr>
            <w:r>
              <w:t>37.24</w:t>
            </w:r>
          </w:p>
        </w:tc>
        <w:tc>
          <w:tcPr>
            <w:tcW w:w="1134" w:type="dxa"/>
            <w:vAlign w:val="center"/>
          </w:tcPr>
          <w:p>
            <w:pPr>
              <w:pStyle w:val="12"/>
            </w:pPr>
            <w:r>
              <w:t>37.24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2633.51</w:t>
            </w:r>
          </w:p>
        </w:tc>
        <w:tc>
          <w:tcPr>
            <w:tcW w:w="1134" w:type="dxa"/>
            <w:vAlign w:val="center"/>
          </w:tcPr>
          <w:p>
            <w:pPr>
              <w:pStyle w:val="12"/>
            </w:pPr>
            <w:r>
              <w:t>2633.51</w:t>
            </w:r>
          </w:p>
        </w:tc>
        <w:tc>
          <w:tcPr>
            <w:tcW w:w="1134" w:type="dxa"/>
            <w:vAlign w:val="center"/>
          </w:tcPr>
          <w:p>
            <w:pPr>
              <w:pStyle w:val="12"/>
            </w:pPr>
            <w:r>
              <w:t>2633.51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5746.22</w:t>
            </w:r>
          </w:p>
        </w:tc>
        <w:tc>
          <w:tcPr>
            <w:tcW w:w="1361" w:type="dxa"/>
            <w:vAlign w:val="center"/>
          </w:tcPr>
          <w:p>
            <w:pPr>
              <w:pStyle w:val="16"/>
            </w:pPr>
            <w:r>
              <w:t>1643.91</w:t>
            </w:r>
          </w:p>
        </w:tc>
        <w:tc>
          <w:tcPr>
            <w:tcW w:w="1361" w:type="dxa"/>
            <w:vAlign w:val="center"/>
          </w:tcPr>
          <w:p>
            <w:pPr>
              <w:pStyle w:val="16"/>
            </w:pPr>
            <w:r>
              <w:t>4102.31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2358.47</w:t>
            </w:r>
          </w:p>
        </w:tc>
        <w:tc>
          <w:tcPr>
            <w:tcW w:w="1361" w:type="dxa"/>
            <w:vAlign w:val="center"/>
          </w:tcPr>
          <w:p>
            <w:pPr>
              <w:pStyle w:val="12"/>
            </w:pPr>
            <w:r>
              <w:t>1073.38</w:t>
            </w:r>
          </w:p>
        </w:tc>
        <w:tc>
          <w:tcPr>
            <w:tcW w:w="1361" w:type="dxa"/>
            <w:vAlign w:val="center"/>
          </w:tcPr>
          <w:p>
            <w:pPr>
              <w:pStyle w:val="12"/>
            </w:pPr>
            <w:r>
              <w:t>1285.08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1009.08</w:t>
            </w:r>
          </w:p>
        </w:tc>
        <w:tc>
          <w:tcPr>
            <w:tcW w:w="1361" w:type="dxa"/>
            <w:vAlign w:val="center"/>
          </w:tcPr>
          <w:p>
            <w:pPr>
              <w:pStyle w:val="12"/>
            </w:pPr>
            <w:r>
              <w:t>826.57</w:t>
            </w:r>
          </w:p>
        </w:tc>
        <w:tc>
          <w:tcPr>
            <w:tcW w:w="1361" w:type="dxa"/>
            <w:vAlign w:val="center"/>
          </w:tcPr>
          <w:p>
            <w:pPr>
              <w:pStyle w:val="12"/>
            </w:pPr>
            <w:r>
              <w:t>182.50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707.14</w:t>
            </w:r>
          </w:p>
        </w:tc>
        <w:tc>
          <w:tcPr>
            <w:tcW w:w="1361" w:type="dxa"/>
            <w:vAlign w:val="center"/>
          </w:tcPr>
          <w:p>
            <w:pPr>
              <w:pStyle w:val="12"/>
            </w:pPr>
            <w:r>
              <w:t>707.14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2070102</w:t>
            </w:r>
          </w:p>
        </w:tc>
        <w:tc>
          <w:tcPr>
            <w:tcW w:w="4535" w:type="dxa"/>
            <w:vAlign w:val="center"/>
          </w:tcPr>
          <w:p>
            <w:pPr>
              <w:pStyle w:val="13"/>
            </w:pPr>
            <w:r>
              <w:t>一般行政管理事务</w:t>
            </w:r>
          </w:p>
        </w:tc>
        <w:tc>
          <w:tcPr>
            <w:tcW w:w="1361" w:type="dxa"/>
            <w:vAlign w:val="center"/>
          </w:tcPr>
          <w:p>
            <w:pPr>
              <w:pStyle w:val="12"/>
            </w:pPr>
            <w:r>
              <w:t>103.21</w:t>
            </w:r>
          </w:p>
        </w:tc>
        <w:tc>
          <w:tcPr>
            <w:tcW w:w="1361" w:type="dxa"/>
            <w:vAlign w:val="center"/>
          </w:tcPr>
          <w:p>
            <w:pPr>
              <w:pStyle w:val="12"/>
            </w:pPr>
          </w:p>
        </w:tc>
        <w:tc>
          <w:tcPr>
            <w:tcW w:w="1361" w:type="dxa"/>
            <w:vAlign w:val="center"/>
          </w:tcPr>
          <w:p>
            <w:pPr>
              <w:pStyle w:val="12"/>
            </w:pPr>
            <w:r>
              <w:t>103.21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129.44</w:t>
            </w:r>
          </w:p>
        </w:tc>
        <w:tc>
          <w:tcPr>
            <w:tcW w:w="1361" w:type="dxa"/>
            <w:vAlign w:val="center"/>
          </w:tcPr>
          <w:p>
            <w:pPr>
              <w:pStyle w:val="12"/>
            </w:pPr>
            <w:r>
              <w:t>119.44</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2070108</w:t>
            </w:r>
          </w:p>
        </w:tc>
        <w:tc>
          <w:tcPr>
            <w:tcW w:w="4535" w:type="dxa"/>
            <w:vAlign w:val="center"/>
          </w:tcPr>
          <w:p>
            <w:pPr>
              <w:pStyle w:val="13"/>
            </w:pPr>
            <w:r>
              <w:t>文化活动</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2070113</w:t>
            </w:r>
          </w:p>
        </w:tc>
        <w:tc>
          <w:tcPr>
            <w:tcW w:w="4535" w:type="dxa"/>
            <w:vAlign w:val="center"/>
          </w:tcPr>
          <w:p>
            <w:pPr>
              <w:pStyle w:val="13"/>
            </w:pPr>
            <w:r>
              <w:t>旅游宣传</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34.79</w:t>
            </w:r>
          </w:p>
        </w:tc>
        <w:tc>
          <w:tcPr>
            <w:tcW w:w="1361" w:type="dxa"/>
            <w:vAlign w:val="center"/>
          </w:tcPr>
          <w:p>
            <w:pPr>
              <w:pStyle w:val="12"/>
            </w:pPr>
          </w:p>
        </w:tc>
        <w:tc>
          <w:tcPr>
            <w:tcW w:w="1361" w:type="dxa"/>
            <w:vAlign w:val="center"/>
          </w:tcPr>
          <w:p>
            <w:pPr>
              <w:pStyle w:val="12"/>
            </w:pPr>
            <w:r>
              <w:t>34.79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232.80</w:t>
            </w:r>
          </w:p>
        </w:tc>
        <w:tc>
          <w:tcPr>
            <w:tcW w:w="1361" w:type="dxa"/>
            <w:vAlign w:val="center"/>
          </w:tcPr>
          <w:p>
            <w:pPr>
              <w:pStyle w:val="12"/>
            </w:pPr>
            <w:r>
              <w:t>92.19</w:t>
            </w: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2070201</w:t>
            </w:r>
          </w:p>
        </w:tc>
        <w:tc>
          <w:tcPr>
            <w:tcW w:w="4535" w:type="dxa"/>
            <w:vAlign w:val="center"/>
          </w:tcPr>
          <w:p>
            <w:pPr>
              <w:pStyle w:val="13"/>
            </w:pPr>
            <w:r>
              <w:t>行政运行</w:t>
            </w:r>
          </w:p>
        </w:tc>
        <w:tc>
          <w:tcPr>
            <w:tcW w:w="1361" w:type="dxa"/>
            <w:vAlign w:val="center"/>
          </w:tcPr>
          <w:p>
            <w:pPr>
              <w:pStyle w:val="12"/>
            </w:pPr>
            <w:r>
              <w:t>92.19</w:t>
            </w:r>
          </w:p>
        </w:tc>
        <w:tc>
          <w:tcPr>
            <w:tcW w:w="1361" w:type="dxa"/>
            <w:vAlign w:val="center"/>
          </w:tcPr>
          <w:p>
            <w:pPr>
              <w:pStyle w:val="12"/>
            </w:pPr>
            <w:r>
              <w:t>92.19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369.89</w:t>
            </w:r>
          </w:p>
        </w:tc>
        <w:tc>
          <w:tcPr>
            <w:tcW w:w="1361" w:type="dxa"/>
            <w:vAlign w:val="center"/>
          </w:tcPr>
          <w:p>
            <w:pPr>
              <w:pStyle w:val="12"/>
            </w:pPr>
            <w:r>
              <w:t>154.62</w:t>
            </w:r>
          </w:p>
        </w:tc>
        <w:tc>
          <w:tcPr>
            <w:tcW w:w="1361" w:type="dxa"/>
            <w:vAlign w:val="center"/>
          </w:tcPr>
          <w:p>
            <w:pPr>
              <w:pStyle w:val="12"/>
            </w:pPr>
            <w:r>
              <w:t>215.27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2070301</w:t>
            </w:r>
          </w:p>
        </w:tc>
        <w:tc>
          <w:tcPr>
            <w:tcW w:w="4535" w:type="dxa"/>
            <w:vAlign w:val="center"/>
          </w:tcPr>
          <w:p>
            <w:pPr>
              <w:pStyle w:val="13"/>
            </w:pPr>
            <w:r>
              <w:t>行政运行</w:t>
            </w:r>
          </w:p>
        </w:tc>
        <w:tc>
          <w:tcPr>
            <w:tcW w:w="1361" w:type="dxa"/>
            <w:vAlign w:val="center"/>
          </w:tcPr>
          <w:p>
            <w:pPr>
              <w:pStyle w:val="12"/>
            </w:pPr>
            <w:r>
              <w:t>154.62</w:t>
            </w:r>
          </w:p>
        </w:tc>
        <w:tc>
          <w:tcPr>
            <w:tcW w:w="1361" w:type="dxa"/>
            <w:vAlign w:val="center"/>
          </w:tcPr>
          <w:p>
            <w:pPr>
              <w:pStyle w:val="12"/>
            </w:pPr>
            <w:r>
              <w:t>154.62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2070305</w:t>
            </w:r>
          </w:p>
        </w:tc>
        <w:tc>
          <w:tcPr>
            <w:tcW w:w="4535" w:type="dxa"/>
            <w:vAlign w:val="center"/>
          </w:tcPr>
          <w:p>
            <w:pPr>
              <w:pStyle w:val="13"/>
            </w:pPr>
            <w:r>
              <w:t>体育竞赛</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2070307</w:t>
            </w:r>
          </w:p>
        </w:tc>
        <w:tc>
          <w:tcPr>
            <w:tcW w:w="4535" w:type="dxa"/>
            <w:vAlign w:val="center"/>
          </w:tcPr>
          <w:p>
            <w:pPr>
              <w:pStyle w:val="13"/>
            </w:pPr>
            <w:r>
              <w:t>体育场馆</w:t>
            </w:r>
          </w:p>
        </w:tc>
        <w:tc>
          <w:tcPr>
            <w:tcW w:w="1361" w:type="dxa"/>
            <w:vAlign w:val="center"/>
          </w:tcPr>
          <w:p>
            <w:pPr>
              <w:pStyle w:val="12"/>
            </w:pPr>
            <w:r>
              <w:t>200.27</w:t>
            </w:r>
          </w:p>
        </w:tc>
        <w:tc>
          <w:tcPr>
            <w:tcW w:w="1361" w:type="dxa"/>
            <w:vAlign w:val="center"/>
          </w:tcPr>
          <w:p>
            <w:pPr>
              <w:pStyle w:val="12"/>
            </w:pPr>
          </w:p>
        </w:tc>
        <w:tc>
          <w:tcPr>
            <w:tcW w:w="1361" w:type="dxa"/>
            <w:vAlign w:val="center"/>
          </w:tcPr>
          <w:p>
            <w:pPr>
              <w:pStyle w:val="12"/>
            </w:pPr>
            <w:r>
              <w:t>200.27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2070399</w:t>
            </w:r>
          </w:p>
        </w:tc>
        <w:tc>
          <w:tcPr>
            <w:tcW w:w="4535" w:type="dxa"/>
            <w:vAlign w:val="center"/>
          </w:tcPr>
          <w:p>
            <w:pPr>
              <w:pStyle w:val="13"/>
            </w:pPr>
            <w:r>
              <w:t>其他体育支出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20709</w:t>
            </w:r>
          </w:p>
        </w:tc>
        <w:tc>
          <w:tcPr>
            <w:tcW w:w="4535" w:type="dxa"/>
            <w:vAlign w:val="center"/>
          </w:tcPr>
          <w:p>
            <w:pPr>
              <w:pStyle w:val="13"/>
            </w:pPr>
            <w:r>
              <w:t>旅游发展基金支出</w:t>
            </w:r>
          </w:p>
        </w:tc>
        <w:tc>
          <w:tcPr>
            <w:tcW w:w="1361" w:type="dxa"/>
            <w:vAlign w:val="center"/>
          </w:tcPr>
          <w:p>
            <w:pPr>
              <w:pStyle w:val="12"/>
            </w:pPr>
            <w:r>
              <w:t>38.87</w:t>
            </w:r>
          </w:p>
        </w:tc>
        <w:tc>
          <w:tcPr>
            <w:tcW w:w="1361" w:type="dxa"/>
            <w:vAlign w:val="center"/>
          </w:tcPr>
          <w:p>
            <w:pPr>
              <w:pStyle w:val="12"/>
            </w:pPr>
          </w:p>
        </w:tc>
        <w:tc>
          <w:tcPr>
            <w:tcW w:w="1361" w:type="dxa"/>
            <w:vAlign w:val="center"/>
          </w:tcPr>
          <w:p>
            <w:pPr>
              <w:pStyle w:val="12"/>
            </w:pPr>
            <w:r>
              <w:t>38.87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2070904</w:t>
            </w:r>
          </w:p>
        </w:tc>
        <w:tc>
          <w:tcPr>
            <w:tcW w:w="4535" w:type="dxa"/>
            <w:vAlign w:val="center"/>
          </w:tcPr>
          <w:p>
            <w:pPr>
              <w:pStyle w:val="13"/>
            </w:pPr>
            <w:r>
              <w:t>地方旅游开发项目补助</w:t>
            </w:r>
          </w:p>
        </w:tc>
        <w:tc>
          <w:tcPr>
            <w:tcW w:w="1361" w:type="dxa"/>
            <w:vAlign w:val="center"/>
          </w:tcPr>
          <w:p>
            <w:pPr>
              <w:pStyle w:val="12"/>
            </w:pPr>
            <w:r>
              <w:t>27.65</w:t>
            </w:r>
          </w:p>
        </w:tc>
        <w:tc>
          <w:tcPr>
            <w:tcW w:w="1361" w:type="dxa"/>
            <w:vAlign w:val="center"/>
          </w:tcPr>
          <w:p>
            <w:pPr>
              <w:pStyle w:val="12"/>
            </w:pPr>
          </w:p>
        </w:tc>
        <w:tc>
          <w:tcPr>
            <w:tcW w:w="1361" w:type="dxa"/>
            <w:vAlign w:val="center"/>
          </w:tcPr>
          <w:p>
            <w:pPr>
              <w:pStyle w:val="12"/>
            </w:pPr>
            <w:r>
              <w:t>27.65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2070999</w:t>
            </w:r>
          </w:p>
        </w:tc>
        <w:tc>
          <w:tcPr>
            <w:tcW w:w="4535" w:type="dxa"/>
            <w:vAlign w:val="center"/>
          </w:tcPr>
          <w:p>
            <w:pPr>
              <w:pStyle w:val="13"/>
            </w:pPr>
            <w:r>
              <w:t>其他旅游发展基金支出</w:t>
            </w:r>
          </w:p>
        </w:tc>
        <w:tc>
          <w:tcPr>
            <w:tcW w:w="1361" w:type="dxa"/>
            <w:vAlign w:val="center"/>
          </w:tcPr>
          <w:p>
            <w:pPr>
              <w:pStyle w:val="12"/>
            </w:pPr>
            <w:r>
              <w:t>11.22</w:t>
            </w:r>
          </w:p>
        </w:tc>
        <w:tc>
          <w:tcPr>
            <w:tcW w:w="1361" w:type="dxa"/>
            <w:vAlign w:val="center"/>
          </w:tcPr>
          <w:p>
            <w:pPr>
              <w:pStyle w:val="12"/>
            </w:pPr>
          </w:p>
        </w:tc>
        <w:tc>
          <w:tcPr>
            <w:tcW w:w="1361" w:type="dxa"/>
            <w:vAlign w:val="center"/>
          </w:tcPr>
          <w:p>
            <w:pPr>
              <w:pStyle w:val="12"/>
            </w:pPr>
            <w:r>
              <w:t>11.22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443.95</w:t>
            </w:r>
          </w:p>
        </w:tc>
        <w:tc>
          <w:tcPr>
            <w:tcW w:w="1361" w:type="dxa"/>
            <w:vAlign w:val="center"/>
          </w:tcPr>
          <w:p>
            <w:pPr>
              <w:pStyle w:val="12"/>
            </w:pPr>
            <w:r>
              <w:t>397.87</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397.87</w:t>
            </w:r>
          </w:p>
        </w:tc>
        <w:tc>
          <w:tcPr>
            <w:tcW w:w="1361" w:type="dxa"/>
            <w:vAlign w:val="center"/>
          </w:tcPr>
          <w:p>
            <w:pPr>
              <w:pStyle w:val="12"/>
            </w:pPr>
            <w:r>
              <w:t>397.87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151.85</w:t>
            </w:r>
          </w:p>
        </w:tc>
        <w:tc>
          <w:tcPr>
            <w:tcW w:w="1361" w:type="dxa"/>
            <w:vAlign w:val="center"/>
          </w:tcPr>
          <w:p>
            <w:pPr>
              <w:pStyle w:val="12"/>
            </w:pPr>
            <w:r>
              <w:t>151.85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134.87</w:t>
            </w:r>
          </w:p>
        </w:tc>
        <w:tc>
          <w:tcPr>
            <w:tcW w:w="1361" w:type="dxa"/>
            <w:vAlign w:val="center"/>
          </w:tcPr>
          <w:p>
            <w:pPr>
              <w:pStyle w:val="12"/>
            </w:pPr>
            <w:r>
              <w:t>134.87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108.61</w:t>
            </w:r>
          </w:p>
        </w:tc>
        <w:tc>
          <w:tcPr>
            <w:tcW w:w="1361" w:type="dxa"/>
            <w:vAlign w:val="center"/>
          </w:tcPr>
          <w:p>
            <w:pPr>
              <w:pStyle w:val="12"/>
            </w:pPr>
            <w:r>
              <w:t>108.61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2.54</w:t>
            </w:r>
          </w:p>
        </w:tc>
        <w:tc>
          <w:tcPr>
            <w:tcW w:w="1361" w:type="dxa"/>
            <w:vAlign w:val="center"/>
          </w:tcPr>
          <w:p>
            <w:pPr>
              <w:pStyle w:val="12"/>
            </w:pPr>
            <w:r>
              <w:t>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71.09</w:t>
            </w:r>
          </w:p>
        </w:tc>
        <w:tc>
          <w:tcPr>
            <w:tcW w:w="1361" w:type="dxa"/>
            <w:vAlign w:val="center"/>
          </w:tcPr>
          <w:p>
            <w:pPr>
              <w:pStyle w:val="12"/>
            </w:pPr>
            <w:r>
              <w:t>71.09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71.09</w:t>
            </w:r>
          </w:p>
        </w:tc>
        <w:tc>
          <w:tcPr>
            <w:tcW w:w="1361" w:type="dxa"/>
            <w:vAlign w:val="center"/>
          </w:tcPr>
          <w:p>
            <w:pPr>
              <w:pStyle w:val="12"/>
            </w:pPr>
            <w:r>
              <w:t>71.09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33.85</w:t>
            </w:r>
          </w:p>
        </w:tc>
        <w:tc>
          <w:tcPr>
            <w:tcW w:w="1361" w:type="dxa"/>
            <w:vAlign w:val="center"/>
          </w:tcPr>
          <w:p>
            <w:pPr>
              <w:pStyle w:val="12"/>
            </w:pPr>
            <w:r>
              <w:t>33.85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37.24</w:t>
            </w:r>
          </w:p>
        </w:tc>
        <w:tc>
          <w:tcPr>
            <w:tcW w:w="1361" w:type="dxa"/>
            <w:vAlign w:val="center"/>
          </w:tcPr>
          <w:p>
            <w:pPr>
              <w:pStyle w:val="12"/>
            </w:pPr>
            <w:r>
              <w:t>37.24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2633.51</w:t>
            </w:r>
          </w:p>
        </w:tc>
        <w:tc>
          <w:tcPr>
            <w:tcW w:w="1361" w:type="dxa"/>
            <w:vAlign w:val="center"/>
          </w:tcPr>
          <w:p>
            <w:pPr>
              <w:pStyle w:val="12"/>
            </w:pPr>
          </w:p>
        </w:tc>
        <w:tc>
          <w:tcPr>
            <w:tcW w:w="1361" w:type="dxa"/>
            <w:vAlign w:val="center"/>
          </w:tcPr>
          <w:p>
            <w:pPr>
              <w:pStyle w:val="12"/>
            </w:pPr>
            <w:r>
              <w:t>2633.51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5076.52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340.48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2358.47</w:t>
            </w:r>
          </w:p>
        </w:tc>
        <w:tc>
          <w:tcPr>
            <w:tcW w:w="1474" w:type="dxa"/>
            <w:vAlign w:val="center"/>
          </w:tcPr>
          <w:p>
            <w:pPr>
              <w:pStyle w:val="12"/>
            </w:pPr>
            <w:r>
              <w:t>2319.60</w:t>
            </w:r>
          </w:p>
        </w:tc>
        <w:tc>
          <w:tcPr>
            <w:tcW w:w="1474" w:type="dxa"/>
            <w:vAlign w:val="center"/>
          </w:tcPr>
          <w:p>
            <w:pPr>
              <w:pStyle w:val="12"/>
            </w:pPr>
            <w:r>
              <w:t>38.87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443.95</w:t>
            </w:r>
          </w:p>
        </w:tc>
        <w:tc>
          <w:tcPr>
            <w:tcW w:w="1474" w:type="dxa"/>
            <w:vAlign w:val="center"/>
          </w:tcPr>
          <w:p>
            <w:pPr>
              <w:pStyle w:val="12"/>
            </w:pPr>
            <w:r>
              <w:t>443.95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71.09</w:t>
            </w:r>
          </w:p>
        </w:tc>
        <w:tc>
          <w:tcPr>
            <w:tcW w:w="1474" w:type="dxa"/>
            <w:vAlign w:val="center"/>
          </w:tcPr>
          <w:p>
            <w:pPr>
              <w:pStyle w:val="12"/>
            </w:pPr>
            <w:r>
              <w:t>71.09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2633.51</w:t>
            </w:r>
          </w:p>
        </w:tc>
        <w:tc>
          <w:tcPr>
            <w:tcW w:w="1474" w:type="dxa"/>
            <w:vAlign w:val="center"/>
          </w:tcPr>
          <w:p>
            <w:pPr>
              <w:pStyle w:val="12"/>
            </w:pPr>
            <w:r>
              <w:t>2338.25</w:t>
            </w:r>
          </w:p>
        </w:tc>
        <w:tc>
          <w:tcPr>
            <w:tcW w:w="1474" w:type="dxa"/>
            <w:vAlign w:val="center"/>
          </w:tcPr>
          <w:p>
            <w:pPr>
              <w:pStyle w:val="12"/>
            </w:pPr>
            <w:r>
              <w:t>295.26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101.56</w:t>
            </w:r>
          </w:p>
        </w:tc>
        <w:tc>
          <w:tcPr>
            <w:tcW w:w="1474" w:type="dxa"/>
            <w:vAlign w:val="center"/>
          </w:tcPr>
          <w:p>
            <w:pPr>
              <w:pStyle w:val="12"/>
            </w:pPr>
            <w:r>
              <w:t>101.56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137.64</w:t>
            </w:r>
          </w:p>
        </w:tc>
        <w:tc>
          <w:tcPr>
            <w:tcW w:w="1474" w:type="dxa"/>
            <w:vAlign w:val="center"/>
          </w:tcPr>
          <w:p>
            <w:pPr>
              <w:pStyle w:val="12"/>
            </w:pPr>
          </w:p>
        </w:tc>
        <w:tc>
          <w:tcPr>
            <w:tcW w:w="1474" w:type="dxa"/>
            <w:vAlign w:val="center"/>
          </w:tcPr>
          <w:p>
            <w:pPr>
              <w:pStyle w:val="12"/>
            </w:pPr>
            <w:r>
              <w:t>137.64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5417.00</w:t>
            </w:r>
          </w:p>
        </w:tc>
        <w:tc>
          <w:tcPr>
            <w:tcW w:w="3402" w:type="dxa"/>
            <w:vAlign w:val="center"/>
          </w:tcPr>
          <w:p>
            <w:pPr>
              <w:pStyle w:val="15"/>
            </w:pPr>
            <w:r>
              <w:t>本年支出合计</w:t>
            </w:r>
          </w:p>
        </w:tc>
        <w:tc>
          <w:tcPr>
            <w:tcW w:w="1474" w:type="dxa"/>
            <w:vAlign w:val="center"/>
          </w:tcPr>
          <w:p>
            <w:pPr>
              <w:pStyle w:val="16"/>
            </w:pPr>
            <w:r>
              <w:t>5746.22</w:t>
            </w:r>
          </w:p>
        </w:tc>
        <w:tc>
          <w:tcPr>
            <w:tcW w:w="1474" w:type="dxa"/>
            <w:vAlign w:val="center"/>
          </w:tcPr>
          <w:p>
            <w:pPr>
              <w:pStyle w:val="16"/>
            </w:pPr>
            <w:r>
              <w:t>5274.45</w:t>
            </w:r>
          </w:p>
        </w:tc>
        <w:tc>
          <w:tcPr>
            <w:tcW w:w="1474" w:type="dxa"/>
            <w:vAlign w:val="center"/>
          </w:tcPr>
          <w:p>
            <w:pPr>
              <w:pStyle w:val="16"/>
            </w:pPr>
            <w:r>
              <w:t>471.77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329.22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197.93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131.29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5746.22</w:t>
            </w:r>
          </w:p>
        </w:tc>
        <w:tc>
          <w:tcPr>
            <w:tcW w:w="3402" w:type="dxa"/>
            <w:vAlign w:val="center"/>
          </w:tcPr>
          <w:p>
            <w:pPr>
              <w:pStyle w:val="15"/>
            </w:pPr>
            <w:r>
              <w:t>支出总计</w:t>
            </w:r>
          </w:p>
        </w:tc>
        <w:tc>
          <w:tcPr>
            <w:tcW w:w="1474" w:type="dxa"/>
            <w:vAlign w:val="center"/>
          </w:tcPr>
          <w:p>
            <w:pPr>
              <w:pStyle w:val="16"/>
            </w:pPr>
            <w:r>
              <w:t>5746.22</w:t>
            </w:r>
          </w:p>
        </w:tc>
        <w:tc>
          <w:tcPr>
            <w:tcW w:w="1474" w:type="dxa"/>
            <w:vAlign w:val="center"/>
          </w:tcPr>
          <w:p>
            <w:pPr>
              <w:pStyle w:val="16"/>
            </w:pPr>
            <w:r>
              <w:t>5274.45</w:t>
            </w:r>
          </w:p>
        </w:tc>
        <w:tc>
          <w:tcPr>
            <w:tcW w:w="1474" w:type="dxa"/>
            <w:vAlign w:val="center"/>
          </w:tcPr>
          <w:p>
            <w:pPr>
              <w:pStyle w:val="16"/>
            </w:pPr>
            <w:r>
              <w:t>471.77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5274.45</w:t>
            </w:r>
          </w:p>
        </w:tc>
        <w:tc>
          <w:tcPr>
            <w:tcW w:w="2551" w:type="dxa"/>
            <w:vAlign w:val="center"/>
          </w:tcPr>
          <w:p>
            <w:pPr>
              <w:pStyle w:val="16"/>
            </w:pPr>
            <w:r>
              <w:t>1643.91</w:t>
            </w:r>
          </w:p>
        </w:tc>
        <w:tc>
          <w:tcPr>
            <w:tcW w:w="2551" w:type="dxa"/>
            <w:vAlign w:val="center"/>
          </w:tcPr>
          <w:p>
            <w:pPr>
              <w:pStyle w:val="16"/>
            </w:pPr>
            <w:r>
              <w:t>3630.54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2319.60</w:t>
            </w:r>
          </w:p>
        </w:tc>
        <w:tc>
          <w:tcPr>
            <w:tcW w:w="2551" w:type="dxa"/>
            <w:vAlign w:val="center"/>
          </w:tcPr>
          <w:p>
            <w:pPr>
              <w:pStyle w:val="12"/>
            </w:pPr>
            <w:r>
              <w:t>1073.38</w:t>
            </w:r>
          </w:p>
        </w:tc>
        <w:tc>
          <w:tcPr>
            <w:tcW w:w="2551" w:type="dxa"/>
            <w:vAlign w:val="center"/>
          </w:tcPr>
          <w:p>
            <w:pPr>
              <w:pStyle w:val="12"/>
            </w:pPr>
            <w:r>
              <w:t>1246.21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1009.08</w:t>
            </w:r>
          </w:p>
        </w:tc>
        <w:tc>
          <w:tcPr>
            <w:tcW w:w="2551" w:type="dxa"/>
            <w:vAlign w:val="center"/>
          </w:tcPr>
          <w:p>
            <w:pPr>
              <w:pStyle w:val="12"/>
            </w:pPr>
            <w:r>
              <w:t>826.57</w:t>
            </w:r>
          </w:p>
        </w:tc>
        <w:tc>
          <w:tcPr>
            <w:tcW w:w="2551" w:type="dxa"/>
            <w:vAlign w:val="center"/>
          </w:tcPr>
          <w:p>
            <w:pPr>
              <w:pStyle w:val="12"/>
            </w:pPr>
            <w:r>
              <w:t>182.50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707.14</w:t>
            </w:r>
          </w:p>
        </w:tc>
        <w:tc>
          <w:tcPr>
            <w:tcW w:w="2551" w:type="dxa"/>
            <w:vAlign w:val="center"/>
          </w:tcPr>
          <w:p>
            <w:pPr>
              <w:pStyle w:val="12"/>
            </w:pPr>
            <w:r>
              <w:t>707.14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2070102</w:t>
            </w:r>
          </w:p>
        </w:tc>
        <w:tc>
          <w:tcPr>
            <w:tcW w:w="4535" w:type="dxa"/>
            <w:vAlign w:val="center"/>
          </w:tcPr>
          <w:p>
            <w:pPr>
              <w:pStyle w:val="13"/>
            </w:pPr>
            <w:r>
              <w:t>一般行政管理事务</w:t>
            </w:r>
          </w:p>
        </w:tc>
        <w:tc>
          <w:tcPr>
            <w:tcW w:w="2551" w:type="dxa"/>
            <w:vAlign w:val="center"/>
          </w:tcPr>
          <w:p>
            <w:pPr>
              <w:pStyle w:val="12"/>
            </w:pPr>
            <w:r>
              <w:t>103.21</w:t>
            </w:r>
          </w:p>
        </w:tc>
        <w:tc>
          <w:tcPr>
            <w:tcW w:w="2551" w:type="dxa"/>
            <w:vAlign w:val="center"/>
          </w:tcPr>
          <w:p>
            <w:pPr>
              <w:pStyle w:val="12"/>
            </w:pPr>
          </w:p>
        </w:tc>
        <w:tc>
          <w:tcPr>
            <w:tcW w:w="2551" w:type="dxa"/>
            <w:vAlign w:val="center"/>
          </w:tcPr>
          <w:p>
            <w:pPr>
              <w:pStyle w:val="12"/>
            </w:pPr>
            <w:r>
              <w:t>103.21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129.44</w:t>
            </w:r>
          </w:p>
        </w:tc>
        <w:tc>
          <w:tcPr>
            <w:tcW w:w="2551" w:type="dxa"/>
            <w:vAlign w:val="center"/>
          </w:tcPr>
          <w:p>
            <w:pPr>
              <w:pStyle w:val="12"/>
            </w:pPr>
            <w:r>
              <w:t>119.44</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2070108</w:t>
            </w:r>
          </w:p>
        </w:tc>
        <w:tc>
          <w:tcPr>
            <w:tcW w:w="4535" w:type="dxa"/>
            <w:vAlign w:val="center"/>
          </w:tcPr>
          <w:p>
            <w:pPr>
              <w:pStyle w:val="13"/>
            </w:pPr>
            <w:r>
              <w:t>文化活动</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2070113</w:t>
            </w:r>
          </w:p>
        </w:tc>
        <w:tc>
          <w:tcPr>
            <w:tcW w:w="4535" w:type="dxa"/>
            <w:vAlign w:val="center"/>
          </w:tcPr>
          <w:p>
            <w:pPr>
              <w:pStyle w:val="13"/>
            </w:pPr>
            <w:r>
              <w:t>旅游宣传</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34.79</w:t>
            </w:r>
          </w:p>
        </w:tc>
        <w:tc>
          <w:tcPr>
            <w:tcW w:w="2551" w:type="dxa"/>
            <w:vAlign w:val="center"/>
          </w:tcPr>
          <w:p>
            <w:pPr>
              <w:pStyle w:val="12"/>
            </w:pPr>
          </w:p>
        </w:tc>
        <w:tc>
          <w:tcPr>
            <w:tcW w:w="2551" w:type="dxa"/>
            <w:vAlign w:val="center"/>
          </w:tcPr>
          <w:p>
            <w:pPr>
              <w:pStyle w:val="12"/>
            </w:pPr>
            <w:r>
              <w:t>34.79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232.80</w:t>
            </w:r>
          </w:p>
        </w:tc>
        <w:tc>
          <w:tcPr>
            <w:tcW w:w="2551" w:type="dxa"/>
            <w:vAlign w:val="center"/>
          </w:tcPr>
          <w:p>
            <w:pPr>
              <w:pStyle w:val="12"/>
            </w:pPr>
            <w:r>
              <w:t>92.19</w:t>
            </w:r>
          </w:p>
        </w:tc>
        <w:tc>
          <w:tcPr>
            <w:tcW w:w="2551" w:type="dxa"/>
            <w:vAlign w:val="center"/>
          </w:tcPr>
          <w:p>
            <w:pPr>
              <w:pStyle w:val="12"/>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2070201</w:t>
            </w:r>
          </w:p>
        </w:tc>
        <w:tc>
          <w:tcPr>
            <w:tcW w:w="4535" w:type="dxa"/>
            <w:vAlign w:val="center"/>
          </w:tcPr>
          <w:p>
            <w:pPr>
              <w:pStyle w:val="13"/>
            </w:pPr>
            <w:r>
              <w:t>行政运行</w:t>
            </w:r>
          </w:p>
        </w:tc>
        <w:tc>
          <w:tcPr>
            <w:tcW w:w="2551" w:type="dxa"/>
            <w:vAlign w:val="center"/>
          </w:tcPr>
          <w:p>
            <w:pPr>
              <w:pStyle w:val="12"/>
            </w:pPr>
            <w:r>
              <w:t>92.19</w:t>
            </w:r>
          </w:p>
        </w:tc>
        <w:tc>
          <w:tcPr>
            <w:tcW w:w="2551" w:type="dxa"/>
            <w:vAlign w:val="center"/>
          </w:tcPr>
          <w:p>
            <w:pPr>
              <w:pStyle w:val="12"/>
            </w:pPr>
            <w:r>
              <w:t>92.19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140.61</w:t>
            </w:r>
          </w:p>
        </w:tc>
        <w:tc>
          <w:tcPr>
            <w:tcW w:w="2551" w:type="dxa"/>
            <w:vAlign w:val="center"/>
          </w:tcPr>
          <w:p>
            <w:pPr>
              <w:pStyle w:val="12"/>
            </w:pPr>
          </w:p>
        </w:tc>
        <w:tc>
          <w:tcPr>
            <w:tcW w:w="2551" w:type="dxa"/>
            <w:vAlign w:val="center"/>
          </w:tcPr>
          <w:p>
            <w:pPr>
              <w:pStyle w:val="12"/>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369.89</w:t>
            </w:r>
          </w:p>
        </w:tc>
        <w:tc>
          <w:tcPr>
            <w:tcW w:w="2551" w:type="dxa"/>
            <w:vAlign w:val="center"/>
          </w:tcPr>
          <w:p>
            <w:pPr>
              <w:pStyle w:val="12"/>
            </w:pPr>
            <w:r>
              <w:t>154.62</w:t>
            </w:r>
          </w:p>
        </w:tc>
        <w:tc>
          <w:tcPr>
            <w:tcW w:w="2551" w:type="dxa"/>
            <w:vAlign w:val="center"/>
          </w:tcPr>
          <w:p>
            <w:pPr>
              <w:pStyle w:val="12"/>
            </w:pPr>
            <w:r>
              <w:t>215.27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2070301</w:t>
            </w:r>
          </w:p>
        </w:tc>
        <w:tc>
          <w:tcPr>
            <w:tcW w:w="4535" w:type="dxa"/>
            <w:vAlign w:val="center"/>
          </w:tcPr>
          <w:p>
            <w:pPr>
              <w:pStyle w:val="13"/>
            </w:pPr>
            <w:r>
              <w:t>行政运行</w:t>
            </w:r>
          </w:p>
        </w:tc>
        <w:tc>
          <w:tcPr>
            <w:tcW w:w="2551" w:type="dxa"/>
            <w:vAlign w:val="center"/>
          </w:tcPr>
          <w:p>
            <w:pPr>
              <w:pStyle w:val="12"/>
            </w:pPr>
            <w:r>
              <w:t>154.62</w:t>
            </w:r>
          </w:p>
        </w:tc>
        <w:tc>
          <w:tcPr>
            <w:tcW w:w="2551" w:type="dxa"/>
            <w:vAlign w:val="center"/>
          </w:tcPr>
          <w:p>
            <w:pPr>
              <w:pStyle w:val="12"/>
            </w:pPr>
            <w:r>
              <w:t>154.62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2070305</w:t>
            </w:r>
          </w:p>
        </w:tc>
        <w:tc>
          <w:tcPr>
            <w:tcW w:w="4535" w:type="dxa"/>
            <w:vAlign w:val="center"/>
          </w:tcPr>
          <w:p>
            <w:pPr>
              <w:pStyle w:val="13"/>
            </w:pPr>
            <w:r>
              <w:t>体育竞赛</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2070307</w:t>
            </w:r>
          </w:p>
        </w:tc>
        <w:tc>
          <w:tcPr>
            <w:tcW w:w="4535" w:type="dxa"/>
            <w:vAlign w:val="center"/>
          </w:tcPr>
          <w:p>
            <w:pPr>
              <w:pStyle w:val="13"/>
            </w:pPr>
            <w:r>
              <w:t>体育场馆</w:t>
            </w:r>
          </w:p>
        </w:tc>
        <w:tc>
          <w:tcPr>
            <w:tcW w:w="2551" w:type="dxa"/>
            <w:vAlign w:val="center"/>
          </w:tcPr>
          <w:p>
            <w:pPr>
              <w:pStyle w:val="12"/>
            </w:pPr>
            <w:r>
              <w:t>200.27</w:t>
            </w:r>
          </w:p>
        </w:tc>
        <w:tc>
          <w:tcPr>
            <w:tcW w:w="2551" w:type="dxa"/>
            <w:vAlign w:val="center"/>
          </w:tcPr>
          <w:p>
            <w:pPr>
              <w:pStyle w:val="12"/>
            </w:pPr>
          </w:p>
        </w:tc>
        <w:tc>
          <w:tcPr>
            <w:tcW w:w="2551" w:type="dxa"/>
            <w:vAlign w:val="center"/>
          </w:tcPr>
          <w:p>
            <w:pPr>
              <w:pStyle w:val="12"/>
            </w:pPr>
            <w:r>
              <w:t>200.27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2070399</w:t>
            </w:r>
          </w:p>
        </w:tc>
        <w:tc>
          <w:tcPr>
            <w:tcW w:w="4535" w:type="dxa"/>
            <w:vAlign w:val="center"/>
          </w:tcPr>
          <w:p>
            <w:pPr>
              <w:pStyle w:val="13"/>
            </w:pPr>
            <w:r>
              <w:t>其他体育支出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707.83</w:t>
            </w:r>
          </w:p>
        </w:tc>
        <w:tc>
          <w:tcPr>
            <w:tcW w:w="2551" w:type="dxa"/>
            <w:vAlign w:val="center"/>
          </w:tcPr>
          <w:p>
            <w:pPr>
              <w:pStyle w:val="12"/>
            </w:pPr>
          </w:p>
        </w:tc>
        <w:tc>
          <w:tcPr>
            <w:tcW w:w="2551" w:type="dxa"/>
            <w:vAlign w:val="center"/>
          </w:tcPr>
          <w:p>
            <w:pPr>
              <w:pStyle w:val="12"/>
            </w:pPr>
            <w:r>
              <w:t>707.83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707.83</w:t>
            </w:r>
          </w:p>
        </w:tc>
        <w:tc>
          <w:tcPr>
            <w:tcW w:w="2551" w:type="dxa"/>
            <w:vAlign w:val="center"/>
          </w:tcPr>
          <w:p>
            <w:pPr>
              <w:pStyle w:val="12"/>
            </w:pPr>
          </w:p>
        </w:tc>
        <w:tc>
          <w:tcPr>
            <w:tcW w:w="2551" w:type="dxa"/>
            <w:vAlign w:val="center"/>
          </w:tcPr>
          <w:p>
            <w:pPr>
              <w:pStyle w:val="12"/>
            </w:pPr>
            <w:r>
              <w:t>707.83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443.95</w:t>
            </w:r>
          </w:p>
        </w:tc>
        <w:tc>
          <w:tcPr>
            <w:tcW w:w="2551" w:type="dxa"/>
            <w:vAlign w:val="center"/>
          </w:tcPr>
          <w:p>
            <w:pPr>
              <w:pStyle w:val="12"/>
            </w:pPr>
            <w:r>
              <w:t>397.87</w:t>
            </w: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397.87</w:t>
            </w:r>
          </w:p>
        </w:tc>
        <w:tc>
          <w:tcPr>
            <w:tcW w:w="2551" w:type="dxa"/>
            <w:vAlign w:val="center"/>
          </w:tcPr>
          <w:p>
            <w:pPr>
              <w:pStyle w:val="12"/>
            </w:pPr>
            <w:r>
              <w:t>397.87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151.85</w:t>
            </w:r>
          </w:p>
        </w:tc>
        <w:tc>
          <w:tcPr>
            <w:tcW w:w="2551" w:type="dxa"/>
            <w:vAlign w:val="center"/>
          </w:tcPr>
          <w:p>
            <w:pPr>
              <w:pStyle w:val="12"/>
            </w:pPr>
            <w:r>
              <w:t>151.85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134.87</w:t>
            </w:r>
          </w:p>
        </w:tc>
        <w:tc>
          <w:tcPr>
            <w:tcW w:w="2551" w:type="dxa"/>
            <w:vAlign w:val="center"/>
          </w:tcPr>
          <w:p>
            <w:pPr>
              <w:pStyle w:val="12"/>
            </w:pPr>
            <w:r>
              <w:t>134.87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108.61</w:t>
            </w:r>
          </w:p>
        </w:tc>
        <w:tc>
          <w:tcPr>
            <w:tcW w:w="2551" w:type="dxa"/>
            <w:vAlign w:val="center"/>
          </w:tcPr>
          <w:p>
            <w:pPr>
              <w:pStyle w:val="12"/>
            </w:pPr>
            <w:r>
              <w:t>108.61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46.08</w:t>
            </w:r>
          </w:p>
        </w:tc>
        <w:tc>
          <w:tcPr>
            <w:tcW w:w="2551" w:type="dxa"/>
            <w:vAlign w:val="center"/>
          </w:tcPr>
          <w:p>
            <w:pPr>
              <w:pStyle w:val="12"/>
            </w:pP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46.08</w:t>
            </w:r>
          </w:p>
        </w:tc>
        <w:tc>
          <w:tcPr>
            <w:tcW w:w="2551" w:type="dxa"/>
            <w:vAlign w:val="center"/>
          </w:tcPr>
          <w:p>
            <w:pPr>
              <w:pStyle w:val="12"/>
            </w:pP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71.09</w:t>
            </w:r>
          </w:p>
        </w:tc>
        <w:tc>
          <w:tcPr>
            <w:tcW w:w="2551" w:type="dxa"/>
            <w:vAlign w:val="center"/>
          </w:tcPr>
          <w:p>
            <w:pPr>
              <w:pStyle w:val="12"/>
            </w:pPr>
            <w:r>
              <w:t>71.09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71.09</w:t>
            </w:r>
          </w:p>
        </w:tc>
        <w:tc>
          <w:tcPr>
            <w:tcW w:w="2551" w:type="dxa"/>
            <w:vAlign w:val="center"/>
          </w:tcPr>
          <w:p>
            <w:pPr>
              <w:pStyle w:val="12"/>
            </w:pPr>
            <w:r>
              <w:t>71.09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33.85</w:t>
            </w:r>
          </w:p>
        </w:tc>
        <w:tc>
          <w:tcPr>
            <w:tcW w:w="2551" w:type="dxa"/>
            <w:vAlign w:val="center"/>
          </w:tcPr>
          <w:p>
            <w:pPr>
              <w:pStyle w:val="12"/>
            </w:pPr>
            <w:r>
              <w:t>33.85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37.24</w:t>
            </w:r>
          </w:p>
        </w:tc>
        <w:tc>
          <w:tcPr>
            <w:tcW w:w="2551" w:type="dxa"/>
            <w:vAlign w:val="center"/>
          </w:tcPr>
          <w:p>
            <w:pPr>
              <w:pStyle w:val="12"/>
            </w:pPr>
            <w:r>
              <w:t>37.24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1643.91</w:t>
            </w:r>
          </w:p>
        </w:tc>
        <w:tc>
          <w:tcPr>
            <w:tcW w:w="2551" w:type="dxa"/>
            <w:vAlign w:val="center"/>
          </w:tcPr>
          <w:p>
            <w:pPr>
              <w:pStyle w:val="16"/>
            </w:pPr>
            <w:r>
              <w:t>1404.97</w:t>
            </w:r>
          </w:p>
        </w:tc>
        <w:tc>
          <w:tcPr>
            <w:tcW w:w="2551" w:type="dxa"/>
            <w:vAlign w:val="center"/>
          </w:tcPr>
          <w:p>
            <w:pPr>
              <w:pStyle w:val="16"/>
            </w:pPr>
            <w:r>
              <w:t>238.94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1113.02</w:t>
            </w:r>
          </w:p>
        </w:tc>
        <w:tc>
          <w:tcPr>
            <w:tcW w:w="2551" w:type="dxa"/>
            <w:vAlign w:val="center"/>
          </w:tcPr>
          <w:p>
            <w:pPr>
              <w:pStyle w:val="12"/>
            </w:pPr>
            <w:r>
              <w:t>1113.02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323.32</w:t>
            </w:r>
          </w:p>
        </w:tc>
        <w:tc>
          <w:tcPr>
            <w:tcW w:w="2551" w:type="dxa"/>
            <w:vAlign w:val="center"/>
          </w:tcPr>
          <w:p>
            <w:pPr>
              <w:pStyle w:val="12"/>
            </w:pPr>
            <w:r>
              <w:t>323.32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115.70</w:t>
            </w:r>
          </w:p>
        </w:tc>
        <w:tc>
          <w:tcPr>
            <w:tcW w:w="2551" w:type="dxa"/>
            <w:vAlign w:val="center"/>
          </w:tcPr>
          <w:p>
            <w:pPr>
              <w:pStyle w:val="12"/>
            </w:pPr>
            <w:r>
              <w:t>115.70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86.66</w:t>
            </w:r>
          </w:p>
        </w:tc>
        <w:tc>
          <w:tcPr>
            <w:tcW w:w="2551" w:type="dxa"/>
            <w:vAlign w:val="center"/>
          </w:tcPr>
          <w:p>
            <w:pPr>
              <w:pStyle w:val="12"/>
            </w:pPr>
            <w:r>
              <w:t>86.66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298.38</w:t>
            </w:r>
          </w:p>
        </w:tc>
        <w:tc>
          <w:tcPr>
            <w:tcW w:w="2551" w:type="dxa"/>
            <w:vAlign w:val="center"/>
          </w:tcPr>
          <w:p>
            <w:pPr>
              <w:pStyle w:val="12"/>
            </w:pPr>
            <w:r>
              <w:t>298.38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108.61</w:t>
            </w:r>
          </w:p>
        </w:tc>
        <w:tc>
          <w:tcPr>
            <w:tcW w:w="2551" w:type="dxa"/>
            <w:vAlign w:val="center"/>
          </w:tcPr>
          <w:p>
            <w:pPr>
              <w:pStyle w:val="12"/>
            </w:pPr>
            <w:r>
              <w:t>108.61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36.61</w:t>
            </w:r>
          </w:p>
        </w:tc>
        <w:tc>
          <w:tcPr>
            <w:tcW w:w="2551" w:type="dxa"/>
            <w:vAlign w:val="center"/>
          </w:tcPr>
          <w:p>
            <w:pPr>
              <w:pStyle w:val="12"/>
            </w:pPr>
            <w:r>
              <w:t>36.61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34.49</w:t>
            </w:r>
          </w:p>
        </w:tc>
        <w:tc>
          <w:tcPr>
            <w:tcW w:w="2551" w:type="dxa"/>
            <w:vAlign w:val="center"/>
          </w:tcPr>
          <w:p>
            <w:pPr>
              <w:pStyle w:val="12"/>
            </w:pPr>
            <w:r>
              <w:t>34.49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5.15</w:t>
            </w:r>
          </w:p>
        </w:tc>
        <w:tc>
          <w:tcPr>
            <w:tcW w:w="2551" w:type="dxa"/>
            <w:vAlign w:val="center"/>
          </w:tcPr>
          <w:p>
            <w:pPr>
              <w:pStyle w:val="12"/>
            </w:pPr>
            <w:r>
              <w:t>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237.55</w:t>
            </w:r>
          </w:p>
        </w:tc>
        <w:tc>
          <w:tcPr>
            <w:tcW w:w="2551" w:type="dxa"/>
            <w:vAlign w:val="center"/>
          </w:tcPr>
          <w:p>
            <w:pPr>
              <w:pStyle w:val="12"/>
            </w:pPr>
          </w:p>
        </w:tc>
        <w:tc>
          <w:tcPr>
            <w:tcW w:w="2551" w:type="dxa"/>
            <w:vAlign w:val="center"/>
          </w:tcPr>
          <w:p>
            <w:pPr>
              <w:pStyle w:val="12"/>
            </w:pPr>
            <w:r>
              <w:t>237.55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35.22</w:t>
            </w:r>
          </w:p>
        </w:tc>
        <w:tc>
          <w:tcPr>
            <w:tcW w:w="2551" w:type="dxa"/>
            <w:vAlign w:val="center"/>
          </w:tcPr>
          <w:p>
            <w:pPr>
              <w:pStyle w:val="12"/>
            </w:pPr>
          </w:p>
        </w:tc>
        <w:tc>
          <w:tcPr>
            <w:tcW w:w="2551" w:type="dxa"/>
            <w:vAlign w:val="center"/>
          </w:tcPr>
          <w:p>
            <w:pPr>
              <w:pStyle w:val="12"/>
            </w:pPr>
            <w:r>
              <w:t>35.22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10.99</w:t>
            </w:r>
          </w:p>
        </w:tc>
        <w:tc>
          <w:tcPr>
            <w:tcW w:w="2551" w:type="dxa"/>
            <w:vAlign w:val="center"/>
          </w:tcPr>
          <w:p>
            <w:pPr>
              <w:pStyle w:val="12"/>
            </w:pPr>
          </w:p>
        </w:tc>
        <w:tc>
          <w:tcPr>
            <w:tcW w:w="2551" w:type="dxa"/>
            <w:vAlign w:val="center"/>
          </w:tcPr>
          <w:p>
            <w:pPr>
              <w:pStyle w:val="12"/>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20.61</w:t>
            </w:r>
          </w:p>
        </w:tc>
        <w:tc>
          <w:tcPr>
            <w:tcW w:w="2551" w:type="dxa"/>
            <w:vAlign w:val="center"/>
          </w:tcPr>
          <w:p>
            <w:pPr>
              <w:pStyle w:val="12"/>
            </w:pPr>
          </w:p>
        </w:tc>
        <w:tc>
          <w:tcPr>
            <w:tcW w:w="2551" w:type="dxa"/>
            <w:vAlign w:val="center"/>
          </w:tcPr>
          <w:p>
            <w:pPr>
              <w:pStyle w:val="12"/>
            </w:pPr>
            <w:r>
              <w:t>20.61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129.49</w:t>
            </w:r>
          </w:p>
        </w:tc>
        <w:tc>
          <w:tcPr>
            <w:tcW w:w="2551" w:type="dxa"/>
            <w:vAlign w:val="center"/>
          </w:tcPr>
          <w:p>
            <w:pPr>
              <w:pStyle w:val="12"/>
            </w:pPr>
          </w:p>
        </w:tc>
        <w:tc>
          <w:tcPr>
            <w:tcW w:w="2551" w:type="dxa"/>
            <w:vAlign w:val="center"/>
          </w:tcPr>
          <w:p>
            <w:pPr>
              <w:pStyle w:val="12"/>
            </w:pPr>
            <w:r>
              <w:t>129.49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6.26</w:t>
            </w:r>
          </w:p>
        </w:tc>
        <w:tc>
          <w:tcPr>
            <w:tcW w:w="2551" w:type="dxa"/>
            <w:vAlign w:val="center"/>
          </w:tcPr>
          <w:p>
            <w:pPr>
              <w:pStyle w:val="12"/>
            </w:pPr>
          </w:p>
        </w:tc>
        <w:tc>
          <w:tcPr>
            <w:tcW w:w="2551" w:type="dxa"/>
            <w:vAlign w:val="center"/>
          </w:tcPr>
          <w:p>
            <w:pPr>
              <w:pStyle w:val="12"/>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12.78</w:t>
            </w:r>
          </w:p>
        </w:tc>
        <w:tc>
          <w:tcPr>
            <w:tcW w:w="2551" w:type="dxa"/>
            <w:vAlign w:val="center"/>
          </w:tcPr>
          <w:p>
            <w:pPr>
              <w:pStyle w:val="12"/>
            </w:pPr>
          </w:p>
        </w:tc>
        <w:tc>
          <w:tcPr>
            <w:tcW w:w="2551" w:type="dxa"/>
            <w:vAlign w:val="center"/>
          </w:tcPr>
          <w:p>
            <w:pPr>
              <w:pStyle w:val="12"/>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291.95</w:t>
            </w:r>
          </w:p>
        </w:tc>
        <w:tc>
          <w:tcPr>
            <w:tcW w:w="2551" w:type="dxa"/>
            <w:vAlign w:val="center"/>
          </w:tcPr>
          <w:p>
            <w:pPr>
              <w:pStyle w:val="12"/>
            </w:pPr>
            <w:r>
              <w:t>291.95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284.56</w:t>
            </w:r>
          </w:p>
        </w:tc>
        <w:tc>
          <w:tcPr>
            <w:tcW w:w="2551" w:type="dxa"/>
            <w:vAlign w:val="center"/>
          </w:tcPr>
          <w:p>
            <w:pPr>
              <w:pStyle w:val="12"/>
            </w:pPr>
            <w:r>
              <w:t>284.56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7.39</w:t>
            </w:r>
          </w:p>
        </w:tc>
        <w:tc>
          <w:tcPr>
            <w:tcW w:w="2551" w:type="dxa"/>
            <w:vAlign w:val="center"/>
          </w:tcPr>
          <w:p>
            <w:pPr>
              <w:pStyle w:val="12"/>
            </w:pPr>
            <w:r>
              <w:t>7.39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1.39</w:t>
            </w:r>
          </w:p>
        </w:tc>
        <w:tc>
          <w:tcPr>
            <w:tcW w:w="2551" w:type="dxa"/>
            <w:vAlign w:val="center"/>
          </w:tcPr>
          <w:p>
            <w:pPr>
              <w:pStyle w:val="12"/>
            </w:pPr>
          </w:p>
        </w:tc>
        <w:tc>
          <w:tcPr>
            <w:tcW w:w="2551" w:type="dxa"/>
            <w:vAlign w:val="center"/>
          </w:tcPr>
          <w:p>
            <w:pPr>
              <w:pStyle w:val="12"/>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1.39</w:t>
            </w:r>
          </w:p>
        </w:tc>
        <w:tc>
          <w:tcPr>
            <w:tcW w:w="2551" w:type="dxa"/>
            <w:vAlign w:val="center"/>
          </w:tcPr>
          <w:p>
            <w:pPr>
              <w:pStyle w:val="12"/>
            </w:pPr>
          </w:p>
        </w:tc>
        <w:tc>
          <w:tcPr>
            <w:tcW w:w="2551" w:type="dxa"/>
            <w:vAlign w:val="center"/>
          </w:tcPr>
          <w:p>
            <w:pPr>
              <w:pStyle w:val="12"/>
            </w:pPr>
            <w:r>
              <w:t>1.39</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471.77</w:t>
            </w:r>
          </w:p>
        </w:tc>
        <w:tc>
          <w:tcPr>
            <w:tcW w:w="2551" w:type="dxa"/>
            <w:vAlign w:val="center"/>
          </w:tcPr>
          <w:p>
            <w:pPr>
              <w:pStyle w:val="16"/>
            </w:pPr>
          </w:p>
        </w:tc>
        <w:tc>
          <w:tcPr>
            <w:tcW w:w="2551" w:type="dxa"/>
            <w:vAlign w:val="center"/>
          </w:tcPr>
          <w:p>
            <w:pPr>
              <w:pStyle w:val="16"/>
            </w:pPr>
            <w:r>
              <w:t>471.77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38.87</w:t>
            </w:r>
          </w:p>
        </w:tc>
        <w:tc>
          <w:tcPr>
            <w:tcW w:w="2551" w:type="dxa"/>
            <w:vAlign w:val="center"/>
          </w:tcPr>
          <w:p>
            <w:pPr>
              <w:pStyle w:val="12"/>
            </w:pPr>
          </w:p>
        </w:tc>
        <w:tc>
          <w:tcPr>
            <w:tcW w:w="2551" w:type="dxa"/>
            <w:vAlign w:val="center"/>
          </w:tcPr>
          <w:p>
            <w:pPr>
              <w:pStyle w:val="12"/>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20709</w:t>
            </w:r>
          </w:p>
        </w:tc>
        <w:tc>
          <w:tcPr>
            <w:tcW w:w="4535" w:type="dxa"/>
            <w:vAlign w:val="center"/>
          </w:tcPr>
          <w:p>
            <w:pPr>
              <w:pStyle w:val="13"/>
            </w:pPr>
            <w:r>
              <w:t>旅游发展基金支出</w:t>
            </w:r>
          </w:p>
        </w:tc>
        <w:tc>
          <w:tcPr>
            <w:tcW w:w="2551" w:type="dxa"/>
            <w:vAlign w:val="center"/>
          </w:tcPr>
          <w:p>
            <w:pPr>
              <w:pStyle w:val="12"/>
            </w:pPr>
            <w:r>
              <w:t>38.87</w:t>
            </w:r>
          </w:p>
        </w:tc>
        <w:tc>
          <w:tcPr>
            <w:tcW w:w="2551" w:type="dxa"/>
            <w:vAlign w:val="center"/>
          </w:tcPr>
          <w:p>
            <w:pPr>
              <w:pStyle w:val="12"/>
            </w:pPr>
          </w:p>
        </w:tc>
        <w:tc>
          <w:tcPr>
            <w:tcW w:w="2551" w:type="dxa"/>
            <w:vAlign w:val="center"/>
          </w:tcPr>
          <w:p>
            <w:pPr>
              <w:pStyle w:val="12"/>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2070904</w:t>
            </w:r>
          </w:p>
        </w:tc>
        <w:tc>
          <w:tcPr>
            <w:tcW w:w="4535" w:type="dxa"/>
            <w:vAlign w:val="center"/>
          </w:tcPr>
          <w:p>
            <w:pPr>
              <w:pStyle w:val="13"/>
            </w:pPr>
            <w:r>
              <w:t>地方旅游开发项目补助</w:t>
            </w:r>
          </w:p>
        </w:tc>
        <w:tc>
          <w:tcPr>
            <w:tcW w:w="2551" w:type="dxa"/>
            <w:vAlign w:val="center"/>
          </w:tcPr>
          <w:p>
            <w:pPr>
              <w:pStyle w:val="12"/>
            </w:pPr>
            <w:r>
              <w:t>27.65</w:t>
            </w:r>
          </w:p>
        </w:tc>
        <w:tc>
          <w:tcPr>
            <w:tcW w:w="2551" w:type="dxa"/>
            <w:vAlign w:val="center"/>
          </w:tcPr>
          <w:p>
            <w:pPr>
              <w:pStyle w:val="12"/>
            </w:pPr>
          </w:p>
        </w:tc>
        <w:tc>
          <w:tcPr>
            <w:tcW w:w="2551"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2070999</w:t>
            </w:r>
          </w:p>
        </w:tc>
        <w:tc>
          <w:tcPr>
            <w:tcW w:w="4535" w:type="dxa"/>
            <w:vAlign w:val="center"/>
          </w:tcPr>
          <w:p>
            <w:pPr>
              <w:pStyle w:val="13"/>
            </w:pPr>
            <w:r>
              <w:t>其他旅游发展基金支出</w:t>
            </w:r>
          </w:p>
        </w:tc>
        <w:tc>
          <w:tcPr>
            <w:tcW w:w="2551" w:type="dxa"/>
            <w:vAlign w:val="center"/>
          </w:tcPr>
          <w:p>
            <w:pPr>
              <w:pStyle w:val="12"/>
            </w:pPr>
            <w:r>
              <w:t>11.22</w:t>
            </w:r>
          </w:p>
        </w:tc>
        <w:tc>
          <w:tcPr>
            <w:tcW w:w="2551" w:type="dxa"/>
            <w:vAlign w:val="center"/>
          </w:tcPr>
          <w:p>
            <w:pPr>
              <w:pStyle w:val="12"/>
            </w:pPr>
          </w:p>
        </w:tc>
        <w:tc>
          <w:tcPr>
            <w:tcW w:w="2551" w:type="dxa"/>
            <w:vAlign w:val="center"/>
          </w:tcPr>
          <w:p>
            <w:pPr>
              <w:pStyle w:val="12"/>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5.40</w:t>
            </w:r>
          </w:p>
        </w:tc>
        <w:tc>
          <w:tcPr>
            <w:tcW w:w="2381" w:type="dxa"/>
            <w:vAlign w:val="center"/>
          </w:tcPr>
          <w:p>
            <w:pPr>
              <w:pStyle w:val="16"/>
            </w:pPr>
            <w:r>
              <w:t>5.40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石家庄市鹿泉区文化广电体育和旅游局2026年部门预算信息公开情况说明</w:t>
      </w:r>
    </w:p>
    <w:p>
      <w:pPr>
        <w:jc w:val="center"/>
      </w:pPr>
      <w:r>
        <w:rPr>
          <w:rFonts w:ascii="方正小标宋_GBK" w:hAnsi="方正小标宋_GBK" w:eastAsia="方正小标宋_GBK" w:cs="方正小标宋_GBK"/>
          <w:color w:val="000000"/>
          <w:sz w:val="44"/>
        </w:rPr>
        <w:t>石家庄市鹿泉区文化广电体育和旅游局2026年部门预算信息公开情况说明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按照《中华人民共和国预算法》、《地方预决算公开操作规程》和《关于进一步推进预算公开工作的实施意见》规定，现将石家庄市鹿泉区文化广电体育和旅游局2026年部门预算公开如下：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1．主要职能。</w:t>
      </w:r>
    </w:p>
    <w:p>
      <w:pPr>
        <w:pStyle w:val="18"/>
      </w:pPr>
      <w:r>
        <w:t>(一)贯彻执行中央党和国家文化、广播电视、网络视听节目服务管理、体育和旅游工作方针政策和法律法规。研究拟订全区文化、广播电视、体育和旅游政策措施。</w:t>
      </w:r>
    </w:p>
    <w:p>
      <w:pPr>
        <w:pStyle w:val="18"/>
      </w:pPr>
      <w:r>
        <w:t>（二）拟订全区文化事业、文化产业、广播电视领域、体育业和旅游业发展规划并组织实施，推进文化、广播电视、体育和旅游融合发展，推进文化、广播电视、体育和旅游体制机制改革。</w:t>
      </w:r>
    </w:p>
    <w:p>
      <w:pPr>
        <w:pStyle w:val="18"/>
      </w:pPr>
      <w:r>
        <w:t>（三）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pStyle w:val="18"/>
      </w:pPr>
      <w:r>
        <w:t>（四）指导、管理全区文艺事业。指导艺术创作生产，推动全区各门类艺术、各艺术品种发展。指导全区电视剧行业发展和电视剧创作生产。</w:t>
      </w:r>
    </w:p>
    <w:p>
      <w:pPr>
        <w:pStyle w:val="18"/>
      </w:pPr>
      <w:r>
        <w:t>（五）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pStyle w:val="18"/>
      </w:pPr>
      <w:r>
        <w:t>（六）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pStyle w:val="18"/>
      </w:pPr>
      <w:r>
        <w:t>（七）负责对全区各类广播电视机构进行业务指导和监管，会同有关部门对全区网络视听节目服务机构进行管理，推进广播电视与新媒体新技术新业态融合发展，推进广电网与电信网、互联网三网融合。</w:t>
      </w:r>
    </w:p>
    <w:p>
      <w:pPr>
        <w:pStyle w:val="18"/>
      </w:pPr>
      <w:r>
        <w:t>（八）负责全区非物质文化遗产保护，推动非物质文化遗产的保护、传承、普及、弘扬和振兴。</w:t>
      </w:r>
    </w:p>
    <w:p>
      <w:pPr>
        <w:pStyle w:val="18"/>
      </w:pPr>
      <w:r>
        <w:t>（九）统筹规划全区文化产业、广播电视产业、体育产业和旅游产业。组织实施文化和旅游资源普查、挖掘、保护和开发利用工作，促进文化产业、广播电视产业、体育产业和旅游产业发展。</w:t>
      </w:r>
    </w:p>
    <w:p>
      <w:pPr>
        <w:pStyle w:val="18"/>
      </w:pPr>
      <w:r>
        <w:t>（十）指导全区文化、广播电视、体育和旅游市场发展。对文化、广播电视、体育和旅游市场进行行业监管，推进全区文化、广播电视和旅游行业信用体系建设，依法规范文化、广播电视、体育和旅游市场。</w:t>
      </w:r>
    </w:p>
    <w:p>
      <w:pPr>
        <w:pStyle w:val="18"/>
      </w:pPr>
      <w:r>
        <w:t>（十一）负责文化、文物、新闻出版局（版权）、广播电视、电影、体育、旅游等市场综合执法；负责督查督办全区性、跨区域性大案要案，维护市场秩序。</w:t>
      </w:r>
    </w:p>
    <w:p>
      <w:pPr>
        <w:pStyle w:val="18"/>
      </w:pPr>
      <w:r>
        <w:t>（十二）负责文化遗产的管理和保护，指导和管理文物、博物馆事业，组织指导文物的保护抢救、考古发掘和开发利用工作。</w:t>
      </w:r>
    </w:p>
    <w:p>
      <w:pPr>
        <w:pStyle w:val="18"/>
      </w:pPr>
      <w:r>
        <w:t>（十三）承担全区文化、广播电视、体育和旅游行业安全综合协调和监督管理工作，负责全区文化、广播电视、体育和旅游行业突发应急事件的处理工作。</w:t>
      </w:r>
    </w:p>
    <w:p>
      <w:pPr>
        <w:pStyle w:val="18"/>
      </w:pPr>
      <w:r>
        <w:t>（十四）指导、管理全区文化、广播电视和旅游对外及对港澳台交流、合作和宣传、推广工作，组织大型文化、广播电视和旅游对外及对港澳台交流活动。根据授权开展对外体育合作与交流。</w:t>
      </w:r>
    </w:p>
    <w:p>
      <w:pPr>
        <w:pStyle w:val="18"/>
      </w:pPr>
      <w:r>
        <w:t>（十五）负责统筹规划全区群众体育发展，推行全民健身计划，开展群众性体育活动，实施国家体育锻炼标准，开展国民体质监测，负责公共体育设施建设及监督管理工作。</w:t>
      </w:r>
    </w:p>
    <w:p>
      <w:pPr>
        <w:pStyle w:val="18"/>
      </w:pPr>
      <w: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8"/>
      </w:pPr>
      <w:r>
        <w:t>（十七）指导体育社团工作。</w:t>
      </w:r>
    </w:p>
    <w:p>
      <w:pPr>
        <w:pStyle w:val="18"/>
      </w:pPr>
      <w:r>
        <w:t>（十八）完成区委、区政府交办的其他任务。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石家庄市鹿泉区文物保护管理所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石家庄市鹿泉区体育场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按照预算管理有关规定，目前部门预算的编制实行综合预算管理，即全部收入和支出都反映在预算中。石家庄市鹿泉区文化广电体育和旅游局机关及所属事业单位的收支包含在部门预算中。</w:t>
      </w:r>
    </w:p>
    <w:p>
      <w:pPr>
        <w:pStyle w:val="19"/>
      </w:pPr>
      <w:r>
        <w:t>1、收入说明</w:t>
      </w:r>
    </w:p>
    <w:p>
      <w:pPr>
        <w:pStyle w:val="19"/>
      </w:pPr>
      <w:r>
        <w:t>反映本部门当年全部收入。2026年预算收入5746.22万元，其中：一般公共预算收入5076.52万元，基金预算收入340.48万元，国有资本经营预算收入0.00万元，财政专户核拨收入0.00万元，单位资金收入0.00万元，上年结转结余329.22万元。</w:t>
      </w:r>
    </w:p>
    <w:p>
      <w:pPr>
        <w:pStyle w:val="19"/>
      </w:pPr>
      <w:r>
        <w:t>2、支出说明</w:t>
      </w:r>
    </w:p>
    <w:p>
      <w:pPr>
        <w:pStyle w:val="19"/>
      </w:pPr>
      <w:r>
        <w:t>收支预算总表支出栏、基本支出表、项目支出表按经济分类和支出功能分类科目编制，反映石家庄市鹿泉区文化广电体育和旅游局年度部门预算中支出预算的总体情况。2026年支出预算5746.22万元，其中基本支出1643.91万元，包括人员经费1404.97万元和日常公用经费238.94万元；项目支出4102.31万元，主要为宣传文化中心运转费、解决丝弦剧团遗留问题经费、西部长青东环旅游路、石井乡环山路建设项目等。预计下年使用的单位资金结余0.00万元。委托业务费共计安排317.22万元，主要用于因技术原因确需对外委托的辅助性工作和确有必要对外委托开展咨询、评审、规划等工作。</w:t>
      </w:r>
    </w:p>
    <w:p>
      <w:pPr>
        <w:pStyle w:val="19"/>
      </w:pPr>
      <w:r>
        <w:t>3、比上年增减情况</w:t>
      </w:r>
    </w:p>
    <w:p>
      <w:pPr>
        <w:pStyle w:val="19"/>
      </w:pPr>
      <w:r>
        <w:t>2026年预算收支安排5746.22万元，较2025年预算减少1059.12万元，其中：基本支出增加4.46万元，主要为上年度人员岗位晋升，增加人员经费；残疾人保障金缴费，增加公用经费。项目支出减少1063.58万元，主要为2026年减少全民健身中心暨高等级人防工程、西部长青东环旅游路、石井乡环山路建设项目资金。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2026年，我部门机关运行经费共计安排238.94万元，主要用于日常维修、办公用房水电费、办公用房取暖费、办公用房物业管理费等日常运行支出。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5.40万元，其中因公出国（境）费0.00万元；公务用车购置及运维费5.40万元（其中：公务用车购置费为0.00万元，公务用车运维费5.40万元)；公务接待费0.00万元。与2025年相比增加2.70万元，增减变化的主要原因是增加公务用车1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2"/>
      </w:pPr>
      <w:r>
        <w:t>贯彻执行党和国家文化、广播电视、网络视听节目服务管理、体育和旅游工作方针政策和</w:t>
      </w:r>
      <w:r>
        <w:rPr>
          <w:rFonts w:hint="eastAsia"/>
          <w:lang w:eastAsia="zh-CN"/>
        </w:rPr>
        <w:t>法</w:t>
      </w:r>
      <w:r>
        <w:t>律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3"/>
      </w:pPr>
      <w:r>
        <w:rPr>
          <w:rFonts w:hint="eastAsia"/>
          <w:lang w:val="en-US" w:eastAsia="zh-CN"/>
        </w:rPr>
        <w:t>（一）</w:t>
      </w:r>
      <w:r>
        <w:t>全面加强党建工作，不断强化政治引领</w:t>
      </w:r>
    </w:p>
    <w:p>
      <w:pPr>
        <w:pStyle w:val="23"/>
      </w:pPr>
      <w:r>
        <w:t>绩效目标：加强学习教育，以党的二十大精神为主要学习内容，采取多种形式，强化政治理论学习，把政治思想工作放在首要位置来抓。</w:t>
      </w:r>
    </w:p>
    <w:p>
      <w:pPr>
        <w:pStyle w:val="23"/>
      </w:pPr>
      <w:r>
        <w:t>绩效指标：大力培育和宣传具有广泛群众基础、富有时代特色的好党员、好干部的典型事迹，不断提升广大党员的党性修养。加强基层党组织班子建设，充分发挥基层党组织的战斗堡垒作用，使基层党组织焕发出生机和活力。</w:t>
      </w:r>
    </w:p>
    <w:p>
      <w:pPr>
        <w:pStyle w:val="23"/>
      </w:pPr>
      <w:r>
        <w:rPr>
          <w:rFonts w:hint="eastAsia"/>
          <w:lang w:val="en-US" w:eastAsia="zh-CN"/>
        </w:rPr>
        <w:t>（二）</w:t>
      </w:r>
      <w:r>
        <w:t>全力完成各项重点任务</w:t>
      </w:r>
    </w:p>
    <w:p>
      <w:pPr>
        <w:pStyle w:val="23"/>
      </w:pPr>
      <w:r>
        <w:rPr>
          <w:rFonts w:hint="eastAsia"/>
          <w:lang w:val="en-US" w:eastAsia="zh-CN"/>
        </w:rPr>
        <w:t>1.</w:t>
      </w:r>
      <w:r>
        <w:t>着力开展文化惠民</w:t>
      </w:r>
    </w:p>
    <w:p>
      <w:pPr>
        <w:pStyle w:val="23"/>
      </w:pPr>
      <w:r>
        <w:t>绩效目标：培育本土文化品牌</w:t>
      </w:r>
      <w:r>
        <w:rPr>
          <w:rFonts w:hint="eastAsia"/>
          <w:lang w:eastAsia="zh-CN"/>
        </w:rPr>
        <w:t>；</w:t>
      </w:r>
      <w:r>
        <w:t>推动文旅深度融合</w:t>
      </w:r>
      <w:r>
        <w:rPr>
          <w:rFonts w:hint="eastAsia"/>
          <w:lang w:eastAsia="zh-CN"/>
        </w:rPr>
        <w:t>；</w:t>
      </w:r>
      <w:r>
        <w:t>推进设施提质达标</w:t>
      </w:r>
      <w:r>
        <w:rPr>
          <w:rFonts w:hint="eastAsia"/>
          <w:lang w:eastAsia="zh-CN"/>
        </w:rPr>
        <w:t>；</w:t>
      </w:r>
      <w:r>
        <w:t>持续深化文物保护工作。</w:t>
      </w:r>
    </w:p>
    <w:p>
      <w:pPr>
        <w:pStyle w:val="23"/>
      </w:pPr>
      <w:r>
        <w:t>绩效指标：</w:t>
      </w:r>
    </w:p>
    <w:p>
      <w:pPr>
        <w:pStyle w:val="23"/>
      </w:pPr>
      <w:r>
        <w:rPr>
          <w:rFonts w:hint="eastAsia"/>
          <w:lang w:val="en-US" w:eastAsia="zh-CN"/>
        </w:rPr>
        <w:t>①</w:t>
      </w:r>
      <w:r>
        <w:t>继续打造“四季村晚”“彩色周末”，结合传统节日开展非遗展演、民俗体验等特色活动；培育1-2支本土优秀文艺团队，通过“名家辅导+集中排练+舞台实践”模式提升专业水平。</w:t>
      </w:r>
    </w:p>
    <w:p>
      <w:pPr>
        <w:pStyle w:val="23"/>
      </w:pPr>
      <w:r>
        <w:rPr>
          <w:rFonts w:hint="eastAsia"/>
          <w:lang w:val="en-US" w:eastAsia="zh-CN"/>
        </w:rPr>
        <w:t>②</w:t>
      </w:r>
      <w:r>
        <w:t>在重点景区搭建“流动舞台”，举办“文化+旅游”“文化+节庆”活动，带动文旅消费持续增长。</w:t>
      </w:r>
    </w:p>
    <w:p>
      <w:pPr>
        <w:pStyle w:val="23"/>
      </w:pPr>
      <w:r>
        <w:rPr>
          <w:rFonts w:hint="eastAsia"/>
          <w:lang w:val="en-US" w:eastAsia="zh-CN"/>
        </w:rPr>
        <w:t>③</w:t>
      </w:r>
      <w:r>
        <w:t>聚焦“智慧图书馆建设”，推动AI图书馆智能机器的馆内部署，实现图书快速检索、智能对话等功能，持续完善引入的虚拟馆员“鹿小图”形象，优化电子图书资源，助力“书香鹿泉”建设。</w:t>
      </w:r>
    </w:p>
    <w:p>
      <w:pPr>
        <w:pStyle w:val="23"/>
      </w:pPr>
      <w:r>
        <w:rPr>
          <w:rFonts w:hint="eastAsia"/>
          <w:lang w:val="en-US" w:eastAsia="zh-CN"/>
        </w:rPr>
        <w:t>④</w:t>
      </w:r>
      <w:r>
        <w:t>常态化文物安全巡查，推进文物修缮，提升文物保存状况；严格按要求完成四普收尾工作，建立健全文物资源数据库；同时做好北故邑窦王城遗址考古发掘工作。</w:t>
      </w:r>
    </w:p>
    <w:p>
      <w:pPr>
        <w:pStyle w:val="23"/>
      </w:pPr>
      <w:r>
        <w:rPr>
          <w:rFonts w:hint="eastAsia"/>
          <w:lang w:val="en-US" w:eastAsia="zh-CN"/>
        </w:rPr>
        <w:t>2.</w:t>
      </w:r>
      <w:r>
        <w:t>促进群众体育全面发展</w:t>
      </w:r>
    </w:p>
    <w:p>
      <w:pPr>
        <w:pStyle w:val="23"/>
      </w:pPr>
      <w:r>
        <w:t>绩效目标：精心组织赛事，发挥品牌赛事拉动作用</w:t>
      </w:r>
      <w:r>
        <w:rPr>
          <w:rFonts w:hint="eastAsia"/>
          <w:lang w:eastAsia="zh-CN"/>
        </w:rPr>
        <w:t>；</w:t>
      </w:r>
      <w:r>
        <w:t>积极开展体育惠民工程。</w:t>
      </w:r>
    </w:p>
    <w:p>
      <w:pPr>
        <w:pStyle w:val="23"/>
      </w:pPr>
      <w:r>
        <w:t>绩效指标：</w:t>
      </w:r>
    </w:p>
    <w:p>
      <w:pPr>
        <w:pStyle w:val="23"/>
      </w:pPr>
      <w:r>
        <w:rPr>
          <w:rFonts w:hint="eastAsia"/>
          <w:lang w:val="en-US" w:eastAsia="zh-CN"/>
        </w:rPr>
        <w:t>①</w:t>
      </w:r>
      <w:r>
        <w:t>组织开展多样化高水平体育赛事活动，积极推进户外休闲运动，谋划举办2026石家庄•鹿泉第四届公路自行车赛、河北鹿泉第四届乒乓球邀请赛、篮球联赛、抱犊寨登山大赛、鹿泉武林大会等大型体育赛事，鼓励和引导体育产品商家参与其中，以赛事推广体育消费文化，进一步拉动大众体育消费。</w:t>
      </w:r>
    </w:p>
    <w:p>
      <w:pPr>
        <w:pStyle w:val="23"/>
      </w:pPr>
      <w:r>
        <w:rPr>
          <w:rFonts w:hint="eastAsia"/>
          <w:lang w:val="en-US" w:eastAsia="zh-CN"/>
        </w:rPr>
        <w:t>②</w:t>
      </w:r>
      <w:r>
        <w:t>结合市体育局体育惠民工程和区委区政府重点工作任务要求，积极开展体育惠民工作，建设更新全民健身场地、提升街边球场和体育主题公园或体育公园等。</w:t>
      </w:r>
    </w:p>
    <w:p>
      <w:pPr>
        <w:pStyle w:val="23"/>
      </w:pPr>
      <w:r>
        <w:rPr>
          <w:rFonts w:hint="eastAsia"/>
          <w:lang w:val="en-US" w:eastAsia="zh-CN"/>
        </w:rPr>
        <w:t>3.</w:t>
      </w:r>
      <w:r>
        <w:t>加快旅游产业提升发展</w:t>
      </w:r>
    </w:p>
    <w:p>
      <w:pPr>
        <w:pStyle w:val="23"/>
      </w:pPr>
      <w:r>
        <w:t>绩效目标：深化推进文旅产业提升，倾力打造“慢生活•休闲游”特色文化旅游品牌</w:t>
      </w:r>
      <w:r>
        <w:rPr>
          <w:rFonts w:hint="eastAsia"/>
          <w:lang w:eastAsia="zh-CN"/>
        </w:rPr>
        <w:t>；</w:t>
      </w:r>
      <w:r>
        <w:t>优化提升旅游产品核心吸引力</w:t>
      </w:r>
      <w:r>
        <w:rPr>
          <w:rFonts w:hint="eastAsia"/>
          <w:lang w:eastAsia="zh-CN"/>
        </w:rPr>
        <w:t>，</w:t>
      </w:r>
      <w:r>
        <w:t>持续提升旅游服务配套设施。</w:t>
      </w:r>
    </w:p>
    <w:p>
      <w:pPr>
        <w:pStyle w:val="23"/>
      </w:pPr>
      <w:r>
        <w:t>绩效指标：</w:t>
      </w:r>
    </w:p>
    <w:p>
      <w:pPr>
        <w:pStyle w:val="23"/>
      </w:pPr>
      <w:r>
        <w:rPr>
          <w:rFonts w:hint="eastAsia"/>
          <w:lang w:val="en-US" w:eastAsia="zh-CN"/>
        </w:rPr>
        <w:t>①</w:t>
      </w:r>
      <w:r>
        <w:t>围绕“一河、三山、三园、三古镇”（“一河”即滹沱河沿线，“三山”即抱犊寨、封龙山、西山，“三园”即龙泉湖湿地公园我、动物园、植物园。“三古镇”即龙泉古镇、土门关驿道小镇、德明古镇），推动动优势要素资源和旅游发展跨界深度融合，以产业化、智慧化等方式，积极培育发展文旅新质生产力，形成“一带六区”战略发展布局，全力打造“慢生活•休闲游”特色文化旅游品牌。强化服务品质提升，整合景区、酒店、餐饮等要素资源，不断谋划推出旅游精品线路，依托高品质产品、精细化服务，实现“引流入鹿、口碑留客”，不断拓展全区旅游客源市场，进一步推动文旅高质量融合发展。</w:t>
      </w:r>
    </w:p>
    <w:p>
      <w:pPr>
        <w:pStyle w:val="23"/>
      </w:pPr>
      <w:r>
        <w:rPr>
          <w:rFonts w:hint="eastAsia"/>
          <w:lang w:val="en-US" w:eastAsia="zh-CN"/>
        </w:rPr>
        <w:t>②</w:t>
      </w:r>
      <w:r>
        <w:t>抓好“文旅+”多业态融合发展</w:t>
      </w:r>
      <w:r>
        <w:rPr>
          <w:rFonts w:hint="eastAsia"/>
          <w:lang w:eastAsia="zh-CN"/>
        </w:rPr>
        <w:t>，</w:t>
      </w:r>
      <w:r>
        <w:t>进一步提高品牌赛事知名度，强化“体育+”融合效益，以品牌赛事的成功举办带动区域消费和城市知名度</w:t>
      </w:r>
      <w:r>
        <w:rPr>
          <w:rFonts w:hint="eastAsia"/>
          <w:lang w:eastAsia="zh-CN"/>
        </w:rPr>
        <w:t>，</w:t>
      </w:r>
      <w:r>
        <w:t>吸引全国及海外选手参赛、旅游，进一步拉动我区餐饮、住宿、旅游等行业消费水平。</w:t>
      </w:r>
    </w:p>
    <w:p>
      <w:pPr>
        <w:pStyle w:val="23"/>
      </w:pPr>
      <w:r>
        <w:rPr>
          <w:rFonts w:hint="eastAsia"/>
          <w:lang w:val="en-US" w:eastAsia="zh-CN"/>
        </w:rPr>
        <w:t>4.</w:t>
      </w:r>
      <w:r>
        <w:t>优化文体旅游市场环境</w:t>
      </w:r>
    </w:p>
    <w:p>
      <w:pPr>
        <w:pStyle w:val="23"/>
      </w:pPr>
      <w:r>
        <w:t>绩效目标：健全安全生产管理规范体系</w:t>
      </w:r>
      <w:r>
        <w:rPr>
          <w:rFonts w:hint="eastAsia"/>
          <w:lang w:eastAsia="zh-CN"/>
        </w:rPr>
        <w:t>，</w:t>
      </w:r>
      <w:r>
        <w:t>规范文化旅游市场秩序</w:t>
      </w:r>
      <w:r>
        <w:rPr>
          <w:rFonts w:hint="eastAsia"/>
          <w:lang w:eastAsia="zh-CN"/>
        </w:rPr>
        <w:t>；</w:t>
      </w:r>
      <w:r>
        <w:t>开展文化市场秩序整治专项行动</w:t>
      </w:r>
      <w:r>
        <w:rPr>
          <w:rFonts w:hint="eastAsia"/>
          <w:lang w:eastAsia="zh-CN"/>
        </w:rPr>
        <w:t>；</w:t>
      </w:r>
      <w:r>
        <w:t>建立“扫黄打非”长效机制</w:t>
      </w:r>
      <w:r>
        <w:rPr>
          <w:rFonts w:hint="eastAsia"/>
          <w:lang w:eastAsia="zh-CN"/>
        </w:rPr>
        <w:t>，</w:t>
      </w:r>
      <w:r>
        <w:t>结合清源、护苗等行动，严查非法及盗版出版物并加强宣传教育。</w:t>
      </w:r>
    </w:p>
    <w:p>
      <w:pPr>
        <w:pStyle w:val="23"/>
      </w:pPr>
      <w:r>
        <w:t>绩效指标：</w:t>
      </w:r>
    </w:p>
    <w:p>
      <w:pPr>
        <w:pStyle w:val="23"/>
      </w:pPr>
      <w:r>
        <w:rPr>
          <w:rFonts w:hint="eastAsia"/>
          <w:lang w:val="en-US" w:eastAsia="zh-CN"/>
        </w:rPr>
        <w:t>①</w:t>
      </w:r>
      <w:r>
        <w:t>建立常态化督导机制，节假日联合执法检查，排查整治重大事故隐患</w:t>
      </w:r>
      <w:r>
        <w:rPr>
          <w:rFonts w:hint="eastAsia"/>
          <w:lang w:eastAsia="zh-CN"/>
        </w:rPr>
        <w:t>。</w:t>
      </w:r>
      <w:r>
        <w:t>防汛期间完善旅游系统防汛应急预案，制定下发汛期旅游安全工作方案，开展防汛演练，筑牢安全防线。持续开展扫黑除恶</w:t>
      </w:r>
      <w:bookmarkStart w:id="20" w:name="_GoBack"/>
      <w:bookmarkEnd w:id="20"/>
      <w:r>
        <w:t>常态化宣传</w:t>
      </w:r>
      <w:r>
        <w:rPr>
          <w:rFonts w:hint="eastAsia"/>
          <w:lang w:eastAsia="zh-CN"/>
        </w:rPr>
        <w:t>，</w:t>
      </w:r>
      <w:r>
        <w:rPr>
          <w:rFonts w:hint="eastAsia"/>
          <w:lang w:val="en-US" w:eastAsia="zh-CN"/>
        </w:rPr>
        <w:t>整治</w:t>
      </w:r>
      <w:r>
        <w:t>导游乱象、强制消费等问题，成立工作专班，制定方案，联合督导，受理旅游投诉电话，保障文旅市场平稳有序。</w:t>
      </w:r>
    </w:p>
    <w:p>
      <w:pPr>
        <w:pStyle w:val="23"/>
      </w:pPr>
      <w:r>
        <w:rPr>
          <w:rFonts w:hint="eastAsia"/>
          <w:lang w:val="en-US" w:eastAsia="zh-CN"/>
        </w:rPr>
        <w:t>②</w:t>
      </w:r>
      <w:r>
        <w:t>开展文化市场秩序整治专项行动</w:t>
      </w:r>
      <w:r>
        <w:rPr>
          <w:rFonts w:hint="eastAsia"/>
          <w:lang w:eastAsia="zh-CN"/>
        </w:rPr>
        <w:t>，</w:t>
      </w:r>
      <w:r>
        <w:t>重点检查校园周边网吧、歌厅，严查违规接纳未成年人、未核对身份证件等行为；打击有害、淫秽暴力等违禁出版物，落实“扫码入企”要求，推进涉企检查规范化数字化。</w:t>
      </w:r>
    </w:p>
    <w:p>
      <w:pPr>
        <w:pStyle w:val="23"/>
      </w:pPr>
      <w:r>
        <w:rPr>
          <w:rFonts w:hint="eastAsia"/>
          <w:lang w:val="en-US" w:eastAsia="zh-CN"/>
        </w:rPr>
        <w:t>③</w:t>
      </w:r>
      <w:r>
        <w:t>结合清源、护苗等行动，排查城区及乡镇出版物市场，覆盖网络书店、乡镇文具店，严查非法及盗版出版物并加强宣传教育。联合检察院、公安开展预防未成年人犯罪专项检查，严守网吧接纳未成年人底线，全力维护文化市场规范有序与未成年人健康成长环境。</w:t>
      </w:r>
    </w:p>
    <w:p>
      <w:pPr>
        <w:pStyle w:val="23"/>
      </w:pPr>
      <w:r>
        <w:rPr>
          <w:rFonts w:hint="eastAsia"/>
          <w:lang w:val="en-US" w:eastAsia="zh-CN"/>
        </w:rPr>
        <w:t>3.</w:t>
      </w:r>
      <w:r>
        <w:t>持续提升干部队伍素质。</w:t>
      </w:r>
    </w:p>
    <w:p>
      <w:pPr>
        <w:pStyle w:val="23"/>
      </w:pPr>
      <w:r>
        <w:t>绩效目标：持续提升干部队伍素质。</w:t>
      </w:r>
    </w:p>
    <w:p>
      <w:pPr>
        <w:pStyle w:val="23"/>
      </w:pPr>
      <w:r>
        <w:t>绩效指标：立足新形势、新任务、新要求，在学习上下功夫、在执行上铆足劲、在效能上见真章，推动形成比学赶超、大抓落实、争先进位的浓厚氛围，引导督促文体旅游系统广大党员干部，促进思想观念明显转变、能力素质明显提升、工作作风明显改进、效率效能明显提高。</w:t>
      </w:r>
    </w:p>
    <w:p>
      <w:pPr>
        <w:spacing w:line="500" w:lineRule="exact"/>
        <w:ind w:firstLine="560"/>
      </w:pPr>
      <w:r>
        <w:rPr>
          <w:rFonts w:eastAsia="方正仿宋_GBK"/>
          <w:color w:val="000000"/>
          <w:sz w:val="28"/>
        </w:rPr>
        <w:t>（三）工作保障措施</w:t>
      </w:r>
    </w:p>
    <w:p>
      <w:pPr>
        <w:pStyle w:val="24"/>
      </w:pPr>
      <w:r>
        <w:rPr>
          <w:rFonts w:hint="eastAsia"/>
          <w:lang w:val="en-US" w:eastAsia="zh-CN"/>
        </w:rPr>
        <w:t>1.</w:t>
      </w:r>
      <w:r>
        <w:t>加强组织领导。建立健全鹿泉区文化广电体育和旅游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rPr>
          <w:rFonts w:hint="eastAsia"/>
          <w:lang w:val="en-US" w:eastAsia="zh-CN"/>
        </w:rPr>
        <w:t>2.</w:t>
      </w:r>
      <w:r>
        <w:t>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24"/>
      </w:pPr>
      <w:r>
        <w:rPr>
          <w:rFonts w:hint="eastAsia"/>
          <w:lang w:val="en-US" w:eastAsia="zh-CN"/>
        </w:rPr>
        <w:t>3.</w:t>
      </w:r>
      <w:r>
        <w:t>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24"/>
      </w:pPr>
      <w:r>
        <w:rPr>
          <w:rFonts w:hint="eastAsia"/>
          <w:lang w:val="en-US" w:eastAsia="zh-CN"/>
        </w:rPr>
        <w:t>4.</w:t>
      </w:r>
      <w:r>
        <w:t>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24"/>
        <w:sectPr>
          <w:pgSz w:w="16840" w:h="11900" w:orient="landscape"/>
          <w:pgMar w:top="1361" w:right="1020" w:bottom="1361" w:left="1020" w:header="720" w:footer="720" w:gutter="0"/>
          <w:cols w:space="720" w:num="1"/>
        </w:sectPr>
      </w:pPr>
      <w:r>
        <w:rPr>
          <w:rFonts w:hint="eastAsia"/>
          <w:lang w:val="en-US" w:eastAsia="zh-CN"/>
        </w:rPr>
        <w:t>5.</w:t>
      </w:r>
      <w:r>
        <w:t>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1、2026抱犊寨登山路保洁经费绩效目标表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13011026P00323910217Q</w:t>
            </w:r>
          </w:p>
        </w:tc>
        <w:tc>
          <w:tcPr>
            <w:tcW w:w="2835" w:type="dxa"/>
            <w:vAlign w:val="center"/>
          </w:tcPr>
          <w:p>
            <w:pPr>
              <w:pStyle w:val="11"/>
            </w:pPr>
            <w:r>
              <w:t>项目名称</w:t>
            </w:r>
          </w:p>
        </w:tc>
        <w:tc>
          <w:tcPr>
            <w:tcW w:w="6095" w:type="dxa"/>
            <w:gridSpan w:val="3"/>
            <w:vAlign w:val="center"/>
          </w:tcPr>
          <w:p>
            <w:pPr>
              <w:pStyle w:val="13"/>
            </w:pPr>
            <w:r>
              <w:t>2026抱犊寨登山路保洁经费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通过对4A级旅游企业-抱犊寨登山路保洁项目的补助，保障旅游企业正常运转，促进区旅游业的发展。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1.通过对4A级旅游企业-抱犊寨登山路保洁项目的补助，保障旅游企业正常运转，促进区旅游业的发展。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补助企业项目数量</w:t>
            </w:r>
          </w:p>
        </w:tc>
        <w:tc>
          <w:tcPr>
            <w:tcW w:w="5386" w:type="dxa"/>
            <w:vAlign w:val="center"/>
          </w:tcPr>
          <w:p>
            <w:pPr>
              <w:pStyle w:val="13"/>
            </w:pPr>
            <w:r>
              <w:t>补助企业项目数量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补助资金到位时间</w:t>
            </w:r>
          </w:p>
        </w:tc>
        <w:tc>
          <w:tcPr>
            <w:tcW w:w="5386" w:type="dxa"/>
            <w:vAlign w:val="center"/>
          </w:tcPr>
          <w:p>
            <w:pPr>
              <w:pStyle w:val="13"/>
            </w:pPr>
            <w:r>
              <w:t>补助资金到位时间</w:t>
            </w:r>
          </w:p>
        </w:tc>
        <w:tc>
          <w:tcPr>
            <w:tcW w:w="2268" w:type="dxa"/>
            <w:vAlign w:val="center"/>
          </w:tcPr>
          <w:p>
            <w:pPr>
              <w:pStyle w:val="13"/>
            </w:pPr>
            <w:r>
              <w:t>2026年底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抱犊寨流水景观补助标准</w:t>
            </w:r>
          </w:p>
        </w:tc>
        <w:tc>
          <w:tcPr>
            <w:tcW w:w="5386" w:type="dxa"/>
            <w:vAlign w:val="center"/>
          </w:tcPr>
          <w:p>
            <w:pPr>
              <w:pStyle w:val="13"/>
            </w:pPr>
            <w:r>
              <w:t>抱犊寨流水景观补助标准</w:t>
            </w:r>
          </w:p>
        </w:tc>
        <w:tc>
          <w:tcPr>
            <w:tcW w:w="2268" w:type="dxa"/>
            <w:vAlign w:val="center"/>
          </w:tcPr>
          <w:p>
            <w:pPr>
              <w:pStyle w:val="13"/>
            </w:pPr>
            <w:r>
              <w:t>≤66.69万元/年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帮助旅游企业纾困解难</w:t>
            </w:r>
          </w:p>
        </w:tc>
        <w:tc>
          <w:tcPr>
            <w:tcW w:w="5386" w:type="dxa"/>
            <w:vAlign w:val="center"/>
          </w:tcPr>
          <w:p>
            <w:pPr>
              <w:pStyle w:val="13"/>
            </w:pPr>
            <w:r>
              <w:t>帮助旅游企业纾困解难</w:t>
            </w:r>
          </w:p>
        </w:tc>
        <w:tc>
          <w:tcPr>
            <w:tcW w:w="2268" w:type="dxa"/>
            <w:vAlign w:val="center"/>
          </w:tcPr>
          <w:p>
            <w:pPr>
              <w:pStyle w:val="13"/>
            </w:pPr>
            <w:r>
              <w:t>有效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保障区旅游企业正常运转</w:t>
            </w:r>
          </w:p>
        </w:tc>
        <w:tc>
          <w:tcPr>
            <w:tcW w:w="5386" w:type="dxa"/>
            <w:vAlign w:val="center"/>
          </w:tcPr>
          <w:p>
            <w:pPr>
              <w:pStyle w:val="13"/>
            </w:pPr>
            <w:r>
              <w:t>保障区旅游企业正常运转</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提升区旅游品牌影响力</w:t>
            </w:r>
          </w:p>
        </w:tc>
        <w:tc>
          <w:tcPr>
            <w:tcW w:w="5386" w:type="dxa"/>
            <w:vAlign w:val="center"/>
          </w:tcPr>
          <w:p>
            <w:pPr>
              <w:pStyle w:val="13"/>
            </w:pPr>
            <w:r>
              <w:t>提升区旅游品牌影响力</w:t>
            </w:r>
          </w:p>
        </w:tc>
        <w:tc>
          <w:tcPr>
            <w:tcW w:w="2268" w:type="dxa"/>
            <w:vAlign w:val="center"/>
          </w:tcPr>
          <w:p>
            <w:pPr>
              <w:pStyle w:val="13"/>
            </w:pPr>
            <w:r>
              <w:t>持续提升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项目单位满意度</w:t>
            </w:r>
          </w:p>
        </w:tc>
        <w:tc>
          <w:tcPr>
            <w:tcW w:w="5386" w:type="dxa"/>
            <w:vAlign w:val="center"/>
          </w:tcPr>
          <w:p>
            <w:pPr>
              <w:pStyle w:val="13"/>
            </w:pPr>
            <w:r>
              <w:t>项目单位满意度</w:t>
            </w:r>
          </w:p>
        </w:tc>
        <w:tc>
          <w:tcPr>
            <w:tcW w:w="2268" w:type="dxa"/>
            <w:vAlign w:val="center"/>
          </w:tcPr>
          <w:p>
            <w:pPr>
              <w:pStyle w:val="13"/>
            </w:pPr>
            <w:r>
              <w:t>≥98%</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2、2026房产税、土地税、印花税绩效目标表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13011026P001638100224</w:t>
            </w:r>
          </w:p>
        </w:tc>
        <w:tc>
          <w:tcPr>
            <w:tcW w:w="2835" w:type="dxa"/>
            <w:vAlign w:val="center"/>
          </w:tcPr>
          <w:p>
            <w:pPr>
              <w:pStyle w:val="11"/>
            </w:pPr>
            <w:r>
              <w:t>项目名称</w:t>
            </w:r>
          </w:p>
        </w:tc>
        <w:tc>
          <w:tcPr>
            <w:tcW w:w="6095" w:type="dxa"/>
            <w:gridSpan w:val="3"/>
            <w:vAlign w:val="center"/>
          </w:tcPr>
          <w:p>
            <w:pPr>
              <w:pStyle w:val="13"/>
            </w:pPr>
            <w:r>
              <w:t>2026房产税、土地税、印花税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5.31</w:t>
            </w:r>
          </w:p>
        </w:tc>
        <w:tc>
          <w:tcPr>
            <w:tcW w:w="2835" w:type="dxa"/>
            <w:vAlign w:val="center"/>
          </w:tcPr>
          <w:p>
            <w:pPr>
              <w:pStyle w:val="11"/>
            </w:pPr>
            <w:r>
              <w:t>其中：财政    资金</w:t>
            </w:r>
          </w:p>
        </w:tc>
        <w:tc>
          <w:tcPr>
            <w:tcW w:w="2551" w:type="dxa"/>
            <w:vAlign w:val="center"/>
          </w:tcPr>
          <w:p>
            <w:pPr>
              <w:pStyle w:val="13"/>
            </w:pPr>
            <w:r>
              <w:t>5.31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按时缴纳房产税、城镇土地使用税5万元，及其他印花税0.31万元。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1.按时缴纳房产税、城镇土地使用税5万元，及其他印花税0.31万元。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按时缴纳税种数量</w:t>
            </w:r>
          </w:p>
        </w:tc>
        <w:tc>
          <w:tcPr>
            <w:tcW w:w="5386" w:type="dxa"/>
            <w:vAlign w:val="center"/>
          </w:tcPr>
          <w:p>
            <w:pPr>
              <w:pStyle w:val="13"/>
            </w:pPr>
            <w:r>
              <w:t>按时缴纳税种数量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税金缴纳准确率</w:t>
            </w:r>
          </w:p>
        </w:tc>
        <w:tc>
          <w:tcPr>
            <w:tcW w:w="5386" w:type="dxa"/>
            <w:vAlign w:val="center"/>
          </w:tcPr>
          <w:p>
            <w:pPr>
              <w:pStyle w:val="13"/>
            </w:pPr>
            <w:r>
              <w:t>税金缴纳准确率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缴纳税金及时率</w:t>
            </w:r>
          </w:p>
        </w:tc>
        <w:tc>
          <w:tcPr>
            <w:tcW w:w="5386" w:type="dxa"/>
            <w:vAlign w:val="center"/>
          </w:tcPr>
          <w:p>
            <w:pPr>
              <w:pStyle w:val="13"/>
            </w:pPr>
            <w:r>
              <w:t>缴纳税金及时率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缴纳税金标准</w:t>
            </w:r>
          </w:p>
        </w:tc>
        <w:tc>
          <w:tcPr>
            <w:tcW w:w="5386" w:type="dxa"/>
            <w:vAlign w:val="center"/>
          </w:tcPr>
          <w:p>
            <w:pPr>
              <w:pStyle w:val="13"/>
            </w:pPr>
            <w:r>
              <w:t>缴纳税金标准</w:t>
            </w:r>
          </w:p>
        </w:tc>
        <w:tc>
          <w:tcPr>
            <w:tcW w:w="2268" w:type="dxa"/>
            <w:vAlign w:val="center"/>
          </w:tcPr>
          <w:p>
            <w:pPr>
              <w:pStyle w:val="13"/>
            </w:pPr>
            <w:r>
              <w:t>≤5.31万元/年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按时缴纳各种税金</w:t>
            </w:r>
          </w:p>
        </w:tc>
        <w:tc>
          <w:tcPr>
            <w:tcW w:w="5386" w:type="dxa"/>
            <w:vAlign w:val="center"/>
          </w:tcPr>
          <w:p>
            <w:pPr>
              <w:pStyle w:val="13"/>
            </w:pPr>
            <w:r>
              <w:t>按时缴纳各种税金</w:t>
            </w:r>
          </w:p>
        </w:tc>
        <w:tc>
          <w:tcPr>
            <w:tcW w:w="2268" w:type="dxa"/>
            <w:vAlign w:val="center"/>
          </w:tcPr>
          <w:p>
            <w:pPr>
              <w:pStyle w:val="13"/>
            </w:pPr>
            <w:r>
              <w:t>按时缴纳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税金缴纳时长</w:t>
            </w:r>
          </w:p>
        </w:tc>
        <w:tc>
          <w:tcPr>
            <w:tcW w:w="5386" w:type="dxa"/>
            <w:vAlign w:val="center"/>
          </w:tcPr>
          <w:p>
            <w:pPr>
              <w:pStyle w:val="13"/>
            </w:pPr>
            <w:r>
              <w:t>税金缴纳时长</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办公人员满意度</w:t>
            </w:r>
          </w:p>
        </w:tc>
        <w:tc>
          <w:tcPr>
            <w:tcW w:w="5386" w:type="dxa"/>
            <w:vAlign w:val="center"/>
          </w:tcPr>
          <w:p>
            <w:pPr>
              <w:pStyle w:val="13"/>
            </w:pPr>
            <w:r>
              <w:t>办公人员对业务执行的满度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3、2026解决丝弦剧团职工遗留问题信访隐患资金绩效目标表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13011026P00323910199M</w:t>
            </w:r>
          </w:p>
        </w:tc>
        <w:tc>
          <w:tcPr>
            <w:tcW w:w="2835" w:type="dxa"/>
            <w:vAlign w:val="center"/>
          </w:tcPr>
          <w:p>
            <w:pPr>
              <w:pStyle w:val="11"/>
            </w:pPr>
            <w:r>
              <w:t>项目名称</w:t>
            </w:r>
          </w:p>
        </w:tc>
        <w:tc>
          <w:tcPr>
            <w:tcW w:w="6095" w:type="dxa"/>
            <w:gridSpan w:val="3"/>
            <w:vAlign w:val="center"/>
          </w:tcPr>
          <w:p>
            <w:pPr>
              <w:pStyle w:val="13"/>
            </w:pPr>
            <w:r>
              <w:t>2026解决丝弦剧团职工遗留问题信访隐患资金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妥善解决丝弦剧团63名职工遗留问题，顺利化解信访隐患案件。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1.妥善解决丝弦剧团63名职工遗留问题，顺利化解信访隐患案件。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解决职工人数</w:t>
            </w:r>
          </w:p>
        </w:tc>
        <w:tc>
          <w:tcPr>
            <w:tcW w:w="5386" w:type="dxa"/>
            <w:vAlign w:val="center"/>
          </w:tcPr>
          <w:p>
            <w:pPr>
              <w:pStyle w:val="13"/>
            </w:pPr>
            <w:r>
              <w:t>解决职工人数</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发放月生活补助精准率</w:t>
            </w:r>
          </w:p>
        </w:tc>
        <w:tc>
          <w:tcPr>
            <w:tcW w:w="5386" w:type="dxa"/>
            <w:vAlign w:val="center"/>
          </w:tcPr>
          <w:p>
            <w:pPr>
              <w:pStyle w:val="13"/>
            </w:pPr>
            <w:r>
              <w:t>发放月生活补助精准率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月生活补助发放时间</w:t>
            </w:r>
          </w:p>
        </w:tc>
        <w:tc>
          <w:tcPr>
            <w:tcW w:w="5386" w:type="dxa"/>
            <w:vAlign w:val="center"/>
          </w:tcPr>
          <w:p>
            <w:pPr>
              <w:pStyle w:val="13"/>
            </w:pPr>
            <w:r>
              <w:t>月生活补助发放时间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社会保险、经济补偿金发放标准</w:t>
            </w:r>
          </w:p>
        </w:tc>
        <w:tc>
          <w:tcPr>
            <w:tcW w:w="5386" w:type="dxa"/>
            <w:vAlign w:val="center"/>
          </w:tcPr>
          <w:p>
            <w:pPr>
              <w:pStyle w:val="13"/>
            </w:pPr>
            <w:r>
              <w:t>月生活补助发放标准（万元/月）</w:t>
            </w:r>
          </w:p>
        </w:tc>
        <w:tc>
          <w:tcPr>
            <w:tcW w:w="2268" w:type="dxa"/>
            <w:vAlign w:val="center"/>
          </w:tcPr>
          <w:p>
            <w:pPr>
              <w:pStyle w:val="13"/>
            </w:pPr>
            <w:r>
              <w:t>根据与信访人员达成共识情况，按规定发放补助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保障职工权益，增强职工归属感</w:t>
            </w:r>
          </w:p>
        </w:tc>
        <w:tc>
          <w:tcPr>
            <w:tcW w:w="5386" w:type="dxa"/>
            <w:vAlign w:val="center"/>
          </w:tcPr>
          <w:p>
            <w:pPr>
              <w:pStyle w:val="13"/>
            </w:pPr>
            <w:r>
              <w:t>保障职工权益，增强职工归属感</w:t>
            </w:r>
          </w:p>
        </w:tc>
        <w:tc>
          <w:tcPr>
            <w:tcW w:w="2268" w:type="dxa"/>
            <w:vAlign w:val="center"/>
          </w:tcPr>
          <w:p>
            <w:pPr>
              <w:pStyle w:val="13"/>
            </w:pPr>
            <w:r>
              <w:t>保障职工权益</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维持社会稳定</w:t>
            </w:r>
          </w:p>
        </w:tc>
        <w:tc>
          <w:tcPr>
            <w:tcW w:w="5386" w:type="dxa"/>
            <w:vAlign w:val="center"/>
          </w:tcPr>
          <w:p>
            <w:pPr>
              <w:pStyle w:val="13"/>
            </w:pPr>
            <w:r>
              <w:t>化解信访隐患，维持社会稳定</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职工对上访问题解决的满意度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4、2026旧欠合并安排资金绩效目标表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13011026P000067100081</w:t>
            </w:r>
          </w:p>
        </w:tc>
        <w:tc>
          <w:tcPr>
            <w:tcW w:w="2835" w:type="dxa"/>
            <w:vAlign w:val="center"/>
          </w:tcPr>
          <w:p>
            <w:pPr>
              <w:pStyle w:val="11"/>
            </w:pPr>
            <w:r>
              <w:t>项目名称</w:t>
            </w:r>
          </w:p>
        </w:tc>
        <w:tc>
          <w:tcPr>
            <w:tcW w:w="6095" w:type="dxa"/>
            <w:gridSpan w:val="3"/>
            <w:vAlign w:val="center"/>
          </w:tcPr>
          <w:p>
            <w:pPr>
              <w:pStyle w:val="13"/>
            </w:pPr>
            <w:r>
              <w:t>2026旧欠合并安排资金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570.00</w:t>
            </w:r>
          </w:p>
        </w:tc>
        <w:tc>
          <w:tcPr>
            <w:tcW w:w="2835" w:type="dxa"/>
            <w:vAlign w:val="center"/>
          </w:tcPr>
          <w:p>
            <w:pPr>
              <w:pStyle w:val="11"/>
            </w:pPr>
            <w:r>
              <w:t>其中：财政    资金</w:t>
            </w:r>
          </w:p>
        </w:tc>
        <w:tc>
          <w:tcPr>
            <w:tcW w:w="2551" w:type="dxa"/>
            <w:vAlign w:val="center"/>
          </w:tcPr>
          <w:p>
            <w:pPr>
              <w:pStyle w:val="13"/>
            </w:pPr>
            <w:r>
              <w:t>570.00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偿还部门拖欠项目资金，修复政府信用、保障市场主体生存、稳定就业和社会秩序、建立健康营商环境。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1.偿还部门拖欠项目资金，修复政府信用、保障市场主体生存、稳定就业和社会秩序、建立健康营商环境。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偿还拖欠项目数量</w:t>
            </w:r>
          </w:p>
        </w:tc>
        <w:tc>
          <w:tcPr>
            <w:tcW w:w="5386" w:type="dxa"/>
            <w:vAlign w:val="center"/>
          </w:tcPr>
          <w:p>
            <w:pPr>
              <w:pStyle w:val="13"/>
            </w:pPr>
            <w:r>
              <w:t>偿还拖欠项目数量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资金使用合规性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偿还部分欠款时间</w:t>
            </w:r>
          </w:p>
        </w:tc>
        <w:tc>
          <w:tcPr>
            <w:tcW w:w="5386" w:type="dxa"/>
            <w:vAlign w:val="center"/>
          </w:tcPr>
          <w:p>
            <w:pPr>
              <w:pStyle w:val="13"/>
            </w:pPr>
            <w:r>
              <w:t>偿还部分欠款时间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偿还部分欠款标准</w:t>
            </w:r>
          </w:p>
        </w:tc>
        <w:tc>
          <w:tcPr>
            <w:tcW w:w="5386" w:type="dxa"/>
            <w:vAlign w:val="center"/>
          </w:tcPr>
          <w:p>
            <w:pPr>
              <w:pStyle w:val="13"/>
            </w:pPr>
            <w:r>
              <w:t>偿还部分欠款标准</w:t>
            </w:r>
          </w:p>
        </w:tc>
        <w:tc>
          <w:tcPr>
            <w:tcW w:w="2268" w:type="dxa"/>
            <w:vAlign w:val="center"/>
          </w:tcPr>
          <w:p>
            <w:pPr>
              <w:pStyle w:val="13"/>
            </w:pPr>
            <w:r>
              <w:t>≤570万元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修复政府信用、保障市场主体生存</w:t>
            </w:r>
          </w:p>
        </w:tc>
        <w:tc>
          <w:tcPr>
            <w:tcW w:w="5386" w:type="dxa"/>
            <w:vAlign w:val="center"/>
          </w:tcPr>
          <w:p>
            <w:pPr>
              <w:pStyle w:val="13"/>
            </w:pPr>
            <w:r>
              <w:t>修复政府信用、保障市场主体生存</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稳定就业和社会秩序、建立健康营商环境</w:t>
            </w:r>
          </w:p>
        </w:tc>
        <w:tc>
          <w:tcPr>
            <w:tcW w:w="5386" w:type="dxa"/>
            <w:vAlign w:val="center"/>
          </w:tcPr>
          <w:p>
            <w:pPr>
              <w:pStyle w:val="13"/>
            </w:pPr>
            <w:r>
              <w:t>稳定就业和社会秩序、建立健康营商环境</w:t>
            </w:r>
          </w:p>
        </w:tc>
        <w:tc>
          <w:tcPr>
            <w:tcW w:w="2268" w:type="dxa"/>
            <w:vAlign w:val="center"/>
          </w:tcPr>
          <w:p>
            <w:pPr>
              <w:pStyle w:val="13"/>
            </w:pPr>
            <w:r>
              <w:t>长期稳定</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相关施工企业满意度</w:t>
            </w:r>
          </w:p>
        </w:tc>
        <w:tc>
          <w:tcPr>
            <w:tcW w:w="5386" w:type="dxa"/>
            <w:vAlign w:val="center"/>
          </w:tcPr>
          <w:p>
            <w:pPr>
              <w:pStyle w:val="13"/>
            </w:pPr>
            <w:r>
              <w:t>相关施工企业满意度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5、2026年第四次全国文物普查费用绩效目标表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13011026P00324010017A</w:t>
            </w:r>
          </w:p>
        </w:tc>
        <w:tc>
          <w:tcPr>
            <w:tcW w:w="2835" w:type="dxa"/>
            <w:vAlign w:val="center"/>
          </w:tcPr>
          <w:p>
            <w:pPr>
              <w:pStyle w:val="11"/>
            </w:pPr>
            <w:r>
              <w:t>项目名称</w:t>
            </w:r>
          </w:p>
        </w:tc>
        <w:tc>
          <w:tcPr>
            <w:tcW w:w="6095" w:type="dxa"/>
            <w:gridSpan w:val="3"/>
            <w:vAlign w:val="center"/>
          </w:tcPr>
          <w:p>
            <w:pPr>
              <w:pStyle w:val="13"/>
            </w:pPr>
            <w:r>
              <w:t>2026年第四次全国文物普查费用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普查我区不可移动文物403处，提高文物保护质量，增强社会文物保护意识。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1.普查我区不可移动文物403处，提高文物保护质量，增强社会文物保护意识。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普查不可移动文物数量</w:t>
            </w:r>
          </w:p>
        </w:tc>
        <w:tc>
          <w:tcPr>
            <w:tcW w:w="5386" w:type="dxa"/>
            <w:vAlign w:val="center"/>
          </w:tcPr>
          <w:p>
            <w:pPr>
              <w:pStyle w:val="13"/>
            </w:pPr>
            <w:r>
              <w:t>普查不可移动文物数量</w:t>
            </w:r>
          </w:p>
        </w:tc>
        <w:tc>
          <w:tcPr>
            <w:tcW w:w="2268" w:type="dxa"/>
            <w:vAlign w:val="center"/>
          </w:tcPr>
          <w:p>
            <w:pPr>
              <w:pStyle w:val="13"/>
            </w:pPr>
            <w:r>
              <w:t>≤401处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文物普查工作质量合格率</w:t>
            </w:r>
          </w:p>
        </w:tc>
        <w:tc>
          <w:tcPr>
            <w:tcW w:w="5386" w:type="dxa"/>
            <w:vAlign w:val="center"/>
          </w:tcPr>
          <w:p>
            <w:pPr>
              <w:pStyle w:val="13"/>
            </w:pPr>
            <w:r>
              <w:t>文物普查工作质量合格率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文物普查经费阶段性标准</w:t>
            </w:r>
          </w:p>
        </w:tc>
        <w:tc>
          <w:tcPr>
            <w:tcW w:w="5386" w:type="dxa"/>
            <w:vAlign w:val="center"/>
          </w:tcPr>
          <w:p>
            <w:pPr>
              <w:pStyle w:val="13"/>
            </w:pPr>
            <w:r>
              <w:t>文物普查经费阶段性标准</w:t>
            </w:r>
          </w:p>
        </w:tc>
        <w:tc>
          <w:tcPr>
            <w:tcW w:w="2268" w:type="dxa"/>
            <w:vAlign w:val="center"/>
          </w:tcPr>
          <w:p>
            <w:pPr>
              <w:pStyle w:val="13"/>
            </w:pPr>
            <w:r>
              <w:t>≤20.1万元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开展文物普查工作时间</w:t>
            </w:r>
          </w:p>
        </w:tc>
        <w:tc>
          <w:tcPr>
            <w:tcW w:w="5386" w:type="dxa"/>
            <w:vAlign w:val="center"/>
          </w:tcPr>
          <w:p>
            <w:pPr>
              <w:pStyle w:val="13"/>
            </w:pPr>
            <w:r>
              <w:t>开展文物普查工作时间</w:t>
            </w:r>
          </w:p>
        </w:tc>
        <w:tc>
          <w:tcPr>
            <w:tcW w:w="2268" w:type="dxa"/>
            <w:vAlign w:val="center"/>
          </w:tcPr>
          <w:p>
            <w:pPr>
              <w:pStyle w:val="13"/>
            </w:pPr>
            <w:r>
              <w:t>2023.12-2026.05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通过完善不可移动文物记录档案等，建立文物资源资产动态管理机制。</w:t>
            </w:r>
          </w:p>
        </w:tc>
        <w:tc>
          <w:tcPr>
            <w:tcW w:w="5386" w:type="dxa"/>
            <w:vAlign w:val="center"/>
          </w:tcPr>
          <w:p>
            <w:pPr>
              <w:pStyle w:val="13"/>
            </w:pPr>
            <w:r>
              <w:t>通过完善不可移动文物记录档案等，建立文物资源资产动态管理机制。</w:t>
            </w:r>
          </w:p>
        </w:tc>
        <w:tc>
          <w:tcPr>
            <w:tcW w:w="2268" w:type="dxa"/>
            <w:vAlign w:val="center"/>
          </w:tcPr>
          <w:p>
            <w:pPr>
              <w:pStyle w:val="13"/>
            </w:pPr>
            <w:r>
              <w:t>逐渐完善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增强社会文物保护意识</w:t>
            </w:r>
          </w:p>
        </w:tc>
        <w:tc>
          <w:tcPr>
            <w:tcW w:w="5386" w:type="dxa"/>
            <w:vAlign w:val="center"/>
          </w:tcPr>
          <w:p>
            <w:pPr>
              <w:pStyle w:val="13"/>
            </w:pPr>
            <w:r>
              <w:t>增强社会文物保护意识</w:t>
            </w:r>
          </w:p>
        </w:tc>
        <w:tc>
          <w:tcPr>
            <w:tcW w:w="2268" w:type="dxa"/>
            <w:vAlign w:val="center"/>
          </w:tcPr>
          <w:p>
            <w:pPr>
              <w:pStyle w:val="13"/>
            </w:pPr>
            <w:r>
              <w:t>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群众对我区文物保护工作满意度</w:t>
            </w:r>
          </w:p>
        </w:tc>
        <w:tc>
          <w:tcPr>
            <w:tcW w:w="5386" w:type="dxa"/>
            <w:vAlign w:val="center"/>
          </w:tcPr>
          <w:p>
            <w:pPr>
              <w:pStyle w:val="13"/>
            </w:pPr>
            <w:r>
              <w:t>群众对我区文物保护工作满意度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6、2026年民生实事文化惠民活动绩效目标表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13011026P00323910202T</w:t>
            </w:r>
          </w:p>
        </w:tc>
        <w:tc>
          <w:tcPr>
            <w:tcW w:w="2835" w:type="dxa"/>
            <w:vAlign w:val="center"/>
          </w:tcPr>
          <w:p>
            <w:pPr>
              <w:pStyle w:val="11"/>
            </w:pPr>
            <w:r>
              <w:t>项目名称</w:t>
            </w:r>
          </w:p>
        </w:tc>
        <w:tc>
          <w:tcPr>
            <w:tcW w:w="6095" w:type="dxa"/>
            <w:gridSpan w:val="3"/>
            <w:vAlign w:val="center"/>
          </w:tcPr>
          <w:p>
            <w:pPr>
              <w:pStyle w:val="13"/>
            </w:pPr>
            <w:r>
              <w:t>2026年民生实事文化惠民活动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通过开展文化进基层惠民演出15场次，及辅助演出道具支出。丰富人民群众精的神文化生活，不断增强人民群众获得感和幸福感。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1.通过开展文化进基层惠民演出15场次，及辅助演出道具支出。丰富人民群众精的神文化生活，不断增强人民群众获得感和幸福感。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文化惠民演出数量</w:t>
            </w:r>
          </w:p>
        </w:tc>
        <w:tc>
          <w:tcPr>
            <w:tcW w:w="5386" w:type="dxa"/>
            <w:vAlign w:val="center"/>
          </w:tcPr>
          <w:p>
            <w:pPr>
              <w:pStyle w:val="13"/>
            </w:pPr>
            <w:r>
              <w:t>文化惠民演出数量</w:t>
            </w:r>
          </w:p>
        </w:tc>
        <w:tc>
          <w:tcPr>
            <w:tcW w:w="2268" w:type="dxa"/>
            <w:vAlign w:val="center"/>
          </w:tcPr>
          <w:p>
            <w:pPr>
              <w:pStyle w:val="13"/>
            </w:pPr>
            <w:r>
              <w:t>≤15场次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惠及县区覆盖率</w:t>
            </w:r>
          </w:p>
        </w:tc>
        <w:tc>
          <w:tcPr>
            <w:tcW w:w="5386" w:type="dxa"/>
            <w:vAlign w:val="center"/>
          </w:tcPr>
          <w:p>
            <w:pPr>
              <w:pStyle w:val="13"/>
            </w:pPr>
            <w:r>
              <w:t>惠及县区覆盖率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单场惠民演出活动补助标准</w:t>
            </w:r>
          </w:p>
        </w:tc>
        <w:tc>
          <w:tcPr>
            <w:tcW w:w="5386" w:type="dxa"/>
            <w:vAlign w:val="center"/>
          </w:tcPr>
          <w:p>
            <w:pPr>
              <w:pStyle w:val="13"/>
            </w:pPr>
            <w:r>
              <w:t>单场惠民演出活动补助标准</w:t>
            </w:r>
          </w:p>
        </w:tc>
        <w:tc>
          <w:tcPr>
            <w:tcW w:w="2268" w:type="dxa"/>
            <w:vAlign w:val="center"/>
          </w:tcPr>
          <w:p>
            <w:pPr>
              <w:pStyle w:val="13"/>
            </w:pPr>
            <w:r>
              <w:t>≥3000元/场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演出及时性</w:t>
            </w:r>
          </w:p>
        </w:tc>
        <w:tc>
          <w:tcPr>
            <w:tcW w:w="5386" w:type="dxa"/>
            <w:vAlign w:val="center"/>
          </w:tcPr>
          <w:p>
            <w:pPr>
              <w:pStyle w:val="13"/>
            </w:pPr>
            <w:r>
              <w:t>惠民演出及时性</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惠及人次</w:t>
            </w:r>
          </w:p>
        </w:tc>
        <w:tc>
          <w:tcPr>
            <w:tcW w:w="5386" w:type="dxa"/>
            <w:vAlign w:val="center"/>
          </w:tcPr>
          <w:p>
            <w:pPr>
              <w:pStyle w:val="13"/>
            </w:pPr>
            <w:r>
              <w:t>惠及人次</w:t>
            </w:r>
          </w:p>
        </w:tc>
        <w:tc>
          <w:tcPr>
            <w:tcW w:w="2268" w:type="dxa"/>
            <w:vAlign w:val="center"/>
          </w:tcPr>
          <w:p>
            <w:pPr>
              <w:pStyle w:val="13"/>
            </w:pPr>
            <w:r>
              <w:t>≥15万人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推动文化和旅游惠民工程持续开展</w:t>
            </w:r>
          </w:p>
        </w:tc>
        <w:tc>
          <w:tcPr>
            <w:tcW w:w="5386" w:type="dxa"/>
            <w:vAlign w:val="center"/>
          </w:tcPr>
          <w:p>
            <w:pPr>
              <w:pStyle w:val="13"/>
            </w:pPr>
            <w:r>
              <w:t>推动文化和旅游惠民工程持续开展</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群众对惠民演出活动的满意度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7、2026年涉军人员工资及社保绩效目标表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13011026P001540100322</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34.68</w:t>
            </w:r>
          </w:p>
        </w:tc>
        <w:tc>
          <w:tcPr>
            <w:tcW w:w="2835" w:type="dxa"/>
            <w:vAlign w:val="center"/>
          </w:tcPr>
          <w:p>
            <w:pPr>
              <w:pStyle w:val="11"/>
            </w:pPr>
            <w:r>
              <w:t>其中：财政    资金</w:t>
            </w:r>
          </w:p>
        </w:tc>
        <w:tc>
          <w:tcPr>
            <w:tcW w:w="2551" w:type="dxa"/>
            <w:vAlign w:val="center"/>
          </w:tcPr>
          <w:p>
            <w:pPr>
              <w:pStyle w:val="13"/>
            </w:pPr>
            <w:r>
              <w:t>34.68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缴纳6名退役军人社会保险及发放工资福利，保障办公正常运转。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1.缴纳6名退役军人社会保险及发放工资福利，保障办公正常运转。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保障退役军人人数</w:t>
            </w:r>
          </w:p>
        </w:tc>
        <w:tc>
          <w:tcPr>
            <w:tcW w:w="2268" w:type="dxa"/>
            <w:vAlign w:val="center"/>
          </w:tcPr>
          <w:p>
            <w:pPr>
              <w:pStyle w:val="13"/>
            </w:pPr>
            <w:r>
              <w:t>6人</w:t>
            </w:r>
          </w:p>
        </w:tc>
        <w:tc>
          <w:tcPr>
            <w:tcW w:w="1276" w:type="dxa"/>
            <w:vAlign w:val="center"/>
          </w:tcPr>
          <w:p>
            <w:pPr>
              <w:pStyle w:val="13"/>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工资福利发放精准率</w:t>
            </w:r>
          </w:p>
        </w:tc>
        <w:tc>
          <w:tcPr>
            <w:tcW w:w="5386" w:type="dxa"/>
            <w:vAlign w:val="center"/>
          </w:tcPr>
          <w:p>
            <w:pPr>
              <w:pStyle w:val="13"/>
            </w:pPr>
            <w:r>
              <w:t>工资福利发放精准率</w:t>
            </w:r>
          </w:p>
        </w:tc>
        <w:tc>
          <w:tcPr>
            <w:tcW w:w="2268" w:type="dxa"/>
            <w:vAlign w:val="center"/>
          </w:tcPr>
          <w:p>
            <w:pPr>
              <w:pStyle w:val="13"/>
            </w:pPr>
            <w:r>
              <w:t>100%</w:t>
            </w:r>
          </w:p>
        </w:tc>
        <w:tc>
          <w:tcPr>
            <w:tcW w:w="1276" w:type="dxa"/>
            <w:vAlign w:val="center"/>
          </w:tcPr>
          <w:p>
            <w:pPr>
              <w:pStyle w:val="13"/>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工资福利发放及时性</w:t>
            </w:r>
          </w:p>
        </w:tc>
        <w:tc>
          <w:tcPr>
            <w:tcW w:w="2268" w:type="dxa"/>
            <w:vAlign w:val="center"/>
          </w:tcPr>
          <w:p>
            <w:pPr>
              <w:pStyle w:val="13"/>
            </w:pPr>
            <w:r>
              <w:t>100%</w:t>
            </w:r>
          </w:p>
        </w:tc>
        <w:tc>
          <w:tcPr>
            <w:tcW w:w="1276" w:type="dxa"/>
            <w:vAlign w:val="center"/>
          </w:tcPr>
          <w:p>
            <w:pPr>
              <w:pStyle w:val="13"/>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工资福利发放及社会保险缴纳标准</w:t>
            </w:r>
          </w:p>
        </w:tc>
        <w:tc>
          <w:tcPr>
            <w:tcW w:w="5386" w:type="dxa"/>
            <w:vAlign w:val="center"/>
          </w:tcPr>
          <w:p>
            <w:pPr>
              <w:pStyle w:val="13"/>
            </w:pPr>
            <w:r>
              <w:t>工资福利发放及社会保险缴纳标准</w:t>
            </w:r>
          </w:p>
        </w:tc>
        <w:tc>
          <w:tcPr>
            <w:tcW w:w="2268" w:type="dxa"/>
            <w:vAlign w:val="center"/>
          </w:tcPr>
          <w:p>
            <w:pPr>
              <w:pStyle w:val="13"/>
            </w:pPr>
            <w:r>
              <w:t>按规定执行</w:t>
            </w:r>
          </w:p>
        </w:tc>
        <w:tc>
          <w:tcPr>
            <w:tcW w:w="1276" w:type="dxa"/>
            <w:vAlign w:val="center"/>
          </w:tcPr>
          <w:p>
            <w:pPr>
              <w:pStyle w:val="13"/>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加强职工归属感，维护社会稳定</w:t>
            </w:r>
          </w:p>
        </w:tc>
        <w:tc>
          <w:tcPr>
            <w:tcW w:w="5386" w:type="dxa"/>
            <w:vAlign w:val="center"/>
          </w:tcPr>
          <w:p>
            <w:pPr>
              <w:pStyle w:val="13"/>
            </w:pPr>
            <w:r>
              <w:t>加强职工归属感，维护社会稳定</w:t>
            </w:r>
          </w:p>
        </w:tc>
        <w:tc>
          <w:tcPr>
            <w:tcW w:w="2268" w:type="dxa"/>
            <w:vAlign w:val="center"/>
          </w:tcPr>
          <w:p>
            <w:pPr>
              <w:pStyle w:val="13"/>
            </w:pPr>
            <w:r>
              <w:t>加强职工归属感，维护社会稳定</w:t>
            </w:r>
          </w:p>
        </w:tc>
        <w:tc>
          <w:tcPr>
            <w:tcW w:w="1276" w:type="dxa"/>
            <w:vAlign w:val="center"/>
          </w:tcPr>
          <w:p>
            <w:pPr>
              <w:pStyle w:val="13"/>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安置退役军人时间</w:t>
            </w:r>
          </w:p>
        </w:tc>
        <w:tc>
          <w:tcPr>
            <w:tcW w:w="5386" w:type="dxa"/>
            <w:vAlign w:val="center"/>
          </w:tcPr>
          <w:p>
            <w:pPr>
              <w:pStyle w:val="13"/>
            </w:pPr>
            <w:r>
              <w:t>安置退役军人时间</w:t>
            </w:r>
          </w:p>
        </w:tc>
        <w:tc>
          <w:tcPr>
            <w:tcW w:w="2268" w:type="dxa"/>
            <w:vAlign w:val="center"/>
          </w:tcPr>
          <w:p>
            <w:pPr>
              <w:pStyle w:val="13"/>
            </w:pPr>
            <w:r>
              <w:t>长期</w:t>
            </w:r>
          </w:p>
        </w:tc>
        <w:tc>
          <w:tcPr>
            <w:tcW w:w="1276" w:type="dxa"/>
            <w:vAlign w:val="center"/>
          </w:tcPr>
          <w:p>
            <w:pPr>
              <w:pStyle w:val="13"/>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受益退役军人满意度</w:t>
            </w:r>
          </w:p>
        </w:tc>
        <w:tc>
          <w:tcPr>
            <w:tcW w:w="5386" w:type="dxa"/>
            <w:vAlign w:val="center"/>
          </w:tcPr>
          <w:p>
            <w:pPr>
              <w:pStyle w:val="13"/>
            </w:pPr>
            <w:r>
              <w:t>受益退役军人满意度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8、2026全民健身中心经营权出让拍卖佣金绩效目标表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13011026P00163810020W</w:t>
            </w:r>
          </w:p>
        </w:tc>
        <w:tc>
          <w:tcPr>
            <w:tcW w:w="2835" w:type="dxa"/>
            <w:vAlign w:val="center"/>
          </w:tcPr>
          <w:p>
            <w:pPr>
              <w:pStyle w:val="11"/>
            </w:pPr>
            <w:r>
              <w:t>项目名称</w:t>
            </w:r>
          </w:p>
        </w:tc>
        <w:tc>
          <w:tcPr>
            <w:tcW w:w="6095" w:type="dxa"/>
            <w:gridSpan w:val="3"/>
            <w:vAlign w:val="center"/>
          </w:tcPr>
          <w:p>
            <w:pPr>
              <w:pStyle w:val="13"/>
            </w:pPr>
            <w:r>
              <w:t>2026全民健身中心经营权出让拍卖佣金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出让全民健身中心经营权，盘活存量资产，提升资源利用效率。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1.出让全民健身中心经营权，盘活存量资产，提升资源利用效率。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盘活资产数量</w:t>
            </w:r>
          </w:p>
        </w:tc>
        <w:tc>
          <w:tcPr>
            <w:tcW w:w="5386" w:type="dxa"/>
            <w:vAlign w:val="center"/>
          </w:tcPr>
          <w:p>
            <w:pPr>
              <w:pStyle w:val="13"/>
            </w:pPr>
            <w:r>
              <w:t>盘活资产数量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拍卖经营权成交率</w:t>
            </w:r>
          </w:p>
        </w:tc>
        <w:tc>
          <w:tcPr>
            <w:tcW w:w="5386" w:type="dxa"/>
            <w:vAlign w:val="center"/>
          </w:tcPr>
          <w:p>
            <w:pPr>
              <w:pStyle w:val="13"/>
            </w:pPr>
            <w:r>
              <w:t>拍卖经营权成交率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拍卖费支付率</w:t>
            </w:r>
          </w:p>
        </w:tc>
        <w:tc>
          <w:tcPr>
            <w:tcW w:w="5386" w:type="dxa"/>
            <w:vAlign w:val="center"/>
          </w:tcPr>
          <w:p>
            <w:pPr>
              <w:pStyle w:val="13"/>
            </w:pPr>
            <w:r>
              <w:t>拍卖费支付率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拍卖费用标准</w:t>
            </w:r>
          </w:p>
        </w:tc>
        <w:tc>
          <w:tcPr>
            <w:tcW w:w="5386" w:type="dxa"/>
            <w:vAlign w:val="center"/>
          </w:tcPr>
          <w:p>
            <w:pPr>
              <w:pStyle w:val="13"/>
            </w:pPr>
            <w:r>
              <w:t>拍卖费用标准</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盘活存量资产，提升资源利用率</w:t>
            </w:r>
          </w:p>
        </w:tc>
        <w:tc>
          <w:tcPr>
            <w:tcW w:w="5386" w:type="dxa"/>
            <w:vAlign w:val="center"/>
          </w:tcPr>
          <w:p>
            <w:pPr>
              <w:pStyle w:val="13"/>
            </w:pPr>
            <w:r>
              <w:t>盘活存量资产，提升资源利用率</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国有资产的保值增值时长</w:t>
            </w:r>
          </w:p>
        </w:tc>
        <w:tc>
          <w:tcPr>
            <w:tcW w:w="5386" w:type="dxa"/>
            <w:vAlign w:val="center"/>
          </w:tcPr>
          <w:p>
            <w:pPr>
              <w:pStyle w:val="13"/>
            </w:pPr>
            <w:r>
              <w:t>国有资产的保值增值时长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对拍卖工作的满意度</w:t>
            </w:r>
          </w:p>
        </w:tc>
        <w:tc>
          <w:tcPr>
            <w:tcW w:w="5386" w:type="dxa"/>
            <w:vAlign w:val="center"/>
          </w:tcPr>
          <w:p>
            <w:pPr>
              <w:pStyle w:val="13"/>
            </w:pPr>
            <w:r>
              <w:t>对拍卖工作的满意度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9、2026宣传推广推介、宣传展牌及政治类宣传标语、文体活动费用绩效目标表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13011026P00163810019H</w:t>
            </w:r>
          </w:p>
        </w:tc>
        <w:tc>
          <w:tcPr>
            <w:tcW w:w="2835" w:type="dxa"/>
            <w:vAlign w:val="center"/>
          </w:tcPr>
          <w:p>
            <w:pPr>
              <w:pStyle w:val="11"/>
            </w:pPr>
            <w:r>
              <w:t>项目名称</w:t>
            </w:r>
          </w:p>
        </w:tc>
        <w:tc>
          <w:tcPr>
            <w:tcW w:w="6095" w:type="dxa"/>
            <w:gridSpan w:val="3"/>
            <w:vAlign w:val="center"/>
          </w:tcPr>
          <w:p>
            <w:pPr>
              <w:pStyle w:val="13"/>
            </w:pPr>
            <w:r>
              <w:t>2026宣传推广推介、宣传展牌及政治类宣传标语、文体活动费用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通过开展节假日群众演出、宪法宣传、六进等文化演出活动，丰富公共文化产品供给，活跃群众文化生活。及其他用于文化、体育项目的辅助支出。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1.通过开展节假日群众演出、宪法宣传、六进等文化演出活动，丰富公共文化产品供给，活跃群众文化生活。及其他用于文化、体育项目的辅助支出。</w:t>
            </w:r>
          </w:p>
          <w:p>
            <w:pPr>
              <w:pStyle w:val="13"/>
            </w:pPr>
            <w:r>
              <w:t>2.通过省文旅厅以及市文旅局组织策划的各种旅游产品交易会、旅游推介会、旅游博览会、大型文化体育及旅游活动7场，发放宣传册等现场讲解、推介，及各种线上网络活动来宣传推广鹿泉文旅资源，使更多的游客认识鹿泉，来鹿泉观光游览。</w:t>
            </w:r>
          </w:p>
          <w:p>
            <w:pPr>
              <w:pStyle w:val="13"/>
            </w:pPr>
            <w:r>
              <w:t>3.通过制作宣传展牌、安装路灯道旗，提升我区市容市貌、营造浓厚的宣传氛围、宣传推广鹿泉文旅资源，使更多的游客来鹿泉观光游览。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节假日群众演出（场）</w:t>
            </w:r>
          </w:p>
        </w:tc>
        <w:tc>
          <w:tcPr>
            <w:tcW w:w="5386" w:type="dxa"/>
            <w:vAlign w:val="center"/>
          </w:tcPr>
          <w:p>
            <w:pPr>
              <w:pStyle w:val="13"/>
            </w:pPr>
            <w:r>
              <w:t>节假日群众演出（场）</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制作安装展牌数量</w:t>
            </w:r>
          </w:p>
        </w:tc>
        <w:tc>
          <w:tcPr>
            <w:tcW w:w="5386" w:type="dxa"/>
            <w:vAlign w:val="center"/>
          </w:tcPr>
          <w:p>
            <w:pPr>
              <w:pStyle w:val="13"/>
            </w:pPr>
            <w:r>
              <w:t>制作安装展牌数量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参加旅游推介次数</w:t>
            </w:r>
          </w:p>
        </w:tc>
        <w:tc>
          <w:tcPr>
            <w:tcW w:w="5386" w:type="dxa"/>
            <w:vAlign w:val="center"/>
          </w:tcPr>
          <w:p>
            <w:pPr>
              <w:pStyle w:val="13"/>
            </w:pPr>
            <w:r>
              <w:t>参加旅游推介次数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宣传展牌制作质量合格率</w:t>
            </w:r>
          </w:p>
        </w:tc>
        <w:tc>
          <w:tcPr>
            <w:tcW w:w="5386" w:type="dxa"/>
            <w:vAlign w:val="center"/>
          </w:tcPr>
          <w:p>
            <w:pPr>
              <w:pStyle w:val="13"/>
            </w:pPr>
            <w:r>
              <w:t>宣传展牌制作质量合格率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推介活动完成时间</w:t>
            </w:r>
          </w:p>
        </w:tc>
        <w:tc>
          <w:tcPr>
            <w:tcW w:w="5386" w:type="dxa"/>
            <w:vAlign w:val="center"/>
          </w:tcPr>
          <w:p>
            <w:pPr>
              <w:pStyle w:val="13"/>
            </w:pPr>
            <w:r>
              <w:t>推介活动完成时间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按时发放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演职人员补助标准（元/人/天）</w:t>
            </w:r>
          </w:p>
        </w:tc>
        <w:tc>
          <w:tcPr>
            <w:tcW w:w="2268" w:type="dxa"/>
            <w:vAlign w:val="center"/>
          </w:tcPr>
          <w:p>
            <w:pPr>
              <w:pStyle w:val="13"/>
            </w:pPr>
            <w:r>
              <w:t>≤300元/人/天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活跃群众文化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游客增长率</w:t>
            </w:r>
          </w:p>
        </w:tc>
        <w:tc>
          <w:tcPr>
            <w:tcW w:w="5386" w:type="dxa"/>
            <w:vAlign w:val="center"/>
          </w:tcPr>
          <w:p>
            <w:pPr>
              <w:pStyle w:val="13"/>
            </w:pPr>
            <w:r>
              <w:t>通过交易会等宣传活动，实现全区游客增长</w:t>
            </w:r>
          </w:p>
        </w:tc>
        <w:tc>
          <w:tcPr>
            <w:tcW w:w="2268" w:type="dxa"/>
            <w:vAlign w:val="center"/>
          </w:tcPr>
          <w:p>
            <w:pPr>
              <w:pStyle w:val="13"/>
            </w:pPr>
            <w:r>
              <w:t>显著增长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提高鹿泉知名度、美誉度。。</w:t>
            </w:r>
          </w:p>
        </w:tc>
        <w:tc>
          <w:tcPr>
            <w:tcW w:w="5386" w:type="dxa"/>
            <w:vAlign w:val="center"/>
          </w:tcPr>
          <w:p>
            <w:pPr>
              <w:pStyle w:val="13"/>
            </w:pPr>
            <w:r>
              <w:t>增加鹿泉游客量，提高鹿泉旅游知名度，美誉度。</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10、2026宣传文化中心运转费绩效目标表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13011026P003239101930</w:t>
            </w:r>
          </w:p>
        </w:tc>
        <w:tc>
          <w:tcPr>
            <w:tcW w:w="2835" w:type="dxa"/>
            <w:vAlign w:val="center"/>
          </w:tcPr>
          <w:p>
            <w:pPr>
              <w:pStyle w:val="11"/>
            </w:pPr>
            <w:r>
              <w:t>项目名称</w:t>
            </w:r>
          </w:p>
        </w:tc>
        <w:tc>
          <w:tcPr>
            <w:tcW w:w="6095" w:type="dxa"/>
            <w:gridSpan w:val="3"/>
            <w:vAlign w:val="center"/>
          </w:tcPr>
          <w:p>
            <w:pPr>
              <w:pStyle w:val="13"/>
            </w:pPr>
            <w:r>
              <w:t>2026宣传文化中心运转费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用于宣传文化中心的水费、电费、保洁、保安、绿化、维修及日常公用等费用支出，保障宣传文化中心正常运转。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日常维护经费支出</w:t>
            </w:r>
          </w:p>
        </w:tc>
        <w:tc>
          <w:tcPr>
            <w:tcW w:w="5386" w:type="dxa"/>
            <w:vAlign w:val="center"/>
          </w:tcPr>
          <w:p>
            <w:pPr>
              <w:pStyle w:val="13"/>
            </w:pPr>
            <w:r>
              <w:t>水电费、保洁、保安、绿化、维修支出</w:t>
            </w:r>
          </w:p>
        </w:tc>
        <w:tc>
          <w:tcPr>
            <w:tcW w:w="2268" w:type="dxa"/>
            <w:vAlign w:val="center"/>
          </w:tcPr>
          <w:p>
            <w:pPr>
              <w:pStyle w:val="13"/>
            </w:pPr>
            <w:r>
              <w:t>按统一规定支出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保障宣传文化中心正常运转</w:t>
            </w:r>
          </w:p>
        </w:tc>
        <w:tc>
          <w:tcPr>
            <w:tcW w:w="5386" w:type="dxa"/>
            <w:vAlign w:val="center"/>
          </w:tcPr>
          <w:p>
            <w:pPr>
              <w:pStyle w:val="13"/>
            </w:pPr>
            <w:r>
              <w:t>保障宣传文化中心正常运转</w:t>
            </w:r>
          </w:p>
        </w:tc>
        <w:tc>
          <w:tcPr>
            <w:tcW w:w="2268" w:type="dxa"/>
            <w:vAlign w:val="center"/>
          </w:tcPr>
          <w:p>
            <w:pPr>
              <w:pStyle w:val="13"/>
            </w:pPr>
            <w:r>
              <w:t>保障正常运转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维持宣传文化中心运转时间</w:t>
            </w:r>
          </w:p>
        </w:tc>
        <w:tc>
          <w:tcPr>
            <w:tcW w:w="5386" w:type="dxa"/>
            <w:vAlign w:val="center"/>
          </w:tcPr>
          <w:p>
            <w:pPr>
              <w:pStyle w:val="13"/>
            </w:pPr>
            <w:r>
              <w:t>维持宣传文化中心运转时间</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11、鹿泉区全民健身中心暨高等级人防工程（2022Z）绩效目标表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13011026P001621100638</w:t>
            </w:r>
          </w:p>
        </w:tc>
        <w:tc>
          <w:tcPr>
            <w:tcW w:w="2835" w:type="dxa"/>
            <w:vAlign w:val="center"/>
          </w:tcPr>
          <w:p>
            <w:pPr>
              <w:pStyle w:val="11"/>
            </w:pPr>
            <w:r>
              <w:t>项目名称</w:t>
            </w:r>
          </w:p>
        </w:tc>
        <w:tc>
          <w:tcPr>
            <w:tcW w:w="6095" w:type="dxa"/>
            <w:gridSpan w:val="3"/>
            <w:vAlign w:val="center"/>
          </w:tcPr>
          <w:p>
            <w:pPr>
              <w:pStyle w:val="13"/>
            </w:pPr>
            <w:r>
              <w:t>鹿泉区全民健身中心暨高等级人防工程（2022Z）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295.26</w:t>
            </w:r>
          </w:p>
        </w:tc>
        <w:tc>
          <w:tcPr>
            <w:tcW w:w="2835" w:type="dxa"/>
            <w:vAlign w:val="center"/>
          </w:tcPr>
          <w:p>
            <w:pPr>
              <w:pStyle w:val="11"/>
            </w:pPr>
            <w:r>
              <w:t>其中：财政    资金</w:t>
            </w:r>
          </w:p>
        </w:tc>
        <w:tc>
          <w:tcPr>
            <w:tcW w:w="2551" w:type="dxa"/>
            <w:vAlign w:val="center"/>
          </w:tcPr>
          <w:p>
            <w:pPr>
              <w:pStyle w:val="13"/>
            </w:pPr>
            <w:r>
              <w:t>295.26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完成全民健身工程项目的建设、验收，按时支付工程欠款，保障公共基础设施正常运转。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1.完成全民健身工程项目的建设、验收，按时支付工程欠款，保障公共基础设施正常运转。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工程完工率</w:t>
            </w:r>
          </w:p>
        </w:tc>
        <w:tc>
          <w:tcPr>
            <w:tcW w:w="5386" w:type="dxa"/>
            <w:vAlign w:val="center"/>
          </w:tcPr>
          <w:p>
            <w:pPr>
              <w:pStyle w:val="13"/>
            </w:pPr>
            <w:r>
              <w:t>工程完工率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主体建筑的面积</w:t>
            </w:r>
          </w:p>
        </w:tc>
        <w:tc>
          <w:tcPr>
            <w:tcW w:w="5386" w:type="dxa"/>
            <w:vAlign w:val="center"/>
          </w:tcPr>
          <w:p>
            <w:pPr>
              <w:pStyle w:val="13"/>
            </w:pPr>
            <w:r>
              <w:t>完成主体建筑的面积</w:t>
            </w:r>
          </w:p>
        </w:tc>
        <w:tc>
          <w:tcPr>
            <w:tcW w:w="2268" w:type="dxa"/>
            <w:vAlign w:val="center"/>
          </w:tcPr>
          <w:p>
            <w:pPr>
              <w:pStyle w:val="13"/>
            </w:pPr>
            <w:r>
              <w:t>≥38000平方米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日常巡查维修及时率</w:t>
            </w:r>
          </w:p>
        </w:tc>
        <w:tc>
          <w:tcPr>
            <w:tcW w:w="5386" w:type="dxa"/>
            <w:vAlign w:val="center"/>
          </w:tcPr>
          <w:p>
            <w:pPr>
              <w:pStyle w:val="13"/>
            </w:pPr>
            <w:r>
              <w:t>有记录的巡查维修到场次数占规定巡查维修到场次数的比率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全民健身中心项目工程成本</w:t>
            </w:r>
          </w:p>
        </w:tc>
        <w:tc>
          <w:tcPr>
            <w:tcW w:w="5386" w:type="dxa"/>
            <w:vAlign w:val="center"/>
          </w:tcPr>
          <w:p>
            <w:pPr>
              <w:pStyle w:val="13"/>
            </w:pPr>
            <w:r>
              <w:t>全民健身中心工程剩余成本</w:t>
            </w:r>
          </w:p>
        </w:tc>
        <w:tc>
          <w:tcPr>
            <w:tcW w:w="2268" w:type="dxa"/>
            <w:vAlign w:val="center"/>
          </w:tcPr>
          <w:p>
            <w:pPr>
              <w:pStyle w:val="13"/>
            </w:pPr>
            <w:r>
              <w:t>≤8295.26万元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建筑（工程）综合利用率</w:t>
            </w:r>
          </w:p>
        </w:tc>
        <w:tc>
          <w:tcPr>
            <w:tcW w:w="5386" w:type="dxa"/>
            <w:vAlign w:val="center"/>
          </w:tcPr>
          <w:p>
            <w:pPr>
              <w:pStyle w:val="13"/>
            </w:pPr>
            <w:r>
              <w:t>反映建筑（工程）综合利用率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使用人员满意程度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12、石财教[2024]118号提前下达2025年省级体育彩票公益金（“和美乡村”示范村配备器材）绩效目标表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13011025P00006610008W</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石财教[2024]118号提前下达2025年省级体育彩票公益金（“和美乡村”示范村配备器材）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按照“和美乡村”示范村认定，为示范村配备新一代健身器材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1.按照“和美乡村”示范村认定，为示范村配备新一代健身器材</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“和美乡村”示范村认定数量</w:t>
            </w:r>
          </w:p>
        </w:tc>
        <w:tc>
          <w:tcPr>
            <w:tcW w:w="5386" w:type="dxa"/>
            <w:vAlign w:val="center"/>
          </w:tcPr>
          <w:p>
            <w:pPr>
              <w:pStyle w:val="13"/>
            </w:pPr>
            <w:r>
              <w:t>配备新一代健身器材1处及以上</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新一代健身器材质量合格率</w:t>
            </w:r>
          </w:p>
        </w:tc>
        <w:tc>
          <w:tcPr>
            <w:tcW w:w="5386" w:type="dxa"/>
            <w:vAlign w:val="center"/>
          </w:tcPr>
          <w:p>
            <w:pPr>
              <w:pStyle w:val="13"/>
            </w:pPr>
            <w:r>
              <w:t>新一代健身器材质量合格率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新一代健身器材购置成本标准</w:t>
            </w:r>
          </w:p>
        </w:tc>
        <w:tc>
          <w:tcPr>
            <w:tcW w:w="5386" w:type="dxa"/>
            <w:vAlign w:val="center"/>
          </w:tcPr>
          <w:p>
            <w:pPr>
              <w:pStyle w:val="13"/>
            </w:pPr>
            <w:r>
              <w:t>新一代健身器材购置成本标准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13、石财教[2024]118号提前下达2025年省级体育彩票公益金（街边球类场地建设）绩效目标表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13011025P000066100079</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石财教[2024]118号提前下达2025年省级体育彩票公益金（街边球类场地建设）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通过选址建设球类场地2处，提升我区公共体育配套水平。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1.通过选址建设球类场地2处，提升我区公共体育配套水平。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建设球类场地2处</w:t>
            </w:r>
          </w:p>
        </w:tc>
        <w:tc>
          <w:tcPr>
            <w:tcW w:w="5386" w:type="dxa"/>
            <w:vAlign w:val="center"/>
          </w:tcPr>
          <w:p>
            <w:pPr>
              <w:pStyle w:val="13"/>
            </w:pPr>
            <w:r>
              <w:t>建设球类场地2处</w:t>
            </w:r>
          </w:p>
        </w:tc>
        <w:tc>
          <w:tcPr>
            <w:tcW w:w="2268" w:type="dxa"/>
            <w:vAlign w:val="center"/>
          </w:tcPr>
          <w:p>
            <w:pPr>
              <w:pStyle w:val="13"/>
            </w:pPr>
            <w:r>
              <w:t>2处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球类场地质量合格率</w:t>
            </w:r>
          </w:p>
        </w:tc>
        <w:tc>
          <w:tcPr>
            <w:tcW w:w="5386" w:type="dxa"/>
            <w:vAlign w:val="center"/>
          </w:tcPr>
          <w:p>
            <w:pPr>
              <w:pStyle w:val="13"/>
            </w:pPr>
            <w:r>
              <w:t>球类场地质量合格率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建设球类场地工程成本</w:t>
            </w:r>
          </w:p>
        </w:tc>
        <w:tc>
          <w:tcPr>
            <w:tcW w:w="5386" w:type="dxa"/>
            <w:vAlign w:val="center"/>
          </w:tcPr>
          <w:p>
            <w:pPr>
              <w:pStyle w:val="13"/>
            </w:pPr>
            <w:r>
              <w:t>建设球类场地工程成本</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14、石财教[2024]118号提前下达2025年省级体育彩票公益金（群众身边赛事活动）绩效目标表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13011025P00006610010U</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石财教[2024]118号提前下达2025年省级体育彩票公益金（群众身边赛事活动）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6.92</w:t>
            </w:r>
          </w:p>
        </w:tc>
        <w:tc>
          <w:tcPr>
            <w:tcW w:w="2835" w:type="dxa"/>
            <w:vAlign w:val="center"/>
          </w:tcPr>
          <w:p>
            <w:pPr>
              <w:pStyle w:val="11"/>
            </w:pPr>
            <w:r>
              <w:t>其中：财政    资金</w:t>
            </w:r>
          </w:p>
        </w:tc>
        <w:tc>
          <w:tcPr>
            <w:tcW w:w="2551" w:type="dxa"/>
            <w:vAlign w:val="center"/>
          </w:tcPr>
          <w:p>
            <w:pPr>
              <w:pStyle w:val="13"/>
            </w:pPr>
            <w:r>
              <w:t>6.92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举办群众身边赛事活动计划53场，提升我区公共体育水平。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1.举办群众身边赛事活动计划53场，提升我区公共体育水平。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鹿泉区举办群众身边赛事活动次数</w:t>
            </w:r>
          </w:p>
        </w:tc>
        <w:tc>
          <w:tcPr>
            <w:tcW w:w="5386" w:type="dxa"/>
            <w:vAlign w:val="center"/>
          </w:tcPr>
          <w:p>
            <w:pPr>
              <w:pStyle w:val="13"/>
            </w:pPr>
            <w:r>
              <w:t>鹿泉区举办群众身边赛事活动5场次</w:t>
            </w:r>
          </w:p>
        </w:tc>
        <w:tc>
          <w:tcPr>
            <w:tcW w:w="2268" w:type="dxa"/>
            <w:vAlign w:val="center"/>
          </w:tcPr>
          <w:p>
            <w:pPr>
              <w:pStyle w:val="13"/>
            </w:pPr>
            <w:r>
              <w:t>≥5场次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鹿泉区各乡镇举办群众身边赛事活动次数</w:t>
            </w:r>
          </w:p>
        </w:tc>
        <w:tc>
          <w:tcPr>
            <w:tcW w:w="5386" w:type="dxa"/>
            <w:vAlign w:val="center"/>
          </w:tcPr>
          <w:p>
            <w:pPr>
              <w:pStyle w:val="13"/>
            </w:pPr>
            <w:r>
              <w:t>鹿泉区各乡镇举办群众身边赛事活动48场次</w:t>
            </w:r>
          </w:p>
        </w:tc>
        <w:tc>
          <w:tcPr>
            <w:tcW w:w="2268" w:type="dxa"/>
            <w:vAlign w:val="center"/>
          </w:tcPr>
          <w:p>
            <w:pPr>
              <w:pStyle w:val="13"/>
            </w:pPr>
            <w:r>
              <w:t>≥48场次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2025年12月前完成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群众身边赛事活动费用成本</w:t>
            </w:r>
          </w:p>
        </w:tc>
        <w:tc>
          <w:tcPr>
            <w:tcW w:w="5386" w:type="dxa"/>
            <w:vAlign w:val="center"/>
          </w:tcPr>
          <w:p>
            <w:pPr>
              <w:pStyle w:val="13"/>
            </w:pPr>
            <w:r>
              <w:t>群众身边赛事活动费用成本</w:t>
            </w:r>
          </w:p>
        </w:tc>
        <w:tc>
          <w:tcPr>
            <w:tcW w:w="2268" w:type="dxa"/>
            <w:vAlign w:val="center"/>
          </w:tcPr>
          <w:p>
            <w:pPr>
              <w:pStyle w:val="13"/>
            </w:pPr>
            <w:r>
              <w:t>≤12.2万元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15、石财教[2024]118号提前下达2025年省级体育彩票公益金（乡镇体育工程建设）绩效目标表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13011025P00006610009G</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石财教[2024]118号提前下达2025年省级体育彩票公益金（乡镇体育工程建设）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为乡镇（街道）建设乡镇级健身场地及设施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1.为乡镇（街道）建设乡镇级健身场地及设施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为乡镇（街道）建设乡镇级健身设施</w:t>
            </w:r>
          </w:p>
        </w:tc>
        <w:tc>
          <w:tcPr>
            <w:tcW w:w="5386" w:type="dxa"/>
            <w:vAlign w:val="center"/>
          </w:tcPr>
          <w:p>
            <w:pPr>
              <w:pStyle w:val="13"/>
            </w:pPr>
            <w:r>
              <w:t>为乡镇（街道）建设乡镇级健身设施1处</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健身设施质量合格率</w:t>
            </w:r>
          </w:p>
        </w:tc>
        <w:tc>
          <w:tcPr>
            <w:tcW w:w="5386" w:type="dxa"/>
            <w:vAlign w:val="center"/>
          </w:tcPr>
          <w:p>
            <w:pPr>
              <w:pStyle w:val="13"/>
            </w:pPr>
            <w:r>
              <w:t>健身设施质量合格率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健身设施购置成本标准</w:t>
            </w:r>
          </w:p>
        </w:tc>
        <w:tc>
          <w:tcPr>
            <w:tcW w:w="5386" w:type="dxa"/>
            <w:vAlign w:val="center"/>
          </w:tcPr>
          <w:p>
            <w:pPr>
              <w:pStyle w:val="13"/>
            </w:pPr>
            <w:r>
              <w:t>健身设施购置成本标准</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16、石财教[2024]127号提前下达2025年市级公共文化服务体系建设资金（一般项目）绩效目标表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13011025P000067100019</w:t>
            </w:r>
          </w:p>
        </w:tc>
        <w:tc>
          <w:tcPr>
            <w:tcW w:w="2835" w:type="dxa"/>
            <w:vAlign w:val="center"/>
          </w:tcPr>
          <w:p>
            <w:pPr>
              <w:pStyle w:val="11"/>
            </w:pPr>
            <w:r>
              <w:t>项目名称</w:t>
            </w:r>
          </w:p>
        </w:tc>
        <w:tc>
          <w:tcPr>
            <w:tcW w:w="6095" w:type="dxa"/>
            <w:gridSpan w:val="3"/>
            <w:vAlign w:val="center"/>
          </w:tcPr>
          <w:p>
            <w:pPr>
              <w:pStyle w:val="13"/>
            </w:pPr>
            <w:r>
              <w:t>石财教[2024]127号提前下达2025年市级公共文化服务体系建设资金（一般项目）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w:t>
            </w:r>
          </w:p>
        </w:tc>
        <w:tc>
          <w:tcPr>
            <w:tcW w:w="2835" w:type="dxa"/>
            <w:vAlign w:val="center"/>
          </w:tcPr>
          <w:p>
            <w:pPr>
              <w:pStyle w:val="11"/>
            </w:pPr>
            <w:r>
              <w:t>其中：财政    资金</w:t>
            </w:r>
          </w:p>
        </w:tc>
        <w:tc>
          <w:tcPr>
            <w:tcW w:w="2551" w:type="dxa"/>
            <w:vAlign w:val="center"/>
          </w:tcPr>
          <w:p>
            <w:pPr>
              <w:pStyle w:val="13"/>
            </w:pPr>
            <w:r>
              <w:t>2.11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举办群众文化活动3场次，完善公共文化服务设施，提高机构公共文化服务能力。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1.举办群众文化活动3场次，完善公共文化服务设施，提高机构公共文化服务能力。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开展群众文化活动场次</w:t>
            </w:r>
          </w:p>
        </w:tc>
        <w:tc>
          <w:tcPr>
            <w:tcW w:w="5386" w:type="dxa"/>
            <w:vAlign w:val="center"/>
          </w:tcPr>
          <w:p>
            <w:pPr>
              <w:pStyle w:val="13"/>
            </w:pPr>
            <w:r>
              <w:t>开展群众文化活动场次</w:t>
            </w:r>
          </w:p>
        </w:tc>
        <w:tc>
          <w:tcPr>
            <w:tcW w:w="2268" w:type="dxa"/>
            <w:vAlign w:val="center"/>
          </w:tcPr>
          <w:p>
            <w:pPr>
              <w:pStyle w:val="13"/>
            </w:pPr>
            <w:r>
              <w:t>≥3场次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各项工作完成时间</w:t>
            </w:r>
          </w:p>
        </w:tc>
        <w:tc>
          <w:tcPr>
            <w:tcW w:w="5386" w:type="dxa"/>
            <w:vAlign w:val="center"/>
          </w:tcPr>
          <w:p>
            <w:pPr>
              <w:pStyle w:val="13"/>
            </w:pPr>
            <w:r>
              <w:t>各项工作完成时间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17、石财教[2024]91号提前下达2025年公共体育场馆免费开放或低收费补助资金（滑冰馆）绩效目标表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13011025P00006610004E</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通过鹿泉区滑冰馆组织开展冰雪赛事活动、培训提升鹿泉区冰雪运动发展。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1.通过鹿泉区滑冰馆组织开展冰雪赛事活动、培训提升鹿泉区冰雪运动发展。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滑冰馆冰面可使用面积</w:t>
            </w:r>
          </w:p>
        </w:tc>
        <w:tc>
          <w:tcPr>
            <w:tcW w:w="5386" w:type="dxa"/>
            <w:vAlign w:val="center"/>
          </w:tcPr>
          <w:p>
            <w:pPr>
              <w:pStyle w:val="13"/>
            </w:pPr>
            <w:r>
              <w:t>滑冰馆冰面可使用有效面积</w:t>
            </w:r>
          </w:p>
        </w:tc>
        <w:tc>
          <w:tcPr>
            <w:tcW w:w="2268" w:type="dxa"/>
            <w:vAlign w:val="center"/>
          </w:tcPr>
          <w:p>
            <w:pPr>
              <w:pStyle w:val="13"/>
            </w:pPr>
            <w:r>
              <w:t>≥450平米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举办冰雪赛事活动的场次</w:t>
            </w:r>
          </w:p>
        </w:tc>
        <w:tc>
          <w:tcPr>
            <w:tcW w:w="5386" w:type="dxa"/>
            <w:vAlign w:val="center"/>
          </w:tcPr>
          <w:p>
            <w:pPr>
              <w:pStyle w:val="13"/>
            </w:pPr>
            <w:r>
              <w:t>举办冰雪赛事活动的场次</w:t>
            </w:r>
          </w:p>
        </w:tc>
        <w:tc>
          <w:tcPr>
            <w:tcW w:w="2268" w:type="dxa"/>
            <w:vAlign w:val="center"/>
          </w:tcPr>
          <w:p>
            <w:pPr>
              <w:pStyle w:val="13"/>
            </w:pPr>
            <w:r>
              <w:t>≥20场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冰雪赛事完成率</w:t>
            </w:r>
          </w:p>
        </w:tc>
        <w:tc>
          <w:tcPr>
            <w:tcW w:w="5386" w:type="dxa"/>
            <w:vAlign w:val="center"/>
          </w:tcPr>
          <w:p>
            <w:pPr>
              <w:pStyle w:val="13"/>
            </w:pPr>
            <w:r>
              <w:t>冰雪赛事完成率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≤20万元/年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比赛完成时间</w:t>
            </w:r>
          </w:p>
        </w:tc>
        <w:tc>
          <w:tcPr>
            <w:tcW w:w="5386" w:type="dxa"/>
            <w:vAlign w:val="center"/>
          </w:tcPr>
          <w:p>
            <w:pPr>
              <w:pStyle w:val="13"/>
            </w:pPr>
            <w:r>
              <w:t>比赛完成时间</w:t>
            </w:r>
          </w:p>
        </w:tc>
        <w:tc>
          <w:tcPr>
            <w:tcW w:w="2268" w:type="dxa"/>
            <w:vAlign w:val="center"/>
          </w:tcPr>
          <w:p>
            <w:pPr>
              <w:pStyle w:val="13"/>
            </w:pPr>
            <w:r>
              <w:t>2025年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18、石财教[2024]91号提前下达2025年公共体育场馆免费开放或低收费补助资金（全民健身中心）绩效目标表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13011025P000066100027</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34.53</w:t>
            </w:r>
          </w:p>
        </w:tc>
        <w:tc>
          <w:tcPr>
            <w:tcW w:w="2835" w:type="dxa"/>
            <w:vAlign w:val="center"/>
          </w:tcPr>
          <w:p>
            <w:pPr>
              <w:pStyle w:val="11"/>
            </w:pPr>
            <w:r>
              <w:t>其中：财政    资金</w:t>
            </w:r>
          </w:p>
        </w:tc>
        <w:tc>
          <w:tcPr>
            <w:tcW w:w="2551" w:type="dxa"/>
            <w:vAlign w:val="center"/>
          </w:tcPr>
          <w:p>
            <w:pPr>
              <w:pStyle w:val="13"/>
            </w:pPr>
            <w:r>
              <w:t>34.53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通过全民健身中心组织开展大型体育群众赛事和体育设施开放提升鹿泉区体育事业高质量发展。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1.通过全民健身中心组织开展大型体育群众赛事和体育设施开放提升鹿泉区体育事业高质量发展。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大型及群众体育赛事活动参与人数</w:t>
            </w:r>
          </w:p>
        </w:tc>
        <w:tc>
          <w:tcPr>
            <w:tcW w:w="5386" w:type="dxa"/>
            <w:vAlign w:val="center"/>
          </w:tcPr>
          <w:p>
            <w:pPr>
              <w:pStyle w:val="13"/>
            </w:pPr>
            <w:r>
              <w:t>参加大型及体育赛事活动参与人数</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全民健身中心体育设施使用人次</w:t>
            </w:r>
          </w:p>
        </w:tc>
        <w:tc>
          <w:tcPr>
            <w:tcW w:w="5386" w:type="dxa"/>
            <w:vAlign w:val="center"/>
          </w:tcPr>
          <w:p>
            <w:pPr>
              <w:pStyle w:val="13"/>
            </w:pPr>
            <w:r>
              <w:t>群众在全民健身中心使用体育设施开展锻炼人次</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全民健身中心体育设施可使用率</w:t>
            </w:r>
          </w:p>
        </w:tc>
        <w:tc>
          <w:tcPr>
            <w:tcW w:w="5386" w:type="dxa"/>
            <w:vAlign w:val="center"/>
          </w:tcPr>
          <w:p>
            <w:pPr>
              <w:pStyle w:val="13"/>
            </w:pPr>
            <w:r>
              <w:t>保障全民健身中心可供群众使用的体育设施率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场馆日常运维费用标准</w:t>
            </w:r>
          </w:p>
        </w:tc>
        <w:tc>
          <w:tcPr>
            <w:tcW w:w="5386" w:type="dxa"/>
            <w:vAlign w:val="center"/>
          </w:tcPr>
          <w:p>
            <w:pPr>
              <w:pStyle w:val="13"/>
            </w:pPr>
            <w:r>
              <w:t>场馆日常运维费用标准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体育赛事费用标准</w:t>
            </w:r>
          </w:p>
        </w:tc>
        <w:tc>
          <w:tcPr>
            <w:tcW w:w="5386" w:type="dxa"/>
            <w:vAlign w:val="center"/>
          </w:tcPr>
          <w:p>
            <w:pPr>
              <w:pStyle w:val="13"/>
            </w:pPr>
            <w:r>
              <w:t>体育赛事费用标准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19、石财教[2025]39号下达2025年省级公共文化服务体系建设补助资金（一般项目和绩效奖励）绩效目标表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13011025P00001211212X</w:t>
            </w:r>
          </w:p>
        </w:tc>
        <w:tc>
          <w:tcPr>
            <w:tcW w:w="2835" w:type="dxa"/>
            <w:vAlign w:val="center"/>
          </w:tcPr>
          <w:p>
            <w:pPr>
              <w:pStyle w:val="11"/>
            </w:pPr>
            <w:r>
              <w:t>项目名称</w:t>
            </w:r>
          </w:p>
        </w:tc>
        <w:tc>
          <w:tcPr>
            <w:tcW w:w="6095" w:type="dxa"/>
            <w:gridSpan w:val="3"/>
            <w:vAlign w:val="center"/>
          </w:tcPr>
          <w:p>
            <w:pPr>
              <w:pStyle w:val="13"/>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8.92</w:t>
            </w:r>
          </w:p>
        </w:tc>
        <w:tc>
          <w:tcPr>
            <w:tcW w:w="2835" w:type="dxa"/>
            <w:vAlign w:val="center"/>
          </w:tcPr>
          <w:p>
            <w:pPr>
              <w:pStyle w:val="11"/>
            </w:pPr>
            <w:r>
              <w:t>其中：财政    资金</w:t>
            </w:r>
          </w:p>
        </w:tc>
        <w:tc>
          <w:tcPr>
            <w:tcW w:w="2551" w:type="dxa"/>
            <w:vAlign w:val="center"/>
          </w:tcPr>
          <w:p>
            <w:pPr>
              <w:pStyle w:val="13"/>
            </w:pPr>
            <w:r>
              <w:t>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通过开展戏曲活动，丰富人民群众精神文化生活，增强获得感和幸福感。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戏曲演出（场）</w:t>
            </w:r>
          </w:p>
        </w:tc>
        <w:tc>
          <w:tcPr>
            <w:tcW w:w="5386" w:type="dxa"/>
            <w:vAlign w:val="center"/>
          </w:tcPr>
          <w:p>
            <w:pPr>
              <w:pStyle w:val="13"/>
            </w:pPr>
            <w:r>
              <w:t>戏曲演出（场）</w:t>
            </w:r>
          </w:p>
        </w:tc>
        <w:tc>
          <w:tcPr>
            <w:tcW w:w="2268" w:type="dxa"/>
            <w:vAlign w:val="center"/>
          </w:tcPr>
          <w:p>
            <w:pPr>
              <w:pStyle w:val="13"/>
            </w:pPr>
            <w:r>
              <w:t>≥15场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排练小戏（台）</w:t>
            </w:r>
          </w:p>
        </w:tc>
        <w:tc>
          <w:tcPr>
            <w:tcW w:w="5386" w:type="dxa"/>
            <w:vAlign w:val="center"/>
          </w:tcPr>
          <w:p>
            <w:pPr>
              <w:pStyle w:val="13"/>
            </w:pPr>
            <w:r>
              <w:t>排练小戏（台）</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演职人员补助标准（人/天）</w:t>
            </w:r>
          </w:p>
        </w:tc>
        <w:tc>
          <w:tcPr>
            <w:tcW w:w="2268" w:type="dxa"/>
            <w:vAlign w:val="center"/>
          </w:tcPr>
          <w:p>
            <w:pPr>
              <w:pStyle w:val="13"/>
            </w:pPr>
            <w:r>
              <w:t>≤150元/天/人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增加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20、石财教[2025]39号下达2025年中央支持地方公共体育场馆向社会免费或低收费开放（区滑冰馆）绩效目标表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13011025P00001211209B</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通过滑冰馆组织开展赛事活动和培训，提升鹿泉区冰雪运动发展。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1.通过滑冰馆组织开展赛事活动和培训，提升鹿泉区冰雪运动发展。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培训赛事组织开展场次</w:t>
            </w:r>
          </w:p>
        </w:tc>
        <w:tc>
          <w:tcPr>
            <w:tcW w:w="5386" w:type="dxa"/>
            <w:vAlign w:val="center"/>
          </w:tcPr>
          <w:p>
            <w:pPr>
              <w:pStyle w:val="13"/>
            </w:pPr>
            <w:r>
              <w:t>培训赛事组织开展场次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设施运转完好率</w:t>
            </w:r>
          </w:p>
        </w:tc>
        <w:tc>
          <w:tcPr>
            <w:tcW w:w="5386" w:type="dxa"/>
            <w:vAlign w:val="center"/>
          </w:tcPr>
          <w:p>
            <w:pPr>
              <w:pStyle w:val="13"/>
            </w:pPr>
            <w:r>
              <w:t>设施运转完好率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持续提升冰雪运动发展</w:t>
            </w:r>
          </w:p>
        </w:tc>
        <w:tc>
          <w:tcPr>
            <w:tcW w:w="5386" w:type="dxa"/>
            <w:vAlign w:val="center"/>
          </w:tcPr>
          <w:p>
            <w:pPr>
              <w:pStyle w:val="13"/>
            </w:pPr>
            <w:r>
              <w:t>持续提升冰雪运动发展</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赛事、活动参与群众满意度</w:t>
            </w:r>
          </w:p>
        </w:tc>
        <w:tc>
          <w:tcPr>
            <w:tcW w:w="5386" w:type="dxa"/>
            <w:vAlign w:val="center"/>
          </w:tcPr>
          <w:p>
            <w:pPr>
              <w:pStyle w:val="13"/>
            </w:pPr>
            <w:r>
              <w:t>赛事、活动参与群众满意度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21、石财教[2025]39号下达2025年中央支持地方公共体育场馆向社会免费或低收费开放（区全民健身中心）绩效目标表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13011025P000012112074</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组织开展群众体育活动和相关培训，提升全民健身意识。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1.通过全民健身中心参与、组织开展群众体育活动和相关培训，提升全民健身意识。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体育设施运转完好可提供体育运动基本需求</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场馆参与组织赛事活动次数</w:t>
            </w:r>
          </w:p>
        </w:tc>
        <w:tc>
          <w:tcPr>
            <w:tcW w:w="5386" w:type="dxa"/>
            <w:vAlign w:val="center"/>
          </w:tcPr>
          <w:p>
            <w:pPr>
              <w:pStyle w:val="13"/>
            </w:pPr>
            <w:r>
              <w:t>场馆参与组织赛事活动次数</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22、石财教[2025]43号下达2025年旅游发展基金补助地方项目资金绩效目标表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13011025P00001211201E</w:t>
            </w:r>
          </w:p>
        </w:tc>
        <w:tc>
          <w:tcPr>
            <w:tcW w:w="2835" w:type="dxa"/>
            <w:vAlign w:val="center"/>
          </w:tcPr>
          <w:p>
            <w:pPr>
              <w:pStyle w:val="11"/>
            </w:pPr>
            <w:r>
              <w:t>项目名称</w:t>
            </w:r>
          </w:p>
        </w:tc>
        <w:tc>
          <w:tcPr>
            <w:tcW w:w="6095" w:type="dxa"/>
            <w:gridSpan w:val="3"/>
            <w:vAlign w:val="center"/>
          </w:tcPr>
          <w:p>
            <w:pPr>
              <w:pStyle w:val="13"/>
            </w:pPr>
            <w:r>
              <w:t>石财教[2025]43号下达2025年旅游发展基金补助地方项目资金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27.65</w:t>
            </w:r>
          </w:p>
        </w:tc>
        <w:tc>
          <w:tcPr>
            <w:tcW w:w="2835" w:type="dxa"/>
            <w:vAlign w:val="center"/>
          </w:tcPr>
          <w:p>
            <w:pPr>
              <w:pStyle w:val="11"/>
            </w:pPr>
            <w:r>
              <w:t>其中：财政    资金</w:t>
            </w:r>
          </w:p>
        </w:tc>
        <w:tc>
          <w:tcPr>
            <w:tcW w:w="2551" w:type="dxa"/>
            <w:vAlign w:val="center"/>
          </w:tcPr>
          <w:p>
            <w:pPr>
              <w:pStyle w:val="13"/>
            </w:pPr>
            <w:r>
              <w:t>27.65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支持地方提升旅游公共服务水平，加强旅游宣传推广，推进旅游业转型升级融合发展，促进文化 和旅游消费，推动旅游业高质量发展。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1.支持地方提升旅游公共服务水平，加强旅游宣传推广，推进旅游业转型升级融合发展，促进文化 和旅游消费，推动旅游业高质量发展。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A级旅游景区旅游公共服务水平提升个数</w:t>
            </w:r>
          </w:p>
        </w:tc>
        <w:tc>
          <w:tcPr>
            <w:tcW w:w="5386" w:type="dxa"/>
            <w:vAlign w:val="center"/>
          </w:tcPr>
          <w:p>
            <w:pPr>
              <w:pStyle w:val="13"/>
            </w:pPr>
            <w:r>
              <w:t>A级旅游景区旅游公共服务水平提升个数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宣传推广旅游景区、旅游度假区、旅游休闲城市和街区个数</w:t>
            </w:r>
          </w:p>
        </w:tc>
        <w:tc>
          <w:tcPr>
            <w:tcW w:w="5386" w:type="dxa"/>
            <w:vAlign w:val="center"/>
          </w:tcPr>
          <w:p>
            <w:pPr>
              <w:pStyle w:val="13"/>
            </w:pPr>
            <w:r>
              <w:t>宣传推广旅游景区、旅游度假区、旅游休闲城市和街区个数</w:t>
            </w:r>
          </w:p>
        </w:tc>
        <w:tc>
          <w:tcPr>
            <w:tcW w:w="2268" w:type="dxa"/>
            <w:vAlign w:val="center"/>
          </w:tcPr>
          <w:p>
            <w:pPr>
              <w:pStyle w:val="13"/>
            </w:pPr>
            <w:r>
              <w:t>≥10个</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宣传品制作数量</w:t>
            </w:r>
          </w:p>
        </w:tc>
        <w:tc>
          <w:tcPr>
            <w:tcW w:w="5386" w:type="dxa"/>
            <w:vAlign w:val="center"/>
          </w:tcPr>
          <w:p>
            <w:pPr>
              <w:pStyle w:val="13"/>
            </w:pPr>
            <w:r>
              <w:t>宣传品制作数量</w:t>
            </w:r>
          </w:p>
        </w:tc>
        <w:tc>
          <w:tcPr>
            <w:tcW w:w="2268" w:type="dxa"/>
            <w:vAlign w:val="center"/>
          </w:tcPr>
          <w:p>
            <w:pPr>
              <w:pStyle w:val="13"/>
            </w:pPr>
            <w:r>
              <w:t>≥500件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支持旅游业转型升级融合发展和旅游业产品创新的项目个数</w:t>
            </w:r>
          </w:p>
        </w:tc>
        <w:tc>
          <w:tcPr>
            <w:tcW w:w="5386" w:type="dxa"/>
            <w:vAlign w:val="center"/>
          </w:tcPr>
          <w:p>
            <w:pPr>
              <w:pStyle w:val="13"/>
            </w:pPr>
            <w:r>
              <w:t>支持旅游业转型升级融合发展和旅游业产品创新的项目个数</w:t>
            </w:r>
          </w:p>
        </w:tc>
        <w:tc>
          <w:tcPr>
            <w:tcW w:w="2268" w:type="dxa"/>
            <w:vAlign w:val="center"/>
          </w:tcPr>
          <w:p>
            <w:pPr>
              <w:pStyle w:val="13"/>
            </w:pPr>
            <w:r>
              <w:t>≥1个</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举办旅游消费促进活动场次</w:t>
            </w:r>
          </w:p>
        </w:tc>
        <w:tc>
          <w:tcPr>
            <w:tcW w:w="5386" w:type="dxa"/>
            <w:vAlign w:val="center"/>
          </w:tcPr>
          <w:p>
            <w:pPr>
              <w:pStyle w:val="13"/>
            </w:pPr>
            <w:r>
              <w:t>举办旅游消费促进活动场次</w:t>
            </w:r>
          </w:p>
        </w:tc>
        <w:tc>
          <w:tcPr>
            <w:tcW w:w="2268" w:type="dxa"/>
            <w:vAlign w:val="center"/>
          </w:tcPr>
          <w:p>
            <w:pPr>
              <w:pStyle w:val="13"/>
            </w:pPr>
            <w:r>
              <w:t>≤2场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景区公共信息服务、引导标识服务覆盖率</w:t>
            </w:r>
          </w:p>
        </w:tc>
        <w:tc>
          <w:tcPr>
            <w:tcW w:w="5386" w:type="dxa"/>
            <w:vAlign w:val="center"/>
          </w:tcPr>
          <w:p>
            <w:pPr>
              <w:pStyle w:val="13"/>
            </w:pPr>
            <w:r>
              <w:t>景区公共信息服务、引导标识服务覆盖率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项目完工时间</w:t>
            </w:r>
          </w:p>
        </w:tc>
        <w:tc>
          <w:tcPr>
            <w:tcW w:w="5386" w:type="dxa"/>
            <w:vAlign w:val="center"/>
          </w:tcPr>
          <w:p>
            <w:pPr>
              <w:pStyle w:val="13"/>
            </w:pPr>
            <w:r>
              <w:t>项目完工时间</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成相关工作服务总费用</w:t>
            </w:r>
          </w:p>
        </w:tc>
        <w:tc>
          <w:tcPr>
            <w:tcW w:w="5386" w:type="dxa"/>
            <w:vAlign w:val="center"/>
          </w:tcPr>
          <w:p>
            <w:pPr>
              <w:pStyle w:val="13"/>
            </w:pPr>
            <w:r>
              <w:t>成相关工作服务总费用</w:t>
            </w:r>
          </w:p>
        </w:tc>
        <w:tc>
          <w:tcPr>
            <w:tcW w:w="2268" w:type="dxa"/>
            <w:vAlign w:val="center"/>
          </w:tcPr>
          <w:p>
            <w:pPr>
              <w:pStyle w:val="13"/>
            </w:pPr>
            <w:r>
              <w:t>≤40万元</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国内旅游收入增长率</w:t>
            </w:r>
          </w:p>
        </w:tc>
        <w:tc>
          <w:tcPr>
            <w:tcW w:w="5386" w:type="dxa"/>
            <w:vAlign w:val="center"/>
          </w:tcPr>
          <w:p>
            <w:pPr>
              <w:pStyle w:val="13"/>
            </w:pPr>
            <w:r>
              <w:t>国内旅游收入增长率</w:t>
            </w:r>
          </w:p>
        </w:tc>
        <w:tc>
          <w:tcPr>
            <w:tcW w:w="2268" w:type="dxa"/>
            <w:vAlign w:val="center"/>
          </w:tcPr>
          <w:p>
            <w:pPr>
              <w:pStyle w:val="13"/>
            </w:pPr>
            <w:r>
              <w:t>≥2%</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乡村旅游接待人次增长率</w:t>
            </w:r>
          </w:p>
        </w:tc>
        <w:tc>
          <w:tcPr>
            <w:tcW w:w="5386" w:type="dxa"/>
            <w:vAlign w:val="center"/>
          </w:tcPr>
          <w:p>
            <w:pPr>
              <w:pStyle w:val="13"/>
            </w:pPr>
            <w:r>
              <w:t>乡村旅游接待人次增长率</w:t>
            </w:r>
          </w:p>
        </w:tc>
        <w:tc>
          <w:tcPr>
            <w:tcW w:w="2268" w:type="dxa"/>
            <w:vAlign w:val="center"/>
          </w:tcPr>
          <w:p>
            <w:pPr>
              <w:pStyle w:val="13"/>
            </w:pPr>
            <w:r>
              <w:t>≥6%</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红色旅游接待人次增长率</w:t>
            </w:r>
          </w:p>
        </w:tc>
        <w:tc>
          <w:tcPr>
            <w:tcW w:w="5386" w:type="dxa"/>
            <w:vAlign w:val="center"/>
          </w:tcPr>
          <w:p>
            <w:pPr>
              <w:pStyle w:val="13"/>
            </w:pPr>
            <w:r>
              <w:t>红色旅游接待人次增长率</w:t>
            </w:r>
          </w:p>
        </w:tc>
        <w:tc>
          <w:tcPr>
            <w:tcW w:w="2268" w:type="dxa"/>
            <w:vAlign w:val="center"/>
          </w:tcPr>
          <w:p>
            <w:pPr>
              <w:pStyle w:val="13"/>
            </w:pPr>
            <w:r>
              <w:t>≥6%</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项目开展时长</w:t>
            </w:r>
          </w:p>
        </w:tc>
        <w:tc>
          <w:tcPr>
            <w:tcW w:w="5386" w:type="dxa"/>
            <w:vAlign w:val="center"/>
          </w:tcPr>
          <w:p>
            <w:pPr>
              <w:pStyle w:val="13"/>
            </w:pPr>
            <w:r>
              <w:t>项目开展时长</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旅游公共服务群众满意度</w:t>
            </w:r>
          </w:p>
        </w:tc>
        <w:tc>
          <w:tcPr>
            <w:tcW w:w="5386" w:type="dxa"/>
            <w:vAlign w:val="center"/>
          </w:tcPr>
          <w:p>
            <w:pPr>
              <w:pStyle w:val="13"/>
            </w:pPr>
            <w:r>
              <w:t>旅游公共服务群众满意度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23、石井乡环山路建设工程(2024Z)绩效目标表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13011026P00162110065F</w:t>
            </w:r>
          </w:p>
        </w:tc>
        <w:tc>
          <w:tcPr>
            <w:tcW w:w="2835" w:type="dxa"/>
            <w:vAlign w:val="center"/>
          </w:tcPr>
          <w:p>
            <w:pPr>
              <w:pStyle w:val="11"/>
            </w:pPr>
            <w:r>
              <w:t>项目名称</w:t>
            </w:r>
          </w:p>
        </w:tc>
        <w:tc>
          <w:tcPr>
            <w:tcW w:w="6095" w:type="dxa"/>
            <w:gridSpan w:val="3"/>
            <w:vAlign w:val="center"/>
          </w:tcPr>
          <w:p>
            <w:pPr>
              <w:pStyle w:val="13"/>
            </w:pPr>
            <w:r>
              <w:t>石井乡环山路建设工程(2024Z)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550.00</w:t>
            </w:r>
          </w:p>
        </w:tc>
        <w:tc>
          <w:tcPr>
            <w:tcW w:w="2835" w:type="dxa"/>
            <w:vAlign w:val="center"/>
          </w:tcPr>
          <w:p>
            <w:pPr>
              <w:pStyle w:val="11"/>
            </w:pPr>
            <w:r>
              <w:t>其中：财政    资金</w:t>
            </w:r>
          </w:p>
        </w:tc>
        <w:tc>
          <w:tcPr>
            <w:tcW w:w="2551" w:type="dxa"/>
            <w:vAlign w:val="center"/>
          </w:tcPr>
          <w:p>
            <w:pPr>
              <w:pStyle w:val="13"/>
            </w:pPr>
            <w:r>
              <w:t>550.00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通过修建旅游路，解决石井乡山后张庄村、东庄村村民出行问题，满足旅游车辆增加的交通需求。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1.通过修建旅游路，解决石井乡山后张庄村、东庄村村民出行问题，满足旅游车辆增加的交通需求。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修建旅游路数量</w:t>
            </w:r>
          </w:p>
        </w:tc>
        <w:tc>
          <w:tcPr>
            <w:tcW w:w="5386" w:type="dxa"/>
            <w:vAlign w:val="center"/>
          </w:tcPr>
          <w:p>
            <w:pPr>
              <w:pStyle w:val="13"/>
            </w:pPr>
            <w:r>
              <w:t>修建旅游路数量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修建旅游路公里数</w:t>
            </w:r>
          </w:p>
        </w:tc>
        <w:tc>
          <w:tcPr>
            <w:tcW w:w="5386" w:type="dxa"/>
            <w:vAlign w:val="center"/>
          </w:tcPr>
          <w:p>
            <w:pPr>
              <w:pStyle w:val="13"/>
            </w:pPr>
            <w:r>
              <w:t>修建旅游路公里数</w:t>
            </w:r>
          </w:p>
        </w:tc>
        <w:tc>
          <w:tcPr>
            <w:tcW w:w="2268" w:type="dxa"/>
            <w:vAlign w:val="center"/>
          </w:tcPr>
          <w:p>
            <w:pPr>
              <w:pStyle w:val="13"/>
            </w:pPr>
            <w:r>
              <w:t>10.8公里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100合格率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本年底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≤1365.39万元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促进我区旅游业发展</w:t>
            </w:r>
          </w:p>
        </w:tc>
        <w:tc>
          <w:tcPr>
            <w:tcW w:w="5386" w:type="dxa"/>
            <w:vAlign w:val="center"/>
          </w:tcPr>
          <w:p>
            <w:pPr>
              <w:pStyle w:val="13"/>
            </w:pPr>
            <w:r>
              <w:t>促进我区旅游业发展</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减少环境污染，防止水土流失</w:t>
            </w:r>
          </w:p>
        </w:tc>
        <w:tc>
          <w:tcPr>
            <w:tcW w:w="5386" w:type="dxa"/>
            <w:vAlign w:val="center"/>
          </w:tcPr>
          <w:p>
            <w:pPr>
              <w:pStyle w:val="13"/>
            </w:pPr>
            <w:r>
              <w:t>减少环境污染，防止水土流失</w:t>
            </w:r>
          </w:p>
        </w:tc>
        <w:tc>
          <w:tcPr>
            <w:tcW w:w="2268" w:type="dxa"/>
            <w:vAlign w:val="center"/>
          </w:tcPr>
          <w:p>
            <w:pPr>
              <w:pStyle w:val="13"/>
            </w:pPr>
            <w:r>
              <w:t>明显减少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方便村民生活，提供公共服务</w:t>
            </w:r>
          </w:p>
        </w:tc>
        <w:tc>
          <w:tcPr>
            <w:tcW w:w="5386" w:type="dxa"/>
            <w:vAlign w:val="center"/>
          </w:tcPr>
          <w:p>
            <w:pPr>
              <w:pStyle w:val="13"/>
            </w:pPr>
            <w:r>
              <w:t>方便村民生活，提供公共服务</w:t>
            </w:r>
          </w:p>
        </w:tc>
        <w:tc>
          <w:tcPr>
            <w:tcW w:w="2268" w:type="dxa"/>
            <w:vAlign w:val="center"/>
          </w:tcPr>
          <w:p>
            <w:pPr>
              <w:pStyle w:val="13"/>
            </w:pPr>
            <w:r>
              <w:t>良好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当地村民及乡镇对该项目满意</w:t>
            </w:r>
          </w:p>
        </w:tc>
        <w:tc>
          <w:tcPr>
            <w:tcW w:w="5386" w:type="dxa"/>
            <w:vAlign w:val="center"/>
          </w:tcPr>
          <w:p>
            <w:pPr>
              <w:pStyle w:val="13"/>
            </w:pPr>
            <w:r>
              <w:t>当地村民及乡镇对该项目满意</w:t>
            </w:r>
          </w:p>
        </w:tc>
        <w:tc>
          <w:tcPr>
            <w:tcW w:w="2268" w:type="dxa"/>
            <w:vAlign w:val="center"/>
          </w:tcPr>
          <w:p>
            <w:pPr>
              <w:pStyle w:val="13"/>
            </w:pPr>
            <w:r>
              <w:t>满意</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24、提前下达2026年旅游发展基金补助地方项目资金（旅游厕所提升项目）绩效目标表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13011026P00162210003N</w:t>
            </w:r>
          </w:p>
        </w:tc>
        <w:tc>
          <w:tcPr>
            <w:tcW w:w="2835" w:type="dxa"/>
            <w:vAlign w:val="center"/>
          </w:tcPr>
          <w:p>
            <w:pPr>
              <w:pStyle w:val="11"/>
            </w:pPr>
            <w:r>
              <w:t>项目名称</w:t>
            </w:r>
          </w:p>
        </w:tc>
        <w:tc>
          <w:tcPr>
            <w:tcW w:w="6095" w:type="dxa"/>
            <w:gridSpan w:val="3"/>
            <w:vAlign w:val="center"/>
          </w:tcPr>
          <w:p>
            <w:pPr>
              <w:pStyle w:val="13"/>
            </w:pPr>
            <w:r>
              <w:t>提前下达2026年旅游发展基金补助地方项目资金（旅游厕所提升项目）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11.22</w:t>
            </w:r>
          </w:p>
        </w:tc>
        <w:tc>
          <w:tcPr>
            <w:tcW w:w="2835" w:type="dxa"/>
            <w:vAlign w:val="center"/>
          </w:tcPr>
          <w:p>
            <w:pPr>
              <w:pStyle w:val="11"/>
            </w:pPr>
            <w:r>
              <w:t>其中：财政    资金</w:t>
            </w:r>
          </w:p>
        </w:tc>
        <w:tc>
          <w:tcPr>
            <w:tcW w:w="2551" w:type="dxa"/>
            <w:vAlign w:val="center"/>
          </w:tcPr>
          <w:p>
            <w:pPr>
              <w:pStyle w:val="13"/>
            </w:pPr>
            <w:r>
              <w:t>11.22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通过补助旅游厕所耗材损耗，提升旅游厕所服务水平。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1.通过补助旅游厕所耗材损耗，提升旅游厕所服务水平。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补助A级景区数量</w:t>
            </w:r>
          </w:p>
        </w:tc>
        <w:tc>
          <w:tcPr>
            <w:tcW w:w="5386" w:type="dxa"/>
            <w:vAlign w:val="center"/>
          </w:tcPr>
          <w:p>
            <w:pPr>
              <w:pStyle w:val="13"/>
            </w:pPr>
            <w:r>
              <w:t>补助A级景区数量</w:t>
            </w:r>
          </w:p>
        </w:tc>
        <w:tc>
          <w:tcPr>
            <w:tcW w:w="2268" w:type="dxa"/>
            <w:vAlign w:val="center"/>
          </w:tcPr>
          <w:p>
            <w:pPr>
              <w:pStyle w:val="13"/>
            </w:pPr>
            <w:r>
              <w:t>≥4家</w:t>
            </w:r>
          </w:p>
        </w:tc>
        <w:tc>
          <w:tcPr>
            <w:tcW w:w="1276" w:type="dxa"/>
            <w:vAlign w:val="center"/>
          </w:tcPr>
          <w:p>
            <w:pPr>
              <w:pStyle w:val="13"/>
            </w:pPr>
            <w:r>
              <w:t>按工作计划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厕所耗材质量合格率</w:t>
            </w:r>
          </w:p>
        </w:tc>
        <w:tc>
          <w:tcPr>
            <w:tcW w:w="5386" w:type="dxa"/>
            <w:vAlign w:val="center"/>
          </w:tcPr>
          <w:p>
            <w:pPr>
              <w:pStyle w:val="13"/>
            </w:pPr>
            <w:r>
              <w:t>厕所耗材质量合格率</w:t>
            </w:r>
          </w:p>
        </w:tc>
        <w:tc>
          <w:tcPr>
            <w:tcW w:w="2268" w:type="dxa"/>
            <w:vAlign w:val="center"/>
          </w:tcPr>
          <w:p>
            <w:pPr>
              <w:pStyle w:val="13"/>
            </w:pPr>
            <w:r>
              <w:t>100%</w:t>
            </w:r>
          </w:p>
        </w:tc>
        <w:tc>
          <w:tcPr>
            <w:tcW w:w="1276" w:type="dxa"/>
            <w:vAlign w:val="center"/>
          </w:tcPr>
          <w:p>
            <w:pPr>
              <w:pStyle w:val="13"/>
            </w:pPr>
            <w:r>
              <w:t>按工作计划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补助资金发放时间</w:t>
            </w:r>
          </w:p>
        </w:tc>
        <w:tc>
          <w:tcPr>
            <w:tcW w:w="5386" w:type="dxa"/>
            <w:vAlign w:val="center"/>
          </w:tcPr>
          <w:p>
            <w:pPr>
              <w:pStyle w:val="13"/>
            </w:pPr>
            <w:r>
              <w:t>补助资金发放时间</w:t>
            </w:r>
          </w:p>
        </w:tc>
        <w:tc>
          <w:tcPr>
            <w:tcW w:w="2268" w:type="dxa"/>
            <w:vAlign w:val="center"/>
          </w:tcPr>
          <w:p>
            <w:pPr>
              <w:pStyle w:val="13"/>
            </w:pPr>
            <w:r>
              <w:t>按规定时间</w:t>
            </w:r>
          </w:p>
        </w:tc>
        <w:tc>
          <w:tcPr>
            <w:tcW w:w="1276" w:type="dxa"/>
            <w:vAlign w:val="center"/>
          </w:tcPr>
          <w:p>
            <w:pPr>
              <w:pStyle w:val="13"/>
            </w:pPr>
            <w:r>
              <w:t>按工作计划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w:t>
            </w:r>
          </w:p>
        </w:tc>
        <w:tc>
          <w:tcPr>
            <w:tcW w:w="5386" w:type="dxa"/>
            <w:vAlign w:val="center"/>
          </w:tcPr>
          <w:p>
            <w:pPr>
              <w:pStyle w:val="13"/>
            </w:pPr>
            <w:r>
              <w:t>补助资金标准</w:t>
            </w:r>
          </w:p>
        </w:tc>
        <w:tc>
          <w:tcPr>
            <w:tcW w:w="2268" w:type="dxa"/>
            <w:vAlign w:val="center"/>
          </w:tcPr>
          <w:p>
            <w:pPr>
              <w:pStyle w:val="13"/>
            </w:pPr>
            <w:r>
              <w:t>11.22万元</w:t>
            </w:r>
          </w:p>
        </w:tc>
        <w:tc>
          <w:tcPr>
            <w:tcW w:w="1276" w:type="dxa"/>
            <w:vAlign w:val="center"/>
          </w:tcPr>
          <w:p>
            <w:pPr>
              <w:pStyle w:val="13"/>
            </w:pPr>
            <w:r>
              <w:t>按工作计划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服务人群数量</w:t>
            </w:r>
          </w:p>
        </w:tc>
        <w:tc>
          <w:tcPr>
            <w:tcW w:w="5386" w:type="dxa"/>
            <w:vAlign w:val="center"/>
          </w:tcPr>
          <w:p>
            <w:pPr>
              <w:pStyle w:val="13"/>
            </w:pPr>
            <w:r>
              <w:t>服务人群数量</w:t>
            </w:r>
          </w:p>
        </w:tc>
        <w:tc>
          <w:tcPr>
            <w:tcW w:w="2268" w:type="dxa"/>
            <w:vAlign w:val="center"/>
          </w:tcPr>
          <w:p>
            <w:pPr>
              <w:pStyle w:val="13"/>
            </w:pPr>
            <w:r>
              <w:t>显著扩大</w:t>
            </w:r>
          </w:p>
        </w:tc>
        <w:tc>
          <w:tcPr>
            <w:tcW w:w="1276" w:type="dxa"/>
            <w:vAlign w:val="center"/>
          </w:tcPr>
          <w:p>
            <w:pPr>
              <w:pStyle w:val="13"/>
            </w:pPr>
            <w:r>
              <w:t>按工作计划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推动旅游服务公共服务水平</w:t>
            </w:r>
          </w:p>
        </w:tc>
        <w:tc>
          <w:tcPr>
            <w:tcW w:w="5386" w:type="dxa"/>
            <w:vAlign w:val="center"/>
          </w:tcPr>
          <w:p>
            <w:pPr>
              <w:pStyle w:val="13"/>
            </w:pPr>
            <w:r>
              <w:t>推动旅游服务公共服务水平</w:t>
            </w:r>
          </w:p>
        </w:tc>
        <w:tc>
          <w:tcPr>
            <w:tcW w:w="2268" w:type="dxa"/>
            <w:vAlign w:val="center"/>
          </w:tcPr>
          <w:p>
            <w:pPr>
              <w:pStyle w:val="13"/>
            </w:pPr>
            <w:r>
              <w:t>显著推动</w:t>
            </w:r>
          </w:p>
        </w:tc>
        <w:tc>
          <w:tcPr>
            <w:tcW w:w="1276" w:type="dxa"/>
            <w:vAlign w:val="center"/>
          </w:tcPr>
          <w:p>
            <w:pPr>
              <w:pStyle w:val="13"/>
            </w:pPr>
            <w:r>
              <w:t>按工作计划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游客和服务人员满意度</w:t>
            </w:r>
          </w:p>
        </w:tc>
        <w:tc>
          <w:tcPr>
            <w:tcW w:w="5386" w:type="dxa"/>
            <w:vAlign w:val="center"/>
          </w:tcPr>
          <w:p>
            <w:pPr>
              <w:pStyle w:val="13"/>
            </w:pPr>
            <w:r>
              <w:t>游客和服务人员满意度</w:t>
            </w:r>
          </w:p>
        </w:tc>
        <w:tc>
          <w:tcPr>
            <w:tcW w:w="2268" w:type="dxa"/>
            <w:vAlign w:val="center"/>
          </w:tcPr>
          <w:p>
            <w:pPr>
              <w:pStyle w:val="13"/>
            </w:pPr>
            <w:r>
              <w:t>≥95%</w:t>
            </w:r>
          </w:p>
        </w:tc>
        <w:tc>
          <w:tcPr>
            <w:tcW w:w="1276" w:type="dxa"/>
            <w:vAlign w:val="center"/>
          </w:tcPr>
          <w:p>
            <w:pPr>
              <w:pStyle w:val="13"/>
            </w:pPr>
            <w:r>
              <w:t>按历年经验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25、提前下达2026年省级基础三馆一站免费开放运行保障经费预算的通知绩效目标表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13011026P00001410042M</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拨付13个乡镇省级资金6.5万元，用于开展文化活动约20场，提高我区乡镇文化活动水平，丰富群众业余生活。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1.拨付13个乡镇省级资金6.5万元，用于开展文化活动约20场，提高我区乡镇文化活动水平，丰富群众业余生活。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补助乡镇个数</w:t>
            </w:r>
          </w:p>
        </w:tc>
        <w:tc>
          <w:tcPr>
            <w:tcW w:w="5386" w:type="dxa"/>
            <w:vAlign w:val="center"/>
          </w:tcPr>
          <w:p>
            <w:pPr>
              <w:pStyle w:val="13"/>
            </w:pPr>
            <w:r>
              <w:t>补助乡镇个数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≤20场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举办文化活动教上年增长率</w:t>
            </w:r>
          </w:p>
        </w:tc>
        <w:tc>
          <w:tcPr>
            <w:tcW w:w="5386" w:type="dxa"/>
            <w:vAlign w:val="center"/>
          </w:tcPr>
          <w:p>
            <w:pPr>
              <w:pStyle w:val="13"/>
            </w:pPr>
            <w:r>
              <w:t>举办文化活动教上年增长率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每个乡镇补助标准</w:t>
            </w:r>
          </w:p>
        </w:tc>
        <w:tc>
          <w:tcPr>
            <w:tcW w:w="5386" w:type="dxa"/>
            <w:vAlign w:val="center"/>
          </w:tcPr>
          <w:p>
            <w:pPr>
              <w:pStyle w:val="13"/>
            </w:pPr>
            <w:r>
              <w:t>每个乡镇补助标准</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受益群众满意度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26、提前下达2026年省级体育彩票公益金专项资金（和美乡村建设）绩效目标表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13011026P000066100160</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按照工作计划为1处和美乡村配备健身设施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1.按照工作计划为1处和美乡村配备健身设施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健身设施数量</w:t>
            </w:r>
          </w:p>
        </w:tc>
        <w:tc>
          <w:tcPr>
            <w:tcW w:w="5386" w:type="dxa"/>
            <w:vAlign w:val="center"/>
          </w:tcPr>
          <w:p>
            <w:pPr>
              <w:pStyle w:val="13"/>
            </w:pPr>
            <w:r>
              <w:t>配件健身设施1处</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健身设施合格率</w:t>
            </w:r>
          </w:p>
        </w:tc>
        <w:tc>
          <w:tcPr>
            <w:tcW w:w="5386" w:type="dxa"/>
            <w:vAlign w:val="center"/>
          </w:tcPr>
          <w:p>
            <w:pPr>
              <w:pStyle w:val="13"/>
            </w:pPr>
            <w:r>
              <w:t>配件健身设施合格率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健身设施建设完成时间</w:t>
            </w:r>
          </w:p>
        </w:tc>
        <w:tc>
          <w:tcPr>
            <w:tcW w:w="5386" w:type="dxa"/>
            <w:vAlign w:val="center"/>
          </w:tcPr>
          <w:p>
            <w:pPr>
              <w:pStyle w:val="13"/>
            </w:pPr>
            <w:r>
              <w:t>健身设施建设完成时间</w:t>
            </w:r>
          </w:p>
        </w:tc>
        <w:tc>
          <w:tcPr>
            <w:tcW w:w="2268" w:type="dxa"/>
            <w:vAlign w:val="center"/>
          </w:tcPr>
          <w:p>
            <w:pPr>
              <w:pStyle w:val="13"/>
            </w:pPr>
            <w:r>
              <w:t>11月前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健身设施总费用</w:t>
            </w:r>
          </w:p>
        </w:tc>
        <w:tc>
          <w:tcPr>
            <w:tcW w:w="5386" w:type="dxa"/>
            <w:vAlign w:val="center"/>
          </w:tcPr>
          <w:p>
            <w:pPr>
              <w:pStyle w:val="13"/>
            </w:pPr>
            <w:r>
              <w:t>健身设施总费用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设施开放天数</w:t>
            </w:r>
          </w:p>
        </w:tc>
        <w:tc>
          <w:tcPr>
            <w:tcW w:w="5386" w:type="dxa"/>
            <w:vAlign w:val="center"/>
          </w:tcPr>
          <w:p>
            <w:pPr>
              <w:pStyle w:val="13"/>
            </w:pPr>
            <w:r>
              <w:t>设施开放天数</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受益群众满意度指标</w:t>
            </w:r>
          </w:p>
        </w:tc>
        <w:tc>
          <w:tcPr>
            <w:tcW w:w="5386" w:type="dxa"/>
            <w:vAlign w:val="center"/>
          </w:tcPr>
          <w:p>
            <w:pPr>
              <w:pStyle w:val="13"/>
            </w:pPr>
            <w:r>
              <w:t>受益群众满意度指标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27、提前下达2026年省级体育彩票公益金专项资金（体育消费试点县建设）绩效目标表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13011026P000066100187</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提前下达2026年省级体育彩票公益金专项资金（体育消费试点县建设）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按照省、市体育工作安排和全区体育工作计划持续建设体育消费试点县，举办相关赛事活动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1.按照省、市体育工作安排和全区体育工作计划持续建设体育消费试点县，举办相关赛事活动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举办赛事活动场次</w:t>
            </w:r>
          </w:p>
        </w:tc>
        <w:tc>
          <w:tcPr>
            <w:tcW w:w="5386" w:type="dxa"/>
            <w:vAlign w:val="center"/>
          </w:tcPr>
          <w:p>
            <w:pPr>
              <w:pStyle w:val="13"/>
            </w:pPr>
            <w:r>
              <w:t>按计划举办体育消费相关赛事活动场次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赛事活动举办成功率</w:t>
            </w:r>
          </w:p>
        </w:tc>
        <w:tc>
          <w:tcPr>
            <w:tcW w:w="5386" w:type="dxa"/>
            <w:vAlign w:val="center"/>
          </w:tcPr>
          <w:p>
            <w:pPr>
              <w:pStyle w:val="13"/>
            </w:pPr>
            <w:r>
              <w:t>赛事活动顺利举办、无重大安全问题</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赛事活动举办完成时间</w:t>
            </w:r>
          </w:p>
        </w:tc>
        <w:tc>
          <w:tcPr>
            <w:tcW w:w="5386" w:type="dxa"/>
            <w:vAlign w:val="center"/>
          </w:tcPr>
          <w:p>
            <w:pPr>
              <w:pStyle w:val="13"/>
            </w:pPr>
            <w:r>
              <w:t>年度内所有赛事大活动举办完成时间</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项目总费用</w:t>
            </w:r>
          </w:p>
        </w:tc>
        <w:tc>
          <w:tcPr>
            <w:tcW w:w="5386" w:type="dxa"/>
            <w:vAlign w:val="center"/>
          </w:tcPr>
          <w:p>
            <w:pPr>
              <w:pStyle w:val="13"/>
            </w:pPr>
            <w:r>
              <w:t>试点建设及赛事活动总投入控制在预算内</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带动群众参与消费人数</w:t>
            </w:r>
          </w:p>
        </w:tc>
        <w:tc>
          <w:tcPr>
            <w:tcW w:w="5386" w:type="dxa"/>
            <w:vAlign w:val="center"/>
          </w:tcPr>
          <w:p>
            <w:pPr>
              <w:pStyle w:val="13"/>
            </w:pPr>
            <w:r>
              <w:t>通过试点建设和赛事活动，带动群众参与消费人数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群众体育消费习惯养成率提升</w:t>
            </w:r>
          </w:p>
        </w:tc>
        <w:tc>
          <w:tcPr>
            <w:tcW w:w="5386" w:type="dxa"/>
            <w:vAlign w:val="center"/>
          </w:tcPr>
          <w:p>
            <w:pPr>
              <w:pStyle w:val="13"/>
            </w:pPr>
            <w:r>
              <w:t>通过试点建设和赛事活动，提升群众养成体育消费习惯的比例提升幅度</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参赛群众满意度</w:t>
            </w:r>
          </w:p>
        </w:tc>
        <w:tc>
          <w:tcPr>
            <w:tcW w:w="5386" w:type="dxa"/>
            <w:vAlign w:val="center"/>
          </w:tcPr>
          <w:p>
            <w:pPr>
              <w:pStyle w:val="13"/>
            </w:pPr>
            <w:r>
              <w:t>参与赛事活动的群众对项目的满意度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28、提前下达2026年省级体育彩票公益金专项资金（足篮乒棋比赛）绩效目标表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13011026P00006610017K</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提前下达2026年省级体育彩票公益金专项资金（足篮乒棋比赛）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按照省、市体育工作安排和全区体育工作计划组织举办足篮乒棋项目比赛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1.按照省、市体育工作安排和全区体育工作计划组织举办足篮乒棋项目比赛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举办活动数量</w:t>
            </w:r>
          </w:p>
        </w:tc>
        <w:tc>
          <w:tcPr>
            <w:tcW w:w="5386" w:type="dxa"/>
            <w:vAlign w:val="center"/>
          </w:tcPr>
          <w:p>
            <w:pPr>
              <w:pStyle w:val="13"/>
            </w:pPr>
            <w:r>
              <w:t>按照活动计划举办活动数量</w:t>
            </w:r>
          </w:p>
        </w:tc>
        <w:tc>
          <w:tcPr>
            <w:tcW w:w="2268" w:type="dxa"/>
            <w:vAlign w:val="center"/>
          </w:tcPr>
          <w:p>
            <w:pPr>
              <w:pStyle w:val="13"/>
            </w:pPr>
            <w:r>
              <w:t>≥4项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活动举办成功率</w:t>
            </w:r>
          </w:p>
        </w:tc>
        <w:tc>
          <w:tcPr>
            <w:tcW w:w="5386" w:type="dxa"/>
            <w:vAlign w:val="center"/>
          </w:tcPr>
          <w:p>
            <w:pPr>
              <w:pStyle w:val="13"/>
            </w:pPr>
            <w:r>
              <w:t>活动举办成功率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活动举办完成时间</w:t>
            </w:r>
          </w:p>
        </w:tc>
        <w:tc>
          <w:tcPr>
            <w:tcW w:w="5386" w:type="dxa"/>
            <w:vAlign w:val="center"/>
          </w:tcPr>
          <w:p>
            <w:pPr>
              <w:pStyle w:val="13"/>
            </w:pPr>
            <w:r>
              <w:t>活动举办完成时间</w:t>
            </w:r>
          </w:p>
        </w:tc>
        <w:tc>
          <w:tcPr>
            <w:tcW w:w="2268" w:type="dxa"/>
            <w:vAlign w:val="center"/>
          </w:tcPr>
          <w:p>
            <w:pPr>
              <w:pStyle w:val="13"/>
            </w:pPr>
            <w:r>
              <w:t>12月前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活动举办总费用</w:t>
            </w:r>
          </w:p>
        </w:tc>
        <w:tc>
          <w:tcPr>
            <w:tcW w:w="5386" w:type="dxa"/>
            <w:vAlign w:val="center"/>
          </w:tcPr>
          <w:p>
            <w:pPr>
              <w:pStyle w:val="13"/>
            </w:pPr>
            <w:r>
              <w:t>活动举办总费用</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带动群众参与体育活动人数</w:t>
            </w:r>
          </w:p>
        </w:tc>
        <w:tc>
          <w:tcPr>
            <w:tcW w:w="5386" w:type="dxa"/>
            <w:vAlign w:val="center"/>
          </w:tcPr>
          <w:p>
            <w:pPr>
              <w:pStyle w:val="13"/>
            </w:pPr>
            <w:r>
              <w:t>通过举办比赛，带动辖区群众参与体育活动的人数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群众日常体育锻炼参与率提升</w:t>
            </w:r>
          </w:p>
        </w:tc>
        <w:tc>
          <w:tcPr>
            <w:tcW w:w="5386" w:type="dxa"/>
            <w:vAlign w:val="center"/>
          </w:tcPr>
          <w:p>
            <w:pPr>
              <w:pStyle w:val="13"/>
            </w:pPr>
            <w:r>
              <w:t>通过举办比赛，辖区内群众参与日常体育锻炼的比提升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参赛选手、现场观众等对比赛的满意度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29、提前下达2026年市级公共文化服务体系建设专项资金（三馆一站免费开放）绩效目标表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拨付13个乡镇市级免费开放资金6.5万元，每个乡镇不高于0.5万元。乡镇用于组织公益性群众文化活动20场。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1.拨付13个乡镇市级免费开放资金6.5万元，每个乡镇不高于0.5万元。乡镇用于组织公益性群众文化活动20场。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补助乡镇个数</w:t>
            </w:r>
          </w:p>
        </w:tc>
        <w:tc>
          <w:tcPr>
            <w:tcW w:w="5386" w:type="dxa"/>
            <w:vAlign w:val="center"/>
          </w:tcPr>
          <w:p>
            <w:pPr>
              <w:pStyle w:val="13"/>
            </w:pPr>
            <w:r>
              <w:t>补助乡镇个数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≤20场次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举办文化活动教上年增长率</w:t>
            </w:r>
          </w:p>
        </w:tc>
        <w:tc>
          <w:tcPr>
            <w:tcW w:w="5386" w:type="dxa"/>
            <w:vAlign w:val="center"/>
          </w:tcPr>
          <w:p>
            <w:pPr>
              <w:pStyle w:val="13"/>
            </w:pPr>
            <w:r>
              <w:t>举办文化活动教上年增长率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每个乡镇补助标准</w:t>
            </w:r>
          </w:p>
        </w:tc>
        <w:tc>
          <w:tcPr>
            <w:tcW w:w="5386" w:type="dxa"/>
            <w:vAlign w:val="center"/>
          </w:tcPr>
          <w:p>
            <w:pPr>
              <w:pStyle w:val="13"/>
            </w:pPr>
            <w:r>
              <w:t>每个乡镇补助标准</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受益人群满意人数占受益总人数的比例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30、提前下达2026年市级公共文化服务体系建设专项资金（一般项目）绩效目标表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13011026P00006710006R</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w:t>
            </w:r>
          </w:p>
        </w:tc>
        <w:tc>
          <w:tcPr>
            <w:tcW w:w="2835" w:type="dxa"/>
            <w:vAlign w:val="center"/>
          </w:tcPr>
          <w:p>
            <w:pPr>
              <w:pStyle w:val="11"/>
            </w:pPr>
            <w:r>
              <w:t>其中：财政    资金</w:t>
            </w:r>
          </w:p>
        </w:tc>
        <w:tc>
          <w:tcPr>
            <w:tcW w:w="2551" w:type="dxa"/>
            <w:vAlign w:val="center"/>
          </w:tcPr>
          <w:p>
            <w:pPr>
              <w:pStyle w:val="13"/>
            </w:pPr>
            <w:r>
              <w:t>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依据2026年工作计划，开展文化活动4场，提高群众文化生活，丰富群众业余生活。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1.依据2026年工作计划，开展文化活动4场，提高群众文化生活，丰富群众业余生活。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≤4场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每场活动补助</w:t>
            </w:r>
          </w:p>
        </w:tc>
        <w:tc>
          <w:tcPr>
            <w:tcW w:w="5386" w:type="dxa"/>
            <w:vAlign w:val="center"/>
          </w:tcPr>
          <w:p>
            <w:pPr>
              <w:pStyle w:val="13"/>
            </w:pPr>
            <w:r>
              <w:t>每场活动补助</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受益人群满意人数占受益总人数的比例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31、提前下达2026年中央支持地方公共文化服务体系建设补助资金（公共体育场馆免费或低收费开放-滑冰馆）绩效目标表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13011026P000066100206</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滑冰馆举办相关体育活动，向社会免费或低收费开放，保障体育场馆安全运营。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1.滑冰馆举办相关体育活动，向社会免费或低收费开放，保障体育场馆安全运营。</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≤21万元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32、提前下达2026年中央支持地方公共文化服务体系建设补助资金（公共体育场馆免费或低收费开放-全民健身中心）绩效目标表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13011026P00006610019T</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全民健身中心组织开展群众体育活动、赛事，保障场馆向社会免费或低收费开放。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1.全民健身中心组织开展群众体育活动、赛事，保障场馆向社会免费或低收费开放。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活动举办场次数</w:t>
            </w:r>
          </w:p>
        </w:tc>
        <w:tc>
          <w:tcPr>
            <w:tcW w:w="5386" w:type="dxa"/>
            <w:vAlign w:val="center"/>
          </w:tcPr>
          <w:p>
            <w:pPr>
              <w:pStyle w:val="13"/>
            </w:pPr>
            <w:r>
              <w:t>活动举办场次数</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33、提前下达2026年中央支持地方公共文化服务体系建设补助资金（三馆一站免费开放）绩效目标表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按时拨付13各乡镇免费开放资金39万元，保障基层开展各项公共文化活动，提高公共文化水平。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1.按时拨付13各乡镇免费开放资金39万元，保障基层开展各项公共文化活动，提高公共文化水平。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文化站补助数量</w:t>
            </w:r>
          </w:p>
        </w:tc>
        <w:tc>
          <w:tcPr>
            <w:tcW w:w="5386" w:type="dxa"/>
            <w:vAlign w:val="center"/>
          </w:tcPr>
          <w:p>
            <w:pPr>
              <w:pStyle w:val="13"/>
            </w:pPr>
            <w:r>
              <w:t>文化站补助数量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资金拨付精准率</w:t>
            </w:r>
          </w:p>
        </w:tc>
        <w:tc>
          <w:tcPr>
            <w:tcW w:w="5386" w:type="dxa"/>
            <w:vAlign w:val="center"/>
          </w:tcPr>
          <w:p>
            <w:pPr>
              <w:pStyle w:val="13"/>
            </w:pPr>
            <w:r>
              <w:t>资金拨付精准率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拨付资金完成时间</w:t>
            </w:r>
          </w:p>
        </w:tc>
        <w:tc>
          <w:tcPr>
            <w:tcW w:w="5386" w:type="dxa"/>
            <w:vAlign w:val="center"/>
          </w:tcPr>
          <w:p>
            <w:pPr>
              <w:pStyle w:val="13"/>
            </w:pPr>
            <w:r>
              <w:t>拨付资金完成时间</w:t>
            </w:r>
          </w:p>
        </w:tc>
        <w:tc>
          <w:tcPr>
            <w:tcW w:w="2268" w:type="dxa"/>
            <w:vAlign w:val="center"/>
          </w:tcPr>
          <w:p>
            <w:pPr>
              <w:pStyle w:val="13"/>
            </w:pPr>
            <w:r>
              <w:t>按规定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补助拨付标准</w:t>
            </w:r>
          </w:p>
        </w:tc>
        <w:tc>
          <w:tcPr>
            <w:tcW w:w="5386" w:type="dxa"/>
            <w:vAlign w:val="center"/>
          </w:tcPr>
          <w:p>
            <w:pPr>
              <w:pStyle w:val="13"/>
            </w:pPr>
            <w:r>
              <w:t>补助拨付标准</w:t>
            </w:r>
          </w:p>
        </w:tc>
        <w:tc>
          <w:tcPr>
            <w:tcW w:w="2268" w:type="dxa"/>
            <w:vAlign w:val="center"/>
          </w:tcPr>
          <w:p>
            <w:pPr>
              <w:pStyle w:val="13"/>
            </w:pPr>
            <w:r>
              <w:t>5万元/每个乡镇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受益群众满意人数占受益群众人数得比率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34、提前下达2026年中央支持地方公共文化服务体系建设补助资金（一般项目）绩效目标表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开展戏曲下乡文化惠民活动18场次，丰富群众业余生活水平。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1.开展戏曲下乡文化惠民活动18场次，丰富群众业余生活水平。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开展活动场次</w:t>
            </w:r>
          </w:p>
        </w:tc>
        <w:tc>
          <w:tcPr>
            <w:tcW w:w="5386" w:type="dxa"/>
            <w:vAlign w:val="center"/>
          </w:tcPr>
          <w:p>
            <w:pPr>
              <w:pStyle w:val="13"/>
            </w:pPr>
            <w:r>
              <w:t>开展活动场次</w:t>
            </w:r>
          </w:p>
        </w:tc>
        <w:tc>
          <w:tcPr>
            <w:tcW w:w="2268" w:type="dxa"/>
            <w:vAlign w:val="center"/>
          </w:tcPr>
          <w:p>
            <w:pPr>
              <w:pStyle w:val="13"/>
            </w:pPr>
            <w:r>
              <w:t>≥18场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演出人员费用标准</w:t>
            </w:r>
          </w:p>
        </w:tc>
        <w:tc>
          <w:tcPr>
            <w:tcW w:w="5386" w:type="dxa"/>
            <w:vAlign w:val="center"/>
          </w:tcPr>
          <w:p>
            <w:pPr>
              <w:pStyle w:val="13"/>
            </w:pPr>
            <w:r>
              <w:t>演出人员费用标准（人/天）</w:t>
            </w:r>
          </w:p>
        </w:tc>
        <w:tc>
          <w:tcPr>
            <w:tcW w:w="2268" w:type="dxa"/>
            <w:vAlign w:val="center"/>
          </w:tcPr>
          <w:p>
            <w:pPr>
              <w:pStyle w:val="13"/>
            </w:pPr>
            <w:r>
              <w:t>≤150元/天/人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w:t>
            </w:r>
          </w:p>
        </w:tc>
        <w:tc>
          <w:tcPr>
            <w:tcW w:w="5386" w:type="dxa"/>
            <w:vAlign w:val="center"/>
          </w:tcPr>
          <w:p>
            <w:pPr>
              <w:pStyle w:val="13"/>
            </w:pPr>
            <w:r>
              <w:t>活跃群众文化生活</w:t>
            </w:r>
          </w:p>
        </w:tc>
        <w:tc>
          <w:tcPr>
            <w:tcW w:w="2268" w:type="dxa"/>
            <w:vAlign w:val="center"/>
          </w:tcPr>
          <w:p>
            <w:pPr>
              <w:pStyle w:val="13"/>
            </w:pPr>
            <w:r>
              <w:t>活跃群众文化生活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受益群众满意人数占群众受益群众总人数的比率</w:t>
            </w:r>
          </w:p>
        </w:tc>
        <w:tc>
          <w:tcPr>
            <w:tcW w:w="5386" w:type="dxa"/>
            <w:vAlign w:val="center"/>
          </w:tcPr>
          <w:p>
            <w:pPr>
              <w:pStyle w:val="13"/>
            </w:pPr>
            <w:r>
              <w:t>受益群众满意人数占群众受益群众总人数的比率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35、西部长青东环旅游路（南二环西延至梁庄村）（2024Z)绩效目标表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13011026P00162110064U</w:t>
            </w:r>
          </w:p>
        </w:tc>
        <w:tc>
          <w:tcPr>
            <w:tcW w:w="2835" w:type="dxa"/>
            <w:vAlign w:val="center"/>
          </w:tcPr>
          <w:p>
            <w:pPr>
              <w:pStyle w:val="11"/>
            </w:pPr>
            <w:r>
              <w:t>项目名称</w:t>
            </w:r>
          </w:p>
        </w:tc>
        <w:tc>
          <w:tcPr>
            <w:tcW w:w="6095" w:type="dxa"/>
            <w:gridSpan w:val="3"/>
            <w:vAlign w:val="center"/>
          </w:tcPr>
          <w:p>
            <w:pPr>
              <w:pStyle w:val="13"/>
            </w:pPr>
            <w:r>
              <w:t>西部长青东环旅游路（南二环西延至梁庄村）（2024Z)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1788.25</w:t>
            </w:r>
          </w:p>
        </w:tc>
        <w:tc>
          <w:tcPr>
            <w:tcW w:w="2835" w:type="dxa"/>
            <w:vAlign w:val="center"/>
          </w:tcPr>
          <w:p>
            <w:pPr>
              <w:pStyle w:val="11"/>
            </w:pPr>
            <w:r>
              <w:t>其中：财政    资金</w:t>
            </w:r>
          </w:p>
        </w:tc>
        <w:tc>
          <w:tcPr>
            <w:tcW w:w="2551" w:type="dxa"/>
            <w:vAlign w:val="center"/>
          </w:tcPr>
          <w:p>
            <w:pPr>
              <w:pStyle w:val="13"/>
            </w:pPr>
            <w:r>
              <w:t>1788.25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通过修建西部长青东环旅游路5.46公里，提高我区旅游公共基础设施水平，促进当地旅游业发展。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1.通过修建西部长青东环旅游路5.46公里，提高我区旅游公共基础设施水平，促进当地旅游业发展。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建设道路里程公里数</w:t>
            </w:r>
          </w:p>
        </w:tc>
        <w:tc>
          <w:tcPr>
            <w:tcW w:w="5386" w:type="dxa"/>
            <w:vAlign w:val="center"/>
          </w:tcPr>
          <w:p>
            <w:pPr>
              <w:pStyle w:val="13"/>
            </w:pPr>
            <w:r>
              <w:t>建设道路里程公里数</w:t>
            </w:r>
          </w:p>
        </w:tc>
        <w:tc>
          <w:tcPr>
            <w:tcW w:w="2268" w:type="dxa"/>
            <w:vAlign w:val="center"/>
          </w:tcPr>
          <w:p>
            <w:pPr>
              <w:pStyle w:val="13"/>
            </w:pPr>
            <w:r>
              <w:t>≥5.46公里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建设道路路基宽度</w:t>
            </w:r>
          </w:p>
        </w:tc>
        <w:tc>
          <w:tcPr>
            <w:tcW w:w="5386" w:type="dxa"/>
            <w:vAlign w:val="center"/>
          </w:tcPr>
          <w:p>
            <w:pPr>
              <w:pStyle w:val="13"/>
            </w:pPr>
            <w:r>
              <w:t>建设道路路基宽度（K0+000-K1+812.646、K3+107.782-K5+464路段）</w:t>
            </w:r>
          </w:p>
        </w:tc>
        <w:tc>
          <w:tcPr>
            <w:tcW w:w="2268" w:type="dxa"/>
            <w:vAlign w:val="center"/>
          </w:tcPr>
          <w:p>
            <w:pPr>
              <w:pStyle w:val="13"/>
            </w:pPr>
            <w:r>
              <w:t>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建设道路路基宽度</w:t>
            </w:r>
          </w:p>
        </w:tc>
        <w:tc>
          <w:tcPr>
            <w:tcW w:w="5386" w:type="dxa"/>
            <w:vAlign w:val="center"/>
          </w:tcPr>
          <w:p>
            <w:pPr>
              <w:pStyle w:val="13"/>
            </w:pPr>
            <w:r>
              <w:t>建设道路路基宽度（K1+812.646至K3+107.782路段）</w:t>
            </w:r>
          </w:p>
        </w:tc>
        <w:tc>
          <w:tcPr>
            <w:tcW w:w="2268" w:type="dxa"/>
            <w:vAlign w:val="center"/>
          </w:tcPr>
          <w:p>
            <w:pPr>
              <w:pStyle w:val="13"/>
            </w:pPr>
            <w:r>
              <w:t>10.5米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新建中桥座数</w:t>
            </w:r>
          </w:p>
        </w:tc>
        <w:tc>
          <w:tcPr>
            <w:tcW w:w="5386" w:type="dxa"/>
            <w:vAlign w:val="center"/>
          </w:tcPr>
          <w:p>
            <w:pPr>
              <w:pStyle w:val="13"/>
            </w:pPr>
            <w:r>
              <w:t>新建中桥座数</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修建涵洞数量</w:t>
            </w:r>
          </w:p>
        </w:tc>
        <w:tc>
          <w:tcPr>
            <w:tcW w:w="5386" w:type="dxa"/>
            <w:vAlign w:val="center"/>
          </w:tcPr>
          <w:p>
            <w:pPr>
              <w:pStyle w:val="13"/>
            </w:pPr>
            <w:r>
              <w:t>修建涵洞数量</w:t>
            </w:r>
          </w:p>
        </w:tc>
        <w:tc>
          <w:tcPr>
            <w:tcW w:w="2268" w:type="dxa"/>
            <w:vAlign w:val="center"/>
          </w:tcPr>
          <w:p>
            <w:pPr>
              <w:pStyle w:val="13"/>
            </w:pPr>
            <w:r>
              <w:t>15道</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工程建设质量合格率</w:t>
            </w:r>
          </w:p>
        </w:tc>
        <w:tc>
          <w:tcPr>
            <w:tcW w:w="5386" w:type="dxa"/>
            <w:vAlign w:val="center"/>
          </w:tcPr>
          <w:p>
            <w:pPr>
              <w:pStyle w:val="13"/>
            </w:pPr>
            <w:r>
              <w:t>工程建设质量合格率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完工时间</w:t>
            </w:r>
          </w:p>
        </w:tc>
        <w:tc>
          <w:tcPr>
            <w:tcW w:w="2268" w:type="dxa"/>
            <w:vAlign w:val="center"/>
          </w:tcPr>
          <w:p>
            <w:pPr>
              <w:pStyle w:val="13"/>
            </w:pPr>
            <w:r>
              <w:t>本年底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工程建设成本</w:t>
            </w:r>
          </w:p>
        </w:tc>
        <w:tc>
          <w:tcPr>
            <w:tcW w:w="2268" w:type="dxa"/>
            <w:vAlign w:val="center"/>
          </w:tcPr>
          <w:p>
            <w:pPr>
              <w:pStyle w:val="13"/>
            </w:pPr>
            <w:r>
              <w:t>≤3528.25万元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道路建设标准</w:t>
            </w:r>
          </w:p>
        </w:tc>
        <w:tc>
          <w:tcPr>
            <w:tcW w:w="5386" w:type="dxa"/>
            <w:vAlign w:val="center"/>
          </w:tcPr>
          <w:p>
            <w:pPr>
              <w:pStyle w:val="13"/>
            </w:pPr>
            <w:r>
              <w:t>道路建设标准</w:t>
            </w:r>
          </w:p>
        </w:tc>
        <w:tc>
          <w:tcPr>
            <w:tcW w:w="2268" w:type="dxa"/>
            <w:vAlign w:val="center"/>
          </w:tcPr>
          <w:p>
            <w:pPr>
              <w:pStyle w:val="13"/>
            </w:pPr>
            <w:r>
              <w:t>四级公路（Ⅰ类）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提高鹿泉区公共服务水平</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建设旅游路使用年限</w:t>
            </w:r>
          </w:p>
        </w:tc>
        <w:tc>
          <w:tcPr>
            <w:tcW w:w="5386" w:type="dxa"/>
            <w:vAlign w:val="center"/>
          </w:tcPr>
          <w:p>
            <w:pPr>
              <w:pStyle w:val="13"/>
            </w:pPr>
            <w:r>
              <w:t>建设旅游路使用年限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当地百姓与游客对我区旅游基础设施满意度</w:t>
            </w:r>
          </w:p>
        </w:tc>
        <w:tc>
          <w:tcPr>
            <w:tcW w:w="2268" w:type="dxa"/>
            <w:vAlign w:val="center"/>
          </w:tcPr>
          <w:p>
            <w:pPr>
              <w:pStyle w:val="13"/>
            </w:pPr>
            <w:r>
              <w:t>满意</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36、2026博物馆、纪念馆免费开放补助和公共美术馆、图书馆、文化馆站免费开放补助绩效目标表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13011026P00001410025Q</w:t>
            </w:r>
          </w:p>
        </w:tc>
        <w:tc>
          <w:tcPr>
            <w:tcW w:w="2835" w:type="dxa"/>
            <w:vAlign w:val="center"/>
          </w:tcPr>
          <w:p>
            <w:pPr>
              <w:pStyle w:val="11"/>
            </w:pPr>
            <w:r>
              <w:t>项目名称</w:t>
            </w:r>
          </w:p>
        </w:tc>
        <w:tc>
          <w:tcPr>
            <w:tcW w:w="6095" w:type="dxa"/>
            <w:gridSpan w:val="3"/>
            <w:vAlign w:val="center"/>
          </w:tcPr>
          <w:p>
            <w:pPr>
              <w:pStyle w:val="13"/>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用于图书馆免费开放设备维修、维护，及购置图书、期刊，提升我区公共文化服务水平。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1.用于图书馆免费开放设备维修、维护，及购置图书、期刊，提升我区公共文化服务水平。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购买图书数量</w:t>
            </w:r>
          </w:p>
        </w:tc>
        <w:tc>
          <w:tcPr>
            <w:tcW w:w="5386" w:type="dxa"/>
            <w:vAlign w:val="center"/>
          </w:tcPr>
          <w:p>
            <w:pPr>
              <w:pStyle w:val="13"/>
            </w:pPr>
            <w:r>
              <w:t>购买图书、期刊数量</w:t>
            </w:r>
          </w:p>
        </w:tc>
        <w:tc>
          <w:tcPr>
            <w:tcW w:w="2268" w:type="dxa"/>
            <w:vAlign w:val="center"/>
          </w:tcPr>
          <w:p>
            <w:pPr>
              <w:pStyle w:val="13"/>
            </w:pPr>
            <w:r>
              <w:t>≤550册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举办阅读活动场次</w:t>
            </w:r>
          </w:p>
        </w:tc>
        <w:tc>
          <w:tcPr>
            <w:tcW w:w="5386" w:type="dxa"/>
            <w:vAlign w:val="center"/>
          </w:tcPr>
          <w:p>
            <w:pPr>
              <w:pStyle w:val="13"/>
            </w:pPr>
            <w:r>
              <w:t>举办阅读活动场次</w:t>
            </w:r>
          </w:p>
        </w:tc>
        <w:tc>
          <w:tcPr>
            <w:tcW w:w="2268" w:type="dxa"/>
            <w:vAlign w:val="center"/>
          </w:tcPr>
          <w:p>
            <w:pPr>
              <w:pStyle w:val="13"/>
            </w:pPr>
            <w:r>
              <w:t>≤2场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免费开放设备维修维护</w:t>
            </w:r>
          </w:p>
        </w:tc>
        <w:tc>
          <w:tcPr>
            <w:tcW w:w="5386" w:type="dxa"/>
            <w:vAlign w:val="center"/>
          </w:tcPr>
          <w:p>
            <w:pPr>
              <w:pStyle w:val="13"/>
            </w:pPr>
            <w:r>
              <w:t>免费开放设备维修维护质量合格率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购置图书时间</w:t>
            </w:r>
          </w:p>
        </w:tc>
        <w:tc>
          <w:tcPr>
            <w:tcW w:w="5386" w:type="dxa"/>
            <w:vAlign w:val="center"/>
          </w:tcPr>
          <w:p>
            <w:pPr>
              <w:pStyle w:val="13"/>
            </w:pPr>
            <w:r>
              <w:t>购置图书、期刊时间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图书购置单位成本</w:t>
            </w:r>
          </w:p>
        </w:tc>
        <w:tc>
          <w:tcPr>
            <w:tcW w:w="5386" w:type="dxa"/>
            <w:vAlign w:val="center"/>
          </w:tcPr>
          <w:p>
            <w:pPr>
              <w:pStyle w:val="13"/>
            </w:pPr>
            <w:r>
              <w:t>图书、期刊购置单位成本</w:t>
            </w:r>
          </w:p>
        </w:tc>
        <w:tc>
          <w:tcPr>
            <w:tcW w:w="2268" w:type="dxa"/>
            <w:vAlign w:val="center"/>
          </w:tcPr>
          <w:p>
            <w:pPr>
              <w:pStyle w:val="13"/>
            </w:pPr>
            <w:r>
              <w:t>≤40元/本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公共文化服务时长</w:t>
            </w:r>
          </w:p>
        </w:tc>
        <w:tc>
          <w:tcPr>
            <w:tcW w:w="5386" w:type="dxa"/>
            <w:vAlign w:val="center"/>
          </w:tcPr>
          <w:p>
            <w:pPr>
              <w:pStyle w:val="13"/>
            </w:pPr>
            <w:r>
              <w:t>公共文化服务时长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读者人群满意度</w:t>
            </w:r>
          </w:p>
        </w:tc>
        <w:tc>
          <w:tcPr>
            <w:tcW w:w="5386" w:type="dxa"/>
            <w:vAlign w:val="center"/>
          </w:tcPr>
          <w:p>
            <w:pPr>
              <w:pStyle w:val="13"/>
            </w:pPr>
            <w:r>
              <w:t>读者人群满意度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37、2026城市书房运行费绩效目标表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13011026P00006710003Y</w:t>
            </w:r>
          </w:p>
        </w:tc>
        <w:tc>
          <w:tcPr>
            <w:tcW w:w="2835" w:type="dxa"/>
            <w:vAlign w:val="center"/>
          </w:tcPr>
          <w:p>
            <w:pPr>
              <w:pStyle w:val="11"/>
            </w:pPr>
            <w:r>
              <w:t>项目名称</w:t>
            </w:r>
          </w:p>
        </w:tc>
        <w:tc>
          <w:tcPr>
            <w:tcW w:w="6095" w:type="dxa"/>
            <w:gridSpan w:val="3"/>
            <w:vAlign w:val="center"/>
          </w:tcPr>
          <w:p>
            <w:pPr>
              <w:pStyle w:val="13"/>
            </w:pPr>
            <w:r>
              <w:t>2026城市书房运行费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展示全区公共文化服务形象和水平，保障城市书房正常运行，基础运行费、日常水电费及其他支出、图书更新等，全面推动“全民阅读”体系建设。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1.展示全区公共文化服务形象和水平，保障城市书房正常运行，基础运行费、日常水电费及其他支出、图书更新等，全面推动“全民阅读”体系建设。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城市书房免费开放个数</w:t>
            </w:r>
          </w:p>
        </w:tc>
        <w:tc>
          <w:tcPr>
            <w:tcW w:w="5386" w:type="dxa"/>
            <w:vAlign w:val="center"/>
          </w:tcPr>
          <w:p>
            <w:pPr>
              <w:pStyle w:val="13"/>
            </w:pPr>
            <w:r>
              <w:t>城市书房免费开放个数</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38、石财教[2025]39号下达2025年省级公共文化服务体系建设补助资金（一般项目和绩效奖励）绩效目标表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13011025P00001211212X</w:t>
            </w:r>
          </w:p>
        </w:tc>
        <w:tc>
          <w:tcPr>
            <w:tcW w:w="2835" w:type="dxa"/>
            <w:vAlign w:val="center"/>
          </w:tcPr>
          <w:p>
            <w:pPr>
              <w:pStyle w:val="11"/>
            </w:pPr>
            <w:r>
              <w:t>项目名称</w:t>
            </w:r>
          </w:p>
        </w:tc>
        <w:tc>
          <w:tcPr>
            <w:tcW w:w="6095" w:type="dxa"/>
            <w:gridSpan w:val="3"/>
            <w:vAlign w:val="center"/>
          </w:tcPr>
          <w:p>
            <w:pPr>
              <w:pStyle w:val="13"/>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通过开展特色文化活动，提高群众读书热情，提高图书馆免费开放服务水平。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1.通过开展特色文化活动，提高群众读书热情，提高图书馆免费开放服务水平。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开展特色文化活动场次</w:t>
            </w:r>
          </w:p>
        </w:tc>
        <w:tc>
          <w:tcPr>
            <w:tcW w:w="5386" w:type="dxa"/>
            <w:vAlign w:val="center"/>
          </w:tcPr>
          <w:p>
            <w:pPr>
              <w:pStyle w:val="13"/>
            </w:pPr>
            <w:r>
              <w:t>开展特色文化活动场次</w:t>
            </w:r>
          </w:p>
        </w:tc>
        <w:tc>
          <w:tcPr>
            <w:tcW w:w="2268" w:type="dxa"/>
            <w:vAlign w:val="center"/>
          </w:tcPr>
          <w:p>
            <w:pPr>
              <w:pStyle w:val="13"/>
            </w:pPr>
            <w:r>
              <w:t>≥3场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特色文化活动开展完成率</w:t>
            </w:r>
          </w:p>
        </w:tc>
        <w:tc>
          <w:tcPr>
            <w:tcW w:w="5386" w:type="dxa"/>
            <w:vAlign w:val="center"/>
          </w:tcPr>
          <w:p>
            <w:pPr>
              <w:pStyle w:val="13"/>
            </w:pPr>
            <w:r>
              <w:t>特色文化活动开展完成率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活动举办完成时间</w:t>
            </w:r>
          </w:p>
        </w:tc>
        <w:tc>
          <w:tcPr>
            <w:tcW w:w="5386" w:type="dxa"/>
            <w:vAlign w:val="center"/>
          </w:tcPr>
          <w:p>
            <w:pPr>
              <w:pStyle w:val="13"/>
            </w:pPr>
            <w:r>
              <w:t>活动举办完成时间</w:t>
            </w:r>
          </w:p>
        </w:tc>
        <w:tc>
          <w:tcPr>
            <w:tcW w:w="2268" w:type="dxa"/>
            <w:vAlign w:val="center"/>
          </w:tcPr>
          <w:p>
            <w:pPr>
              <w:pStyle w:val="13"/>
            </w:pPr>
            <w:r>
              <w:t>12月底之前完成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举办文化活动成本</w:t>
            </w:r>
          </w:p>
        </w:tc>
        <w:tc>
          <w:tcPr>
            <w:tcW w:w="5386" w:type="dxa"/>
            <w:vAlign w:val="center"/>
          </w:tcPr>
          <w:p>
            <w:pPr>
              <w:pStyle w:val="13"/>
            </w:pPr>
            <w:r>
              <w:t>举办特色文化活动成本</w:t>
            </w:r>
          </w:p>
        </w:tc>
        <w:tc>
          <w:tcPr>
            <w:tcW w:w="2268" w:type="dxa"/>
            <w:vAlign w:val="center"/>
          </w:tcPr>
          <w:p>
            <w:pPr>
              <w:pStyle w:val="13"/>
            </w:pPr>
            <w:r>
              <w:t>≤20000元/年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免费开放图书馆正常运转</w:t>
            </w:r>
          </w:p>
        </w:tc>
        <w:tc>
          <w:tcPr>
            <w:tcW w:w="5386" w:type="dxa"/>
            <w:vAlign w:val="center"/>
          </w:tcPr>
          <w:p>
            <w:pPr>
              <w:pStyle w:val="13"/>
            </w:pPr>
            <w:r>
              <w:t>免费开放图书馆正常运转</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39、提前下达2026年省级基础三馆一站免费开放运行保障经费预算的通知绩效目标表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13011026P00001410045G</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40、提前下达2026年市级公共文化服务体系建设专项资金（三馆一站免费开放）绩效目标表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41、提前下达2026年中央支持地方公共文化服务体系建设补助资金（三馆一站免费开放）绩效目标表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图书馆免费开放业务，计划用于购买图书增加馆藏，举办各种线上线下讲座、展览、活动，以及场馆内设施设备维护维修。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1.图书馆免费开放业务，计划用于购买图书增加馆藏，举办各种线上线下讲座、展览、活动，以及场馆内设施设备维护维修。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42、提前下达2026年中央支持地方公共文化服务体系建设补助资金（一般项目）绩效目标表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用于弥补我馆在特色文化活动开展及设备设施运行维护等方面的整体硬件与软件服务支出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1.用于弥补我馆在特色文化活动开展及设备设施运行维护等方面的整体硬件与软件服务支出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43、2026年省级文物保护专项资金（北故邑墓群抢救性考古发掘）绩效目标表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13011026P00161910004T</w:t>
            </w:r>
          </w:p>
        </w:tc>
        <w:tc>
          <w:tcPr>
            <w:tcW w:w="2835" w:type="dxa"/>
            <w:vAlign w:val="center"/>
          </w:tcPr>
          <w:p>
            <w:pPr>
              <w:pStyle w:val="11"/>
            </w:pPr>
            <w:r>
              <w:t>项目名称</w:t>
            </w:r>
          </w:p>
        </w:tc>
        <w:tc>
          <w:tcPr>
            <w:tcW w:w="6095" w:type="dxa"/>
            <w:gridSpan w:val="3"/>
            <w:vAlign w:val="center"/>
          </w:tcPr>
          <w:p>
            <w:pPr>
              <w:pStyle w:val="13"/>
            </w:pPr>
            <w:r>
              <w:t>2026年省级文物保护专项资金（北故邑墓群抢救性考古发掘）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根据实际发掘情况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≤111.84万元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44、2026文物保护、宣传经费绩效目标表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13011026P001619100062</w:t>
            </w:r>
          </w:p>
        </w:tc>
        <w:tc>
          <w:tcPr>
            <w:tcW w:w="2835" w:type="dxa"/>
            <w:vAlign w:val="center"/>
          </w:tcPr>
          <w:p>
            <w:pPr>
              <w:pStyle w:val="11"/>
            </w:pPr>
            <w:r>
              <w:t>项目名称</w:t>
            </w:r>
          </w:p>
        </w:tc>
        <w:tc>
          <w:tcPr>
            <w:tcW w:w="6095" w:type="dxa"/>
            <w:gridSpan w:val="3"/>
            <w:vAlign w:val="center"/>
          </w:tcPr>
          <w:p>
            <w:pPr>
              <w:pStyle w:val="13"/>
            </w:pPr>
            <w:r>
              <w:t>2026文物保护、宣传经费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通过组织文物保护知识培训，发放文物宣传册，传播文物保护知识。开展民间品鉴会1次，日常维护野外不可移动文物320处，确保文物完好无损，提升我区文物保护水平。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1.通过组织文物保护知识培训，发放文物宣传册，传播文物保护知识。开展民间品鉴会1次，日常维护野外不可移动文物320处，确保文物完好无损，提升我区文物保护水平。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保护野外文物数量</w:t>
            </w:r>
          </w:p>
        </w:tc>
        <w:tc>
          <w:tcPr>
            <w:tcW w:w="5386" w:type="dxa"/>
            <w:vAlign w:val="center"/>
          </w:tcPr>
          <w:p>
            <w:pPr>
              <w:pStyle w:val="13"/>
            </w:pPr>
            <w:r>
              <w:t>保护野外文物数量</w:t>
            </w:r>
          </w:p>
        </w:tc>
        <w:tc>
          <w:tcPr>
            <w:tcW w:w="2268" w:type="dxa"/>
            <w:vAlign w:val="center"/>
          </w:tcPr>
          <w:p>
            <w:pPr>
              <w:pStyle w:val="13"/>
            </w:pPr>
            <w:r>
              <w:t>≤320处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野外不可移动文物完好率</w:t>
            </w:r>
          </w:p>
        </w:tc>
        <w:tc>
          <w:tcPr>
            <w:tcW w:w="5386" w:type="dxa"/>
            <w:vAlign w:val="center"/>
          </w:tcPr>
          <w:p>
            <w:pPr>
              <w:pStyle w:val="13"/>
            </w:pPr>
            <w:r>
              <w:t>野外不可移动文物完好率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文物保护知识培训时间</w:t>
            </w:r>
          </w:p>
        </w:tc>
        <w:tc>
          <w:tcPr>
            <w:tcW w:w="5386" w:type="dxa"/>
            <w:vAlign w:val="center"/>
          </w:tcPr>
          <w:p>
            <w:pPr>
              <w:pStyle w:val="13"/>
            </w:pPr>
            <w:r>
              <w:t>文物保护知识培训时间</w:t>
            </w:r>
          </w:p>
        </w:tc>
        <w:tc>
          <w:tcPr>
            <w:tcW w:w="2268" w:type="dxa"/>
            <w:vAlign w:val="center"/>
          </w:tcPr>
          <w:p>
            <w:pPr>
              <w:pStyle w:val="13"/>
            </w:pPr>
            <w:r>
              <w:t>当年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文物保护宣传册单位成本</w:t>
            </w:r>
          </w:p>
        </w:tc>
        <w:tc>
          <w:tcPr>
            <w:tcW w:w="5386" w:type="dxa"/>
            <w:vAlign w:val="center"/>
          </w:tcPr>
          <w:p>
            <w:pPr>
              <w:pStyle w:val="13"/>
            </w:pPr>
            <w:r>
              <w:t>文物保护宣传册单位成本</w:t>
            </w:r>
          </w:p>
        </w:tc>
        <w:tc>
          <w:tcPr>
            <w:tcW w:w="2268" w:type="dxa"/>
            <w:vAlign w:val="center"/>
          </w:tcPr>
          <w:p>
            <w:pPr>
              <w:pStyle w:val="13"/>
            </w:pPr>
            <w:r>
              <w:t>≤40元/本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提高文物保护意识</w:t>
            </w:r>
          </w:p>
        </w:tc>
        <w:tc>
          <w:tcPr>
            <w:tcW w:w="5386" w:type="dxa"/>
            <w:vAlign w:val="center"/>
          </w:tcPr>
          <w:p>
            <w:pPr>
              <w:pStyle w:val="13"/>
            </w:pPr>
            <w:r>
              <w:t>提高群众文物保护意识</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维护野外文物完好无损</w:t>
            </w:r>
          </w:p>
        </w:tc>
        <w:tc>
          <w:tcPr>
            <w:tcW w:w="5386" w:type="dxa"/>
            <w:vAlign w:val="center"/>
          </w:tcPr>
          <w:p>
            <w:pPr>
              <w:pStyle w:val="13"/>
            </w:pPr>
            <w:r>
              <w:t>维护野外文物完好无损</w:t>
            </w:r>
          </w:p>
        </w:tc>
        <w:tc>
          <w:tcPr>
            <w:tcW w:w="2268" w:type="dxa"/>
            <w:vAlign w:val="center"/>
          </w:tcPr>
          <w:p>
            <w:pPr>
              <w:pStyle w:val="13"/>
            </w:pPr>
            <w:r>
              <w:t>长期维护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接受文物知识培训群众满意度</w:t>
            </w:r>
          </w:p>
        </w:tc>
        <w:tc>
          <w:tcPr>
            <w:tcW w:w="5386" w:type="dxa"/>
            <w:vAlign w:val="center"/>
          </w:tcPr>
          <w:p>
            <w:pPr>
              <w:pStyle w:val="13"/>
            </w:pPr>
            <w:r>
              <w:t>接受文物知识培训群众满意人数占总培训人数的比率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45、石财教[2024]99号提前下达2025年省级文物保护专项资金(抱犊山石窟及石刻）绩效目标表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13011025P001619100025</w:t>
            </w:r>
          </w:p>
        </w:tc>
        <w:tc>
          <w:tcPr>
            <w:tcW w:w="2835" w:type="dxa"/>
            <w:vAlign w:val="center"/>
          </w:tcPr>
          <w:p>
            <w:pPr>
              <w:pStyle w:val="11"/>
            </w:pPr>
            <w:r>
              <w:t>项目名称</w:t>
            </w:r>
          </w:p>
        </w:tc>
        <w:tc>
          <w:tcPr>
            <w:tcW w:w="6095" w:type="dxa"/>
            <w:gridSpan w:val="3"/>
            <w:vAlign w:val="center"/>
          </w:tcPr>
          <w:p>
            <w:pPr>
              <w:pStyle w:val="13"/>
            </w:pPr>
            <w:r>
              <w:t>石财教[2024]99号提前下达2025年省级文物保护专项资金(抱犊山石窟及石刻）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20.89</w:t>
            </w:r>
          </w:p>
        </w:tc>
        <w:tc>
          <w:tcPr>
            <w:tcW w:w="2835" w:type="dxa"/>
            <w:vAlign w:val="center"/>
          </w:tcPr>
          <w:p>
            <w:pPr>
              <w:pStyle w:val="11"/>
            </w:pPr>
            <w:r>
              <w:t>其中：财政    资金</w:t>
            </w:r>
          </w:p>
        </w:tc>
        <w:tc>
          <w:tcPr>
            <w:tcW w:w="2551" w:type="dxa"/>
            <w:vAlign w:val="center"/>
          </w:tcPr>
          <w:p>
            <w:pPr>
              <w:pStyle w:val="13"/>
            </w:pPr>
            <w:r>
              <w:t>20.89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通过对省级文物保护单位抱犊山石窟及石刻安防工程建设，提高我省文物保护的影响力。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1.通过对省级文物保护单位抱犊山石窟及石刻安防工程建设，提高我省文物保护的影响力。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≤84万元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提高我区文物影响力时长</w:t>
            </w:r>
          </w:p>
        </w:tc>
        <w:tc>
          <w:tcPr>
            <w:tcW w:w="5386" w:type="dxa"/>
            <w:vAlign w:val="center"/>
          </w:tcPr>
          <w:p>
            <w:pPr>
              <w:pStyle w:val="13"/>
            </w:pPr>
            <w:r>
              <w:t>提高我区文物影响力时长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46、石财教[2025]60号下达2025年省级文物保护专项资金（北故邑墓群抢救性考古发掘项目）绩效目标表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13011025P00161910004C</w:t>
            </w:r>
          </w:p>
        </w:tc>
        <w:tc>
          <w:tcPr>
            <w:tcW w:w="2835" w:type="dxa"/>
            <w:vAlign w:val="center"/>
          </w:tcPr>
          <w:p>
            <w:pPr>
              <w:pStyle w:val="11"/>
            </w:pPr>
            <w:r>
              <w:t>项目名称</w:t>
            </w:r>
          </w:p>
        </w:tc>
        <w:tc>
          <w:tcPr>
            <w:tcW w:w="6095" w:type="dxa"/>
            <w:gridSpan w:val="3"/>
            <w:vAlign w:val="center"/>
          </w:tcPr>
          <w:p>
            <w:pPr>
              <w:pStyle w:val="13"/>
            </w:pPr>
            <w:r>
              <w:t>石财教[2025]60号下达2025年省级文物保护专项资金（北故邑墓群抢救性考古发掘项目）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根据实际发掘情况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≤45万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提高我区文物影响力时长</w:t>
            </w:r>
          </w:p>
        </w:tc>
        <w:tc>
          <w:tcPr>
            <w:tcW w:w="5386" w:type="dxa"/>
            <w:vAlign w:val="center"/>
          </w:tcPr>
          <w:p>
            <w:pPr>
              <w:pStyle w:val="13"/>
            </w:pPr>
            <w:r>
              <w:t>提高我区文物影响力时长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47、提前下达2026年市级文物保护资金（长城巡查员经费）绩效目标表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13011026P00161910005E</w:t>
            </w:r>
          </w:p>
        </w:tc>
        <w:tc>
          <w:tcPr>
            <w:tcW w:w="2835" w:type="dxa"/>
            <w:vAlign w:val="center"/>
          </w:tcPr>
          <w:p>
            <w:pPr>
              <w:pStyle w:val="11"/>
            </w:pPr>
            <w:r>
              <w:t>项目名称</w:t>
            </w:r>
          </w:p>
        </w:tc>
        <w:tc>
          <w:tcPr>
            <w:tcW w:w="6095" w:type="dxa"/>
            <w:gridSpan w:val="3"/>
            <w:vAlign w:val="center"/>
          </w:tcPr>
          <w:p>
            <w:pPr>
              <w:pStyle w:val="13"/>
            </w:pPr>
            <w:r>
              <w:t>提前下达2026年市级文物保护资金（长城巡查员经费）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发放长城巡查员补助及辅助支出，加强长城资源保护。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1.发放长城巡查员补助及辅助支出，加强长城资源保护。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发放补助的长城保护员人数</w:t>
            </w:r>
          </w:p>
        </w:tc>
        <w:tc>
          <w:tcPr>
            <w:tcW w:w="5386" w:type="dxa"/>
            <w:vAlign w:val="center"/>
          </w:tcPr>
          <w:p>
            <w:pPr>
              <w:pStyle w:val="13"/>
            </w:pPr>
            <w:r>
              <w:t>发放补助的长城保护员人数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涉及长城段落</w:t>
            </w:r>
          </w:p>
        </w:tc>
        <w:tc>
          <w:tcPr>
            <w:tcW w:w="5386" w:type="dxa"/>
            <w:vAlign w:val="center"/>
          </w:tcPr>
          <w:p>
            <w:pPr>
              <w:pStyle w:val="13"/>
            </w:pPr>
            <w:r>
              <w:t>涉及长城段落</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补助发放标准</w:t>
            </w:r>
          </w:p>
        </w:tc>
        <w:tc>
          <w:tcPr>
            <w:tcW w:w="5386" w:type="dxa"/>
            <w:vAlign w:val="center"/>
          </w:tcPr>
          <w:p>
            <w:pPr>
              <w:pStyle w:val="13"/>
            </w:pPr>
            <w:r>
              <w:t>长城保护巡查补助发放标准</w:t>
            </w:r>
          </w:p>
        </w:tc>
        <w:tc>
          <w:tcPr>
            <w:tcW w:w="2268" w:type="dxa"/>
            <w:vAlign w:val="center"/>
          </w:tcPr>
          <w:p>
            <w:pPr>
              <w:pStyle w:val="13"/>
            </w:pPr>
            <w:r>
              <w:t>≤3420元/人/年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改善文物存放环境，确保文物安全。</w:t>
            </w:r>
          </w:p>
        </w:tc>
        <w:tc>
          <w:tcPr>
            <w:tcW w:w="5386" w:type="dxa"/>
            <w:vAlign w:val="center"/>
          </w:tcPr>
          <w:p>
            <w:pPr>
              <w:pStyle w:val="13"/>
            </w:pPr>
            <w:r>
              <w:t>改善文物存放环境，确保文物安全。</w:t>
            </w:r>
          </w:p>
        </w:tc>
        <w:tc>
          <w:tcPr>
            <w:tcW w:w="2268" w:type="dxa"/>
            <w:vAlign w:val="center"/>
          </w:tcPr>
          <w:p>
            <w:pPr>
              <w:pStyle w:val="13"/>
            </w:pPr>
            <w:r>
              <w:t>文物存放环境进一步改善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提高群众文物保护意识，确保长城安全。</w:t>
            </w:r>
          </w:p>
        </w:tc>
        <w:tc>
          <w:tcPr>
            <w:tcW w:w="5386" w:type="dxa"/>
            <w:vAlign w:val="center"/>
          </w:tcPr>
          <w:p>
            <w:pPr>
              <w:pStyle w:val="13"/>
            </w:pPr>
            <w:r>
              <w:t>提高群众文物保护意识，确保长城安全。</w:t>
            </w:r>
          </w:p>
        </w:tc>
        <w:tc>
          <w:tcPr>
            <w:tcW w:w="2268" w:type="dxa"/>
            <w:vAlign w:val="center"/>
          </w:tcPr>
          <w:p>
            <w:pPr>
              <w:pStyle w:val="13"/>
            </w:pPr>
            <w:r>
              <w:t>确保长城现状完好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长城保护员工作满意度</w:t>
            </w:r>
          </w:p>
        </w:tc>
        <w:tc>
          <w:tcPr>
            <w:tcW w:w="5386" w:type="dxa"/>
            <w:vAlign w:val="center"/>
          </w:tcPr>
          <w:p>
            <w:pPr>
              <w:pStyle w:val="13"/>
            </w:pPr>
            <w:r>
              <w:t>长城保护员工作满意度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48、2026博物馆、纪念馆免费开放补助和公共美术馆、图书馆、文化馆站免费开放补助绩效目标表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13011026P00001410025Q</w:t>
            </w:r>
          </w:p>
        </w:tc>
        <w:tc>
          <w:tcPr>
            <w:tcW w:w="2835" w:type="dxa"/>
            <w:vAlign w:val="center"/>
          </w:tcPr>
          <w:p>
            <w:pPr>
              <w:pStyle w:val="11"/>
            </w:pPr>
            <w:r>
              <w:t>项目名称</w:t>
            </w:r>
          </w:p>
        </w:tc>
        <w:tc>
          <w:tcPr>
            <w:tcW w:w="6095" w:type="dxa"/>
            <w:gridSpan w:val="3"/>
            <w:vAlign w:val="center"/>
          </w:tcPr>
          <w:p>
            <w:pPr>
              <w:pStyle w:val="13"/>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组织各类文艺活动及下乡演出5场及以上，及其他辅助支出。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1.组织各类文艺活动及下乡演出5场及以上，及其他辅助支出。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文艺活动演出场次</w:t>
            </w:r>
          </w:p>
        </w:tc>
        <w:tc>
          <w:tcPr>
            <w:tcW w:w="5386" w:type="dxa"/>
            <w:vAlign w:val="center"/>
          </w:tcPr>
          <w:p>
            <w:pPr>
              <w:pStyle w:val="13"/>
            </w:pPr>
            <w:r>
              <w:t>文艺活动演出场次</w:t>
            </w:r>
          </w:p>
        </w:tc>
        <w:tc>
          <w:tcPr>
            <w:tcW w:w="2268" w:type="dxa"/>
            <w:vAlign w:val="center"/>
          </w:tcPr>
          <w:p>
            <w:pPr>
              <w:pStyle w:val="13"/>
            </w:pPr>
            <w:r>
              <w:t>≥5场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文艺演出活动上传美篇数量</w:t>
            </w:r>
          </w:p>
        </w:tc>
        <w:tc>
          <w:tcPr>
            <w:tcW w:w="5386" w:type="dxa"/>
            <w:vAlign w:val="center"/>
          </w:tcPr>
          <w:p>
            <w:pPr>
              <w:pStyle w:val="13"/>
            </w:pPr>
            <w:r>
              <w:t>文艺演出活动上传美篇数量</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活动按时完成率</w:t>
            </w:r>
          </w:p>
        </w:tc>
        <w:tc>
          <w:tcPr>
            <w:tcW w:w="5386" w:type="dxa"/>
            <w:vAlign w:val="center"/>
          </w:tcPr>
          <w:p>
            <w:pPr>
              <w:pStyle w:val="13"/>
            </w:pPr>
            <w:r>
              <w:t>活动按时完成率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演职人员补助标准（元/人/场）</w:t>
            </w:r>
          </w:p>
        </w:tc>
        <w:tc>
          <w:tcPr>
            <w:tcW w:w="5386" w:type="dxa"/>
            <w:vAlign w:val="center"/>
          </w:tcPr>
          <w:p>
            <w:pPr>
              <w:pStyle w:val="13"/>
            </w:pPr>
            <w:r>
              <w:t>演职人员补助标准（元/人/场）</w:t>
            </w:r>
          </w:p>
        </w:tc>
        <w:tc>
          <w:tcPr>
            <w:tcW w:w="2268" w:type="dxa"/>
            <w:vAlign w:val="center"/>
          </w:tcPr>
          <w:p>
            <w:pPr>
              <w:pStyle w:val="13"/>
            </w:pPr>
            <w:r>
              <w:t>一般人员≤100元/人/场，外请人员≤500元/人/场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文艺活动演出成功率</w:t>
            </w:r>
          </w:p>
        </w:tc>
        <w:tc>
          <w:tcPr>
            <w:tcW w:w="5386" w:type="dxa"/>
            <w:vAlign w:val="center"/>
          </w:tcPr>
          <w:p>
            <w:pPr>
              <w:pStyle w:val="13"/>
            </w:pPr>
            <w:r>
              <w:t>文艺活动演出成功率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组织各类文艺活动及下乡演出活动产生的社会影响</w:t>
            </w:r>
          </w:p>
        </w:tc>
        <w:tc>
          <w:tcPr>
            <w:tcW w:w="5386" w:type="dxa"/>
            <w:vAlign w:val="center"/>
          </w:tcPr>
          <w:p>
            <w:pPr>
              <w:pStyle w:val="13"/>
            </w:pPr>
            <w:r>
              <w:t>组织各类文艺活动及下乡演出活动产生的社会影响</w:t>
            </w:r>
          </w:p>
        </w:tc>
        <w:tc>
          <w:tcPr>
            <w:tcW w:w="2268" w:type="dxa"/>
            <w:vAlign w:val="center"/>
          </w:tcPr>
          <w:p>
            <w:pPr>
              <w:pStyle w:val="13"/>
            </w:pPr>
            <w:r>
              <w:t>丰富人们文化活动，提高生活水平。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高人们文化生活水平</w:t>
            </w:r>
          </w:p>
        </w:tc>
        <w:tc>
          <w:tcPr>
            <w:tcW w:w="5386" w:type="dxa"/>
            <w:vAlign w:val="center"/>
          </w:tcPr>
          <w:p>
            <w:pPr>
              <w:pStyle w:val="13"/>
            </w:pPr>
            <w:r>
              <w:t>高人们文化生活水平</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49、2026民俗文化展厅费用绩效目标表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13011026P00323910224R</w:t>
            </w:r>
          </w:p>
        </w:tc>
        <w:tc>
          <w:tcPr>
            <w:tcW w:w="2835" w:type="dxa"/>
            <w:vAlign w:val="center"/>
          </w:tcPr>
          <w:p>
            <w:pPr>
              <w:pStyle w:val="11"/>
            </w:pPr>
            <w:r>
              <w:t>项目名称</w:t>
            </w:r>
          </w:p>
        </w:tc>
        <w:tc>
          <w:tcPr>
            <w:tcW w:w="6095" w:type="dxa"/>
            <w:gridSpan w:val="3"/>
            <w:vAlign w:val="center"/>
          </w:tcPr>
          <w:p>
            <w:pPr>
              <w:pStyle w:val="13"/>
            </w:pPr>
            <w:r>
              <w:t>2026民俗文化展厅费用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举办宣传展览、讲座及其他文化交流活动1次及以上，以及展厅日常维护。</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1.举办宣传展览、讲座及其他文化交流活动1次及以上，以及展厅日常维护。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组织系列宣传展览活动场次</w:t>
            </w:r>
          </w:p>
        </w:tc>
        <w:tc>
          <w:tcPr>
            <w:tcW w:w="5386" w:type="dxa"/>
            <w:vAlign w:val="center"/>
          </w:tcPr>
          <w:p>
            <w:pPr>
              <w:pStyle w:val="13"/>
            </w:pPr>
            <w:r>
              <w:t>组织系列宣传展览活动场次</w:t>
            </w:r>
          </w:p>
        </w:tc>
        <w:tc>
          <w:tcPr>
            <w:tcW w:w="2268" w:type="dxa"/>
            <w:vAlign w:val="center"/>
          </w:tcPr>
          <w:p>
            <w:pPr>
              <w:pStyle w:val="13"/>
            </w:pPr>
            <w:r>
              <w:t>≥1场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组织系列宣传展览活动上传美篇到公众号次数。</w:t>
            </w:r>
          </w:p>
        </w:tc>
        <w:tc>
          <w:tcPr>
            <w:tcW w:w="5386" w:type="dxa"/>
            <w:vAlign w:val="center"/>
          </w:tcPr>
          <w:p>
            <w:pPr>
              <w:pStyle w:val="13"/>
            </w:pPr>
            <w:r>
              <w:t>组织系列宣传展览活动上传美篇到公众号次数。</w:t>
            </w:r>
          </w:p>
        </w:tc>
        <w:tc>
          <w:tcPr>
            <w:tcW w:w="2268" w:type="dxa"/>
            <w:vAlign w:val="center"/>
          </w:tcPr>
          <w:p>
            <w:pPr>
              <w:pStyle w:val="13"/>
            </w:pPr>
            <w:r>
              <w:t>≥1次</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活动按时完成率</w:t>
            </w:r>
          </w:p>
        </w:tc>
        <w:tc>
          <w:tcPr>
            <w:tcW w:w="5386" w:type="dxa"/>
            <w:vAlign w:val="center"/>
          </w:tcPr>
          <w:p>
            <w:pPr>
              <w:pStyle w:val="13"/>
            </w:pPr>
            <w:r>
              <w:t>活动按时完成率</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开展宣传展览活动标准（元/场）</w:t>
            </w:r>
          </w:p>
        </w:tc>
        <w:tc>
          <w:tcPr>
            <w:tcW w:w="5386" w:type="dxa"/>
            <w:vAlign w:val="center"/>
          </w:tcPr>
          <w:p>
            <w:pPr>
              <w:pStyle w:val="13"/>
            </w:pPr>
            <w:r>
              <w:t>开展宣传展览活动标准（元/场）</w:t>
            </w:r>
          </w:p>
        </w:tc>
        <w:tc>
          <w:tcPr>
            <w:tcW w:w="2268" w:type="dxa"/>
            <w:vAlign w:val="center"/>
          </w:tcPr>
          <w:p>
            <w:pPr>
              <w:pStyle w:val="13"/>
            </w:pPr>
            <w:r>
              <w:t>≤10000元/场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文化活动覆盖人数</w:t>
            </w:r>
          </w:p>
        </w:tc>
        <w:tc>
          <w:tcPr>
            <w:tcW w:w="5386" w:type="dxa"/>
            <w:vAlign w:val="center"/>
          </w:tcPr>
          <w:p>
            <w:pPr>
              <w:pStyle w:val="13"/>
            </w:pPr>
            <w:r>
              <w:t>文化活动覆盖人群数量</w:t>
            </w:r>
          </w:p>
        </w:tc>
        <w:tc>
          <w:tcPr>
            <w:tcW w:w="2268" w:type="dxa"/>
            <w:vAlign w:val="center"/>
          </w:tcPr>
          <w:p>
            <w:pPr>
              <w:pStyle w:val="13"/>
            </w:pPr>
            <w:r>
              <w:t>≥10000人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文化活动开展时长</w:t>
            </w:r>
          </w:p>
        </w:tc>
        <w:tc>
          <w:tcPr>
            <w:tcW w:w="5386" w:type="dxa"/>
            <w:vAlign w:val="center"/>
          </w:tcPr>
          <w:p>
            <w:pPr>
              <w:pStyle w:val="13"/>
            </w:pPr>
            <w:r>
              <w:t>文化活动开展时长</w:t>
            </w:r>
          </w:p>
        </w:tc>
        <w:tc>
          <w:tcPr>
            <w:tcW w:w="2268" w:type="dxa"/>
            <w:vAlign w:val="center"/>
          </w:tcPr>
          <w:p>
            <w:pPr>
              <w:pStyle w:val="13"/>
            </w:pPr>
            <w:r>
              <w:t>全年</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受益群众满意人数占受益总人数的比率</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50、2026文化馆演出及非遗保护等业务费绩效目标表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13011026P003239102236</w:t>
            </w:r>
          </w:p>
        </w:tc>
        <w:tc>
          <w:tcPr>
            <w:tcW w:w="2835" w:type="dxa"/>
            <w:vAlign w:val="center"/>
          </w:tcPr>
          <w:p>
            <w:pPr>
              <w:pStyle w:val="11"/>
            </w:pPr>
            <w:r>
              <w:t>项目名称</w:t>
            </w:r>
          </w:p>
        </w:tc>
        <w:tc>
          <w:tcPr>
            <w:tcW w:w="6095" w:type="dxa"/>
            <w:gridSpan w:val="3"/>
            <w:vAlign w:val="center"/>
          </w:tcPr>
          <w:p>
            <w:pPr>
              <w:pStyle w:val="13"/>
            </w:pPr>
            <w:r>
              <w:t>2026文化馆演出及非遗保护等业务费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组织各类文艺活动2场及以上，其他辅助支出。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1.组织各类文艺活动2场及以上，其他辅助支出。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组织非遗等文艺活动场次数量</w:t>
            </w:r>
          </w:p>
        </w:tc>
        <w:tc>
          <w:tcPr>
            <w:tcW w:w="5386" w:type="dxa"/>
            <w:vAlign w:val="center"/>
          </w:tcPr>
          <w:p>
            <w:pPr>
              <w:pStyle w:val="13"/>
            </w:pPr>
            <w:r>
              <w:t>组织非遗等文艺活动场次数量</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非遗等文艺活动演出完成率</w:t>
            </w:r>
          </w:p>
        </w:tc>
        <w:tc>
          <w:tcPr>
            <w:tcW w:w="5386" w:type="dxa"/>
            <w:vAlign w:val="center"/>
          </w:tcPr>
          <w:p>
            <w:pPr>
              <w:pStyle w:val="13"/>
            </w:pPr>
            <w:r>
              <w:t>非遗等文艺活动演出完成率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演出上传美篇数量</w:t>
            </w:r>
          </w:p>
        </w:tc>
        <w:tc>
          <w:tcPr>
            <w:tcW w:w="5386" w:type="dxa"/>
            <w:vAlign w:val="center"/>
          </w:tcPr>
          <w:p>
            <w:pPr>
              <w:pStyle w:val="13"/>
            </w:pPr>
            <w:r>
              <w:t>演出上传美篇数量</w:t>
            </w:r>
          </w:p>
        </w:tc>
        <w:tc>
          <w:tcPr>
            <w:tcW w:w="2268" w:type="dxa"/>
            <w:vAlign w:val="center"/>
          </w:tcPr>
          <w:p>
            <w:pPr>
              <w:pStyle w:val="13"/>
            </w:pPr>
            <w:r>
              <w:t>≥2篇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年底前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演职人员补助标准（元/人/场）</w:t>
            </w:r>
          </w:p>
        </w:tc>
        <w:tc>
          <w:tcPr>
            <w:tcW w:w="5386" w:type="dxa"/>
            <w:vAlign w:val="center"/>
          </w:tcPr>
          <w:p>
            <w:pPr>
              <w:pStyle w:val="13"/>
            </w:pPr>
            <w:r>
              <w:t>演职人元补助标准（元/人/场）</w:t>
            </w:r>
          </w:p>
        </w:tc>
        <w:tc>
          <w:tcPr>
            <w:tcW w:w="2268" w:type="dxa"/>
            <w:vAlign w:val="center"/>
          </w:tcPr>
          <w:p>
            <w:pPr>
              <w:pStyle w:val="13"/>
            </w:pPr>
            <w:r>
              <w:t>一般人员≤100元/人/场，外请人员≤500元/人/场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非遗等文艺活动开展时长</w:t>
            </w:r>
          </w:p>
        </w:tc>
        <w:tc>
          <w:tcPr>
            <w:tcW w:w="5386" w:type="dxa"/>
            <w:vAlign w:val="center"/>
          </w:tcPr>
          <w:p>
            <w:pPr>
              <w:pStyle w:val="13"/>
            </w:pPr>
            <w:r>
              <w:t>非遗等文艺活动开展时长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非遗等文艺活动动覆盖人群数量</w:t>
            </w:r>
          </w:p>
        </w:tc>
        <w:tc>
          <w:tcPr>
            <w:tcW w:w="5386" w:type="dxa"/>
            <w:vAlign w:val="center"/>
          </w:tcPr>
          <w:p>
            <w:pPr>
              <w:pStyle w:val="13"/>
            </w:pPr>
            <w:r>
              <w:t>非遗等文艺活动动覆盖人群数量</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51、2026演职人员人身意外伤害险绩效目标表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13011026P00323910222J</w:t>
            </w:r>
          </w:p>
        </w:tc>
        <w:tc>
          <w:tcPr>
            <w:tcW w:w="2835" w:type="dxa"/>
            <w:vAlign w:val="center"/>
          </w:tcPr>
          <w:p>
            <w:pPr>
              <w:pStyle w:val="11"/>
            </w:pPr>
            <w:r>
              <w:t>项目名称</w:t>
            </w:r>
          </w:p>
        </w:tc>
        <w:tc>
          <w:tcPr>
            <w:tcW w:w="6095" w:type="dxa"/>
            <w:gridSpan w:val="3"/>
            <w:vAlign w:val="center"/>
          </w:tcPr>
          <w:p>
            <w:pPr>
              <w:pStyle w:val="13"/>
            </w:pPr>
            <w:r>
              <w:t>2026演职人员人身意外伤害险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对固定演职人员提供人身意外伤害保障,保证演出活动正常进行。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1.对固定演职人员提供人身意外伤害保障,保证演出活动正常进行。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演职人员参保数</w:t>
            </w:r>
          </w:p>
        </w:tc>
        <w:tc>
          <w:tcPr>
            <w:tcW w:w="5386" w:type="dxa"/>
            <w:vAlign w:val="center"/>
          </w:tcPr>
          <w:p>
            <w:pPr>
              <w:pStyle w:val="13"/>
            </w:pPr>
            <w:r>
              <w:t>演职人员人身意外伤害保险参保人数</w:t>
            </w:r>
          </w:p>
        </w:tc>
        <w:tc>
          <w:tcPr>
            <w:tcW w:w="2268" w:type="dxa"/>
            <w:vAlign w:val="center"/>
          </w:tcPr>
          <w:p>
            <w:pPr>
              <w:pStyle w:val="13"/>
            </w:pPr>
            <w:r>
              <w:t>≥1000人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人身意外伤害保险数据缴纳准确性</w:t>
            </w:r>
          </w:p>
        </w:tc>
        <w:tc>
          <w:tcPr>
            <w:tcW w:w="5386" w:type="dxa"/>
            <w:vAlign w:val="center"/>
          </w:tcPr>
          <w:p>
            <w:pPr>
              <w:pStyle w:val="13"/>
            </w:pPr>
            <w:r>
              <w:t>演职人员人身意外伤害保险数据缴纳的准确性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人身意外伤害保险缴纳及时性</w:t>
            </w:r>
          </w:p>
        </w:tc>
        <w:tc>
          <w:tcPr>
            <w:tcW w:w="5386" w:type="dxa"/>
            <w:vAlign w:val="center"/>
          </w:tcPr>
          <w:p>
            <w:pPr>
              <w:pStyle w:val="13"/>
            </w:pPr>
            <w:r>
              <w:t>演职人员人身意外伤害保险缴纳的及时性</w:t>
            </w:r>
          </w:p>
        </w:tc>
        <w:tc>
          <w:tcPr>
            <w:tcW w:w="2268" w:type="dxa"/>
            <w:vAlign w:val="center"/>
          </w:tcPr>
          <w:p>
            <w:pPr>
              <w:pStyle w:val="13"/>
            </w:pPr>
            <w:r>
              <w:t>按时缴纳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人身意外伤害保险缴纳标准</w:t>
            </w:r>
          </w:p>
        </w:tc>
        <w:tc>
          <w:tcPr>
            <w:tcW w:w="5386" w:type="dxa"/>
            <w:vAlign w:val="center"/>
          </w:tcPr>
          <w:p>
            <w:pPr>
              <w:pStyle w:val="13"/>
            </w:pPr>
            <w:r>
              <w:t>演职人员人身意外伤害保险缴纳标准</w:t>
            </w:r>
          </w:p>
        </w:tc>
        <w:tc>
          <w:tcPr>
            <w:tcW w:w="2268" w:type="dxa"/>
            <w:vAlign w:val="center"/>
          </w:tcPr>
          <w:p>
            <w:pPr>
              <w:pStyle w:val="13"/>
            </w:pPr>
            <w:r>
              <w:t>≤20元/人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保证演职人员人身安全</w:t>
            </w:r>
          </w:p>
        </w:tc>
        <w:tc>
          <w:tcPr>
            <w:tcW w:w="5386" w:type="dxa"/>
            <w:vAlign w:val="center"/>
          </w:tcPr>
          <w:p>
            <w:pPr>
              <w:pStyle w:val="13"/>
            </w:pPr>
            <w:r>
              <w:t>通过按时缴纳人身意外伤害保险等，保证了演职人员人身安全，增强演职人员的归属感和稳定性。</w:t>
            </w:r>
          </w:p>
        </w:tc>
        <w:tc>
          <w:tcPr>
            <w:tcW w:w="2268" w:type="dxa"/>
            <w:vAlign w:val="center"/>
          </w:tcPr>
          <w:p>
            <w:pPr>
              <w:pStyle w:val="13"/>
            </w:pPr>
            <w:r>
              <w:t>保障演职人员人身意外伤害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演职人员参保时间</w:t>
            </w:r>
          </w:p>
        </w:tc>
        <w:tc>
          <w:tcPr>
            <w:tcW w:w="5386" w:type="dxa"/>
            <w:vAlign w:val="center"/>
          </w:tcPr>
          <w:p>
            <w:pPr>
              <w:pStyle w:val="13"/>
            </w:pPr>
            <w:r>
              <w:t>演职人员参保时间</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演职人员参保满意度</w:t>
            </w:r>
          </w:p>
        </w:tc>
        <w:tc>
          <w:tcPr>
            <w:tcW w:w="5386" w:type="dxa"/>
            <w:vAlign w:val="center"/>
          </w:tcPr>
          <w:p>
            <w:pPr>
              <w:pStyle w:val="13"/>
            </w:pPr>
            <w:r>
              <w:t>演职人员对参保的满意程度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52、石财教[2025]39号下达2025年中央公共文化服务体系建设补助资金（一般项目和绩效奖励）绩效目标表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13011025P00001211211A</w:t>
            </w:r>
          </w:p>
        </w:tc>
        <w:tc>
          <w:tcPr>
            <w:tcW w:w="2835" w:type="dxa"/>
            <w:vAlign w:val="center"/>
          </w:tcPr>
          <w:p>
            <w:pPr>
              <w:pStyle w:val="11"/>
            </w:pPr>
            <w:r>
              <w:t>项目名称</w:t>
            </w:r>
          </w:p>
        </w:tc>
        <w:tc>
          <w:tcPr>
            <w:tcW w:w="6095" w:type="dxa"/>
            <w:gridSpan w:val="3"/>
            <w:vAlign w:val="center"/>
          </w:tcPr>
          <w:p>
            <w:pPr>
              <w:pStyle w:val="13"/>
            </w:pPr>
            <w:r>
              <w:t>石财教[2025]39号下达2025年中央公共文化服务体系建设补助资金（一般项目和绩效奖励）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21.74</w:t>
            </w:r>
          </w:p>
        </w:tc>
        <w:tc>
          <w:tcPr>
            <w:tcW w:w="2835" w:type="dxa"/>
            <w:vAlign w:val="center"/>
          </w:tcPr>
          <w:p>
            <w:pPr>
              <w:pStyle w:val="11"/>
            </w:pPr>
            <w:r>
              <w:t>其中：财政    资金</w:t>
            </w:r>
          </w:p>
        </w:tc>
        <w:tc>
          <w:tcPr>
            <w:tcW w:w="2551" w:type="dxa"/>
            <w:vAlign w:val="center"/>
          </w:tcPr>
          <w:p>
            <w:pPr>
              <w:pStyle w:val="13"/>
            </w:pPr>
            <w:r>
              <w:t>21.74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通过开展戏曲活动，丰富人民群众精神文化生活，增强获得感和幸福感。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春节系列文化演出活动场次</w:t>
            </w:r>
          </w:p>
        </w:tc>
        <w:tc>
          <w:tcPr>
            <w:tcW w:w="5386" w:type="dxa"/>
            <w:vAlign w:val="center"/>
          </w:tcPr>
          <w:p>
            <w:pPr>
              <w:pStyle w:val="13"/>
            </w:pPr>
            <w:r>
              <w:t>春节系列文化演出活动场次</w:t>
            </w:r>
          </w:p>
        </w:tc>
        <w:tc>
          <w:tcPr>
            <w:tcW w:w="2268" w:type="dxa"/>
            <w:vAlign w:val="center"/>
          </w:tcPr>
          <w:p>
            <w:pPr>
              <w:pStyle w:val="13"/>
            </w:pPr>
            <w:r>
              <w:t>1场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春节系列文化演出彩排场次</w:t>
            </w:r>
          </w:p>
        </w:tc>
        <w:tc>
          <w:tcPr>
            <w:tcW w:w="5386" w:type="dxa"/>
            <w:vAlign w:val="center"/>
          </w:tcPr>
          <w:p>
            <w:pPr>
              <w:pStyle w:val="13"/>
            </w:pPr>
            <w:r>
              <w:t>春节系列文化演出彩排场次</w:t>
            </w:r>
          </w:p>
        </w:tc>
        <w:tc>
          <w:tcPr>
            <w:tcW w:w="2268" w:type="dxa"/>
            <w:vAlign w:val="center"/>
          </w:tcPr>
          <w:p>
            <w:pPr>
              <w:pStyle w:val="13"/>
            </w:pPr>
            <w:r>
              <w:t>1场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演职人员补助标准（人/天）</w:t>
            </w:r>
          </w:p>
        </w:tc>
        <w:tc>
          <w:tcPr>
            <w:tcW w:w="2268" w:type="dxa"/>
            <w:vAlign w:val="center"/>
          </w:tcPr>
          <w:p>
            <w:pPr>
              <w:pStyle w:val="13"/>
            </w:pPr>
            <w:r>
              <w:t>≤200元/天/人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增加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53、提前下达2026年省级非物质文化遗产保护专项资金（获鹿丝弦、传承人补助）绩效目标表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13011026P00162110004L</w:t>
            </w:r>
          </w:p>
        </w:tc>
        <w:tc>
          <w:tcPr>
            <w:tcW w:w="2835" w:type="dxa"/>
            <w:vAlign w:val="center"/>
          </w:tcPr>
          <w:p>
            <w:pPr>
              <w:pStyle w:val="11"/>
            </w:pPr>
            <w:r>
              <w:t>项目名称</w:t>
            </w:r>
          </w:p>
        </w:tc>
        <w:tc>
          <w:tcPr>
            <w:tcW w:w="6095" w:type="dxa"/>
            <w:gridSpan w:val="3"/>
            <w:vAlign w:val="center"/>
          </w:tcPr>
          <w:p>
            <w:pPr>
              <w:pStyle w:val="13"/>
            </w:pPr>
            <w:r>
              <w:t>提前下达2026年省级非物质文化遗产保护专项资金（获鹿丝弦、传承人补助）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w:t>
            </w:r>
          </w:p>
        </w:tc>
        <w:tc>
          <w:tcPr>
            <w:tcW w:w="2835" w:type="dxa"/>
            <w:vAlign w:val="center"/>
          </w:tcPr>
          <w:p>
            <w:pPr>
              <w:pStyle w:val="11"/>
            </w:pPr>
            <w:r>
              <w:t>其中：财政    资金</w:t>
            </w:r>
          </w:p>
        </w:tc>
        <w:tc>
          <w:tcPr>
            <w:tcW w:w="2551" w:type="dxa"/>
            <w:vAlign w:val="center"/>
          </w:tcPr>
          <w:p>
            <w:pPr>
              <w:pStyle w:val="13"/>
            </w:pPr>
            <w:r>
              <w:t>4.60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补助省级非遗项目获鹿丝弦4万元，推动我区非遗项目传承活动。补助非遗传承人董兰坤0.6万元，推动我区非遗传承保护水平。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1.补助省级非遗项目获鹿丝弦4万元，推动我区非遗项目传承活动。</w:t>
            </w:r>
          </w:p>
          <w:p>
            <w:pPr>
              <w:pStyle w:val="13"/>
            </w:pPr>
            <w:r>
              <w:t>2.补助非遗传承人董兰坤0.6万元，推动我区非遗传承保护水平。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省级非遗代表性项目保护个数</w:t>
            </w:r>
          </w:p>
        </w:tc>
        <w:tc>
          <w:tcPr>
            <w:tcW w:w="5386" w:type="dxa"/>
            <w:vAlign w:val="center"/>
          </w:tcPr>
          <w:p>
            <w:pPr>
              <w:pStyle w:val="13"/>
            </w:pPr>
            <w:r>
              <w:t>省级非遗代表性项目保护个数</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补助省级代表性传承人传习活动人数</w:t>
            </w:r>
          </w:p>
        </w:tc>
        <w:tc>
          <w:tcPr>
            <w:tcW w:w="5386" w:type="dxa"/>
            <w:vAlign w:val="center"/>
          </w:tcPr>
          <w:p>
            <w:pPr>
              <w:pStyle w:val="13"/>
            </w:pPr>
            <w:r>
              <w:t>补助省级代表性传承人传习活动人数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省级非遗代表性项目保护任务完成率</w:t>
            </w:r>
          </w:p>
        </w:tc>
        <w:tc>
          <w:tcPr>
            <w:tcW w:w="5386" w:type="dxa"/>
            <w:vAlign w:val="center"/>
          </w:tcPr>
          <w:p>
            <w:pPr>
              <w:pStyle w:val="13"/>
            </w:pPr>
            <w:r>
              <w:t>省级非遗代表性项目保护任务完成率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省级代表性传承人传习活动补助发放到位率</w:t>
            </w:r>
          </w:p>
        </w:tc>
        <w:tc>
          <w:tcPr>
            <w:tcW w:w="5386" w:type="dxa"/>
            <w:vAlign w:val="center"/>
          </w:tcPr>
          <w:p>
            <w:pPr>
              <w:pStyle w:val="13"/>
            </w:pPr>
            <w:r>
              <w:t>省级代表性传承人传习活动补助发放到位率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r>
              <w:tab/>
            </w:r>
          </w:p>
          <w:p>
            <w:pPr>
              <w:pStyle w:val="13"/>
            </w:pPr>
          </w:p>
        </w:tc>
        <w:tc>
          <w:tcPr>
            <w:tcW w:w="5386" w:type="dxa"/>
            <w:vAlign w:val="center"/>
          </w:tcPr>
          <w:p>
            <w:pPr>
              <w:pStyle w:val="13"/>
            </w:pPr>
            <w:r>
              <w:t>补助发放时间</w:t>
            </w:r>
            <w:r>
              <w:tab/>
            </w:r>
          </w:p>
          <w:p>
            <w:pPr>
              <w:pStyle w:val="13"/>
            </w:pPr>
          </w:p>
        </w:tc>
        <w:tc>
          <w:tcPr>
            <w:tcW w:w="2268" w:type="dxa"/>
            <w:vAlign w:val="center"/>
          </w:tcPr>
          <w:p>
            <w:pPr>
              <w:pStyle w:val="13"/>
            </w:pPr>
            <w:r>
              <w:t>2026年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非遗传承人补助发放标准</w:t>
            </w:r>
          </w:p>
        </w:tc>
        <w:tc>
          <w:tcPr>
            <w:tcW w:w="5386" w:type="dxa"/>
            <w:vAlign w:val="center"/>
          </w:tcPr>
          <w:p>
            <w:pPr>
              <w:pStyle w:val="13"/>
            </w:pPr>
            <w:r>
              <w:t>非遗传承人补助发放标准</w:t>
            </w:r>
          </w:p>
        </w:tc>
        <w:tc>
          <w:tcPr>
            <w:tcW w:w="2268" w:type="dxa"/>
            <w:vAlign w:val="center"/>
          </w:tcPr>
          <w:p>
            <w:pPr>
              <w:pStyle w:val="13"/>
            </w:pPr>
            <w:r>
              <w:t>0.6万元/人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非遗传承人、非遗代表性项目补助补助发放对象精准度</w:t>
            </w:r>
          </w:p>
        </w:tc>
        <w:tc>
          <w:tcPr>
            <w:tcW w:w="5386" w:type="dxa"/>
            <w:vAlign w:val="center"/>
          </w:tcPr>
          <w:p>
            <w:pPr>
              <w:pStyle w:val="13"/>
            </w:pPr>
            <w:r>
              <w:t>非遗传承人、非遗代表性项目补助补助发放对象精准度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通过以培育传承队伍、促进传承人群增长</w:t>
            </w:r>
          </w:p>
        </w:tc>
        <w:tc>
          <w:tcPr>
            <w:tcW w:w="5386" w:type="dxa"/>
            <w:vAlign w:val="center"/>
          </w:tcPr>
          <w:p>
            <w:pPr>
              <w:pStyle w:val="13"/>
            </w:pPr>
            <w:r>
              <w:t>通过以培育传承队伍、促进传承人群增长</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非遗传承人满意度情况</w:t>
            </w:r>
          </w:p>
        </w:tc>
        <w:tc>
          <w:tcPr>
            <w:tcW w:w="5386" w:type="dxa"/>
            <w:vAlign w:val="center"/>
          </w:tcPr>
          <w:p>
            <w:pPr>
              <w:pStyle w:val="13"/>
            </w:pPr>
            <w:r>
              <w:t>非遗传承人满意度情况</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54、提前下达2026年省级基础三馆一站免费开放运行保障经费预算的通知绩效目标表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13011026P00001410042M</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用于开展文体活动2场，及其他辅助支出。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文化馆按规定免费开放个数</w:t>
            </w:r>
          </w:p>
        </w:tc>
        <w:tc>
          <w:tcPr>
            <w:tcW w:w="5386" w:type="dxa"/>
            <w:vAlign w:val="center"/>
          </w:tcPr>
          <w:p>
            <w:pPr>
              <w:pStyle w:val="13"/>
            </w:pPr>
            <w:r>
              <w:t>文化馆按规定免费开放个数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群众公共文化参与情况</w:t>
            </w:r>
          </w:p>
        </w:tc>
        <w:tc>
          <w:tcPr>
            <w:tcW w:w="5386" w:type="dxa"/>
            <w:vAlign w:val="center"/>
          </w:tcPr>
          <w:p>
            <w:pPr>
              <w:pStyle w:val="13"/>
            </w:pPr>
            <w:r>
              <w:t>群众公共文化参与情况</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55、提前下达2026年市级非物质文化遗产保护专项资金（非遗传承人、非遗项目补助）绩效目标表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13011026P00162110007F</w:t>
            </w:r>
          </w:p>
        </w:tc>
        <w:tc>
          <w:tcPr>
            <w:tcW w:w="2835" w:type="dxa"/>
            <w:vAlign w:val="center"/>
          </w:tcPr>
          <w:p>
            <w:pPr>
              <w:pStyle w:val="11"/>
            </w:pPr>
            <w:r>
              <w:t>项目名称</w:t>
            </w:r>
          </w:p>
        </w:tc>
        <w:tc>
          <w:tcPr>
            <w:tcW w:w="6095" w:type="dxa"/>
            <w:gridSpan w:val="3"/>
            <w:vAlign w:val="center"/>
          </w:tcPr>
          <w:p>
            <w:pPr>
              <w:pStyle w:val="13"/>
            </w:pPr>
            <w:r>
              <w:t>提前下达2026年市级非物质文化遗产保护专项资金（非遗传承人、非遗项目补助）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通过对市级代表性传承人传习活动及非遗项目补助，推动非遗传承保护。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1.通过对市级代表性传承人传习活动及非遗项目补助，推动非遗传承保护。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补助市级代表性传承人传习活动人数</w:t>
            </w:r>
          </w:p>
        </w:tc>
        <w:tc>
          <w:tcPr>
            <w:tcW w:w="5386" w:type="dxa"/>
            <w:vAlign w:val="center"/>
          </w:tcPr>
          <w:p>
            <w:pPr>
              <w:pStyle w:val="13"/>
            </w:pPr>
            <w:r>
              <w:t>补助市级代表性传承人传习活动人数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市级非遗代表性项目年度重点项目保护个数</w:t>
            </w:r>
          </w:p>
        </w:tc>
        <w:tc>
          <w:tcPr>
            <w:tcW w:w="5386" w:type="dxa"/>
            <w:vAlign w:val="center"/>
          </w:tcPr>
          <w:p>
            <w:pPr>
              <w:pStyle w:val="13"/>
            </w:pPr>
            <w:r>
              <w:t>市级非遗代表性项目年度重点项目保护个数</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市级非遗代表性项目年度重点项目保护任务完成率</w:t>
            </w:r>
          </w:p>
        </w:tc>
        <w:tc>
          <w:tcPr>
            <w:tcW w:w="5386" w:type="dxa"/>
            <w:vAlign w:val="center"/>
          </w:tcPr>
          <w:p>
            <w:pPr>
              <w:pStyle w:val="13"/>
            </w:pPr>
            <w:r>
              <w:t>市级非遗代表性项目年度重点项目保护任务完成率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市级代表性传承人传习活动补助发放到位率</w:t>
            </w:r>
          </w:p>
        </w:tc>
        <w:tc>
          <w:tcPr>
            <w:tcW w:w="5386" w:type="dxa"/>
            <w:vAlign w:val="center"/>
          </w:tcPr>
          <w:p>
            <w:pPr>
              <w:pStyle w:val="13"/>
            </w:pPr>
            <w:r>
              <w:t>市级代表性传承人传习活动补助发放到位率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非遗传承、展示、推广活动完成率</w:t>
            </w:r>
          </w:p>
        </w:tc>
        <w:tc>
          <w:tcPr>
            <w:tcW w:w="5386" w:type="dxa"/>
            <w:vAlign w:val="center"/>
          </w:tcPr>
          <w:p>
            <w:pPr>
              <w:pStyle w:val="13"/>
            </w:pPr>
            <w:r>
              <w:t>衡量非遗传承、展示、推广等活动按计划完成的比例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市级代表性传承人补助发放标准</w:t>
            </w:r>
          </w:p>
        </w:tc>
        <w:tc>
          <w:tcPr>
            <w:tcW w:w="5386" w:type="dxa"/>
            <w:vAlign w:val="center"/>
          </w:tcPr>
          <w:p>
            <w:pPr>
              <w:pStyle w:val="13"/>
            </w:pPr>
            <w:r>
              <w:t>市级代表性传承人补助发放标准</w:t>
            </w:r>
          </w:p>
        </w:tc>
        <w:tc>
          <w:tcPr>
            <w:tcW w:w="2268" w:type="dxa"/>
            <w:vAlign w:val="center"/>
          </w:tcPr>
          <w:p>
            <w:pPr>
              <w:pStyle w:val="13"/>
            </w:pPr>
            <w:r>
              <w:t>0.3万元/人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社会参与非遗保护与传承渠道</w:t>
            </w:r>
          </w:p>
        </w:tc>
        <w:tc>
          <w:tcPr>
            <w:tcW w:w="5386" w:type="dxa"/>
            <w:vAlign w:val="center"/>
          </w:tcPr>
          <w:p>
            <w:pPr>
              <w:pStyle w:val="13"/>
            </w:pPr>
            <w:r>
              <w:t>社会参与非遗保护与传承渠道</w:t>
            </w:r>
          </w:p>
        </w:tc>
        <w:tc>
          <w:tcPr>
            <w:tcW w:w="2268" w:type="dxa"/>
            <w:vAlign w:val="center"/>
          </w:tcPr>
          <w:p>
            <w:pPr>
              <w:pStyle w:val="13"/>
            </w:pPr>
            <w:r>
              <w:t>进一步拓展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5386" w:type="dxa"/>
            <w:vAlign w:val="center"/>
          </w:tcPr>
          <w:p>
            <w:pPr>
              <w:pStyle w:val="13"/>
            </w:pPr>
            <w:r>
              <w:t>社会公众对非物质文化遗产保护满意度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56、提前下达2026年市级公共文化服务体系建设专项资金（三馆一站免费开放）绩效目标表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用于开展文体活动2场，及其他辅助支出。提高区公共文化服务能力。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1.用于开展文体活动2场，及其他辅助支出。提高区公共文化服务能力。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文化馆按规定免费开放个数</w:t>
            </w:r>
          </w:p>
        </w:tc>
        <w:tc>
          <w:tcPr>
            <w:tcW w:w="5386" w:type="dxa"/>
            <w:vAlign w:val="center"/>
          </w:tcPr>
          <w:p>
            <w:pPr>
              <w:pStyle w:val="13"/>
            </w:pPr>
            <w:r>
              <w:t>文化馆按规定免费开放个数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群众公共文化参与情况</w:t>
            </w:r>
          </w:p>
        </w:tc>
        <w:tc>
          <w:tcPr>
            <w:tcW w:w="5386" w:type="dxa"/>
            <w:vAlign w:val="center"/>
          </w:tcPr>
          <w:p>
            <w:pPr>
              <w:pStyle w:val="13"/>
            </w:pPr>
            <w:r>
              <w:t>群众公共文化参与情况</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57、提前下达2026年中央支持地方公共文化服务体系建设补助资金（三馆一站免费开放）绩效目标表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文化下乡演出10场，公益场馆设备购置等；提高群众文化水平，增强民众幸福指数，渲染民众文化活动氛围。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1.文化下乡演出10场，公益场馆设备购置等；提高群众文化水平，增强民众幸福指数，渲染民众文化活动氛围。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公益场馆设备购置数量</w:t>
            </w:r>
          </w:p>
        </w:tc>
        <w:tc>
          <w:tcPr>
            <w:tcW w:w="5386" w:type="dxa"/>
            <w:vAlign w:val="center"/>
          </w:tcPr>
          <w:p>
            <w:pPr>
              <w:pStyle w:val="13"/>
            </w:pPr>
            <w:r>
              <w:t>公益场馆空调机设备购置数量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文化馆（站）按规定免费开放个数</w:t>
            </w:r>
          </w:p>
        </w:tc>
        <w:tc>
          <w:tcPr>
            <w:tcW w:w="5386" w:type="dxa"/>
            <w:vAlign w:val="center"/>
          </w:tcPr>
          <w:p>
            <w:pPr>
              <w:pStyle w:val="13"/>
            </w:pPr>
            <w:r>
              <w:t>文化馆（站）按规定免费开放个数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文化演出场次</w:t>
            </w:r>
          </w:p>
        </w:tc>
        <w:tc>
          <w:tcPr>
            <w:tcW w:w="5386" w:type="dxa"/>
            <w:vAlign w:val="center"/>
          </w:tcPr>
          <w:p>
            <w:pPr>
              <w:pStyle w:val="13"/>
            </w:pPr>
            <w:r>
              <w:t>文化演出、培训场次</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公共文化馆免费开放天数</w:t>
            </w:r>
          </w:p>
        </w:tc>
        <w:tc>
          <w:tcPr>
            <w:tcW w:w="5386" w:type="dxa"/>
            <w:vAlign w:val="center"/>
          </w:tcPr>
          <w:p>
            <w:pPr>
              <w:pStyle w:val="13"/>
            </w:pPr>
            <w:r>
              <w:t>公共文化馆免费开放天数</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文化演出活动按时完成率</w:t>
            </w:r>
          </w:p>
        </w:tc>
        <w:tc>
          <w:tcPr>
            <w:tcW w:w="5386" w:type="dxa"/>
            <w:vAlign w:val="center"/>
          </w:tcPr>
          <w:p>
            <w:pPr>
              <w:pStyle w:val="13"/>
            </w:pPr>
            <w:r>
              <w:t>文化演出活动按时完成率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购置空调机设备标准（元/台）</w:t>
            </w:r>
          </w:p>
        </w:tc>
        <w:tc>
          <w:tcPr>
            <w:tcW w:w="5386" w:type="dxa"/>
            <w:vAlign w:val="center"/>
          </w:tcPr>
          <w:p>
            <w:pPr>
              <w:pStyle w:val="13"/>
            </w:pPr>
            <w:r>
              <w:t>购置空调机设备标准（元/台）</w:t>
            </w:r>
          </w:p>
        </w:tc>
        <w:tc>
          <w:tcPr>
            <w:tcW w:w="2268" w:type="dxa"/>
            <w:vAlign w:val="center"/>
          </w:tcPr>
          <w:p>
            <w:pPr>
              <w:pStyle w:val="13"/>
            </w:pPr>
            <w:r>
              <w:t>≤8500元/台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文艺演出活动产生的社会影响</w:t>
            </w:r>
          </w:p>
        </w:tc>
        <w:tc>
          <w:tcPr>
            <w:tcW w:w="5386" w:type="dxa"/>
            <w:vAlign w:val="center"/>
          </w:tcPr>
          <w:p>
            <w:pPr>
              <w:pStyle w:val="13"/>
            </w:pPr>
            <w:r>
              <w:t>文艺演出活动对人民群众幸福满意度的影响提升</w:t>
            </w:r>
          </w:p>
        </w:tc>
        <w:tc>
          <w:tcPr>
            <w:tcW w:w="2268" w:type="dxa"/>
            <w:vAlign w:val="center"/>
          </w:tcPr>
          <w:p>
            <w:pPr>
              <w:pStyle w:val="13"/>
            </w:pPr>
            <w:r>
              <w:t>满意</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文化建设持续发展程度</w:t>
            </w:r>
          </w:p>
        </w:tc>
        <w:tc>
          <w:tcPr>
            <w:tcW w:w="5386" w:type="dxa"/>
            <w:vAlign w:val="center"/>
          </w:tcPr>
          <w:p>
            <w:pPr>
              <w:pStyle w:val="13"/>
            </w:pPr>
            <w:r>
              <w:t>文化建设持续发展程度</w:t>
            </w:r>
          </w:p>
        </w:tc>
        <w:tc>
          <w:tcPr>
            <w:tcW w:w="2268" w:type="dxa"/>
            <w:vAlign w:val="center"/>
          </w:tcPr>
          <w:p>
            <w:pPr>
              <w:pStyle w:val="13"/>
            </w:pPr>
            <w:r>
              <w:t>逐步提高我区文化事业发展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群众对国家基本公共文化服务满意度</w:t>
            </w:r>
          </w:p>
        </w:tc>
        <w:tc>
          <w:tcPr>
            <w:tcW w:w="5386" w:type="dxa"/>
            <w:vAlign w:val="center"/>
          </w:tcPr>
          <w:p>
            <w:pPr>
              <w:pStyle w:val="13"/>
            </w:pPr>
            <w:r>
              <w:t>群众对国家基本公共文化服务满意度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58、提前下达2026年中央支持地方公共文化服务体系建设补助资金（一般项目）绩效目标表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9.97</w:t>
            </w:r>
          </w:p>
        </w:tc>
        <w:tc>
          <w:tcPr>
            <w:tcW w:w="2835" w:type="dxa"/>
            <w:vAlign w:val="center"/>
          </w:tcPr>
          <w:p>
            <w:pPr>
              <w:pStyle w:val="11"/>
            </w:pPr>
            <w:r>
              <w:t>其中：财政    资金</w:t>
            </w:r>
          </w:p>
        </w:tc>
        <w:tc>
          <w:tcPr>
            <w:tcW w:w="2551" w:type="dxa"/>
            <w:vAlign w:val="center"/>
          </w:tcPr>
          <w:p>
            <w:pPr>
              <w:pStyle w:val="13"/>
            </w:pPr>
            <w:r>
              <w:t>9.97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通过开展文化演出、培训约15场次，提高人民群众业余文化生活，促进公共文化建设的提升。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1.通过开展文化演出、培训约15场次，提高人民群众业余文化生活，促进公共文化建设的提升。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开展文化活动演出及骨干培训场次</w:t>
            </w:r>
          </w:p>
        </w:tc>
        <w:tc>
          <w:tcPr>
            <w:tcW w:w="5386" w:type="dxa"/>
            <w:vAlign w:val="center"/>
          </w:tcPr>
          <w:p>
            <w:pPr>
              <w:pStyle w:val="13"/>
            </w:pPr>
            <w:r>
              <w:t>开展文化活动演出及骨干培训场次</w:t>
            </w:r>
          </w:p>
        </w:tc>
        <w:tc>
          <w:tcPr>
            <w:tcW w:w="2268" w:type="dxa"/>
            <w:vAlign w:val="center"/>
          </w:tcPr>
          <w:p>
            <w:pPr>
              <w:pStyle w:val="13"/>
            </w:pPr>
            <w:r>
              <w:t>≥15场次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开展文化活动成功率</w:t>
            </w:r>
          </w:p>
        </w:tc>
        <w:tc>
          <w:tcPr>
            <w:tcW w:w="5386" w:type="dxa"/>
            <w:vAlign w:val="center"/>
          </w:tcPr>
          <w:p>
            <w:pPr>
              <w:pStyle w:val="13"/>
            </w:pPr>
            <w:r>
              <w:t>开展文化活动成功率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演出及时性</w:t>
            </w:r>
          </w:p>
        </w:tc>
        <w:tc>
          <w:tcPr>
            <w:tcW w:w="5386" w:type="dxa"/>
            <w:vAlign w:val="center"/>
          </w:tcPr>
          <w:p>
            <w:pPr>
              <w:pStyle w:val="13"/>
            </w:pPr>
            <w:r>
              <w:t>演出及时性</w:t>
            </w:r>
          </w:p>
        </w:tc>
        <w:tc>
          <w:tcPr>
            <w:tcW w:w="2268" w:type="dxa"/>
            <w:vAlign w:val="center"/>
          </w:tcPr>
          <w:p>
            <w:pPr>
              <w:pStyle w:val="13"/>
            </w:pPr>
            <w:r>
              <w:t>12月底前</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演出人员费用标准</w:t>
            </w:r>
          </w:p>
        </w:tc>
        <w:tc>
          <w:tcPr>
            <w:tcW w:w="5386" w:type="dxa"/>
            <w:vAlign w:val="center"/>
          </w:tcPr>
          <w:p>
            <w:pPr>
              <w:pStyle w:val="13"/>
            </w:pPr>
            <w:r>
              <w:t>演出人员费用标准（元/天/人）</w:t>
            </w:r>
          </w:p>
        </w:tc>
        <w:tc>
          <w:tcPr>
            <w:tcW w:w="2268" w:type="dxa"/>
            <w:vAlign w:val="center"/>
          </w:tcPr>
          <w:p>
            <w:pPr>
              <w:pStyle w:val="13"/>
            </w:pPr>
            <w:r>
              <w:t>≤300元/天/人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59、2026篮球联赛绩效目标表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13011026P000066100135</w:t>
            </w:r>
          </w:p>
        </w:tc>
        <w:tc>
          <w:tcPr>
            <w:tcW w:w="2835" w:type="dxa"/>
            <w:vAlign w:val="center"/>
          </w:tcPr>
          <w:p>
            <w:pPr>
              <w:pStyle w:val="11"/>
            </w:pPr>
            <w:r>
              <w:t>项目名称</w:t>
            </w:r>
          </w:p>
        </w:tc>
        <w:tc>
          <w:tcPr>
            <w:tcW w:w="6095" w:type="dxa"/>
            <w:gridSpan w:val="3"/>
            <w:vAlign w:val="center"/>
          </w:tcPr>
          <w:p>
            <w:pPr>
              <w:pStyle w:val="13"/>
            </w:pPr>
            <w:r>
              <w:t>2026篮球联赛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"参加、组织各级比赛及体育场运转支出.</w:t>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1.篮球协会组织篮球联赛不少于两场"参加、组织各级比赛及体育场运转支出.</w:t>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项目执行效率</w:t>
            </w:r>
          </w:p>
        </w:tc>
        <w:tc>
          <w:tcPr>
            <w:tcW w:w="5386" w:type="dxa"/>
            <w:vAlign w:val="center"/>
          </w:tcPr>
          <w:p>
            <w:pPr>
              <w:pStyle w:val="13"/>
            </w:pPr>
            <w:r>
              <w:t>项目执行效率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活动次数</w:t>
            </w:r>
          </w:p>
        </w:tc>
        <w:tc>
          <w:tcPr>
            <w:tcW w:w="5386" w:type="dxa"/>
            <w:vAlign w:val="center"/>
          </w:tcPr>
          <w:p>
            <w:pPr>
              <w:pStyle w:val="13"/>
            </w:pPr>
            <w:r>
              <w:t>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参赛成本</w:t>
            </w:r>
          </w:p>
        </w:tc>
        <w:tc>
          <w:tcPr>
            <w:tcW w:w="5386" w:type="dxa"/>
            <w:vAlign w:val="center"/>
          </w:tcPr>
          <w:p>
            <w:pPr>
              <w:pStyle w:val="13"/>
            </w:pPr>
            <w:r>
              <w:t>参赛成本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≥2000人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60、2026老年体协绩效目标表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13011026P00006610010A</w:t>
            </w:r>
          </w:p>
        </w:tc>
        <w:tc>
          <w:tcPr>
            <w:tcW w:w="2835" w:type="dxa"/>
            <w:vAlign w:val="center"/>
          </w:tcPr>
          <w:p>
            <w:pPr>
              <w:pStyle w:val="11"/>
            </w:pPr>
            <w:r>
              <w:t>项目名称</w:t>
            </w:r>
          </w:p>
        </w:tc>
        <w:tc>
          <w:tcPr>
            <w:tcW w:w="6095" w:type="dxa"/>
            <w:gridSpan w:val="3"/>
            <w:vAlign w:val="center"/>
          </w:tcPr>
          <w:p>
            <w:pPr>
              <w:pStyle w:val="13"/>
            </w:pPr>
            <w:r>
              <w:t>2026老年体协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1.组队参加市级老体协举办的乒乓球赛、精品展演、健身球、柔力球、健身秧歌、太极拳剑、中华通络操等项目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1.1.组队参加市级老体协举办的乒乓球赛、精品展演、健身球、柔力球、健身秧歌、太极拳剑、中华通络操等项目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项目执行效率</w:t>
            </w:r>
          </w:p>
          <w:p>
            <w:pPr>
              <w:pStyle w:val="13"/>
            </w:pPr>
          </w:p>
        </w:tc>
        <w:tc>
          <w:tcPr>
            <w:tcW w:w="5386" w:type="dxa"/>
            <w:vAlign w:val="center"/>
          </w:tcPr>
          <w:p>
            <w:pPr>
              <w:pStyle w:val="13"/>
            </w:pPr>
            <w:r>
              <w:t>项目执行效率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活动次数</w:t>
            </w:r>
          </w:p>
        </w:tc>
        <w:tc>
          <w:tcPr>
            <w:tcW w:w="5386" w:type="dxa"/>
            <w:vAlign w:val="center"/>
          </w:tcPr>
          <w:p>
            <w:pPr>
              <w:pStyle w:val="13"/>
            </w:pPr>
            <w:r>
              <w:t>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参赛成本</w:t>
            </w:r>
          </w:p>
        </w:tc>
        <w:tc>
          <w:tcPr>
            <w:tcW w:w="5386" w:type="dxa"/>
            <w:vAlign w:val="center"/>
          </w:tcPr>
          <w:p>
            <w:pPr>
              <w:pStyle w:val="13"/>
            </w:pPr>
            <w:r>
              <w:t>参赛成本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61、2026年涉军人员工资及社保绩效目标表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13011026P00154010033M</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w:t>
            </w:r>
          </w:p>
        </w:tc>
        <w:tc>
          <w:tcPr>
            <w:tcW w:w="2835" w:type="dxa"/>
            <w:vAlign w:val="center"/>
          </w:tcPr>
          <w:p>
            <w:pPr>
              <w:pStyle w:val="11"/>
            </w:pPr>
            <w:r>
              <w:t>其中：财政    资金</w:t>
            </w:r>
          </w:p>
        </w:tc>
        <w:tc>
          <w:tcPr>
            <w:tcW w:w="2551" w:type="dxa"/>
            <w:vAlign w:val="center"/>
          </w:tcPr>
          <w:p>
            <w:pPr>
              <w:pStyle w:val="13"/>
            </w:pPr>
            <w:r>
              <w:t>11.40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缴纳2名退役军人社会保险及发放工资福利，保障办公正常运转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1.缴纳2名退役军人社会保险及发放工资福利，保障办公正常运转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保障退役军人人数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工资福利发放精准率</w:t>
            </w:r>
          </w:p>
        </w:tc>
        <w:tc>
          <w:tcPr>
            <w:tcW w:w="5386" w:type="dxa"/>
            <w:vAlign w:val="center"/>
          </w:tcPr>
          <w:p>
            <w:pPr>
              <w:pStyle w:val="13"/>
            </w:pPr>
            <w:r>
              <w:t>工资福利发放精准率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工资福利发放及时率</w:t>
            </w:r>
          </w:p>
        </w:tc>
        <w:tc>
          <w:tcPr>
            <w:tcW w:w="5386" w:type="dxa"/>
            <w:vAlign w:val="center"/>
          </w:tcPr>
          <w:p>
            <w:pPr>
              <w:pStyle w:val="13"/>
            </w:pPr>
            <w:r>
              <w:t>工资福利发放及时率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工资福利发放及社会保险缴纳标准</w:t>
            </w:r>
          </w:p>
        </w:tc>
        <w:tc>
          <w:tcPr>
            <w:tcW w:w="5386" w:type="dxa"/>
            <w:vAlign w:val="center"/>
          </w:tcPr>
          <w:p>
            <w:pPr>
              <w:pStyle w:val="13"/>
            </w:pPr>
            <w:r>
              <w:t>工资福利发放及社会保险缴纳标准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加强职工归属感，维护社会稳定</w:t>
            </w:r>
          </w:p>
        </w:tc>
        <w:tc>
          <w:tcPr>
            <w:tcW w:w="5386" w:type="dxa"/>
            <w:vAlign w:val="center"/>
          </w:tcPr>
          <w:p>
            <w:pPr>
              <w:pStyle w:val="13"/>
            </w:pPr>
            <w:r>
              <w:t>加强职工归属感，维护社会稳定</w:t>
            </w:r>
          </w:p>
        </w:tc>
        <w:tc>
          <w:tcPr>
            <w:tcW w:w="2268" w:type="dxa"/>
            <w:vAlign w:val="center"/>
          </w:tcPr>
          <w:p>
            <w:pPr>
              <w:pStyle w:val="13"/>
            </w:pPr>
            <w:r>
              <w:t>加强职工归属感，维护社会稳定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安置退役军人时间</w:t>
            </w:r>
          </w:p>
        </w:tc>
        <w:tc>
          <w:tcPr>
            <w:tcW w:w="5386" w:type="dxa"/>
            <w:vAlign w:val="center"/>
          </w:tcPr>
          <w:p>
            <w:pPr>
              <w:pStyle w:val="13"/>
            </w:pPr>
            <w:r>
              <w:t>安置退役军人时间</w:t>
            </w:r>
          </w:p>
        </w:tc>
        <w:tc>
          <w:tcPr>
            <w:tcW w:w="2268" w:type="dxa"/>
            <w:vAlign w:val="center"/>
          </w:tcPr>
          <w:p>
            <w:pPr>
              <w:pStyle w:val="13"/>
            </w:pPr>
            <w:r>
              <w:t>长期</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受益退役军人满意度</w:t>
            </w:r>
          </w:p>
        </w:tc>
        <w:tc>
          <w:tcPr>
            <w:tcW w:w="5386" w:type="dxa"/>
            <w:vAlign w:val="center"/>
          </w:tcPr>
          <w:p>
            <w:pPr>
              <w:pStyle w:val="13"/>
            </w:pPr>
            <w:r>
              <w:t>受益退役军人满意度</w:t>
            </w:r>
          </w:p>
        </w:tc>
        <w:tc>
          <w:tcPr>
            <w:tcW w:w="2268" w:type="dxa"/>
            <w:vAlign w:val="center"/>
          </w:tcPr>
          <w:p>
            <w:pPr>
              <w:pStyle w:val="13"/>
            </w:pPr>
            <w:r>
              <w:t>100%</w:t>
            </w:r>
          </w:p>
        </w:tc>
        <w:tc>
          <w:tcPr>
            <w:tcW w:w="1276"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62、2026体育竞赛活动，体育场维护及全民健身绩效目标表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13011026P00006610011X</w:t>
            </w:r>
          </w:p>
        </w:tc>
        <w:tc>
          <w:tcPr>
            <w:tcW w:w="2835" w:type="dxa"/>
            <w:vAlign w:val="center"/>
          </w:tcPr>
          <w:p>
            <w:pPr>
              <w:pStyle w:val="11"/>
            </w:pPr>
            <w:r>
              <w:t>项目名称</w:t>
            </w:r>
          </w:p>
        </w:tc>
        <w:tc>
          <w:tcPr>
            <w:tcW w:w="6095" w:type="dxa"/>
            <w:gridSpan w:val="3"/>
            <w:vAlign w:val="center"/>
          </w:tcPr>
          <w:p>
            <w:pPr>
              <w:pStyle w:val="13"/>
            </w:pPr>
            <w:r>
              <w:t>2026体育竞赛活动，体育场维护及全民健身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参加、组织各级比赛及体育场运转支出.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1.参加、组织各级比赛及体育场运转支出.</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体育活动参加人数</w:t>
            </w:r>
          </w:p>
        </w:tc>
        <w:tc>
          <w:tcPr>
            <w:tcW w:w="5386" w:type="dxa"/>
            <w:vAlign w:val="center"/>
          </w:tcPr>
          <w:p>
            <w:pPr>
              <w:pStyle w:val="13"/>
            </w:pPr>
            <w:r>
              <w:t>体育活动参加人数</w:t>
            </w:r>
          </w:p>
        </w:tc>
        <w:tc>
          <w:tcPr>
            <w:tcW w:w="2268" w:type="dxa"/>
            <w:vAlign w:val="center"/>
          </w:tcPr>
          <w:p>
            <w:pPr>
              <w:pStyle w:val="13"/>
            </w:pPr>
            <w:r>
              <w:t>≥4000人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体育场设施使用率</w:t>
            </w:r>
          </w:p>
        </w:tc>
        <w:tc>
          <w:tcPr>
            <w:tcW w:w="5386" w:type="dxa"/>
            <w:vAlign w:val="center"/>
          </w:tcPr>
          <w:p>
            <w:pPr>
              <w:pStyle w:val="13"/>
            </w:pPr>
            <w:r>
              <w:t>体育场设施使用率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体育场开放情况</w:t>
            </w:r>
          </w:p>
        </w:tc>
        <w:tc>
          <w:tcPr>
            <w:tcW w:w="5386" w:type="dxa"/>
            <w:vAlign w:val="center"/>
          </w:tcPr>
          <w:p>
            <w:pPr>
              <w:pStyle w:val="13"/>
            </w:pPr>
            <w:r>
              <w:t>设施完好为群众提供锻炼场所</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趣味运动会社区</w:t>
            </w:r>
          </w:p>
        </w:tc>
        <w:tc>
          <w:tcPr>
            <w:tcW w:w="5386" w:type="dxa"/>
            <w:vAlign w:val="center"/>
          </w:tcPr>
          <w:p>
            <w:pPr>
              <w:pStyle w:val="13"/>
            </w:pPr>
            <w:r>
              <w:t>趣味运动会组织参加社区</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63、石财教[2024]91号提前下达2025年公共体育场馆免费开放或低收费补助资金（篮球馆）绩效目标表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13011025P00006610001K</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w:t>
            </w:r>
          </w:p>
        </w:tc>
        <w:tc>
          <w:tcPr>
            <w:tcW w:w="2835" w:type="dxa"/>
            <w:vAlign w:val="center"/>
          </w:tcPr>
          <w:p>
            <w:pPr>
              <w:pStyle w:val="11"/>
            </w:pPr>
            <w:r>
              <w:t>其中：财政    资金</w:t>
            </w:r>
          </w:p>
        </w:tc>
        <w:tc>
          <w:tcPr>
            <w:tcW w:w="2551" w:type="dxa"/>
            <w:vAlign w:val="center"/>
          </w:tcPr>
          <w:p>
            <w:pPr>
              <w:pStyle w:val="13"/>
            </w:pPr>
            <w:r>
              <w:t>3.68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通过鹿泉区篮球馆组织群众体育活动、培训和免费开放提升鹿泉区群众体育运动发展。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1.通过鹿泉区篮球馆组织群众体育活动、培训和免费开放提升鹿泉区群众体育运动发展。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≤17万/年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篮球馆免费开放时间</w:t>
            </w:r>
          </w:p>
        </w:tc>
        <w:tc>
          <w:tcPr>
            <w:tcW w:w="5386" w:type="dxa"/>
            <w:vAlign w:val="center"/>
          </w:tcPr>
          <w:p>
            <w:pPr>
              <w:pStyle w:val="13"/>
            </w:pPr>
            <w:r>
              <w:t>篮球馆免费开放天数不少于330天</w:t>
            </w:r>
          </w:p>
        </w:tc>
        <w:tc>
          <w:tcPr>
            <w:tcW w:w="2268" w:type="dxa"/>
            <w:vAlign w:val="center"/>
          </w:tcPr>
          <w:p>
            <w:pPr>
              <w:pStyle w:val="13"/>
            </w:pPr>
            <w:r>
              <w:t>≥330天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使用场馆举办群众体育活动场次</w:t>
            </w:r>
          </w:p>
        </w:tc>
        <w:tc>
          <w:tcPr>
            <w:tcW w:w="5386" w:type="dxa"/>
            <w:vAlign w:val="center"/>
          </w:tcPr>
          <w:p>
            <w:pPr>
              <w:pStyle w:val="13"/>
            </w:pPr>
            <w:r>
              <w:t>使用场馆举办群众体育活动场次</w:t>
            </w:r>
          </w:p>
        </w:tc>
        <w:tc>
          <w:tcPr>
            <w:tcW w:w="2268" w:type="dxa"/>
            <w:vAlign w:val="center"/>
          </w:tcPr>
          <w:p>
            <w:pPr>
              <w:pStyle w:val="13"/>
            </w:pPr>
            <w:r>
              <w:t>≥20场次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持续服务时长</w:t>
            </w:r>
          </w:p>
        </w:tc>
        <w:tc>
          <w:tcPr>
            <w:tcW w:w="5386" w:type="dxa"/>
            <w:vAlign w:val="center"/>
          </w:tcPr>
          <w:p>
            <w:pPr>
              <w:pStyle w:val="13"/>
            </w:pPr>
            <w:r>
              <w:t>持续服务时长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64、石财教[2024]91号提前下达2025年公共体育场馆免费开放或低收费补助资金（体育场）绩效目标表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13011025P00006610003T</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w:t>
            </w:r>
          </w:p>
        </w:tc>
        <w:tc>
          <w:tcPr>
            <w:tcW w:w="2835" w:type="dxa"/>
            <w:vAlign w:val="center"/>
          </w:tcPr>
          <w:p>
            <w:pPr>
              <w:pStyle w:val="11"/>
            </w:pPr>
            <w:r>
              <w:t>其中：财政    资金</w:t>
            </w:r>
          </w:p>
        </w:tc>
        <w:tc>
          <w:tcPr>
            <w:tcW w:w="2551" w:type="dxa"/>
            <w:vAlign w:val="center"/>
          </w:tcPr>
          <w:p>
            <w:pPr>
              <w:pStyle w:val="13"/>
            </w:pPr>
            <w:r>
              <w:t>1.79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通过体育场组织开展体育群众赛事活动和体育设施开放提升鹿泉区体育事业高质量发展。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1.通过体育场组织开展体育群众赛事活动和体育设施开放提升鹿泉区体育事业高质量发展。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体育场举办群众体育赛事活动参与人数</w:t>
            </w:r>
          </w:p>
        </w:tc>
        <w:tc>
          <w:tcPr>
            <w:tcW w:w="5386" w:type="dxa"/>
            <w:vAlign w:val="center"/>
          </w:tcPr>
          <w:p>
            <w:pPr>
              <w:pStyle w:val="13"/>
            </w:pPr>
            <w:r>
              <w:t>参加体育赛事活动参与人数</w:t>
            </w:r>
          </w:p>
        </w:tc>
        <w:tc>
          <w:tcPr>
            <w:tcW w:w="2268" w:type="dxa"/>
            <w:vAlign w:val="center"/>
          </w:tcPr>
          <w:p>
            <w:pPr>
              <w:pStyle w:val="13"/>
            </w:pPr>
            <w:r>
              <w:t>≥10000人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体育场体育设施使用人次</w:t>
            </w:r>
          </w:p>
        </w:tc>
        <w:tc>
          <w:tcPr>
            <w:tcW w:w="5386" w:type="dxa"/>
            <w:vAlign w:val="center"/>
          </w:tcPr>
          <w:p>
            <w:pPr>
              <w:pStyle w:val="13"/>
            </w:pPr>
            <w:r>
              <w:t>群众在体育场使用体育设施开展锻炼人次</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体育场体育设施可使用率</w:t>
            </w:r>
          </w:p>
        </w:tc>
        <w:tc>
          <w:tcPr>
            <w:tcW w:w="5386" w:type="dxa"/>
            <w:vAlign w:val="center"/>
          </w:tcPr>
          <w:p>
            <w:pPr>
              <w:pStyle w:val="13"/>
            </w:pPr>
            <w:r>
              <w:t>保障体育场可供群众使用的体育设施率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运维费及活动费用标准</w:t>
            </w:r>
          </w:p>
        </w:tc>
        <w:tc>
          <w:tcPr>
            <w:tcW w:w="5386" w:type="dxa"/>
            <w:vAlign w:val="center"/>
          </w:tcPr>
          <w:p>
            <w:pPr>
              <w:pStyle w:val="13"/>
            </w:pPr>
            <w:r>
              <w:t>运维费及活动费用标准</w:t>
            </w:r>
          </w:p>
        </w:tc>
        <w:tc>
          <w:tcPr>
            <w:tcW w:w="2268" w:type="dxa"/>
            <w:vAlign w:val="center"/>
          </w:tcPr>
          <w:p>
            <w:pPr>
              <w:pStyle w:val="13"/>
            </w:pPr>
            <w:r>
              <w:t>≤45万元/年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65、石财教[2024]91号提前下达2025年公共体育场馆免费开放或低收费补助资金（游泳馆）绩效目标表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13011025P000066100052</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15.27</w:t>
            </w:r>
          </w:p>
        </w:tc>
        <w:tc>
          <w:tcPr>
            <w:tcW w:w="2835" w:type="dxa"/>
            <w:vAlign w:val="center"/>
          </w:tcPr>
          <w:p>
            <w:pPr>
              <w:pStyle w:val="11"/>
            </w:pPr>
            <w:r>
              <w:t>其中：财政    资金</w:t>
            </w:r>
          </w:p>
        </w:tc>
        <w:tc>
          <w:tcPr>
            <w:tcW w:w="2551" w:type="dxa"/>
            <w:vAlign w:val="center"/>
          </w:tcPr>
          <w:p>
            <w:pPr>
              <w:pStyle w:val="13"/>
            </w:pPr>
            <w:r>
              <w:t>15.27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通过鹿泉区游泳馆组织体育活动、培训和全民健身月开放活动提升鹿泉区群众体育运动发展。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1.通过鹿泉区游泳馆组织体育活动、培训和全民健身月开放活动提升鹿泉区群众体育运动发展。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≤19万/年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举办游泳体育活动次数</w:t>
            </w:r>
          </w:p>
        </w:tc>
        <w:tc>
          <w:tcPr>
            <w:tcW w:w="5386" w:type="dxa"/>
            <w:vAlign w:val="center"/>
          </w:tcPr>
          <w:p>
            <w:pPr>
              <w:pStyle w:val="13"/>
            </w:pPr>
            <w:r>
              <w:t>举办游泳体育活动次数</w:t>
            </w:r>
          </w:p>
        </w:tc>
        <w:tc>
          <w:tcPr>
            <w:tcW w:w="2268" w:type="dxa"/>
            <w:vAlign w:val="center"/>
          </w:tcPr>
          <w:p>
            <w:pPr>
              <w:pStyle w:val="13"/>
            </w:pPr>
            <w:r>
              <w:t>≥8场次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全民健身月开放活动</w:t>
            </w:r>
          </w:p>
        </w:tc>
        <w:tc>
          <w:tcPr>
            <w:tcW w:w="5386" w:type="dxa"/>
            <w:vAlign w:val="center"/>
          </w:tcPr>
          <w:p>
            <w:pPr>
              <w:pStyle w:val="13"/>
            </w:pPr>
            <w:r>
              <w:t>全民健身月参与人次</w:t>
            </w:r>
          </w:p>
        </w:tc>
        <w:tc>
          <w:tcPr>
            <w:tcW w:w="2268" w:type="dxa"/>
            <w:vAlign w:val="center"/>
          </w:tcPr>
          <w:p>
            <w:pPr>
              <w:pStyle w:val="13"/>
            </w:pPr>
            <w:r>
              <w:t>≥1000人次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66、石财教[2025]39号下达2025年中央支持地方公共体育场馆向社会免费或低收费开放（区篮球馆）绩效目标表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13011025P00001211206G</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鹿泉区篮球馆设施维护1万元；免费开放和举办赛事、培训2万元；开放运转1万元。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1.鹿泉区篮球馆设施维护1万元；免费开放和举办赛事、培训2万元；开放运转1万元。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举办群众体育活动场次</w:t>
            </w:r>
          </w:p>
        </w:tc>
        <w:tc>
          <w:tcPr>
            <w:tcW w:w="5386" w:type="dxa"/>
            <w:vAlign w:val="center"/>
          </w:tcPr>
          <w:p>
            <w:pPr>
              <w:pStyle w:val="13"/>
            </w:pPr>
            <w:r>
              <w:t>举办群众体育活动场次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体育设施可使用率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67、石财教[2025]39号下达2025年中央支持地方公共体育场馆向社会免费或低收费开放（区体育场）绩效目标表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13011025P00001211208P</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通过体育场组织开展赛事活动和培训，提升</w:t>
            </w:r>
            <w:r>
              <w:rPr>
                <w:rFonts w:hint="eastAsia"/>
                <w:lang w:eastAsia="zh-CN"/>
              </w:rPr>
              <w:t>全民健身</w:t>
            </w:r>
            <w:r>
              <w:t>意识。并更新维护体育设施，满足群众健身需求。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1.通过体育场组织开展赛事活动和培训，提升</w:t>
            </w:r>
            <w:r>
              <w:rPr>
                <w:rFonts w:hint="eastAsia"/>
                <w:lang w:eastAsia="zh-CN"/>
              </w:rPr>
              <w:t>全民健身</w:t>
            </w:r>
            <w:r>
              <w:t>意识。并更新维护体育设施，满足群众健身需求。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体育设施运转完好可提供体育运动基本需求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参与组织赛事活动和培训次数</w:t>
            </w:r>
          </w:p>
        </w:tc>
        <w:tc>
          <w:tcPr>
            <w:tcW w:w="5386" w:type="dxa"/>
            <w:vAlign w:val="center"/>
          </w:tcPr>
          <w:p>
            <w:pPr>
              <w:pStyle w:val="13"/>
            </w:pPr>
            <w:r>
              <w:t>参与组织赛事活动和培训次数</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68、石财教[2025]39号下达2025年中央支持地方公共体育场馆向社会免费或低收费开放（区游泳馆）绩效目标表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13011025P00001211210N</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组织开展赛事活动和培训，提升体育事业发展。并通过对设施的维护，低成本向社会开放。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1.通过组织开展赛事活动和培训，提升体育事业发展。并通过对设施的维护，低成本向社会开放。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赛事活动和培训组织开展场次</w:t>
            </w:r>
          </w:p>
        </w:tc>
        <w:tc>
          <w:tcPr>
            <w:tcW w:w="5386" w:type="dxa"/>
            <w:vAlign w:val="center"/>
          </w:tcPr>
          <w:p>
            <w:pPr>
              <w:pStyle w:val="13"/>
            </w:pPr>
            <w:r>
              <w:t>赛事活动和培训组织开展场次</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场馆设施运转完好率</w:t>
            </w:r>
          </w:p>
        </w:tc>
        <w:tc>
          <w:tcPr>
            <w:tcW w:w="5386" w:type="dxa"/>
            <w:vAlign w:val="center"/>
          </w:tcPr>
          <w:p>
            <w:pPr>
              <w:pStyle w:val="13"/>
            </w:pPr>
            <w:r>
              <w:t>场馆设施运转完好率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69、提前下达2026年中央支持地方公共文化服务体系建设补助资金（公共体育场馆免费或低收费开放-篮球馆）绩效目标表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13011026P00006610021R</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≥4场次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≤17万元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70、提前下达2026年中央支持地方公共文化服务体系建设补助资金（体育场馆免费或低收费开放-体育场）绩效目标表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13011026P00006610022D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提前下达2026年中央支持地方公共文化服务体系建设补助资金（体育场馆免费或低收费开放-体育场）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153.96</w:t>
            </w:r>
          </w:p>
        </w:tc>
        <w:tc>
          <w:tcPr>
            <w:tcW w:w="964" w:type="dxa"/>
            <w:vAlign w:val="center"/>
          </w:tcPr>
          <w:p>
            <w:pPr>
              <w:pStyle w:val="16"/>
            </w:pPr>
            <w:r>
              <w:t>108.96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45.00</w:t>
            </w:r>
          </w:p>
        </w:tc>
        <w:tc>
          <w:tcPr>
            <w:tcW w:w="964" w:type="dxa"/>
            <w:vAlign w:val="center"/>
          </w:tcPr>
          <w:p>
            <w:pPr>
              <w:pStyle w:val="16"/>
            </w:pPr>
          </w:p>
        </w:tc>
        <w:tc>
          <w:tcPr>
            <w:tcW w:w="964" w:type="dxa"/>
            <w:vAlign w:val="center"/>
          </w:tcPr>
          <w:p>
            <w:pPr>
              <w:pStyle w:val="16"/>
            </w:pPr>
            <w:r>
              <w:t>44.08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33.14</w:t>
            </w:r>
          </w:p>
        </w:tc>
        <w:tc>
          <w:tcPr>
            <w:tcW w:w="964" w:type="dxa"/>
            <w:vAlign w:val="center"/>
          </w:tcPr>
          <w:p>
            <w:pPr>
              <w:pStyle w:val="16"/>
            </w:pPr>
            <w:r>
              <w:t>33.14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3.70</w:t>
            </w:r>
          </w:p>
        </w:tc>
        <w:tc>
          <w:tcPr>
            <w:tcW w:w="964" w:type="dxa"/>
            <w:vAlign w:val="center"/>
          </w:tcPr>
          <w:p>
            <w:pPr>
              <w:pStyle w:val="12"/>
            </w:pPr>
            <w:r>
              <w:t>3.70</w:t>
            </w:r>
          </w:p>
        </w:tc>
        <w:tc>
          <w:tcPr>
            <w:tcW w:w="964" w:type="dxa"/>
            <w:vAlign w:val="center"/>
          </w:tcPr>
          <w:p>
            <w:pPr>
              <w:pStyle w:val="12"/>
            </w:pPr>
            <w:r>
              <w:t>3.70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0.08</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0.25</w:t>
            </w:r>
          </w:p>
        </w:tc>
        <w:tc>
          <w:tcPr>
            <w:tcW w:w="964" w:type="dxa"/>
            <w:vAlign w:val="center"/>
          </w:tcPr>
          <w:p>
            <w:pPr>
              <w:pStyle w:val="12"/>
            </w:pPr>
            <w:r>
              <w:t>0.74</w:t>
            </w:r>
          </w:p>
        </w:tc>
        <w:tc>
          <w:tcPr>
            <w:tcW w:w="964" w:type="dxa"/>
            <w:vAlign w:val="center"/>
          </w:tcPr>
          <w:p>
            <w:pPr>
              <w:pStyle w:val="12"/>
            </w:pPr>
            <w:r>
              <w:t>0.74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0.55</w:t>
            </w:r>
          </w:p>
        </w:tc>
        <w:tc>
          <w:tcPr>
            <w:tcW w:w="964" w:type="dxa"/>
            <w:vAlign w:val="center"/>
          </w:tcPr>
          <w:p>
            <w:pPr>
              <w:pStyle w:val="12"/>
            </w:pPr>
            <w:r>
              <w:t>0.55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10.80</w:t>
            </w:r>
          </w:p>
        </w:tc>
        <w:tc>
          <w:tcPr>
            <w:tcW w:w="964" w:type="dxa"/>
            <w:vAlign w:val="center"/>
          </w:tcPr>
          <w:p>
            <w:pPr>
              <w:pStyle w:val="12"/>
            </w:pPr>
            <w:r>
              <w:t>10.80</w:t>
            </w:r>
          </w:p>
        </w:tc>
        <w:tc>
          <w:tcPr>
            <w:tcW w:w="964" w:type="dxa"/>
            <w:vAlign w:val="center"/>
          </w:tcPr>
          <w:p>
            <w:pPr>
              <w:pStyle w:val="12"/>
            </w:pPr>
            <w:r>
              <w:t>10.80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13.20</w:t>
            </w:r>
          </w:p>
        </w:tc>
        <w:tc>
          <w:tcPr>
            <w:tcW w:w="964" w:type="dxa"/>
            <w:vAlign w:val="center"/>
          </w:tcPr>
          <w:p>
            <w:pPr>
              <w:pStyle w:val="12"/>
            </w:pPr>
            <w:r>
              <w:t>13.20</w:t>
            </w:r>
          </w:p>
        </w:tc>
        <w:tc>
          <w:tcPr>
            <w:tcW w:w="964" w:type="dxa"/>
            <w:vAlign w:val="center"/>
          </w:tcPr>
          <w:p>
            <w:pPr>
              <w:pStyle w:val="12"/>
            </w:pPr>
            <w:r>
              <w:t>13.20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石家庄市鹿泉区图书馆小计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0.07</w:t>
            </w:r>
          </w:p>
        </w:tc>
        <w:tc>
          <w:tcPr>
            <w:tcW w:w="964" w:type="dxa"/>
            <w:vAlign w:val="center"/>
          </w:tcPr>
          <w:p>
            <w:pPr>
              <w:pStyle w:val="16"/>
            </w:pPr>
            <w:r>
              <w:t>0.07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石家庄市鹿泉区文物保护管理所小计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109.93</w:t>
            </w:r>
          </w:p>
        </w:tc>
        <w:tc>
          <w:tcPr>
            <w:tcW w:w="964" w:type="dxa"/>
            <w:vAlign w:val="center"/>
          </w:tcPr>
          <w:p>
            <w:pPr>
              <w:pStyle w:val="16"/>
            </w:pPr>
            <w:r>
              <w:t>64.93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45.00</w:t>
            </w:r>
          </w:p>
        </w:tc>
        <w:tc>
          <w:tcPr>
            <w:tcW w:w="964" w:type="dxa"/>
            <w:vAlign w:val="center"/>
          </w:tcPr>
          <w:p>
            <w:pPr>
              <w:pStyle w:val="16"/>
            </w:pPr>
          </w:p>
        </w:tc>
        <w:tc>
          <w:tcPr>
            <w:tcW w:w="964" w:type="dxa"/>
            <w:vAlign w:val="center"/>
          </w:tcPr>
          <w:p>
            <w:pPr>
              <w:pStyle w:val="16"/>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石财教[2025]60号下达2025年省级文物保护专项资金（北故邑墓群抢救性考古发掘项目）</w:t>
            </w:r>
          </w:p>
        </w:tc>
        <w:tc>
          <w:tcPr>
            <w:tcW w:w="964" w:type="dxa"/>
            <w:vAlign w:val="center"/>
          </w:tcPr>
          <w:p>
            <w:pPr>
              <w:pStyle w:val="12"/>
            </w:pPr>
            <w:r>
              <w:t>45.00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w:t>
            </w:r>
          </w:p>
        </w:tc>
        <w:tc>
          <w:tcPr>
            <w:tcW w:w="850" w:type="dxa"/>
            <w:vAlign w:val="center"/>
          </w:tcPr>
          <w:p>
            <w:pPr>
              <w:pStyle w:val="12"/>
            </w:pPr>
            <w:r>
              <w:t>0.00</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2026年省级文物保护专项资金（北故邑墓群抢救性考古发掘）</w:t>
            </w:r>
          </w:p>
        </w:tc>
        <w:tc>
          <w:tcPr>
            <w:tcW w:w="964" w:type="dxa"/>
            <w:vAlign w:val="center"/>
          </w:tcPr>
          <w:p>
            <w:pPr>
              <w:pStyle w:val="12"/>
            </w:pPr>
            <w:r>
              <w:t>64.00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64.00</w:t>
            </w:r>
          </w:p>
        </w:tc>
        <w:tc>
          <w:tcPr>
            <w:tcW w:w="964" w:type="dxa"/>
            <w:vAlign w:val="center"/>
          </w:tcPr>
          <w:p>
            <w:pPr>
              <w:pStyle w:val="12"/>
            </w:pPr>
            <w:r>
              <w:t>64.00</w:t>
            </w:r>
          </w:p>
        </w:tc>
        <w:tc>
          <w:tcPr>
            <w:tcW w:w="964" w:type="dxa"/>
            <w:vAlign w:val="center"/>
          </w:tcPr>
          <w:p>
            <w:pPr>
              <w:pStyle w:val="12"/>
            </w:pPr>
            <w:r>
              <w:t>64.00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2026文物保护、宣传经费</w:t>
            </w:r>
          </w:p>
        </w:tc>
        <w:tc>
          <w:tcPr>
            <w:tcW w:w="964" w:type="dxa"/>
            <w:vAlign w:val="center"/>
          </w:tcPr>
          <w:p>
            <w:pPr>
              <w:pStyle w:val="12"/>
            </w:pPr>
            <w:r>
              <w:t>5.00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石家庄市鹿泉区文化馆小计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2.95</w:t>
            </w:r>
          </w:p>
        </w:tc>
        <w:tc>
          <w:tcPr>
            <w:tcW w:w="964" w:type="dxa"/>
            <w:vAlign w:val="center"/>
          </w:tcPr>
          <w:p>
            <w:pPr>
              <w:pStyle w:val="16"/>
            </w:pPr>
            <w:r>
              <w:t>2.95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2026民俗文化展厅费用</w:t>
            </w:r>
          </w:p>
        </w:tc>
        <w:tc>
          <w:tcPr>
            <w:tcW w:w="964" w:type="dxa"/>
            <w:vAlign w:val="center"/>
          </w:tcPr>
          <w:p>
            <w:pPr>
              <w:pStyle w:val="12"/>
            </w:pPr>
            <w:r>
              <w:t>3.00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2.88</w:t>
            </w:r>
          </w:p>
        </w:tc>
        <w:tc>
          <w:tcPr>
            <w:tcW w:w="964" w:type="dxa"/>
            <w:vAlign w:val="center"/>
          </w:tcPr>
          <w:p>
            <w:pPr>
              <w:pStyle w:val="12"/>
            </w:pPr>
            <w:r>
              <w:t>2.88</w:t>
            </w:r>
          </w:p>
        </w:tc>
        <w:tc>
          <w:tcPr>
            <w:tcW w:w="964" w:type="dxa"/>
            <w:vAlign w:val="center"/>
          </w:tcPr>
          <w:p>
            <w:pPr>
              <w:pStyle w:val="12"/>
            </w:pPr>
            <w:r>
              <w:t>2.88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石家庄市鹿泉区体育场小计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7.87</w:t>
            </w:r>
          </w:p>
        </w:tc>
        <w:tc>
          <w:tcPr>
            <w:tcW w:w="964" w:type="dxa"/>
            <w:vAlign w:val="center"/>
          </w:tcPr>
          <w:p>
            <w:pPr>
              <w:pStyle w:val="16"/>
            </w:pPr>
            <w:r>
              <w:t>7.87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提前下达2026年中央支持地方公共文化服务体系建设补助资金（体育场馆免费或低收费开放-体育场）</w:t>
            </w:r>
          </w:p>
        </w:tc>
        <w:tc>
          <w:tcPr>
            <w:tcW w:w="964" w:type="dxa"/>
            <w:vAlign w:val="center"/>
          </w:tcPr>
          <w:p>
            <w:pPr>
              <w:pStyle w:val="12"/>
            </w:pPr>
            <w:r>
              <w:t>46.00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7.80</w:t>
            </w:r>
          </w:p>
        </w:tc>
        <w:tc>
          <w:tcPr>
            <w:tcW w:w="964" w:type="dxa"/>
            <w:vAlign w:val="center"/>
          </w:tcPr>
          <w:p>
            <w:pPr>
              <w:pStyle w:val="12"/>
            </w:pPr>
            <w:r>
              <w:t>7.80</w:t>
            </w:r>
          </w:p>
        </w:tc>
        <w:tc>
          <w:tcPr>
            <w:tcW w:w="964" w:type="dxa"/>
            <w:vAlign w:val="center"/>
          </w:tcPr>
          <w:p>
            <w:pPr>
              <w:pStyle w:val="12"/>
            </w:pPr>
            <w:r>
              <w:t>7.80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石家庄市鹿泉区文化广电体育和旅游局（含所属单位）上年末固定资产金额为1255.93万元（详见下表）。本年度拟购置固定资产总额为2.24万元，已按要求列入政府采购预算，详见政府采购预算表。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14251.63</w:t>
            </w:r>
          </w:p>
        </w:tc>
        <w:tc>
          <w:tcPr>
            <w:tcW w:w="2835" w:type="dxa"/>
            <w:vAlign w:val="center"/>
          </w:tcPr>
          <w:p>
            <w:pPr>
              <w:pStyle w:val="12"/>
            </w:pPr>
            <w:r>
              <w:t>896.99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ind w:firstLine="420" w:firstLineChars="200"/>
            </w:pPr>
            <w:r>
              <w:t>其中：办公用房（平方米）</w:t>
            </w:r>
          </w:p>
        </w:tc>
        <w:tc>
          <w:tcPr>
            <w:tcW w:w="2835" w:type="dxa"/>
            <w:vAlign w:val="center"/>
          </w:tcPr>
          <w:p>
            <w:pPr>
              <w:pStyle w:val="14"/>
            </w:pPr>
            <w:r>
              <w:t>99</w:t>
            </w:r>
          </w:p>
        </w:tc>
        <w:tc>
          <w:tcPr>
            <w:tcW w:w="2835"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38.12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41245</w:t>
            </w:r>
          </w:p>
        </w:tc>
        <w:tc>
          <w:tcPr>
            <w:tcW w:w="2835" w:type="dxa"/>
            <w:vAlign w:val="center"/>
          </w:tcPr>
          <w:p>
            <w:pPr>
              <w:pStyle w:val="12"/>
            </w:pPr>
            <w:r>
              <w:t>320.81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230D8"/>
    <w:rsid w:val="001230D8"/>
    <w:rsid w:val="00A54FB9"/>
    <w:rsid w:val="04B80004"/>
    <w:rsid w:val="0D3F300F"/>
    <w:rsid w:val="131F098A"/>
    <w:rsid w:val="1C0015E7"/>
    <w:rsid w:val="1F8F748E"/>
    <w:rsid w:val="25E3797F"/>
    <w:rsid w:val="2A7C188B"/>
    <w:rsid w:val="2B5E613F"/>
    <w:rsid w:val="2EA40517"/>
    <w:rsid w:val="2EC10A8C"/>
    <w:rsid w:val="2FC02349"/>
    <w:rsid w:val="344F0CB5"/>
    <w:rsid w:val="3A944DD2"/>
    <w:rsid w:val="3CCF1A66"/>
    <w:rsid w:val="3DAF59D5"/>
    <w:rsid w:val="44C00994"/>
    <w:rsid w:val="44ED3619"/>
    <w:rsid w:val="47FA126E"/>
    <w:rsid w:val="497563C1"/>
    <w:rsid w:val="4A4C036D"/>
    <w:rsid w:val="4BC33190"/>
    <w:rsid w:val="56B04A3E"/>
    <w:rsid w:val="5B4E3503"/>
    <w:rsid w:val="63CC2448"/>
    <w:rsid w:val="6B6C4739"/>
    <w:rsid w:val="6D6E2DF2"/>
    <w:rsid w:val="74ED2F0D"/>
    <w:rsid w:val="787C4D39"/>
    <w:rsid w:val="7A4345EE"/>
    <w:rsid w:val="7F30000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82</Pages>
  <Words>10109</Words>
  <Characters>57625</Characters>
  <Lines>480</Lines>
  <Paragraphs>135</Paragraphs>
  <ScaleCrop>false</ScaleCrop>
  <LinksUpToDate>false</LinksUpToDate>
  <CharactersWithSpaces>67599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2026-03-04T11:03:00Z</dcterms:created>
  <dc:creator>Administrator</dc:creator>
  <cp:lastModifiedBy>Administrator</cp:lastModifiedBy>
  <dcterms:modified xsi:type="dcterms:W3CDTF">2026-05-09T02:14:32Z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CBA2A110B09C4A9C9B33B78200B17F87</vt:lpwstr>
  </property>
</Properties>
</file>