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935B6A">
      <w:pPr>
        <w:adjustRightInd w:val="0"/>
        <w:snapToGrid w:val="0"/>
        <w:spacing w:line="578" w:lineRule="exact"/>
        <w:rPr>
          <w:rFonts w:ascii="仿宋_GB2312" w:eastAsia="仿宋_GB2312"/>
          <w:sz w:val="32"/>
          <w:szCs w:val="32"/>
        </w:rPr>
      </w:pPr>
      <w:r>
        <w:rPr>
          <w:rFonts w:hint="eastAsia" w:ascii="仿宋_GB2312" w:eastAsia="仿宋_GB2312"/>
          <w:sz w:val="32"/>
          <w:szCs w:val="32"/>
        </w:rPr>
        <w:t>附件3</w:t>
      </w:r>
    </w:p>
    <w:p w14:paraId="382009A1">
      <w:pPr>
        <w:spacing w:line="700" w:lineRule="exact"/>
        <w:jc w:val="center"/>
        <w:rPr>
          <w:rFonts w:hint="eastAsia" w:ascii="宋体" w:hAnsi="宋体" w:cs="宋体"/>
          <w:b/>
          <w:bCs/>
          <w:sz w:val="44"/>
          <w:szCs w:val="44"/>
        </w:rPr>
      </w:pPr>
      <w:r>
        <w:rPr>
          <w:rFonts w:hint="eastAsia" w:ascii="宋体" w:hAnsi="宋体" w:cs="宋体"/>
          <w:b/>
          <w:bCs/>
          <w:sz w:val="44"/>
          <w:szCs w:val="44"/>
        </w:rPr>
        <w:t>李村镇人民政府</w:t>
      </w:r>
    </w:p>
    <w:p w14:paraId="51EFAF5A">
      <w:pPr>
        <w:spacing w:line="700" w:lineRule="exact"/>
        <w:jc w:val="center"/>
        <w:rPr>
          <w:rFonts w:ascii="宋体" w:hAnsi="宋体" w:cs="宋体"/>
          <w:b/>
          <w:bCs/>
          <w:sz w:val="44"/>
          <w:szCs w:val="44"/>
        </w:rPr>
      </w:pPr>
      <w:r>
        <w:rPr>
          <w:rFonts w:hint="eastAsia" w:ascii="宋体" w:hAnsi="宋体" w:cs="宋体"/>
          <w:b/>
          <w:bCs/>
          <w:sz w:val="44"/>
          <w:szCs w:val="44"/>
        </w:rPr>
        <w:t>2022年度整体支出绩效自评报告</w:t>
      </w:r>
    </w:p>
    <w:p w14:paraId="240D1110">
      <w:pPr>
        <w:adjustRightInd w:val="0"/>
        <w:snapToGrid w:val="0"/>
        <w:spacing w:line="578" w:lineRule="exact"/>
        <w:ind w:firstLine="640" w:firstLineChars="200"/>
        <w:rPr>
          <w:rFonts w:hint="eastAsia" w:ascii="仿宋" w:hAnsi="仿宋" w:eastAsia="仿宋"/>
          <w:sz w:val="32"/>
          <w:szCs w:val="32"/>
        </w:rPr>
      </w:pPr>
    </w:p>
    <w:p w14:paraId="7323EB02">
      <w:pPr>
        <w:adjustRightInd w:val="0"/>
        <w:snapToGrid w:val="0"/>
        <w:spacing w:line="578" w:lineRule="exact"/>
        <w:ind w:firstLine="640" w:firstLineChars="200"/>
        <w:rPr>
          <w:rFonts w:ascii="仿宋" w:hAnsi="仿宋" w:eastAsia="仿宋"/>
          <w:sz w:val="32"/>
          <w:szCs w:val="32"/>
        </w:rPr>
      </w:pPr>
      <w:r>
        <w:rPr>
          <w:rFonts w:hint="eastAsia" w:ascii="仿宋" w:hAnsi="仿宋" w:eastAsia="仿宋"/>
          <w:sz w:val="32"/>
          <w:szCs w:val="32"/>
        </w:rPr>
        <w:t>贯彻落实石家庄市鹿泉区人民政府《关于全面实施预算绩效管理的实施意见》（鹿发﹝2019﹞8号）文件精神，遵循“科学性、规范性、客观性和公正性”的原则，李村镇人民政府对2022年整体支出情况实施了财政支出绩效自评价，形成本评价报告。</w:t>
      </w:r>
    </w:p>
    <w:p w14:paraId="08FF54A8">
      <w:pPr>
        <w:adjustRightInd w:val="0"/>
        <w:snapToGrid w:val="0"/>
        <w:spacing w:line="578" w:lineRule="exact"/>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一、部门</w:t>
      </w:r>
      <w:r>
        <w:rPr>
          <w:rFonts w:hint="eastAsia" w:ascii="黑体" w:hAnsi="黑体" w:eastAsia="黑体"/>
          <w:sz w:val="32"/>
          <w:szCs w:val="36"/>
        </w:rPr>
        <w:t>基本情况</w:t>
      </w:r>
    </w:p>
    <w:p w14:paraId="2CDC6287">
      <w:pPr>
        <w:adjustRightInd w:val="0"/>
        <w:snapToGrid w:val="0"/>
        <w:spacing w:line="578"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（一）部门概况</w:t>
      </w:r>
    </w:p>
    <w:p w14:paraId="72FCC240">
      <w:pPr>
        <w:widowControl/>
        <w:spacing w:line="578" w:lineRule="exact"/>
        <w:ind w:firstLine="800" w:firstLineChars="250"/>
        <w:rPr>
          <w:rFonts w:ascii="黑体" w:eastAsia="黑体" w:cs="Times New Roman"/>
          <w:kern w:val="0"/>
          <w:sz w:val="28"/>
          <w:szCs w:val="32"/>
        </w:rPr>
      </w:pPr>
      <w:r>
        <w:rPr>
          <w:rFonts w:hint="eastAsia" w:ascii="仿宋" w:hAnsi="仿宋" w:eastAsia="仿宋"/>
          <w:kern w:val="0"/>
          <w:sz w:val="32"/>
          <w:szCs w:val="32"/>
        </w:rPr>
        <w:t>1.部门职责</w:t>
      </w:r>
      <w:r>
        <w:rPr>
          <w:rFonts w:hint="eastAsia" w:ascii="仿宋" w:hAnsi="仿宋" w:eastAsia="仿宋" w:cs="仿宋_GB2312"/>
          <w:sz w:val="32"/>
          <w:szCs w:val="32"/>
        </w:rPr>
        <w:t>：根据中共石家庄市鹿泉区委办公室石家庄市鹿泉区人民政府办公室关于印发《石家庄市鹿泉区李村镇党委、人大、政府职能配置、内设机构和人员编制规定》， 石家庄市鹿泉区李村镇人民政府的主要职责是：李村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14:paraId="2FDDD130">
      <w:pPr>
        <w:spacing w:line="578" w:lineRule="exact"/>
        <w:ind w:firstLine="640"/>
        <w:rPr>
          <w:rFonts w:ascii="仿宋" w:hAnsi="仿宋" w:eastAsia="仿宋" w:cs="仿宋_GB2312"/>
          <w:sz w:val="32"/>
          <w:szCs w:val="32"/>
        </w:rPr>
      </w:pPr>
      <w:r>
        <w:rPr>
          <w:rFonts w:hint="eastAsia" w:ascii="仿宋" w:hAnsi="仿宋" w:eastAsia="仿宋" w:cs="仿宋_GB2312"/>
          <w:sz w:val="32"/>
          <w:szCs w:val="32"/>
        </w:rPr>
        <w:t>李村镇党委、人大、政府设8个工作机构。（一）、内设机构4个：1、党政综合办公室。负责机关日常工作的综合协调和督促检查；负责机关文电、值班、会务、机要、保密、档案、党务政务公开、对外联络、后勤保障等日常运转工作；负责机关和所属单位财务及国有资产管理等工作。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3、社会治理和应急管理办公室（挂综合指挥和信息化网络中心牌子）。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防治工作，自然灾害救助相关工作，护林和森林草原防火相关工作。负责基层治理综合指挥巩工作，建立健全综合指挥协调机制和工作流程，透出协调指挥各类民生诉求事项、各类政府服务热线交办事项的受理、研判、转办、落实、反馈工作；负责基层网络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负责指导基层自治和居民区建设工作，负责直达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4、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二）所属事业单位4个，规格为股级，所属类别为公益一类，经费形式为财政性资金基本保障：5、综合行政执法队。核定财政性资金基本保障事业编制15名，股级职数1正2副。根据有关法律法规和上级部门授权、委托，承担城乡建设、生态环境、文化市场、农业农村、安全生产、民族宗教等领域行政执法工作。6、行政综合服务中心(挂综合文化服务站、财政所牌子)。核定财政性资金基本保障事业编制9名，股级职数1正2副。负责行政审批服务事项的受理、办理工作，提供政策和业务咨询；指导村（社区）便民服务点建设。负责开展群众文化艺术娱乐、体育活动，负责文物普查、保护和开发利用工作，指导村（社区）文化室建设、文体设施规划建设。负责编制镇财政预决算，负责镇政府预算单位的财务管理和核算，负责村级资金核拨和监督管理等相关工作。7、农业综合服务中心（挂经济发展办公室牌子）。核定财政性资金基本保障事业编制9名，股级职数1正两副。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8、退役军人服务站。核定财政性资金基本保障事业编制3名，股级职数1名。负责退役军人就业创业扶持、拥军优属、优抚帮扶、走访慰问、信访接待、权益保障等工作；配合武装部做好征兵、民兵、预备役、国防教育、国民经济动员、人民防空、国防交通、国防设施保护等相关工作。镇纪委（监察办公室）。核定行政编制4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作等情况；负责组织协调全镇党风廉政建设和</w:t>
      </w:r>
      <w:r>
        <w:rPr>
          <w:rFonts w:hint="eastAsia" w:ascii="仿宋" w:hAnsi="仿宋" w:eastAsia="仿宋" w:cs="仿宋_GB2312"/>
          <w:sz w:val="32"/>
          <w:szCs w:val="32"/>
          <w:lang w:val="en-US" w:eastAsia="zh-CN"/>
        </w:rPr>
        <w:t>反</w:t>
      </w:r>
      <w:bookmarkStart w:id="0" w:name="_GoBack"/>
      <w:bookmarkEnd w:id="0"/>
      <w:r>
        <w:rPr>
          <w:rFonts w:hint="eastAsia" w:ascii="仿宋" w:hAnsi="仿宋" w:eastAsia="仿宋" w:cs="仿宋_GB2312"/>
          <w:sz w:val="32"/>
          <w:szCs w:val="32"/>
        </w:rPr>
        <w:t>腐败工作；受理本镇范围内对党的组织、党员违反党纪行为的检举以及党员的控告、申诉，维护党员的权利。督促落实全镇党务、政府、财务、村务公开，监督规范农村资金、资产、资源管理，负责内部审计工作。人民武装部及工会、共青团、妇联等群团组织按有关章程和规定设置，在镇党委统一领导下开展工作。</w:t>
      </w:r>
    </w:p>
    <w:p w14:paraId="0BC7C148">
      <w:pPr>
        <w:keepNext/>
        <w:keepLines/>
        <w:spacing w:line="578" w:lineRule="exact"/>
        <w:ind w:firstLine="640" w:firstLineChars="200"/>
        <w:jc w:val="left"/>
        <w:outlineLvl w:val="0"/>
        <w:rPr>
          <w:rFonts w:ascii="仿宋" w:hAnsi="仿宋" w:eastAsia="仿宋" w:cs="Times New Roman"/>
          <w:kern w:val="0"/>
          <w:sz w:val="32"/>
          <w:szCs w:val="32"/>
        </w:rPr>
      </w:pPr>
      <w:r>
        <w:rPr>
          <w:rFonts w:hint="eastAsia" w:ascii="仿宋" w:hAnsi="仿宋" w:eastAsia="仿宋"/>
          <w:kern w:val="0"/>
          <w:sz w:val="32"/>
          <w:szCs w:val="32"/>
        </w:rPr>
        <w:t>2.机构设置</w:t>
      </w:r>
      <w:r>
        <w:rPr>
          <w:rFonts w:hint="eastAsia" w:ascii="仿宋" w:hAnsi="仿宋" w:eastAsia="仿宋" w:cs="Times New Roman"/>
          <w:kern w:val="0"/>
          <w:sz w:val="32"/>
          <w:szCs w:val="32"/>
        </w:rPr>
        <w:t>：</w:t>
      </w:r>
      <w:r>
        <w:rPr>
          <w:rFonts w:hint="eastAsia" w:ascii="仿宋" w:hAnsi="仿宋" w:eastAsia="仿宋" w:cs="仿宋_GB2312"/>
          <w:kern w:val="0"/>
          <w:sz w:val="32"/>
          <w:szCs w:val="32"/>
        </w:rPr>
        <w:t>从绩效自评单位构成看，纳入</w:t>
      </w:r>
      <w:r>
        <w:rPr>
          <w:rFonts w:ascii="仿宋" w:hAnsi="仿宋" w:eastAsia="仿宋" w:cs="仿宋_GB2312"/>
          <w:kern w:val="0"/>
          <w:sz w:val="32"/>
          <w:szCs w:val="32"/>
        </w:rPr>
        <w:t>202</w:t>
      </w:r>
      <w:r>
        <w:rPr>
          <w:rFonts w:hint="eastAsia" w:ascii="仿宋" w:hAnsi="仿宋" w:eastAsia="仿宋" w:cs="仿宋_GB2312"/>
          <w:kern w:val="0"/>
          <w:sz w:val="32"/>
          <w:szCs w:val="32"/>
        </w:rPr>
        <w:t>2年度本部门绩效自评范围的独立核算单位（以下简称“单位”）共1个，具体情况如下：</w:t>
      </w:r>
    </w:p>
    <w:tbl>
      <w:tblPr>
        <w:tblStyle w:val="4"/>
        <w:tblpPr w:leftFromText="180" w:rightFromText="180" w:vertAnchor="text" w:horzAnchor="page" w:tblpXSpec="center" w:tblpY="10"/>
        <w:tblOverlap w:val="never"/>
        <w:tblW w:w="86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5"/>
        <w:gridCol w:w="5063"/>
        <w:gridCol w:w="1400"/>
        <w:gridCol w:w="1417"/>
      </w:tblGrid>
      <w:tr w14:paraId="6666D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765" w:type="dxa"/>
            <w:vAlign w:val="center"/>
          </w:tcPr>
          <w:p w14:paraId="523AC3AA">
            <w:pPr>
              <w:spacing w:line="578" w:lineRule="exact"/>
              <w:jc w:val="center"/>
              <w:rPr>
                <w:rFonts w:ascii="仿宋" w:hAnsi="仿宋" w:eastAsia="仿宋" w:cs="Times New Roman"/>
                <w:b/>
                <w:bCs/>
                <w:kern w:val="0"/>
                <w:sz w:val="28"/>
                <w:szCs w:val="28"/>
              </w:rPr>
            </w:pPr>
            <w:r>
              <w:rPr>
                <w:rFonts w:hint="eastAsia" w:ascii="仿宋" w:hAnsi="仿宋" w:eastAsia="仿宋" w:cs="仿宋_GB2312"/>
                <w:b/>
                <w:bCs/>
                <w:kern w:val="0"/>
                <w:sz w:val="28"/>
                <w:szCs w:val="28"/>
              </w:rPr>
              <w:t>序号</w:t>
            </w:r>
          </w:p>
        </w:tc>
        <w:tc>
          <w:tcPr>
            <w:tcW w:w="5063" w:type="dxa"/>
            <w:vAlign w:val="center"/>
          </w:tcPr>
          <w:p w14:paraId="1F6A7B15">
            <w:pPr>
              <w:spacing w:line="578" w:lineRule="exact"/>
              <w:jc w:val="center"/>
              <w:rPr>
                <w:rFonts w:ascii="仿宋" w:hAnsi="仿宋" w:eastAsia="仿宋" w:cs="Times New Roman"/>
                <w:b/>
                <w:bCs/>
                <w:kern w:val="0"/>
                <w:sz w:val="28"/>
                <w:szCs w:val="28"/>
              </w:rPr>
            </w:pPr>
            <w:r>
              <w:rPr>
                <w:rFonts w:hint="eastAsia" w:ascii="仿宋" w:hAnsi="仿宋" w:eastAsia="仿宋" w:cs="仿宋_GB2312"/>
                <w:b/>
                <w:bCs/>
                <w:kern w:val="0"/>
                <w:sz w:val="28"/>
                <w:szCs w:val="28"/>
              </w:rPr>
              <w:t>单位名称</w:t>
            </w:r>
          </w:p>
        </w:tc>
        <w:tc>
          <w:tcPr>
            <w:tcW w:w="1400" w:type="dxa"/>
            <w:vAlign w:val="center"/>
          </w:tcPr>
          <w:p w14:paraId="1ADA7B48">
            <w:pPr>
              <w:spacing w:line="578" w:lineRule="exact"/>
              <w:jc w:val="center"/>
              <w:rPr>
                <w:rFonts w:ascii="仿宋" w:hAnsi="仿宋" w:eastAsia="仿宋" w:cs="Times New Roman"/>
                <w:b/>
                <w:bCs/>
                <w:kern w:val="0"/>
                <w:sz w:val="28"/>
                <w:szCs w:val="28"/>
              </w:rPr>
            </w:pPr>
            <w:r>
              <w:rPr>
                <w:rFonts w:hint="eastAsia" w:ascii="仿宋" w:hAnsi="仿宋" w:eastAsia="仿宋" w:cs="仿宋_GB2312"/>
                <w:b/>
                <w:bCs/>
                <w:kern w:val="0"/>
                <w:sz w:val="28"/>
                <w:szCs w:val="28"/>
              </w:rPr>
              <w:t>单位基本性质</w:t>
            </w:r>
          </w:p>
        </w:tc>
        <w:tc>
          <w:tcPr>
            <w:tcW w:w="1417" w:type="dxa"/>
            <w:vAlign w:val="center"/>
          </w:tcPr>
          <w:p w14:paraId="123D970B">
            <w:pPr>
              <w:spacing w:line="578" w:lineRule="exact"/>
              <w:jc w:val="center"/>
              <w:rPr>
                <w:rFonts w:ascii="仿宋" w:hAnsi="仿宋" w:eastAsia="仿宋" w:cs="Times New Roman"/>
                <w:b/>
                <w:bCs/>
                <w:kern w:val="0"/>
                <w:sz w:val="28"/>
                <w:szCs w:val="28"/>
              </w:rPr>
            </w:pPr>
            <w:r>
              <w:rPr>
                <w:rFonts w:hint="eastAsia" w:ascii="仿宋" w:hAnsi="仿宋" w:eastAsia="仿宋" w:cs="仿宋_GB2312"/>
                <w:b/>
                <w:bCs/>
                <w:kern w:val="0"/>
                <w:sz w:val="28"/>
                <w:szCs w:val="28"/>
              </w:rPr>
              <w:t>经费形式</w:t>
            </w:r>
          </w:p>
        </w:tc>
      </w:tr>
      <w:tr w14:paraId="687B0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7" w:hRule="atLeast"/>
          <w:jc w:val="center"/>
        </w:trPr>
        <w:tc>
          <w:tcPr>
            <w:tcW w:w="765" w:type="dxa"/>
          </w:tcPr>
          <w:p w14:paraId="19FA7C96">
            <w:pPr>
              <w:spacing w:line="578" w:lineRule="exact"/>
              <w:jc w:val="center"/>
              <w:rPr>
                <w:rFonts w:ascii="仿宋" w:hAnsi="仿宋" w:eastAsia="仿宋" w:cs="仿宋_GB2312"/>
                <w:kern w:val="0"/>
                <w:sz w:val="28"/>
                <w:szCs w:val="28"/>
              </w:rPr>
            </w:pPr>
            <w:r>
              <w:rPr>
                <w:rFonts w:ascii="仿宋" w:hAnsi="仿宋" w:eastAsia="仿宋" w:cs="仿宋_GB2312"/>
                <w:kern w:val="0"/>
                <w:sz w:val="28"/>
                <w:szCs w:val="28"/>
              </w:rPr>
              <w:t>1</w:t>
            </w:r>
          </w:p>
        </w:tc>
        <w:tc>
          <w:tcPr>
            <w:tcW w:w="5063" w:type="dxa"/>
          </w:tcPr>
          <w:p w14:paraId="764EA701">
            <w:pPr>
              <w:spacing w:line="578" w:lineRule="exact"/>
              <w:rPr>
                <w:rFonts w:ascii="仿宋" w:hAnsi="仿宋" w:eastAsia="仿宋" w:cs="仿宋_GB2312"/>
                <w:kern w:val="0"/>
                <w:sz w:val="28"/>
                <w:szCs w:val="28"/>
              </w:rPr>
            </w:pPr>
            <w:r>
              <w:rPr>
                <w:rFonts w:hint="eastAsia" w:ascii="仿宋" w:hAnsi="仿宋" w:eastAsia="仿宋" w:cs="仿宋_GB2312"/>
                <w:kern w:val="0"/>
                <w:sz w:val="28"/>
                <w:szCs w:val="28"/>
              </w:rPr>
              <w:t>石家庄市鹿泉区李村镇人民政府</w:t>
            </w:r>
            <w:r>
              <w:rPr>
                <w:rFonts w:ascii="仿宋" w:hAnsi="仿宋" w:eastAsia="仿宋" w:cs="仿宋_GB2312"/>
                <w:kern w:val="0"/>
                <w:sz w:val="28"/>
                <w:szCs w:val="28"/>
              </w:rPr>
              <w:t>(</w:t>
            </w:r>
            <w:r>
              <w:rPr>
                <w:rFonts w:hint="eastAsia" w:ascii="仿宋" w:hAnsi="仿宋" w:eastAsia="仿宋" w:cs="仿宋_GB2312"/>
                <w:kern w:val="0"/>
                <w:sz w:val="28"/>
                <w:szCs w:val="28"/>
              </w:rPr>
              <w:t>本级</w:t>
            </w:r>
            <w:r>
              <w:rPr>
                <w:rFonts w:ascii="仿宋" w:hAnsi="仿宋" w:eastAsia="仿宋" w:cs="仿宋_GB2312"/>
                <w:kern w:val="0"/>
                <w:sz w:val="28"/>
                <w:szCs w:val="28"/>
              </w:rPr>
              <w:t>)</w:t>
            </w:r>
          </w:p>
        </w:tc>
        <w:tc>
          <w:tcPr>
            <w:tcW w:w="1400" w:type="dxa"/>
          </w:tcPr>
          <w:p w14:paraId="6C3CC706">
            <w:pPr>
              <w:spacing w:line="578" w:lineRule="exact"/>
              <w:jc w:val="center"/>
              <w:rPr>
                <w:rFonts w:ascii="仿宋" w:hAnsi="仿宋" w:eastAsia="仿宋" w:cs="Times New Roman"/>
                <w:kern w:val="0"/>
                <w:sz w:val="28"/>
                <w:szCs w:val="28"/>
              </w:rPr>
            </w:pPr>
            <w:r>
              <w:rPr>
                <w:rFonts w:hint="eastAsia" w:ascii="仿宋" w:hAnsi="仿宋" w:eastAsia="仿宋" w:cs="Times New Roman"/>
                <w:kern w:val="0"/>
                <w:sz w:val="28"/>
                <w:szCs w:val="28"/>
              </w:rPr>
              <w:t>行政单位</w:t>
            </w:r>
          </w:p>
        </w:tc>
        <w:tc>
          <w:tcPr>
            <w:tcW w:w="1417" w:type="dxa"/>
          </w:tcPr>
          <w:p w14:paraId="1F4F15B9">
            <w:pPr>
              <w:spacing w:line="578" w:lineRule="exact"/>
              <w:jc w:val="center"/>
              <w:rPr>
                <w:rFonts w:ascii="仿宋" w:hAnsi="仿宋" w:eastAsia="仿宋" w:cs="Times New Roman"/>
                <w:kern w:val="0"/>
                <w:sz w:val="28"/>
                <w:szCs w:val="28"/>
              </w:rPr>
            </w:pPr>
            <w:r>
              <w:rPr>
                <w:rFonts w:hint="eastAsia" w:ascii="仿宋" w:hAnsi="仿宋" w:eastAsia="仿宋" w:cs="Times New Roman"/>
                <w:kern w:val="0"/>
                <w:sz w:val="28"/>
                <w:szCs w:val="28"/>
              </w:rPr>
              <w:t>财政拨款</w:t>
            </w:r>
          </w:p>
        </w:tc>
      </w:tr>
      <w:tr w14:paraId="3B05D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8645" w:type="dxa"/>
            <w:gridSpan w:val="4"/>
            <w:tcBorders>
              <w:left w:val="nil"/>
              <w:bottom w:val="nil"/>
              <w:right w:val="nil"/>
            </w:tcBorders>
          </w:tcPr>
          <w:p w14:paraId="301F802D">
            <w:pPr>
              <w:spacing w:line="578" w:lineRule="exact"/>
              <w:jc w:val="left"/>
              <w:rPr>
                <w:rFonts w:ascii="仿宋" w:hAnsi="仿宋" w:eastAsia="仿宋" w:cs="Times New Roman"/>
                <w:kern w:val="0"/>
                <w:sz w:val="24"/>
                <w:szCs w:val="28"/>
              </w:rPr>
            </w:pPr>
            <w:r>
              <w:rPr>
                <w:rFonts w:hint="eastAsia" w:ascii="仿宋" w:hAnsi="仿宋" w:eastAsia="仿宋" w:cs="仿宋_GB2312"/>
                <w:kern w:val="0"/>
                <w:sz w:val="24"/>
                <w:szCs w:val="28"/>
              </w:rPr>
              <w:t>注：(</w:t>
            </w:r>
            <w:r>
              <w:rPr>
                <w:rFonts w:ascii="仿宋" w:hAnsi="仿宋" w:eastAsia="仿宋" w:cs="仿宋_GB2312"/>
                <w:kern w:val="0"/>
                <w:sz w:val="24"/>
                <w:szCs w:val="28"/>
              </w:rPr>
              <w:t>1</w:t>
            </w:r>
            <w:r>
              <w:rPr>
                <w:rFonts w:hint="eastAsia" w:ascii="仿宋" w:hAnsi="仿宋" w:eastAsia="仿宋" w:cs="仿宋_GB2312"/>
                <w:kern w:val="0"/>
                <w:sz w:val="24"/>
                <w:szCs w:val="28"/>
              </w:rPr>
              <w:t>)单位基本性质分为行政单位、参公事业单位、财政补助事业单位、经费自理事业单位四类。</w:t>
            </w:r>
          </w:p>
          <w:p w14:paraId="717807A4">
            <w:pPr>
              <w:spacing w:line="578" w:lineRule="exact"/>
              <w:ind w:firstLine="480" w:firstLineChars="200"/>
              <w:jc w:val="left"/>
              <w:rPr>
                <w:rFonts w:ascii="仿宋_GB2312" w:eastAsia="仿宋_GB2312" w:cs="仿宋_GB2312"/>
                <w:kern w:val="0"/>
                <w:sz w:val="24"/>
                <w:szCs w:val="28"/>
              </w:rPr>
            </w:pPr>
            <w:r>
              <w:rPr>
                <w:rFonts w:hint="eastAsia" w:ascii="仿宋" w:hAnsi="仿宋" w:eastAsia="仿宋" w:cs="仿宋_GB2312"/>
                <w:kern w:val="0"/>
                <w:sz w:val="24"/>
                <w:szCs w:val="28"/>
              </w:rPr>
              <w:t>(</w:t>
            </w:r>
            <w:r>
              <w:rPr>
                <w:rFonts w:ascii="仿宋" w:hAnsi="仿宋" w:eastAsia="仿宋" w:cs="仿宋_GB2312"/>
                <w:kern w:val="0"/>
                <w:sz w:val="24"/>
                <w:szCs w:val="28"/>
              </w:rPr>
              <w:t>2</w:t>
            </w:r>
            <w:r>
              <w:rPr>
                <w:rFonts w:hint="eastAsia" w:ascii="仿宋" w:hAnsi="仿宋" w:eastAsia="仿宋" w:cs="仿宋_GB2312"/>
                <w:kern w:val="0"/>
                <w:sz w:val="24"/>
                <w:szCs w:val="28"/>
              </w:rPr>
              <w:t>)经费形式分为财政拨款、财政性资金基本保证、财政性资金定额或定项补助、财政性资金零补助四类。</w:t>
            </w:r>
          </w:p>
          <w:p w14:paraId="06F8CBE2">
            <w:pPr>
              <w:keepNext/>
              <w:keepLines/>
              <w:spacing w:line="578" w:lineRule="exact"/>
              <w:ind w:firstLine="640" w:firstLineChars="200"/>
              <w:jc w:val="left"/>
              <w:outlineLvl w:val="0"/>
              <w:rPr>
                <w:rFonts w:ascii="仿宋" w:hAnsi="仿宋" w:eastAsia="仿宋" w:cs="Times New Roman"/>
                <w:kern w:val="0"/>
                <w:sz w:val="32"/>
                <w:szCs w:val="32"/>
              </w:rPr>
            </w:pPr>
            <w:r>
              <w:rPr>
                <w:rFonts w:hint="eastAsia" w:ascii="仿宋" w:hAnsi="仿宋" w:eastAsia="仿宋"/>
                <w:kern w:val="0"/>
                <w:sz w:val="32"/>
                <w:szCs w:val="32"/>
              </w:rPr>
              <w:t>3.资产情况</w:t>
            </w:r>
            <w:r>
              <w:rPr>
                <w:rFonts w:hint="eastAsia" w:ascii="仿宋" w:hAnsi="仿宋" w:eastAsia="仿宋" w:cs="Times New Roman"/>
                <w:kern w:val="0"/>
                <w:sz w:val="32"/>
                <w:szCs w:val="32"/>
              </w:rPr>
              <w:t>：</w:t>
            </w:r>
            <w:r>
              <w:rPr>
                <w:rFonts w:hint="eastAsia" w:ascii="仿宋" w:hAnsi="仿宋" w:eastAsia="仿宋" w:cs="Times New Roman"/>
                <w:kern w:val="0"/>
                <w:sz w:val="32"/>
                <w:szCs w:val="28"/>
              </w:rPr>
              <w:t>截至2022年12月31日，固定资产555.06万元，其中：房屋及构筑物227.48万元，通用设备242.82万元，专用设备53.38万元，家具、用具、装具31.38万元。本部门共有车辆2辆，与上年持平。其中，副部（省）级及以上领导用车0辆，主要领导干部用车 0辆，机要通信用车0辆，应急保障用车0辆，执法执勤用车0辆，特种专业技术用车0辆，离退休干部用车0辆，其他用车2辆，与上年持平；单位价值100万元以上设备（不含车辆）0套，与上年持平。</w:t>
            </w:r>
          </w:p>
        </w:tc>
      </w:tr>
    </w:tbl>
    <w:p w14:paraId="1E7C594C">
      <w:pPr>
        <w:adjustRightInd w:val="0"/>
        <w:snapToGrid w:val="0"/>
        <w:spacing w:line="578"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（二）部门收支预决算情况</w:t>
      </w:r>
    </w:p>
    <w:p w14:paraId="019EEE12">
      <w:pPr>
        <w:adjustRightInd w:val="0"/>
        <w:snapToGrid w:val="0"/>
        <w:spacing w:line="578" w:lineRule="exact"/>
        <w:ind w:firstLine="640" w:firstLineChars="200"/>
        <w:rPr>
          <w:rFonts w:hint="eastAsia" w:ascii="仿宋" w:hAnsi="仿宋" w:eastAsia="仿宋" w:cs="楷体_GB2312"/>
          <w:bCs/>
          <w:sz w:val="32"/>
          <w:szCs w:val="32"/>
        </w:rPr>
      </w:pPr>
      <w:r>
        <w:rPr>
          <w:rFonts w:hint="eastAsia" w:ascii="仿宋" w:hAnsi="仿宋" w:eastAsia="仿宋" w:cs="楷体_GB2312"/>
          <w:bCs/>
          <w:sz w:val="32"/>
          <w:szCs w:val="32"/>
        </w:rPr>
        <w:t>本部门2022年度财政拨款本年收入3549.58万元，完成年初预算的150.4%,比年初预算增加1189.83万元，决算数大于预算数主要原因是增加了绿化租地相关费用111.79万元，增加了结余的2021年革命老区项目资金112.49万元、国省干道沿线区域私搭乱建、违建专项经费和环境卫生整治资金等。</w:t>
      </w:r>
    </w:p>
    <w:p w14:paraId="6B8C157F">
      <w:pPr>
        <w:adjustRightInd w:val="0"/>
        <w:snapToGrid w:val="0"/>
        <w:spacing w:line="578" w:lineRule="exact"/>
        <w:ind w:firstLine="640" w:firstLineChars="200"/>
        <w:rPr>
          <w:rFonts w:ascii="仿宋" w:hAnsi="仿宋" w:eastAsia="仿宋" w:cs="楷体_GB2312"/>
          <w:bCs/>
          <w:sz w:val="32"/>
          <w:szCs w:val="32"/>
        </w:rPr>
      </w:pPr>
      <w:r>
        <w:rPr>
          <w:rFonts w:hint="eastAsia" w:ascii="仿宋" w:hAnsi="仿宋" w:eastAsia="仿宋" w:cs="楷体_GB2312"/>
          <w:bCs/>
          <w:sz w:val="32"/>
          <w:szCs w:val="32"/>
        </w:rPr>
        <w:t>本年支出3847.69万元，完成年初预算的163.05%,比年初预算增加1487.94万元，决算数大于预算数主要原因是增加了绿化租地相关费用111.79万元，上年结余的镇前大街提升资金298.1万元，增加了结余的2021年革命老区项目资金112.49万元、国省干道沿线区域私搭乱建、违建专项经费和环境卫生整治资金等。</w:t>
      </w:r>
    </w:p>
    <w:p w14:paraId="19EF92C0">
      <w:pPr>
        <w:adjustRightInd w:val="0"/>
        <w:snapToGrid w:val="0"/>
        <w:spacing w:line="578"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（三）部门整体支出绩效目标、指标</w:t>
      </w:r>
    </w:p>
    <w:p w14:paraId="41B75F59">
      <w:pPr>
        <w:adjustRightInd w:val="0"/>
        <w:snapToGrid w:val="0"/>
        <w:spacing w:line="578" w:lineRule="exact"/>
        <w:ind w:firstLine="640" w:firstLineChars="200"/>
        <w:rPr>
          <w:rFonts w:hint="eastAsia" w:ascii="仿宋" w:hAnsi="仿宋" w:eastAsia="仿宋"/>
          <w:sz w:val="32"/>
          <w:szCs w:val="32"/>
        </w:rPr>
      </w:pPr>
      <w:r>
        <w:rPr>
          <w:rFonts w:hint="eastAsia" w:ascii="仿宋" w:hAnsi="仿宋" w:eastAsia="仿宋"/>
          <w:sz w:val="32"/>
          <w:szCs w:val="32"/>
        </w:rPr>
        <w:t>坚持以习近平新时代中国特色社会主义思想为指导，深入学习宣传贯彻党的十九大和十九届历次全会，以及省第十次党代会、市第十一次党代会、区第三次党代会精神，弘扬伟大建党精神，坚持党对经济工作的领导，坚持以经济建设为中心，坚持以人民为中心的发展思想，坚持稳字当头、稳中求进，立足新发展阶段，完整、准确、全面贯彻新发展理念，融入和服务新发展格局，推动高质量发展，坚持以供给侧结构性改革为主线，紧紧围绕“四个率先突破”总要求，紧扣“六区同创”工作目标，突出争创“六个国家级示范区”战略重点，以开展“三统筹三扩大四创建”活动为抓手，统筹疫情防控与经济社会发展，提速项目建设，巩固污染治理成果，继续做好“六稳”“六保”工作，保障改善民生，维护社会稳定，加快全镇经济社会高质量发展，以优异成绩迎接党的二十大胜利召开。</w:t>
      </w:r>
    </w:p>
    <w:p w14:paraId="69ED2671">
      <w:pPr>
        <w:adjustRightInd w:val="0"/>
        <w:snapToGrid w:val="0"/>
        <w:spacing w:line="578" w:lineRule="exact"/>
        <w:ind w:firstLine="640" w:firstLineChars="200"/>
        <w:rPr>
          <w:rFonts w:hint="eastAsia" w:ascii="仿宋" w:hAnsi="仿宋" w:eastAsia="仿宋"/>
          <w:sz w:val="32"/>
          <w:szCs w:val="32"/>
        </w:rPr>
      </w:pPr>
      <w:r>
        <w:rPr>
          <w:rFonts w:hint="eastAsia" w:ascii="仿宋" w:hAnsi="仿宋" w:eastAsia="仿宋"/>
          <w:sz w:val="32"/>
          <w:szCs w:val="32"/>
        </w:rPr>
        <w:t>1.坚持项目为王、集聚发展，持续优化产业结构</w:t>
      </w:r>
    </w:p>
    <w:p w14:paraId="3A8D2F8A">
      <w:pPr>
        <w:adjustRightInd w:val="0"/>
        <w:snapToGrid w:val="0"/>
        <w:spacing w:line="578" w:lineRule="exact"/>
        <w:ind w:firstLine="640" w:firstLineChars="200"/>
        <w:rPr>
          <w:rFonts w:hint="eastAsia" w:ascii="仿宋" w:hAnsi="仿宋" w:eastAsia="仿宋"/>
          <w:sz w:val="32"/>
          <w:szCs w:val="32"/>
        </w:rPr>
      </w:pPr>
      <w:r>
        <w:rPr>
          <w:rFonts w:hint="eastAsia" w:ascii="仿宋" w:hAnsi="仿宋" w:eastAsia="仿宋"/>
          <w:sz w:val="32"/>
          <w:szCs w:val="32"/>
        </w:rPr>
        <w:t>加大项目招引力度。树牢“项目为王”理念，鲜明“主动找项目、积极争项目”工作导向，健全重大项目招引机制，全年努力引进2-3个亿元项目，为经济增长注入强劲动力。加快重点项目进度。全面落实“领帮代”工作机制，发扬“店小二”精神，力促智慧物流园二期等项目竣工投产、智慧物流园三期开工建设，在丰舆车服、瑞和内陆港、镇前大街基础设施改造提升等项目一季度全部开工建设的同时，力促复星医药、华康仁和、冀中智慧汽车物流园、河北交投太行等项目的签约落地。发展现代特色农业。充分发挥农业大镇优势，深化农业供给侧结构性改革，大力支持际华农业现代产业园、张堡现代产业园、润穗丰中药种植等特色农业项目发展，同时因地制宜发展“小而精”大棚种植、规模化高标准农田等多元化农业模式，争创国家安全农产品质量示范镇，打造鹿泉北部绿色优质农产品供给基地。</w:t>
      </w:r>
    </w:p>
    <w:p w14:paraId="57DA1D2F">
      <w:pPr>
        <w:adjustRightInd w:val="0"/>
        <w:snapToGrid w:val="0"/>
        <w:spacing w:line="578" w:lineRule="exact"/>
        <w:ind w:firstLine="640" w:firstLineChars="200"/>
        <w:rPr>
          <w:rFonts w:hint="eastAsia" w:ascii="仿宋" w:hAnsi="仿宋" w:eastAsia="仿宋"/>
          <w:sz w:val="32"/>
          <w:szCs w:val="32"/>
        </w:rPr>
      </w:pPr>
      <w:r>
        <w:rPr>
          <w:rFonts w:hint="eastAsia" w:ascii="仿宋" w:hAnsi="仿宋" w:eastAsia="仿宋"/>
          <w:sz w:val="32"/>
          <w:szCs w:val="32"/>
        </w:rPr>
        <w:t>2.坚持多措并举，深化改革，加快推进乡村振兴</w:t>
      </w:r>
    </w:p>
    <w:p w14:paraId="2D75E227">
      <w:pPr>
        <w:adjustRightInd w:val="0"/>
        <w:snapToGrid w:val="0"/>
        <w:spacing w:line="578" w:lineRule="exact"/>
        <w:ind w:firstLine="640" w:firstLineChars="200"/>
        <w:rPr>
          <w:rFonts w:hint="eastAsia" w:ascii="仿宋" w:hAnsi="仿宋" w:eastAsia="仿宋"/>
          <w:sz w:val="32"/>
          <w:szCs w:val="32"/>
        </w:rPr>
      </w:pPr>
      <w:r>
        <w:rPr>
          <w:rFonts w:hint="eastAsia" w:ascii="仿宋" w:hAnsi="仿宋" w:eastAsia="仿宋"/>
          <w:sz w:val="32"/>
          <w:szCs w:val="32"/>
        </w:rPr>
        <w:t>加快城市更新建设。加快拆后提升工作，坚持拆建结合，对残垣断壁、危旧房屋、主道路干线、公共场所等进一步修缮整理，同时对腾退空间进行高标准提升，大力实施镇西游园、百尺杆街心公园等一批基础设施工程，新建屯头、百尺杆篮球场2个，实施镇前大街提升改造工程，创建成为高质量的“美丽街区”“精品街道”。争创全域美丽乡村。在组织实施新时代文明实践站所、党建示范一条街典型引领基础上，充分挖掘村庄历史文化元素，坚持“点线面”结合，持续推进人居环境整治。大力实施村庄绿化美化亮化，深入推进美丽庭院创建、生活垃圾整治等“七个专项行动”，加快推进全域饮江水置换工程，年底完成全镇污水管网改造；加快推进13个村的移民项目施工进度，争取全面实现“街净、路宽、灯亮、村美”的目标，全力打造全域省级美丽乡村。持续深化农村改革。推进农村集体产权制度和宅基地改革，探索土地经营权入股新模式，特别是用好支部领办合作社这一抓手，抓好北部崛起、乡村振兴大好发展机遇，依托自身资源禀赋，看准市场需求，选准优势产业，完善“村党组织+公司+合作社”等模式，确保农民人均收入进一步提升，集体经济收入再创新高。</w:t>
      </w:r>
    </w:p>
    <w:p w14:paraId="0C555ECC">
      <w:pPr>
        <w:adjustRightInd w:val="0"/>
        <w:snapToGrid w:val="0"/>
        <w:spacing w:line="578" w:lineRule="exact"/>
        <w:ind w:firstLine="640" w:firstLineChars="200"/>
        <w:rPr>
          <w:rFonts w:hint="eastAsia" w:ascii="仿宋" w:hAnsi="仿宋" w:eastAsia="仿宋"/>
          <w:sz w:val="32"/>
          <w:szCs w:val="32"/>
        </w:rPr>
      </w:pPr>
      <w:r>
        <w:rPr>
          <w:rFonts w:hint="eastAsia" w:ascii="仿宋" w:hAnsi="仿宋" w:eastAsia="仿宋"/>
          <w:sz w:val="32"/>
          <w:szCs w:val="32"/>
        </w:rPr>
        <w:t>3.坚持污染防治、生态建设，持续推动绿色发展</w:t>
      </w:r>
    </w:p>
    <w:p w14:paraId="2CA00FDD">
      <w:pPr>
        <w:adjustRightInd w:val="0"/>
        <w:snapToGrid w:val="0"/>
        <w:spacing w:line="578" w:lineRule="exact"/>
        <w:ind w:firstLine="640" w:firstLineChars="200"/>
        <w:rPr>
          <w:rFonts w:hint="eastAsia" w:ascii="仿宋" w:hAnsi="仿宋" w:eastAsia="仿宋"/>
          <w:sz w:val="32"/>
          <w:szCs w:val="32"/>
        </w:rPr>
      </w:pPr>
      <w:r>
        <w:rPr>
          <w:rFonts w:hint="eastAsia" w:ascii="仿宋" w:hAnsi="仿宋" w:eastAsia="仿宋"/>
          <w:sz w:val="32"/>
          <w:szCs w:val="32"/>
        </w:rPr>
        <w:t>改善环境质量。严格强化散煤管控，加强工业企业污染源管控，深化涉VOCS企业治理。深入开展扬尘治理，继续从严落实建筑工地“六个百分百”“两个全覆盖”，巩固生态环境问题专项整治和燃煤治理成效。加大环境执法力度，重点打击非法采砂违法行为，保持铁腕治污高压态势，切实改善环境质量。强化环保监管。严格落实环保监管网格化体系，加强企业监管，严厉查处违法排污行为。加大对散乱污治理“回头看”工作力度，制定长效监管机制，杜绝反弹，巩固成果。进一步夯实村级巡防机制和奖罚机制，高效科学管控焚烧秸秆、垃圾行为，进一步打造绿色、安全生产生活环境。筑牢绿色屏障。坚持山水林田湖综合治理，进一步做好“河长制”“山长制”工作，推进河流综合治理，持续实施人工造林、森林抚育、封山育林工程。密切关注农村饮水安全，扎实开展地下水超采综合治理。完成绿化主街道41条，栽种绿植4600株的任务，打造绿色生态空间。</w:t>
      </w:r>
    </w:p>
    <w:p w14:paraId="3CAEE966">
      <w:pPr>
        <w:adjustRightInd w:val="0"/>
        <w:snapToGrid w:val="0"/>
        <w:spacing w:line="578" w:lineRule="exact"/>
        <w:ind w:firstLine="640" w:firstLineChars="200"/>
        <w:rPr>
          <w:rFonts w:hint="eastAsia" w:ascii="仿宋" w:hAnsi="仿宋" w:eastAsia="仿宋"/>
          <w:sz w:val="32"/>
          <w:szCs w:val="32"/>
        </w:rPr>
      </w:pPr>
      <w:r>
        <w:rPr>
          <w:rFonts w:hint="eastAsia" w:ascii="仿宋" w:hAnsi="仿宋" w:eastAsia="仿宋"/>
          <w:sz w:val="32"/>
          <w:szCs w:val="32"/>
        </w:rPr>
        <w:t>4.坚持民生优先、兜牢底线，持续增进群众福祉</w:t>
      </w:r>
    </w:p>
    <w:p w14:paraId="6931894B">
      <w:pPr>
        <w:adjustRightInd w:val="0"/>
        <w:snapToGrid w:val="0"/>
        <w:spacing w:line="578" w:lineRule="exact"/>
        <w:ind w:firstLine="640" w:firstLineChars="200"/>
        <w:rPr>
          <w:rFonts w:hint="eastAsia" w:ascii="仿宋" w:hAnsi="仿宋" w:eastAsia="仿宋"/>
          <w:sz w:val="32"/>
          <w:szCs w:val="32"/>
        </w:rPr>
      </w:pPr>
      <w:r>
        <w:rPr>
          <w:rFonts w:hint="eastAsia" w:ascii="仿宋" w:hAnsi="仿宋" w:eastAsia="仿宋"/>
          <w:sz w:val="32"/>
          <w:szCs w:val="32"/>
        </w:rPr>
        <w:t>抓实疫情防控。健全平急结合的突发公共卫生事件应急管理和救治体系，精准落实常态化疫情防控措施，定期组织专业培训和应急演练。持续做好防疫物资储备、重点人群核酸检测、疫苗接种、进口冷链物品和国际邮件检疫等工作，依法科学保障人民群众生命安全和身体健康。抓好民生保障。坚持不懈推进民生实事，年内完成王村通村路、郑村党群服务中心重建、河滩区域现代农业科技示范园、小壁林场路拓宽等一批民生工程。普及学前教育，巩固义务教育和控辍保学成果，继续推进校安工程建设。健全和完善社会救助体系，更好保障妇女、儿童、残疾人合法权益，持续提高社会保障水平。抓好社会治理。紧紧围绕“构建平安李村”的奋斗目标，创新社会治理方式。支持社会组织、志愿服务发展，发挥共青团、妇联等桥梁纽带作用。加强信访、人民调解、行政调解、司法调解工作，拓宽社情民意表达渠道。坚持和发展新时代“枫桥经验”，完善社会治安防控体系，常态化推进扫黑除恶斗争和重点行业领域整治，维护社会稳定和安全。</w:t>
      </w:r>
    </w:p>
    <w:p w14:paraId="78EF4153">
      <w:pPr>
        <w:adjustRightInd w:val="0"/>
        <w:snapToGrid w:val="0"/>
        <w:spacing w:line="578" w:lineRule="exact"/>
        <w:ind w:firstLine="640" w:firstLineChars="200"/>
        <w:rPr>
          <w:rFonts w:hint="eastAsia" w:ascii="仿宋" w:hAnsi="仿宋" w:eastAsia="仿宋"/>
          <w:sz w:val="32"/>
          <w:szCs w:val="32"/>
        </w:rPr>
      </w:pPr>
      <w:r>
        <w:rPr>
          <w:rFonts w:hint="eastAsia" w:ascii="仿宋" w:hAnsi="仿宋" w:eastAsia="仿宋"/>
          <w:sz w:val="32"/>
          <w:szCs w:val="32"/>
        </w:rPr>
        <w:t>5.坚持依法行政、廉洁从政，自身建设不断增强</w:t>
      </w:r>
    </w:p>
    <w:p w14:paraId="7145A868">
      <w:pPr>
        <w:adjustRightInd w:val="0"/>
        <w:snapToGrid w:val="0"/>
        <w:spacing w:line="578" w:lineRule="exact"/>
        <w:ind w:firstLine="640" w:firstLineChars="200"/>
        <w:rPr>
          <w:rFonts w:hint="eastAsia" w:ascii="仿宋" w:hAnsi="仿宋" w:eastAsia="仿宋"/>
          <w:sz w:val="32"/>
          <w:szCs w:val="32"/>
        </w:rPr>
      </w:pPr>
      <w:r>
        <w:rPr>
          <w:rFonts w:hint="eastAsia" w:ascii="仿宋" w:hAnsi="仿宋" w:eastAsia="仿宋"/>
          <w:sz w:val="32"/>
          <w:szCs w:val="32"/>
        </w:rPr>
        <w:t>筑牢忠诚之魂。按照“六个过硬”要求，全面加强政府自身建设，持之以恒学懂弄通做实习近平新时代中国特色社会主义思想，切实加强政府系统党的建设，增强“四个意识”</w:t>
      </w:r>
      <w:r>
        <w:rPr>
          <w:rFonts w:hint="eastAsia" w:ascii="仿宋" w:hAnsi="仿宋" w:eastAsia="仿宋"/>
          <w:sz w:val="32"/>
          <w:szCs w:val="32"/>
          <w:lang w:eastAsia="zh-CN"/>
        </w:rPr>
        <w:t>、</w:t>
      </w:r>
      <w:r>
        <w:rPr>
          <w:rFonts w:hint="eastAsia" w:ascii="仿宋" w:hAnsi="仿宋" w:eastAsia="仿宋"/>
          <w:sz w:val="32"/>
          <w:szCs w:val="32"/>
        </w:rPr>
        <w:t>坚定“四个自信”</w:t>
      </w:r>
      <w:r>
        <w:rPr>
          <w:rFonts w:hint="eastAsia" w:ascii="仿宋" w:hAnsi="仿宋" w:eastAsia="仿宋"/>
          <w:sz w:val="32"/>
          <w:szCs w:val="32"/>
          <w:lang w:eastAsia="zh-CN"/>
        </w:rPr>
        <w:t>、</w:t>
      </w:r>
      <w:r>
        <w:rPr>
          <w:rFonts w:hint="eastAsia" w:ascii="仿宋" w:hAnsi="仿宋" w:eastAsia="仿宋"/>
          <w:sz w:val="32"/>
          <w:szCs w:val="32"/>
          <w:lang w:val="en-US" w:eastAsia="zh-CN"/>
        </w:rPr>
        <w:t>做到</w:t>
      </w:r>
      <w:r>
        <w:rPr>
          <w:rFonts w:hint="eastAsia" w:ascii="仿宋" w:hAnsi="仿宋" w:eastAsia="仿宋"/>
          <w:sz w:val="32"/>
          <w:szCs w:val="32"/>
        </w:rPr>
        <w:t>“</w:t>
      </w:r>
      <w:r>
        <w:rPr>
          <w:rFonts w:hint="eastAsia" w:ascii="仿宋" w:hAnsi="仿宋" w:eastAsia="仿宋"/>
          <w:sz w:val="32"/>
          <w:szCs w:val="32"/>
          <w:lang w:val="en-US" w:eastAsia="zh-CN"/>
        </w:rPr>
        <w:t>两个维护</w:t>
      </w:r>
      <w:r>
        <w:rPr>
          <w:rFonts w:hint="eastAsia" w:ascii="仿宋" w:hAnsi="仿宋" w:eastAsia="仿宋"/>
          <w:sz w:val="32"/>
          <w:szCs w:val="32"/>
        </w:rPr>
        <w:t>”，始终做到党委有部署、政府见行动、落实有成效。夯实法治之基。持续巩固深化政法队伍教育整顿成果，坚持政府议事决策规则、会前学法等制度，做到依法决策、规范办事。深化政务公开，完善信息发布，在政府采购、土地出让、工程项目招投标等领域实现阳光交易，让行政权力在阳光下运行。绷紧廉洁之弦。深入贯彻全面从严治党要求，认真履行党风廉政建设“一岗双责”。锲而不舍落实中央八项规定及其实施细则精神，持之以恒纠正“四风”。坚持过紧日子，持续压减一般性支出，将更多财力用在助企纾困、保基本民生、保工资保运转和支持重点项目建设上。</w:t>
      </w:r>
    </w:p>
    <w:p w14:paraId="26655BA4">
      <w:pPr>
        <w:adjustRightInd w:val="0"/>
        <w:snapToGrid w:val="0"/>
        <w:spacing w:line="578"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34B1A0D2">
      <w:pPr>
        <w:spacing w:line="578" w:lineRule="exact"/>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14:paraId="243ED4DE">
      <w:pPr>
        <w:spacing w:line="578" w:lineRule="exact"/>
        <w:ind w:firstLine="645"/>
        <w:rPr>
          <w:rFonts w:hint="eastAsia" w:ascii="仿宋" w:hAnsi="仿宋" w:eastAsia="仿宋"/>
          <w:sz w:val="32"/>
          <w:szCs w:val="32"/>
        </w:rPr>
      </w:pPr>
      <w:r>
        <w:rPr>
          <w:rFonts w:hint="eastAsia" w:ascii="仿宋" w:hAnsi="仿宋" w:eastAsia="仿宋"/>
          <w:sz w:val="32"/>
          <w:szCs w:val="32"/>
        </w:rPr>
        <w:t>成立绩效自评工作小组，通过翻阅项目账本、原始凭证、询问相关科室确定自评的数据等来收集项目资料，全面了解建设项目管理制度和流程、资金使用情况、受益群体的反馈情况，在收集和审核项目资料的基础上，制定了绩效评价指标体系，并进一步修改和完善，最后根据评价标准和资料依据，进行分析，得出评价结论。</w:t>
      </w:r>
    </w:p>
    <w:p w14:paraId="1DE13E58">
      <w:pPr>
        <w:numPr>
          <w:ilvl w:val="0"/>
          <w:numId w:val="1"/>
        </w:numPr>
        <w:spacing w:line="578" w:lineRule="exact"/>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14:paraId="0E565CCB">
      <w:pPr>
        <w:spacing w:line="578" w:lineRule="exact"/>
        <w:ind w:firstLine="640" w:firstLineChars="200"/>
        <w:rPr>
          <w:rFonts w:hint="eastAsia" w:ascii="仿宋" w:hAnsi="仿宋" w:eastAsia="仿宋" w:cs="楷体_GB2312"/>
          <w:bCs/>
          <w:sz w:val="32"/>
          <w:szCs w:val="32"/>
        </w:rPr>
      </w:pPr>
      <w:r>
        <w:rPr>
          <w:rFonts w:hint="eastAsia" w:ascii="仿宋" w:hAnsi="仿宋" w:eastAsia="仿宋" w:cs="楷体_GB2312"/>
          <w:bCs/>
          <w:sz w:val="32"/>
          <w:szCs w:val="32"/>
        </w:rPr>
        <w:t>根据项目实际情况，选用恰当的标准进行评价，定量评价标准、定性评价标准、隶属度标准、客观标准等相结合，从多角度进行综合评价。</w:t>
      </w:r>
    </w:p>
    <w:p w14:paraId="4B6E3BD1">
      <w:pPr>
        <w:spacing w:line="578" w:lineRule="exact"/>
        <w:ind w:left="642"/>
        <w:rPr>
          <w:rFonts w:hint="eastAsia" w:ascii="仿宋" w:hAnsi="仿宋" w:eastAsia="仿宋" w:cs="楷体_GB2312"/>
          <w:bCs/>
          <w:sz w:val="32"/>
          <w:szCs w:val="32"/>
        </w:rPr>
      </w:pPr>
      <w:r>
        <w:rPr>
          <w:rFonts w:hint="eastAsia" w:ascii="仿宋" w:hAnsi="仿宋" w:eastAsia="仿宋" w:cs="楷体_GB2312"/>
          <w:bCs/>
          <w:sz w:val="32"/>
          <w:szCs w:val="32"/>
        </w:rPr>
        <w:t>绩效评价实施过程：</w:t>
      </w:r>
    </w:p>
    <w:p w14:paraId="770D629B">
      <w:pPr>
        <w:spacing w:line="578" w:lineRule="exact"/>
        <w:ind w:left="642"/>
        <w:rPr>
          <w:rFonts w:hint="eastAsia" w:ascii="仿宋" w:hAnsi="仿宋" w:eastAsia="仿宋" w:cs="楷体_GB2312"/>
          <w:bCs/>
          <w:sz w:val="32"/>
          <w:szCs w:val="32"/>
        </w:rPr>
      </w:pPr>
      <w:r>
        <w:rPr>
          <w:rFonts w:hint="eastAsia" w:ascii="仿宋" w:hAnsi="仿宋" w:eastAsia="仿宋" w:cs="楷体_GB2312"/>
          <w:bCs/>
          <w:sz w:val="32"/>
          <w:szCs w:val="32"/>
        </w:rPr>
        <w:t>1.前期准备</w:t>
      </w:r>
    </w:p>
    <w:p w14:paraId="722AC8BF">
      <w:pPr>
        <w:spacing w:line="578" w:lineRule="exact"/>
        <w:ind w:firstLine="640" w:firstLineChars="200"/>
        <w:rPr>
          <w:rFonts w:hint="eastAsia" w:ascii="仿宋" w:hAnsi="仿宋" w:eastAsia="仿宋" w:cs="楷体_GB2312"/>
          <w:bCs/>
          <w:sz w:val="32"/>
          <w:szCs w:val="32"/>
        </w:rPr>
      </w:pPr>
      <w:r>
        <w:rPr>
          <w:rFonts w:hint="eastAsia" w:ascii="仿宋" w:hAnsi="仿宋" w:eastAsia="仿宋" w:cs="楷体_GB2312"/>
          <w:bCs/>
          <w:sz w:val="32"/>
          <w:szCs w:val="32"/>
        </w:rPr>
        <w:t>根据有关规定及要求，认真组织人员对项目自评资料进行收集、整理，针对指标完成情况进行绩效分析。为有效及时的完成项目绩效自评工作打下坚实的基础。</w:t>
      </w:r>
    </w:p>
    <w:p w14:paraId="37E7733A">
      <w:pPr>
        <w:spacing w:line="578" w:lineRule="exact"/>
        <w:ind w:left="642"/>
        <w:rPr>
          <w:rFonts w:hint="eastAsia" w:ascii="仿宋" w:hAnsi="仿宋" w:eastAsia="仿宋" w:cs="楷体_GB2312"/>
          <w:bCs/>
          <w:sz w:val="32"/>
          <w:szCs w:val="32"/>
        </w:rPr>
      </w:pPr>
      <w:r>
        <w:rPr>
          <w:rFonts w:hint="eastAsia" w:ascii="仿宋" w:hAnsi="仿宋" w:eastAsia="仿宋" w:cs="楷体_GB2312"/>
          <w:bCs/>
          <w:sz w:val="32"/>
          <w:szCs w:val="32"/>
        </w:rPr>
        <w:t>2.组织实施</w:t>
      </w:r>
    </w:p>
    <w:p w14:paraId="5C659294">
      <w:pPr>
        <w:spacing w:line="578" w:lineRule="exact"/>
        <w:ind w:firstLine="640" w:firstLineChars="200"/>
        <w:rPr>
          <w:rFonts w:hint="eastAsia" w:ascii="仿宋" w:hAnsi="仿宋" w:eastAsia="仿宋" w:cs="楷体_GB2312"/>
          <w:bCs/>
          <w:sz w:val="32"/>
          <w:szCs w:val="32"/>
        </w:rPr>
      </w:pPr>
      <w:r>
        <w:rPr>
          <w:rFonts w:hint="eastAsia" w:ascii="仿宋" w:hAnsi="仿宋" w:eastAsia="仿宋" w:cs="楷体_GB2312"/>
          <w:bCs/>
          <w:sz w:val="32"/>
          <w:szCs w:val="32"/>
        </w:rPr>
        <w:t>加强过程控制，认真总结项目实现绩效目标过程中存在的问题和采取的改进措施，对项目的预算编制、工程施工、材料的采购进行认真的分析研究，整个过程严格按照绩效评价管理办法进行。</w:t>
      </w:r>
    </w:p>
    <w:p w14:paraId="48261A53">
      <w:pPr>
        <w:spacing w:line="578" w:lineRule="exact"/>
        <w:ind w:left="642"/>
        <w:rPr>
          <w:rFonts w:hint="eastAsia" w:ascii="仿宋" w:hAnsi="仿宋" w:eastAsia="仿宋" w:cs="楷体_GB2312"/>
          <w:bCs/>
          <w:sz w:val="32"/>
          <w:szCs w:val="32"/>
        </w:rPr>
      </w:pPr>
      <w:r>
        <w:rPr>
          <w:rFonts w:hint="eastAsia" w:ascii="仿宋" w:hAnsi="仿宋" w:eastAsia="仿宋" w:cs="楷体_GB2312"/>
          <w:bCs/>
          <w:sz w:val="32"/>
          <w:szCs w:val="32"/>
        </w:rPr>
        <w:t>3.分析评价</w:t>
      </w:r>
    </w:p>
    <w:p w14:paraId="285432D4">
      <w:pPr>
        <w:spacing w:line="578" w:lineRule="exact"/>
        <w:ind w:firstLine="640" w:firstLineChars="200"/>
        <w:rPr>
          <w:rFonts w:ascii="仿宋" w:hAnsi="仿宋" w:eastAsia="仿宋" w:cs="楷体_GB2312"/>
          <w:bCs/>
          <w:sz w:val="32"/>
          <w:szCs w:val="32"/>
        </w:rPr>
      </w:pPr>
      <w:r>
        <w:rPr>
          <w:rFonts w:hint="eastAsia" w:ascii="仿宋" w:hAnsi="仿宋" w:eastAsia="仿宋" w:cs="楷体_GB2312"/>
          <w:bCs/>
          <w:sz w:val="32"/>
          <w:szCs w:val="32"/>
        </w:rPr>
        <w:t>根据项目立身特点和已经确定的各项绩效指标，对照项目完成情况，逐一评价，确保评价结论真实、客观、公平、公正。</w:t>
      </w:r>
    </w:p>
    <w:p w14:paraId="72692ABC">
      <w:pPr>
        <w:spacing w:line="578" w:lineRule="exact"/>
        <w:rPr>
          <w:rFonts w:ascii="黑体" w:hAnsi="黑体" w:eastAsia="黑体"/>
          <w:b/>
          <w:bCs/>
          <w:sz w:val="32"/>
          <w:szCs w:val="32"/>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三、部门整体支出绩效目标实现情况及指标分析</w:t>
      </w:r>
    </w:p>
    <w:p w14:paraId="714C8E1D">
      <w:pPr>
        <w:numPr>
          <w:ilvl w:val="0"/>
          <w:numId w:val="2"/>
        </w:numPr>
        <w:spacing w:line="578"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总体绩效目标实现情况</w:t>
      </w:r>
    </w:p>
    <w:p w14:paraId="20004876">
      <w:pPr>
        <w:spacing w:line="578" w:lineRule="exact"/>
        <w:ind w:firstLine="640" w:firstLineChars="200"/>
        <w:rPr>
          <w:rFonts w:ascii="仿宋" w:hAnsi="仿宋" w:eastAsia="仿宋"/>
          <w:sz w:val="32"/>
          <w:szCs w:val="32"/>
        </w:rPr>
      </w:pPr>
      <w:r>
        <w:rPr>
          <w:rFonts w:hint="eastAsia" w:ascii="仿宋" w:hAnsi="仿宋" w:eastAsia="仿宋"/>
          <w:sz w:val="32"/>
          <w:szCs w:val="32"/>
        </w:rPr>
        <w:t>2022年是党的二十大召开之年，是全市经济破万亿的支撑之年、关键之年。我们齐心协力、同向发力，落实好区委、区政府各项决策部署，在担当作为和真抓实干中实现经济社会发展目标任务，在大考中交出了合格答卷，以一域之光，为全局添彩。</w:t>
      </w:r>
    </w:p>
    <w:p w14:paraId="33DA69F4">
      <w:pPr>
        <w:spacing w:line="578" w:lineRule="exact"/>
        <w:rPr>
          <w:rFonts w:ascii="仿宋" w:hAnsi="仿宋" w:eastAsia="仿宋"/>
          <w:b/>
          <w:bCs/>
          <w:sz w:val="32"/>
          <w:szCs w:val="32"/>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（二）分项绩效目标实现情况及指标分析</w:t>
      </w:r>
    </w:p>
    <w:p w14:paraId="3EE81474">
      <w:pPr>
        <w:spacing w:line="578" w:lineRule="exact"/>
        <w:ind w:firstLine="640" w:firstLineChars="200"/>
        <w:rPr>
          <w:rFonts w:hint="eastAsia" w:ascii="仿宋" w:hAnsi="仿宋" w:eastAsia="仿宋"/>
          <w:sz w:val="32"/>
          <w:szCs w:val="32"/>
        </w:rPr>
      </w:pPr>
      <w:r>
        <w:rPr>
          <w:rFonts w:hint="eastAsia" w:ascii="仿宋" w:hAnsi="仿宋" w:eastAsia="仿宋"/>
          <w:sz w:val="32"/>
          <w:szCs w:val="32"/>
        </w:rPr>
        <w:t>根据预算绩效管理要求，本部门组织对2022年度一般公共预算项目支出全面开展绩效自评，其中，一级项目10个，二级项目0个，共涉及资金1214.28万元，占一般公共预算项目支出总额的26.7%。组织对2022年度北许营美丽乡村建设项目、智慧物流园项目拆迁相关费用等4个政府性基金预算项目支出开展绩效自评，共涉及资金411.56万元，占政府性基金预算项目支出总额的100%，其他收入列入项目1个分别是李村镇治理国、省干道沿线区域私搭乱建、违建专项经费共涉及资金288.3万元。</w:t>
      </w:r>
    </w:p>
    <w:p w14:paraId="29410758">
      <w:pPr>
        <w:spacing w:line="578" w:lineRule="exact"/>
        <w:ind w:firstLine="640" w:firstLineChars="200"/>
        <w:rPr>
          <w:rFonts w:hint="eastAsia" w:ascii="仿宋" w:hAnsi="仿宋" w:eastAsia="仿宋"/>
          <w:sz w:val="32"/>
          <w:szCs w:val="32"/>
        </w:rPr>
      </w:pPr>
      <w:r>
        <w:rPr>
          <w:rFonts w:hint="eastAsia" w:ascii="仿宋" w:hAnsi="仿宋" w:eastAsia="仿宋"/>
          <w:sz w:val="32"/>
          <w:szCs w:val="32"/>
        </w:rPr>
        <w:t>组织对2021年度革命老区项目1个一级项目开展了重点评价，涉及一般公共预算支出106.53万元，政府性基金预算支出0万元。</w:t>
      </w:r>
    </w:p>
    <w:p w14:paraId="39AA6E8A">
      <w:pPr>
        <w:spacing w:line="578" w:lineRule="exact"/>
        <w:ind w:firstLine="640" w:firstLineChars="200"/>
        <w:rPr>
          <w:rFonts w:hint="eastAsia" w:ascii="仿宋" w:hAnsi="仿宋" w:eastAsia="仿宋"/>
          <w:sz w:val="32"/>
          <w:szCs w:val="32"/>
        </w:rPr>
      </w:pPr>
      <w:r>
        <w:rPr>
          <w:rFonts w:hint="eastAsia" w:ascii="仿宋" w:hAnsi="仿宋" w:eastAsia="仿宋"/>
          <w:sz w:val="32"/>
          <w:szCs w:val="32"/>
        </w:rPr>
        <w:t>通过项目实施，完成了年初设定的各项绩效目标，完成李村镇治理国、省感到沿线区域私搭乱建、违建专项经费项目，财政安排预算资金338.3万元，执行资金338.3万元，完成率100%，未发现问题;完成李村镇2022年区级美丽乡村建设项目，财政安排预算资金29.5万元，执行资金29.5万元，完成率100%，未发现问题;完成了李村镇2022年区级环境整治提升项目，财政安排预算资金,27万元，执行资金27万元，完成率100%，未发现问题;完成了李村镇2022年区级双同路同阁村铁路段道路提升项目，财政安排预算资金50万元，执行资金20万元，完成率40%，项目已完工，资金未拨付到位;完成了李村镇区级总联办重点人员信访救助金项目，财政安排预算资金40万元，执行资金40万元，完成率100%，未发现问题;完成了李村镇2022年区级拆违整治项目，财政安排预算资金185万元，执行资金,185万元，完成率100%，未发现问题;完成了2022年河北省智慧物流园项目拆迁相关费用项目，财政安排预算资金200万元，执行资金160万元，完成率80%，未发现问题;完成了2022年李村镇际华现代农业温室项目，财政安排预算资金330万元，执行资金330万元，完成率100%，未发现问题;完成了李村镇2022年区级石津干渠截导流工程后续管理资金项目，财政安排预算资金4.35万元，执行资金4.35万元，完成率100%，未发现问题;完成了李村镇2022年区级西柏坡高速两侧整治资金项目，财政安排预算资金15万元，执行资金5万元，完成率33.3%，资金未拨付到位;完成了李村镇2022年区级双同路拓宽升级工程，财政安排预算资金100万元，执行资金100万元，完成率100%，未发现问题;完成了2021年革命老区项目，财政安排预算资金112.48万元，执行资金112.48万元，完成率100%，未发现问题;完成了2021年农村综改项目，财政安排预算资金214.4万元，执行资金214.4万元，完成率100%，未发现问题;完成了2022年大气污染防治奖励资金项目，财政安排预算资金50万元，执行资金50万元，完成率100%，未发现问题;完成了结余资金镇前大街提升项目，财政安排预算资金298.11万元，执行资金298.11万元，完成率100%，未发现问题。</w:t>
      </w:r>
    </w:p>
    <w:p w14:paraId="5F6007BD">
      <w:pPr>
        <w:spacing w:line="578"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110157A3">
      <w:pPr>
        <w:spacing w:line="578"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90分为优秀；75</w:t>
      </w:r>
      <w:r>
        <w:rPr>
          <w:rFonts w:ascii="仿宋" w:hAnsi="仿宋" w:eastAsia="仿宋" w:cs="Arial"/>
          <w:sz w:val="32"/>
          <w:szCs w:val="32"/>
        </w:rPr>
        <w:t>≤</w:t>
      </w:r>
      <w:r>
        <w:rPr>
          <w:rFonts w:hint="eastAsia" w:ascii="仿宋" w:hAnsi="仿宋" w:eastAsia="仿宋"/>
          <w:sz w:val="32"/>
          <w:szCs w:val="32"/>
        </w:rPr>
        <w:t>得分＜90分为良好；60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469BFE6C">
      <w:pPr>
        <w:snapToGrid w:val="0"/>
        <w:spacing w:line="578" w:lineRule="exact"/>
        <w:ind w:firstLine="640" w:firstLineChars="200"/>
        <w:rPr>
          <w:rFonts w:hint="eastAsia" w:ascii="仿宋" w:hAnsi="仿宋" w:eastAsia="仿宋"/>
          <w:sz w:val="32"/>
          <w:szCs w:val="32"/>
        </w:rPr>
      </w:pPr>
      <w:r>
        <w:rPr>
          <w:rFonts w:hint="eastAsia" w:ascii="仿宋" w:hAnsi="仿宋" w:eastAsia="仿宋" w:cs="仿宋_GB2312"/>
          <w:sz w:val="32"/>
          <w:szCs w:val="32"/>
        </w:rPr>
        <w:t>本部门在2022年部门整体绩效自评中反映了2022年李村镇治理、省干道沿线区域私搭乱建、违建专项经费项目及智慧物流园拆迁相关费用项目等15个项目，其中：</w:t>
      </w:r>
      <w:r>
        <w:rPr>
          <w:rFonts w:hint="eastAsia" w:ascii="仿宋" w:hAnsi="仿宋" w:eastAsia="仿宋"/>
          <w:sz w:val="32"/>
          <w:szCs w:val="32"/>
        </w:rPr>
        <w:t>评价等级为“优”的项目12个，评优率为80%以上；评价等级为“良”的项目3个，评良率为20%，详见下表。</w:t>
      </w:r>
    </w:p>
    <w:p w14:paraId="1B1067D6">
      <w:pPr>
        <w:snapToGrid w:val="0"/>
        <w:spacing w:line="578" w:lineRule="exact"/>
        <w:ind w:firstLine="640" w:firstLineChars="200"/>
        <w:rPr>
          <w:rFonts w:ascii="仿宋_GB2312" w:hAnsi="宋体" w:eastAsia="仿宋_GB2312"/>
          <w:sz w:val="32"/>
          <w:szCs w:val="32"/>
        </w:rPr>
      </w:pPr>
    </w:p>
    <w:p w14:paraId="47439283">
      <w:pPr>
        <w:snapToGrid w:val="0"/>
        <w:spacing w:line="578" w:lineRule="exact"/>
        <w:ind w:right="-105" w:rightChars="-50"/>
        <w:jc w:val="center"/>
        <w:rPr>
          <w:rFonts w:ascii="仿宋_GB2312" w:hAnsi="宋体" w:eastAsia="仿宋_GB2312"/>
          <w:b/>
          <w:sz w:val="32"/>
          <w:szCs w:val="32"/>
        </w:rPr>
      </w:pPr>
      <w:r>
        <w:rPr>
          <w:rFonts w:hint="eastAsia" w:ascii="仿宋_GB2312" w:hAnsi="宋体" w:eastAsia="仿宋_GB2312"/>
          <w:b/>
          <w:sz w:val="32"/>
          <w:szCs w:val="32"/>
        </w:rPr>
        <w:t>李村部门绩效自评结果统计表</w:t>
      </w:r>
    </w:p>
    <w:tbl>
      <w:tblPr>
        <w:tblStyle w:val="4"/>
        <w:tblW w:w="8238" w:type="dxa"/>
        <w:jc w:val="center"/>
        <w:tblLayout w:type="fixed"/>
        <w:tblCellMar>
          <w:top w:w="0" w:type="dxa"/>
          <w:left w:w="108" w:type="dxa"/>
          <w:bottom w:w="0" w:type="dxa"/>
          <w:right w:w="108" w:type="dxa"/>
        </w:tblCellMar>
      </w:tblPr>
      <w:tblGrid>
        <w:gridCol w:w="763"/>
        <w:gridCol w:w="5515"/>
        <w:gridCol w:w="1000"/>
        <w:gridCol w:w="960"/>
      </w:tblGrid>
      <w:tr w14:paraId="14B4886B">
        <w:tblPrEx>
          <w:tblCellMar>
            <w:top w:w="0" w:type="dxa"/>
            <w:left w:w="108" w:type="dxa"/>
            <w:bottom w:w="0" w:type="dxa"/>
            <w:right w:w="108" w:type="dxa"/>
          </w:tblCellMar>
        </w:tblPrEx>
        <w:trPr>
          <w:trHeight w:val="758"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49734DA3">
            <w:pPr>
              <w:widowControl/>
              <w:spacing w:line="578" w:lineRule="exact"/>
              <w:ind w:left="-105" w:leftChars="-50" w:right="-105" w:rightChars="-50"/>
              <w:jc w:val="center"/>
              <w:rPr>
                <w:rFonts w:ascii="黑体" w:hAnsi="黑体" w:eastAsia="黑体"/>
                <w:kern w:val="0"/>
                <w:sz w:val="22"/>
              </w:rPr>
            </w:pPr>
            <w:r>
              <w:rPr>
                <w:rFonts w:hint="eastAsia" w:ascii="黑体" w:hAnsi="黑体" w:eastAsia="黑体"/>
                <w:kern w:val="0"/>
                <w:sz w:val="22"/>
              </w:rPr>
              <w:t>序号</w:t>
            </w:r>
          </w:p>
        </w:tc>
        <w:tc>
          <w:tcPr>
            <w:tcW w:w="5515" w:type="dxa"/>
            <w:tcBorders>
              <w:top w:val="single" w:color="auto" w:sz="4" w:space="0"/>
              <w:left w:val="nil"/>
              <w:bottom w:val="single" w:color="auto" w:sz="4" w:space="0"/>
              <w:right w:val="single" w:color="auto" w:sz="4" w:space="0"/>
            </w:tcBorders>
            <w:vAlign w:val="center"/>
          </w:tcPr>
          <w:p w14:paraId="3DA8F2F8">
            <w:pPr>
              <w:widowControl/>
              <w:spacing w:line="578" w:lineRule="exact"/>
              <w:ind w:left="-105" w:leftChars="-50" w:right="-105" w:rightChars="-50"/>
              <w:jc w:val="center"/>
              <w:rPr>
                <w:rFonts w:ascii="黑体" w:hAnsi="黑体" w:eastAsia="黑体"/>
                <w:kern w:val="0"/>
                <w:sz w:val="22"/>
              </w:rPr>
            </w:pPr>
            <w:r>
              <w:rPr>
                <w:rFonts w:hint="eastAsia" w:ascii="黑体" w:hAnsi="黑体" w:eastAsia="黑体"/>
                <w:kern w:val="0"/>
                <w:sz w:val="22"/>
              </w:rPr>
              <w:t>项目名称</w:t>
            </w:r>
          </w:p>
        </w:tc>
        <w:tc>
          <w:tcPr>
            <w:tcW w:w="1000" w:type="dxa"/>
            <w:tcBorders>
              <w:top w:val="single" w:color="auto" w:sz="4" w:space="0"/>
              <w:left w:val="nil"/>
              <w:bottom w:val="single" w:color="auto" w:sz="4" w:space="0"/>
              <w:right w:val="single" w:color="auto" w:sz="4" w:space="0"/>
            </w:tcBorders>
            <w:vAlign w:val="center"/>
          </w:tcPr>
          <w:p w14:paraId="17878303">
            <w:pPr>
              <w:widowControl/>
              <w:spacing w:line="578" w:lineRule="exact"/>
              <w:ind w:left="-105" w:leftChars="-50" w:right="-105" w:rightChars="-50"/>
              <w:jc w:val="center"/>
              <w:rPr>
                <w:rFonts w:ascii="黑体" w:hAnsi="黑体" w:eastAsia="黑体"/>
                <w:kern w:val="0"/>
                <w:sz w:val="22"/>
              </w:rPr>
            </w:pPr>
            <w:r>
              <w:rPr>
                <w:rFonts w:hint="eastAsia" w:ascii="黑体" w:hAnsi="黑体" w:eastAsia="黑体"/>
                <w:kern w:val="0"/>
                <w:sz w:val="22"/>
              </w:rPr>
              <w:t>自评得分</w:t>
            </w:r>
          </w:p>
        </w:tc>
        <w:tc>
          <w:tcPr>
            <w:tcW w:w="960" w:type="dxa"/>
            <w:tcBorders>
              <w:top w:val="single" w:color="auto" w:sz="4" w:space="0"/>
              <w:left w:val="nil"/>
              <w:bottom w:val="single" w:color="auto" w:sz="4" w:space="0"/>
              <w:right w:val="single" w:color="auto" w:sz="4" w:space="0"/>
            </w:tcBorders>
            <w:vAlign w:val="center"/>
          </w:tcPr>
          <w:p w14:paraId="2B0CC2FA">
            <w:pPr>
              <w:widowControl/>
              <w:spacing w:line="578" w:lineRule="exact"/>
              <w:ind w:left="-105" w:leftChars="-50" w:right="-105" w:rightChars="-50"/>
              <w:jc w:val="center"/>
              <w:rPr>
                <w:rFonts w:ascii="黑体" w:hAnsi="黑体" w:eastAsia="黑体"/>
                <w:kern w:val="0"/>
                <w:sz w:val="22"/>
              </w:rPr>
            </w:pPr>
            <w:r>
              <w:rPr>
                <w:rFonts w:hint="eastAsia" w:ascii="黑体" w:hAnsi="黑体" w:eastAsia="黑体"/>
                <w:kern w:val="0"/>
                <w:sz w:val="22"/>
              </w:rPr>
              <w:t>评价等级</w:t>
            </w:r>
          </w:p>
        </w:tc>
      </w:tr>
      <w:tr w14:paraId="0104686A">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0F062992">
            <w:pPr>
              <w:widowControl/>
              <w:spacing w:line="578" w:lineRule="exact"/>
              <w:ind w:left="-105" w:leftChars="-50" w:right="-105" w:rightChars="-50"/>
              <w:jc w:val="center"/>
              <w:rPr>
                <w:rFonts w:ascii="仿宋_GB2312" w:hAnsi="宋体" w:eastAsia="仿宋_GB2312" w:cs="宋体"/>
                <w:kern w:val="0"/>
                <w:sz w:val="22"/>
              </w:rPr>
            </w:pPr>
            <w:r>
              <w:rPr>
                <w:rFonts w:hint="eastAsia" w:ascii="仿宋_GB2312" w:hAnsi="宋体" w:eastAsia="仿宋_GB2312" w:cs="宋体"/>
                <w:kern w:val="0"/>
                <w:sz w:val="22"/>
              </w:rPr>
              <w:t>1</w:t>
            </w:r>
          </w:p>
        </w:tc>
        <w:tc>
          <w:tcPr>
            <w:tcW w:w="5515" w:type="dxa"/>
            <w:tcBorders>
              <w:top w:val="nil"/>
              <w:left w:val="nil"/>
              <w:bottom w:val="single" w:color="auto" w:sz="4" w:space="0"/>
              <w:right w:val="single" w:color="auto" w:sz="4" w:space="0"/>
            </w:tcBorders>
            <w:vAlign w:val="center"/>
          </w:tcPr>
          <w:p w14:paraId="126D2F1F">
            <w:pPr>
              <w:widowControl/>
              <w:spacing w:line="578" w:lineRule="exact"/>
              <w:ind w:left="-105" w:leftChars="-50" w:right="-105" w:rightChars="-50"/>
              <w:jc w:val="left"/>
              <w:rPr>
                <w:rFonts w:ascii="仿宋_GB2312" w:hAnsi="宋体" w:eastAsia="仿宋_GB2312" w:cs="宋体"/>
                <w:kern w:val="0"/>
                <w:sz w:val="22"/>
              </w:rPr>
            </w:pPr>
            <w:r>
              <w:rPr>
                <w:rFonts w:hint="eastAsia" w:ascii="仿宋_GB2312" w:hAnsi="宋体" w:eastAsia="仿宋_GB2312" w:cs="宋体"/>
                <w:kern w:val="0"/>
                <w:sz w:val="22"/>
              </w:rPr>
              <w:t>李村镇治理国、省感到沿线区域私搭乱建、违建专项经费</w:t>
            </w:r>
          </w:p>
        </w:tc>
        <w:tc>
          <w:tcPr>
            <w:tcW w:w="1000" w:type="dxa"/>
            <w:tcBorders>
              <w:top w:val="nil"/>
              <w:left w:val="nil"/>
              <w:bottom w:val="single" w:color="auto" w:sz="4" w:space="0"/>
              <w:right w:val="single" w:color="auto" w:sz="4" w:space="0"/>
            </w:tcBorders>
            <w:vAlign w:val="center"/>
          </w:tcPr>
          <w:p w14:paraId="35A6EC5B">
            <w:pPr>
              <w:widowControl/>
              <w:spacing w:line="578" w:lineRule="exact"/>
              <w:ind w:left="-105" w:leftChars="-50" w:right="-105" w:rightChars="-50"/>
              <w:jc w:val="right"/>
              <w:rPr>
                <w:rFonts w:ascii="Times New Roman" w:hAnsi="Times New Roman" w:eastAsia="仿宋_GB2312" w:cs="Times New Roman"/>
                <w:kern w:val="0"/>
                <w:sz w:val="22"/>
              </w:rPr>
            </w:pPr>
            <w:r>
              <w:rPr>
                <w:rFonts w:ascii="Times New Roman" w:hAnsi="Times New Roman" w:eastAsia="仿宋_GB2312" w:cs="Times New Roman"/>
                <w:kern w:val="0"/>
                <w:sz w:val="22"/>
              </w:rPr>
              <w:t xml:space="preserve">  </w:t>
            </w:r>
            <w:r>
              <w:rPr>
                <w:rFonts w:hint="eastAsia" w:ascii="Times New Roman" w:hAnsi="Times New Roman" w:eastAsia="仿宋_GB2312" w:cs="Times New Roman"/>
                <w:kern w:val="0"/>
                <w:sz w:val="22"/>
              </w:rPr>
              <w:t>97</w:t>
            </w:r>
            <w:r>
              <w:rPr>
                <w:rFonts w:ascii="Times New Roman" w:hAnsi="Times New Roman" w:eastAsia="仿宋_GB2312" w:cs="Times New Roman"/>
                <w:kern w:val="0"/>
                <w:sz w:val="22"/>
              </w:rPr>
              <w:t xml:space="preserve"> </w:t>
            </w:r>
          </w:p>
        </w:tc>
        <w:tc>
          <w:tcPr>
            <w:tcW w:w="960" w:type="dxa"/>
            <w:tcBorders>
              <w:top w:val="nil"/>
              <w:left w:val="nil"/>
              <w:bottom w:val="single" w:color="auto" w:sz="4" w:space="0"/>
              <w:right w:val="single" w:color="auto" w:sz="4" w:space="0"/>
            </w:tcBorders>
            <w:vAlign w:val="center"/>
          </w:tcPr>
          <w:p w14:paraId="41A318FE">
            <w:pPr>
              <w:widowControl/>
              <w:spacing w:line="578" w:lineRule="exact"/>
              <w:ind w:left="-105" w:leftChars="-50" w:right="-105" w:rightChars="-50"/>
              <w:jc w:val="center"/>
              <w:rPr>
                <w:rFonts w:ascii="Times New Roman" w:hAnsi="Times New Roman" w:eastAsia="仿宋_GB2312" w:cs="Times New Roman"/>
                <w:kern w:val="0"/>
                <w:sz w:val="22"/>
              </w:rPr>
            </w:pPr>
            <w:r>
              <w:rPr>
                <w:rFonts w:ascii="Times New Roman" w:hAnsi="Times New Roman" w:eastAsia="仿宋_GB2312" w:cs="Times New Roman"/>
                <w:kern w:val="0"/>
                <w:sz w:val="22"/>
              </w:rPr>
              <w:t xml:space="preserve"> 优 </w:t>
            </w:r>
          </w:p>
        </w:tc>
      </w:tr>
      <w:tr w14:paraId="27B33042">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23FC0F3A">
            <w:pPr>
              <w:widowControl/>
              <w:spacing w:line="578" w:lineRule="exact"/>
              <w:ind w:left="-105" w:leftChars="-50" w:right="-105" w:rightChars="-50"/>
              <w:jc w:val="center"/>
              <w:rPr>
                <w:rFonts w:ascii="仿宋_GB2312" w:hAnsi="宋体" w:eastAsia="仿宋_GB2312" w:cs="宋体"/>
                <w:kern w:val="0"/>
                <w:sz w:val="22"/>
              </w:rPr>
            </w:pPr>
            <w:r>
              <w:rPr>
                <w:rFonts w:hint="eastAsia" w:ascii="仿宋_GB2312" w:hAnsi="宋体" w:eastAsia="仿宋_GB2312" w:cs="宋体"/>
                <w:kern w:val="0"/>
                <w:sz w:val="22"/>
              </w:rPr>
              <w:t>2</w:t>
            </w:r>
          </w:p>
        </w:tc>
        <w:tc>
          <w:tcPr>
            <w:tcW w:w="5515" w:type="dxa"/>
            <w:tcBorders>
              <w:top w:val="nil"/>
              <w:left w:val="nil"/>
              <w:bottom w:val="single" w:color="auto" w:sz="4" w:space="0"/>
              <w:right w:val="single" w:color="auto" w:sz="4" w:space="0"/>
            </w:tcBorders>
            <w:vAlign w:val="center"/>
          </w:tcPr>
          <w:p w14:paraId="6EC1632B">
            <w:pPr>
              <w:widowControl/>
              <w:spacing w:line="578" w:lineRule="exact"/>
              <w:ind w:left="-105" w:leftChars="-50" w:right="-105" w:rightChars="-50"/>
              <w:jc w:val="left"/>
              <w:rPr>
                <w:rFonts w:ascii="仿宋_GB2312" w:hAnsi="宋体" w:eastAsia="仿宋_GB2312" w:cs="宋体"/>
                <w:kern w:val="0"/>
                <w:sz w:val="22"/>
              </w:rPr>
            </w:pPr>
            <w:r>
              <w:rPr>
                <w:rFonts w:hint="eastAsia" w:ascii="仿宋_GB2312" w:hAnsi="宋体" w:eastAsia="仿宋_GB2312" w:cs="宋体"/>
                <w:kern w:val="0"/>
                <w:sz w:val="22"/>
              </w:rPr>
              <w:t>李村镇2022年区级美丽乡村建设</w:t>
            </w:r>
          </w:p>
        </w:tc>
        <w:tc>
          <w:tcPr>
            <w:tcW w:w="1000" w:type="dxa"/>
            <w:tcBorders>
              <w:top w:val="nil"/>
              <w:left w:val="nil"/>
              <w:bottom w:val="single" w:color="auto" w:sz="4" w:space="0"/>
              <w:right w:val="single" w:color="auto" w:sz="4" w:space="0"/>
            </w:tcBorders>
            <w:vAlign w:val="center"/>
          </w:tcPr>
          <w:p w14:paraId="39DE116F">
            <w:pPr>
              <w:widowControl/>
              <w:spacing w:line="578" w:lineRule="exact"/>
              <w:ind w:left="-105" w:leftChars="-50" w:right="-105" w:rightChars="-50"/>
              <w:jc w:val="right"/>
              <w:rPr>
                <w:rFonts w:ascii="Times New Roman" w:hAnsi="Times New Roman" w:eastAsia="仿宋_GB2312" w:cs="Times New Roman"/>
                <w:kern w:val="0"/>
                <w:sz w:val="22"/>
              </w:rPr>
            </w:pPr>
            <w:r>
              <w:rPr>
                <w:rFonts w:ascii="Times New Roman" w:hAnsi="Times New Roman" w:eastAsia="仿宋_GB2312" w:cs="Times New Roman"/>
                <w:kern w:val="0"/>
                <w:sz w:val="22"/>
              </w:rPr>
              <w:t xml:space="preserve">  </w:t>
            </w:r>
            <w:r>
              <w:rPr>
                <w:rFonts w:hint="eastAsia" w:ascii="Times New Roman" w:hAnsi="Times New Roman" w:eastAsia="仿宋_GB2312" w:cs="Times New Roman"/>
                <w:kern w:val="0"/>
                <w:sz w:val="22"/>
              </w:rPr>
              <w:t>98</w:t>
            </w:r>
            <w:r>
              <w:rPr>
                <w:rFonts w:ascii="Times New Roman" w:hAnsi="Times New Roman" w:eastAsia="仿宋_GB2312" w:cs="Times New Roman"/>
                <w:kern w:val="0"/>
                <w:sz w:val="22"/>
              </w:rPr>
              <w:t xml:space="preserve"> </w:t>
            </w:r>
          </w:p>
        </w:tc>
        <w:tc>
          <w:tcPr>
            <w:tcW w:w="960" w:type="dxa"/>
            <w:tcBorders>
              <w:top w:val="nil"/>
              <w:left w:val="nil"/>
              <w:bottom w:val="single" w:color="auto" w:sz="4" w:space="0"/>
              <w:right w:val="single" w:color="auto" w:sz="4" w:space="0"/>
            </w:tcBorders>
            <w:vAlign w:val="center"/>
          </w:tcPr>
          <w:p w14:paraId="3D51D533">
            <w:pPr>
              <w:widowControl/>
              <w:spacing w:line="578" w:lineRule="exact"/>
              <w:ind w:left="-105" w:leftChars="-50" w:right="-105" w:rightChars="-50"/>
              <w:jc w:val="center"/>
              <w:rPr>
                <w:rFonts w:ascii="Times New Roman" w:hAnsi="Times New Roman" w:eastAsia="仿宋_GB2312" w:cs="Times New Roman"/>
                <w:kern w:val="0"/>
                <w:sz w:val="22"/>
              </w:rPr>
            </w:pPr>
            <w:r>
              <w:rPr>
                <w:rFonts w:ascii="Times New Roman" w:hAnsi="Times New Roman" w:eastAsia="仿宋_GB2312" w:cs="Times New Roman"/>
                <w:kern w:val="0"/>
                <w:sz w:val="22"/>
              </w:rPr>
              <w:t xml:space="preserve"> 优 </w:t>
            </w:r>
          </w:p>
        </w:tc>
      </w:tr>
      <w:tr w14:paraId="0484827B">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466F743B">
            <w:pPr>
              <w:widowControl/>
              <w:spacing w:line="578" w:lineRule="exact"/>
              <w:ind w:left="-105" w:leftChars="-50" w:right="-105" w:rightChars="-50"/>
              <w:jc w:val="center"/>
              <w:rPr>
                <w:rFonts w:ascii="仿宋_GB2312" w:hAnsi="宋体" w:eastAsia="仿宋_GB2312" w:cs="宋体"/>
                <w:kern w:val="0"/>
                <w:sz w:val="22"/>
              </w:rPr>
            </w:pPr>
            <w:r>
              <w:rPr>
                <w:rFonts w:hint="eastAsia" w:ascii="仿宋_GB2312" w:hAnsi="宋体" w:eastAsia="仿宋_GB2312" w:cs="宋体"/>
                <w:kern w:val="0"/>
                <w:sz w:val="22"/>
              </w:rPr>
              <w:t>3</w:t>
            </w:r>
          </w:p>
        </w:tc>
        <w:tc>
          <w:tcPr>
            <w:tcW w:w="5515" w:type="dxa"/>
            <w:tcBorders>
              <w:top w:val="nil"/>
              <w:left w:val="nil"/>
              <w:bottom w:val="single" w:color="auto" w:sz="4" w:space="0"/>
              <w:right w:val="single" w:color="auto" w:sz="4" w:space="0"/>
            </w:tcBorders>
            <w:vAlign w:val="center"/>
          </w:tcPr>
          <w:p w14:paraId="2DD16BD9">
            <w:pPr>
              <w:widowControl/>
              <w:spacing w:line="578" w:lineRule="exact"/>
              <w:ind w:left="-105" w:leftChars="-50" w:right="-105" w:rightChars="-50"/>
              <w:jc w:val="left"/>
              <w:rPr>
                <w:rFonts w:ascii="仿宋_GB2312" w:hAnsi="宋体" w:eastAsia="仿宋_GB2312" w:cs="宋体"/>
                <w:kern w:val="0"/>
                <w:sz w:val="22"/>
              </w:rPr>
            </w:pPr>
            <w:r>
              <w:rPr>
                <w:rFonts w:hint="eastAsia" w:ascii="仿宋_GB2312" w:hAnsi="宋体" w:eastAsia="仿宋_GB2312" w:cs="宋体"/>
                <w:kern w:val="0"/>
                <w:sz w:val="22"/>
              </w:rPr>
              <w:t>李村镇2022年区级环境整治提升项目</w:t>
            </w:r>
          </w:p>
        </w:tc>
        <w:tc>
          <w:tcPr>
            <w:tcW w:w="1000" w:type="dxa"/>
            <w:tcBorders>
              <w:top w:val="nil"/>
              <w:left w:val="nil"/>
              <w:bottom w:val="single" w:color="auto" w:sz="4" w:space="0"/>
              <w:right w:val="single" w:color="auto" w:sz="4" w:space="0"/>
            </w:tcBorders>
            <w:vAlign w:val="center"/>
          </w:tcPr>
          <w:p w14:paraId="425CA23F">
            <w:pPr>
              <w:widowControl/>
              <w:spacing w:line="578" w:lineRule="exact"/>
              <w:ind w:left="-105" w:leftChars="-50" w:right="-105" w:rightChars="-50"/>
              <w:jc w:val="right"/>
              <w:rPr>
                <w:rFonts w:ascii="Times New Roman" w:hAnsi="Times New Roman" w:eastAsia="仿宋_GB2312" w:cs="Times New Roman"/>
                <w:kern w:val="0"/>
                <w:sz w:val="22"/>
              </w:rPr>
            </w:pPr>
            <w:r>
              <w:rPr>
                <w:rFonts w:ascii="Times New Roman" w:hAnsi="Times New Roman" w:eastAsia="仿宋_GB2312" w:cs="Times New Roman"/>
                <w:kern w:val="0"/>
                <w:sz w:val="22"/>
              </w:rPr>
              <w:t xml:space="preserve">  </w:t>
            </w:r>
            <w:r>
              <w:rPr>
                <w:rFonts w:hint="eastAsia" w:ascii="Times New Roman" w:hAnsi="Times New Roman" w:eastAsia="仿宋_GB2312" w:cs="Times New Roman"/>
                <w:kern w:val="0"/>
                <w:sz w:val="22"/>
              </w:rPr>
              <w:t>97</w:t>
            </w:r>
            <w:r>
              <w:rPr>
                <w:rFonts w:ascii="Times New Roman" w:hAnsi="Times New Roman" w:eastAsia="仿宋_GB2312" w:cs="Times New Roman"/>
                <w:kern w:val="0"/>
                <w:sz w:val="22"/>
              </w:rPr>
              <w:t xml:space="preserve"> </w:t>
            </w:r>
          </w:p>
        </w:tc>
        <w:tc>
          <w:tcPr>
            <w:tcW w:w="960" w:type="dxa"/>
            <w:tcBorders>
              <w:top w:val="nil"/>
              <w:left w:val="nil"/>
              <w:bottom w:val="single" w:color="auto" w:sz="4" w:space="0"/>
              <w:right w:val="single" w:color="auto" w:sz="4" w:space="0"/>
            </w:tcBorders>
            <w:vAlign w:val="center"/>
          </w:tcPr>
          <w:p w14:paraId="2A7920C2">
            <w:pPr>
              <w:widowControl/>
              <w:spacing w:line="578" w:lineRule="exact"/>
              <w:ind w:left="-105" w:leftChars="-50" w:right="-105" w:rightChars="-50"/>
              <w:jc w:val="center"/>
              <w:rPr>
                <w:rFonts w:ascii="Times New Roman" w:hAnsi="Times New Roman" w:eastAsia="仿宋_GB2312" w:cs="Times New Roman"/>
                <w:kern w:val="0"/>
                <w:sz w:val="22"/>
              </w:rPr>
            </w:pPr>
            <w:r>
              <w:rPr>
                <w:rFonts w:ascii="Times New Roman" w:hAnsi="Times New Roman" w:eastAsia="仿宋_GB2312" w:cs="Times New Roman"/>
                <w:kern w:val="0"/>
                <w:sz w:val="22"/>
              </w:rPr>
              <w:t xml:space="preserve"> 优 </w:t>
            </w:r>
          </w:p>
        </w:tc>
      </w:tr>
      <w:tr w14:paraId="7EA482E1">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0679BB02">
            <w:pPr>
              <w:widowControl/>
              <w:spacing w:line="578" w:lineRule="exact"/>
              <w:ind w:left="-105" w:leftChars="-50" w:right="-105" w:rightChars="-50"/>
              <w:jc w:val="center"/>
              <w:rPr>
                <w:rFonts w:ascii="仿宋_GB2312" w:hAnsi="宋体" w:eastAsia="仿宋_GB2312" w:cs="宋体"/>
                <w:kern w:val="0"/>
                <w:sz w:val="22"/>
              </w:rPr>
            </w:pPr>
            <w:r>
              <w:rPr>
                <w:rFonts w:hint="eastAsia" w:ascii="仿宋_GB2312" w:hAnsi="宋体" w:eastAsia="仿宋_GB2312" w:cs="宋体"/>
                <w:kern w:val="0"/>
                <w:sz w:val="22"/>
              </w:rPr>
              <w:t>4</w:t>
            </w:r>
          </w:p>
        </w:tc>
        <w:tc>
          <w:tcPr>
            <w:tcW w:w="5515" w:type="dxa"/>
            <w:tcBorders>
              <w:top w:val="nil"/>
              <w:left w:val="nil"/>
              <w:bottom w:val="single" w:color="auto" w:sz="4" w:space="0"/>
              <w:right w:val="single" w:color="auto" w:sz="4" w:space="0"/>
            </w:tcBorders>
            <w:vAlign w:val="center"/>
          </w:tcPr>
          <w:p w14:paraId="0581AD98">
            <w:pPr>
              <w:widowControl/>
              <w:spacing w:line="578" w:lineRule="exact"/>
              <w:ind w:left="-105" w:leftChars="-50" w:right="-105" w:rightChars="-50"/>
              <w:jc w:val="left"/>
              <w:rPr>
                <w:rFonts w:ascii="仿宋_GB2312" w:hAnsi="宋体" w:eastAsia="仿宋_GB2312" w:cs="宋体"/>
                <w:kern w:val="0"/>
                <w:sz w:val="22"/>
              </w:rPr>
            </w:pPr>
            <w:r>
              <w:rPr>
                <w:rFonts w:hint="eastAsia" w:ascii="仿宋_GB2312" w:hAnsi="宋体" w:eastAsia="仿宋_GB2312"/>
                <w:sz w:val="22"/>
              </w:rPr>
              <w:t>李村镇2022年区级双同路同阁村铁路段道路提升</w:t>
            </w:r>
          </w:p>
        </w:tc>
        <w:tc>
          <w:tcPr>
            <w:tcW w:w="1000" w:type="dxa"/>
            <w:tcBorders>
              <w:top w:val="nil"/>
              <w:left w:val="nil"/>
              <w:bottom w:val="single" w:color="auto" w:sz="4" w:space="0"/>
              <w:right w:val="single" w:color="auto" w:sz="4" w:space="0"/>
            </w:tcBorders>
            <w:vAlign w:val="center"/>
          </w:tcPr>
          <w:p w14:paraId="658C2D9F">
            <w:pPr>
              <w:widowControl/>
              <w:spacing w:line="578" w:lineRule="exact"/>
              <w:ind w:left="-105" w:leftChars="-50" w:right="-105" w:rightChars="-50"/>
              <w:jc w:val="right"/>
              <w:rPr>
                <w:rFonts w:ascii="Times New Roman" w:hAnsi="Times New Roman" w:eastAsia="仿宋_GB2312" w:cs="Times New Roman"/>
                <w:kern w:val="0"/>
                <w:sz w:val="22"/>
              </w:rPr>
            </w:pPr>
            <w:r>
              <w:rPr>
                <w:rFonts w:hint="eastAsia" w:ascii="Times New Roman" w:hAnsi="Times New Roman" w:eastAsia="仿宋_GB2312" w:cs="Times New Roman"/>
                <w:kern w:val="0"/>
                <w:sz w:val="22"/>
              </w:rPr>
              <w:t>82</w:t>
            </w:r>
          </w:p>
        </w:tc>
        <w:tc>
          <w:tcPr>
            <w:tcW w:w="960" w:type="dxa"/>
            <w:tcBorders>
              <w:top w:val="nil"/>
              <w:left w:val="nil"/>
              <w:bottom w:val="single" w:color="auto" w:sz="4" w:space="0"/>
              <w:right w:val="single" w:color="auto" w:sz="4" w:space="0"/>
            </w:tcBorders>
            <w:vAlign w:val="center"/>
          </w:tcPr>
          <w:p w14:paraId="5E414514">
            <w:pPr>
              <w:widowControl/>
              <w:spacing w:line="578" w:lineRule="exact"/>
              <w:ind w:left="-105" w:leftChars="-50" w:right="-105" w:rightChars="-50"/>
              <w:jc w:val="center"/>
              <w:rPr>
                <w:rFonts w:ascii="Times New Roman" w:hAnsi="Times New Roman" w:eastAsia="仿宋_GB2312" w:cs="Times New Roman"/>
                <w:kern w:val="0"/>
                <w:sz w:val="22"/>
              </w:rPr>
            </w:pPr>
            <w:r>
              <w:rPr>
                <w:rFonts w:hint="eastAsia" w:ascii="Times New Roman" w:hAnsi="Times New Roman" w:eastAsia="仿宋_GB2312" w:cs="Times New Roman"/>
                <w:kern w:val="0"/>
                <w:sz w:val="22"/>
              </w:rPr>
              <w:t>良</w:t>
            </w:r>
          </w:p>
        </w:tc>
      </w:tr>
      <w:tr w14:paraId="6C64D10C">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04B74D48">
            <w:pPr>
              <w:widowControl/>
              <w:spacing w:line="578" w:lineRule="exact"/>
              <w:ind w:left="-105" w:leftChars="-50" w:right="-105" w:rightChars="-50"/>
              <w:jc w:val="center"/>
              <w:rPr>
                <w:rFonts w:ascii="仿宋_GB2312" w:hAnsi="宋体" w:eastAsia="仿宋_GB2312" w:cs="宋体"/>
                <w:kern w:val="0"/>
                <w:sz w:val="22"/>
              </w:rPr>
            </w:pPr>
            <w:r>
              <w:rPr>
                <w:rFonts w:hint="eastAsia" w:ascii="仿宋_GB2312" w:hAnsi="宋体" w:eastAsia="仿宋_GB2312" w:cs="宋体"/>
                <w:kern w:val="0"/>
                <w:sz w:val="22"/>
              </w:rPr>
              <w:t>5</w:t>
            </w:r>
          </w:p>
        </w:tc>
        <w:tc>
          <w:tcPr>
            <w:tcW w:w="5515" w:type="dxa"/>
            <w:tcBorders>
              <w:top w:val="nil"/>
              <w:left w:val="nil"/>
              <w:bottom w:val="single" w:color="auto" w:sz="4" w:space="0"/>
              <w:right w:val="single" w:color="auto" w:sz="4" w:space="0"/>
            </w:tcBorders>
            <w:vAlign w:val="center"/>
          </w:tcPr>
          <w:p w14:paraId="462FDC21">
            <w:pPr>
              <w:widowControl/>
              <w:spacing w:line="578" w:lineRule="exact"/>
              <w:ind w:left="-105" w:leftChars="-50" w:right="-105" w:rightChars="-50"/>
              <w:jc w:val="left"/>
              <w:rPr>
                <w:rFonts w:ascii="仿宋_GB2312" w:hAnsi="宋体" w:eastAsia="仿宋_GB2312" w:cs="宋体"/>
                <w:kern w:val="0"/>
                <w:sz w:val="22"/>
              </w:rPr>
            </w:pPr>
            <w:r>
              <w:rPr>
                <w:rFonts w:hint="eastAsia" w:ascii="仿宋_GB2312" w:hAnsi="宋体" w:eastAsia="仿宋_GB2312"/>
                <w:sz w:val="22"/>
              </w:rPr>
              <w:t>李村镇区级总联办重点人员信访救助金</w:t>
            </w:r>
          </w:p>
        </w:tc>
        <w:tc>
          <w:tcPr>
            <w:tcW w:w="1000" w:type="dxa"/>
            <w:tcBorders>
              <w:top w:val="nil"/>
              <w:left w:val="nil"/>
              <w:bottom w:val="single" w:color="auto" w:sz="4" w:space="0"/>
              <w:right w:val="single" w:color="auto" w:sz="4" w:space="0"/>
            </w:tcBorders>
            <w:vAlign w:val="center"/>
          </w:tcPr>
          <w:p w14:paraId="4197EAD8">
            <w:pPr>
              <w:widowControl/>
              <w:spacing w:line="578" w:lineRule="exact"/>
              <w:ind w:left="-105" w:leftChars="-50" w:right="-105" w:rightChars="-50"/>
              <w:jc w:val="right"/>
              <w:rPr>
                <w:rFonts w:ascii="Times New Roman" w:hAnsi="Times New Roman" w:eastAsia="仿宋_GB2312" w:cs="Times New Roman"/>
                <w:kern w:val="0"/>
                <w:sz w:val="22"/>
              </w:rPr>
            </w:pPr>
            <w:r>
              <w:rPr>
                <w:rFonts w:hint="eastAsia" w:ascii="Times New Roman" w:hAnsi="Times New Roman" w:eastAsia="仿宋_GB2312" w:cs="Times New Roman"/>
                <w:kern w:val="0"/>
                <w:sz w:val="22"/>
              </w:rPr>
              <w:t>96</w:t>
            </w:r>
            <w:r>
              <w:rPr>
                <w:rFonts w:ascii="Times New Roman" w:hAnsi="Times New Roman" w:eastAsia="仿宋_GB2312" w:cs="Times New Roman"/>
                <w:kern w:val="0"/>
                <w:sz w:val="22"/>
              </w:rPr>
              <w:t xml:space="preserve"> </w:t>
            </w:r>
          </w:p>
        </w:tc>
        <w:tc>
          <w:tcPr>
            <w:tcW w:w="960" w:type="dxa"/>
            <w:tcBorders>
              <w:top w:val="nil"/>
              <w:left w:val="nil"/>
              <w:bottom w:val="single" w:color="auto" w:sz="4" w:space="0"/>
              <w:right w:val="single" w:color="auto" w:sz="4" w:space="0"/>
            </w:tcBorders>
            <w:vAlign w:val="center"/>
          </w:tcPr>
          <w:p w14:paraId="22099553">
            <w:pPr>
              <w:widowControl/>
              <w:spacing w:line="578" w:lineRule="exact"/>
              <w:ind w:left="-105" w:leftChars="-50" w:right="-105" w:rightChars="-50"/>
              <w:jc w:val="center"/>
              <w:rPr>
                <w:rFonts w:ascii="Times New Roman" w:hAnsi="Times New Roman" w:eastAsia="仿宋_GB2312" w:cs="Times New Roman"/>
                <w:kern w:val="0"/>
                <w:sz w:val="22"/>
              </w:rPr>
            </w:pPr>
            <w:r>
              <w:rPr>
                <w:rFonts w:ascii="Times New Roman" w:hAnsi="Times New Roman" w:eastAsia="仿宋_GB2312" w:cs="Times New Roman"/>
                <w:kern w:val="0"/>
                <w:sz w:val="22"/>
              </w:rPr>
              <w:t xml:space="preserve"> 优 </w:t>
            </w:r>
          </w:p>
        </w:tc>
      </w:tr>
      <w:tr w14:paraId="4793DE5B">
        <w:tblPrEx>
          <w:tblCellMar>
            <w:top w:w="0" w:type="dxa"/>
            <w:left w:w="108" w:type="dxa"/>
            <w:bottom w:w="0" w:type="dxa"/>
            <w:right w:w="108" w:type="dxa"/>
          </w:tblCellMar>
        </w:tblPrEx>
        <w:trPr>
          <w:trHeight w:val="242"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176D246A">
            <w:pPr>
              <w:widowControl/>
              <w:spacing w:line="578" w:lineRule="exact"/>
              <w:ind w:left="-105" w:leftChars="-50" w:right="-105" w:rightChars="-50"/>
              <w:jc w:val="center"/>
              <w:rPr>
                <w:rFonts w:ascii="仿宋_GB2312" w:hAnsi="宋体" w:eastAsia="仿宋_GB2312" w:cs="宋体"/>
                <w:kern w:val="0"/>
                <w:sz w:val="22"/>
              </w:rPr>
            </w:pPr>
            <w:r>
              <w:rPr>
                <w:rFonts w:hint="eastAsia" w:ascii="仿宋_GB2312" w:hAnsi="宋体" w:eastAsia="仿宋_GB2312" w:cs="宋体"/>
                <w:kern w:val="0"/>
                <w:sz w:val="22"/>
              </w:rPr>
              <w:t>6</w:t>
            </w:r>
          </w:p>
        </w:tc>
        <w:tc>
          <w:tcPr>
            <w:tcW w:w="5515" w:type="dxa"/>
            <w:tcBorders>
              <w:top w:val="single" w:color="auto" w:sz="4" w:space="0"/>
              <w:left w:val="nil"/>
              <w:bottom w:val="single" w:color="auto" w:sz="4" w:space="0"/>
              <w:right w:val="single" w:color="auto" w:sz="4" w:space="0"/>
            </w:tcBorders>
            <w:vAlign w:val="center"/>
          </w:tcPr>
          <w:p w14:paraId="66E3597B">
            <w:pPr>
              <w:widowControl/>
              <w:spacing w:line="578" w:lineRule="exact"/>
              <w:ind w:right="-105" w:rightChars="-50"/>
              <w:jc w:val="left"/>
              <w:rPr>
                <w:rFonts w:ascii="仿宋_GB2312" w:hAnsi="宋体" w:eastAsia="仿宋_GB2312" w:cs="宋体"/>
                <w:kern w:val="0"/>
                <w:sz w:val="22"/>
              </w:rPr>
            </w:pPr>
            <w:r>
              <w:rPr>
                <w:rFonts w:hint="eastAsia" w:ascii="仿宋_GB2312" w:hAnsi="宋体" w:eastAsia="仿宋_GB2312" w:cs="宋体"/>
                <w:kern w:val="0"/>
                <w:sz w:val="22"/>
              </w:rPr>
              <w:t>李村镇2022年区级拆违整治项目</w:t>
            </w:r>
          </w:p>
        </w:tc>
        <w:tc>
          <w:tcPr>
            <w:tcW w:w="1000" w:type="dxa"/>
            <w:tcBorders>
              <w:top w:val="single" w:color="auto" w:sz="4" w:space="0"/>
              <w:left w:val="nil"/>
              <w:bottom w:val="single" w:color="auto" w:sz="4" w:space="0"/>
              <w:right w:val="single" w:color="auto" w:sz="4" w:space="0"/>
            </w:tcBorders>
            <w:vAlign w:val="center"/>
          </w:tcPr>
          <w:p w14:paraId="18086462">
            <w:pPr>
              <w:widowControl/>
              <w:spacing w:line="578" w:lineRule="exact"/>
              <w:ind w:left="-105" w:leftChars="-50" w:right="-105" w:rightChars="-50"/>
              <w:jc w:val="right"/>
              <w:rPr>
                <w:rFonts w:ascii="Times New Roman" w:hAnsi="Times New Roman" w:eastAsia="仿宋_GB2312" w:cs="Times New Roman"/>
                <w:kern w:val="0"/>
                <w:sz w:val="22"/>
              </w:rPr>
            </w:pPr>
            <w:r>
              <w:rPr>
                <w:rFonts w:hint="eastAsia" w:ascii="Times New Roman" w:hAnsi="Times New Roman" w:eastAsia="仿宋_GB2312" w:cs="Times New Roman"/>
                <w:kern w:val="0"/>
                <w:sz w:val="22"/>
              </w:rPr>
              <w:t>96</w:t>
            </w:r>
          </w:p>
        </w:tc>
        <w:tc>
          <w:tcPr>
            <w:tcW w:w="960" w:type="dxa"/>
            <w:tcBorders>
              <w:top w:val="single" w:color="auto" w:sz="4" w:space="0"/>
              <w:left w:val="nil"/>
              <w:bottom w:val="single" w:color="auto" w:sz="4" w:space="0"/>
              <w:right w:val="single" w:color="auto" w:sz="4" w:space="0"/>
            </w:tcBorders>
            <w:vAlign w:val="center"/>
          </w:tcPr>
          <w:p w14:paraId="3E2CB587">
            <w:pPr>
              <w:widowControl/>
              <w:spacing w:line="578" w:lineRule="exact"/>
              <w:ind w:left="-105" w:leftChars="-50" w:right="-105" w:rightChars="-50"/>
              <w:jc w:val="center"/>
              <w:rPr>
                <w:rFonts w:ascii="Times New Roman" w:hAnsi="Times New Roman" w:eastAsia="仿宋_GB2312" w:cs="Times New Roman"/>
                <w:kern w:val="0"/>
                <w:sz w:val="22"/>
              </w:rPr>
            </w:pPr>
            <w:r>
              <w:rPr>
                <w:rFonts w:hint="eastAsia" w:ascii="Times New Roman" w:hAnsi="Times New Roman" w:eastAsia="仿宋_GB2312" w:cs="Times New Roman"/>
                <w:kern w:val="0"/>
                <w:sz w:val="22"/>
              </w:rPr>
              <w:t>优</w:t>
            </w:r>
          </w:p>
        </w:tc>
      </w:tr>
      <w:tr w14:paraId="7477B0AB">
        <w:tblPrEx>
          <w:tblCellMar>
            <w:top w:w="0" w:type="dxa"/>
            <w:left w:w="108" w:type="dxa"/>
            <w:bottom w:w="0" w:type="dxa"/>
            <w:right w:w="108" w:type="dxa"/>
          </w:tblCellMar>
        </w:tblPrEx>
        <w:trPr>
          <w:trHeight w:val="268"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517DEF6E">
            <w:pPr>
              <w:widowControl/>
              <w:spacing w:line="578" w:lineRule="exact"/>
              <w:ind w:left="-105" w:leftChars="-50" w:right="-105" w:rightChars="-50"/>
              <w:jc w:val="center"/>
              <w:rPr>
                <w:rFonts w:ascii="仿宋_GB2312" w:hAnsi="宋体" w:eastAsia="仿宋_GB2312" w:cs="宋体"/>
                <w:kern w:val="0"/>
                <w:sz w:val="22"/>
              </w:rPr>
            </w:pPr>
            <w:r>
              <w:rPr>
                <w:rFonts w:hint="eastAsia" w:ascii="仿宋_GB2312" w:hAnsi="宋体" w:eastAsia="仿宋_GB2312" w:cs="宋体"/>
                <w:kern w:val="0"/>
                <w:sz w:val="22"/>
              </w:rPr>
              <w:t>7</w:t>
            </w:r>
          </w:p>
        </w:tc>
        <w:tc>
          <w:tcPr>
            <w:tcW w:w="5515" w:type="dxa"/>
            <w:tcBorders>
              <w:top w:val="single" w:color="auto" w:sz="4" w:space="0"/>
              <w:left w:val="nil"/>
              <w:bottom w:val="single" w:color="auto" w:sz="4" w:space="0"/>
              <w:right w:val="single" w:color="auto" w:sz="4" w:space="0"/>
            </w:tcBorders>
            <w:vAlign w:val="center"/>
          </w:tcPr>
          <w:p w14:paraId="4B6C730E">
            <w:pPr>
              <w:widowControl/>
              <w:spacing w:line="578" w:lineRule="exact"/>
              <w:ind w:left="-105" w:leftChars="-50" w:right="-105" w:rightChars="-50"/>
              <w:jc w:val="left"/>
              <w:rPr>
                <w:rFonts w:ascii="仿宋_GB2312" w:hAnsi="宋体" w:eastAsia="仿宋_GB2312" w:cs="宋体"/>
                <w:kern w:val="0"/>
                <w:sz w:val="22"/>
              </w:rPr>
            </w:pPr>
            <w:r>
              <w:rPr>
                <w:rFonts w:hint="eastAsia" w:ascii="仿宋_GB2312" w:hAnsi="宋体" w:eastAsia="仿宋_GB2312" w:cs="宋体"/>
                <w:kern w:val="0"/>
                <w:sz w:val="22"/>
              </w:rPr>
              <w:t>2022年河北省智慧物流园项目拆迁相关费用</w:t>
            </w:r>
          </w:p>
        </w:tc>
        <w:tc>
          <w:tcPr>
            <w:tcW w:w="1000" w:type="dxa"/>
            <w:tcBorders>
              <w:top w:val="single" w:color="auto" w:sz="4" w:space="0"/>
              <w:left w:val="nil"/>
              <w:bottom w:val="single" w:color="auto" w:sz="4" w:space="0"/>
              <w:right w:val="single" w:color="auto" w:sz="4" w:space="0"/>
            </w:tcBorders>
            <w:vAlign w:val="center"/>
          </w:tcPr>
          <w:p w14:paraId="01229CFB">
            <w:pPr>
              <w:widowControl/>
              <w:spacing w:line="578" w:lineRule="exact"/>
              <w:ind w:left="-105" w:leftChars="-50" w:right="-105" w:rightChars="-50"/>
              <w:jc w:val="center"/>
              <w:rPr>
                <w:rFonts w:ascii="Times New Roman" w:hAnsi="Times New Roman" w:eastAsia="仿宋_GB2312" w:cs="Times New Roman"/>
                <w:kern w:val="0"/>
                <w:sz w:val="22"/>
              </w:rPr>
            </w:pPr>
            <w:r>
              <w:rPr>
                <w:rFonts w:hint="eastAsia" w:ascii="Times New Roman" w:hAnsi="Times New Roman" w:eastAsia="仿宋_GB2312" w:cs="Times New Roman"/>
                <w:kern w:val="0"/>
                <w:sz w:val="22"/>
              </w:rPr>
              <w:t xml:space="preserve">      88</w:t>
            </w:r>
          </w:p>
        </w:tc>
        <w:tc>
          <w:tcPr>
            <w:tcW w:w="960" w:type="dxa"/>
            <w:tcBorders>
              <w:top w:val="single" w:color="auto" w:sz="4" w:space="0"/>
              <w:left w:val="nil"/>
              <w:bottom w:val="single" w:color="auto" w:sz="4" w:space="0"/>
              <w:right w:val="single" w:color="auto" w:sz="4" w:space="0"/>
            </w:tcBorders>
            <w:vAlign w:val="center"/>
          </w:tcPr>
          <w:p w14:paraId="20493D47">
            <w:pPr>
              <w:widowControl/>
              <w:spacing w:line="578" w:lineRule="exact"/>
              <w:ind w:left="-105" w:leftChars="-50" w:right="-105" w:rightChars="-50"/>
              <w:jc w:val="center"/>
              <w:rPr>
                <w:rFonts w:ascii="Times New Roman" w:hAnsi="Times New Roman" w:eastAsia="仿宋_GB2312" w:cs="Times New Roman"/>
                <w:kern w:val="0"/>
                <w:sz w:val="22"/>
              </w:rPr>
            </w:pPr>
            <w:r>
              <w:rPr>
                <w:rFonts w:hint="eastAsia" w:ascii="Times New Roman" w:hAnsi="Times New Roman" w:eastAsia="仿宋_GB2312" w:cs="Times New Roman"/>
                <w:kern w:val="0"/>
                <w:sz w:val="22"/>
              </w:rPr>
              <w:t>良</w:t>
            </w:r>
          </w:p>
        </w:tc>
      </w:tr>
      <w:tr w14:paraId="2C3377FC">
        <w:tblPrEx>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3C9340ED">
            <w:pPr>
              <w:widowControl/>
              <w:spacing w:line="578" w:lineRule="exact"/>
              <w:ind w:left="-105" w:leftChars="-50" w:right="-105" w:rightChars="-50"/>
              <w:jc w:val="center"/>
              <w:rPr>
                <w:rFonts w:ascii="仿宋_GB2312" w:hAnsi="宋体" w:eastAsia="仿宋_GB2312" w:cs="宋体"/>
                <w:kern w:val="0"/>
                <w:sz w:val="22"/>
              </w:rPr>
            </w:pPr>
            <w:r>
              <w:rPr>
                <w:rFonts w:hint="eastAsia" w:ascii="仿宋_GB2312" w:hAnsi="宋体" w:eastAsia="仿宋_GB2312" w:cs="宋体"/>
                <w:kern w:val="0"/>
                <w:sz w:val="22"/>
              </w:rPr>
              <w:t>8</w:t>
            </w:r>
          </w:p>
        </w:tc>
        <w:tc>
          <w:tcPr>
            <w:tcW w:w="5515" w:type="dxa"/>
            <w:tcBorders>
              <w:top w:val="single" w:color="auto" w:sz="4" w:space="0"/>
              <w:left w:val="nil"/>
              <w:bottom w:val="single" w:color="auto" w:sz="4" w:space="0"/>
              <w:right w:val="single" w:color="auto" w:sz="4" w:space="0"/>
            </w:tcBorders>
            <w:vAlign w:val="center"/>
          </w:tcPr>
          <w:p w14:paraId="0AACDF04">
            <w:pPr>
              <w:widowControl/>
              <w:tabs>
                <w:tab w:val="left" w:pos="679"/>
              </w:tabs>
              <w:spacing w:line="578" w:lineRule="exact"/>
              <w:ind w:left="-105" w:leftChars="-50" w:right="-105" w:rightChars="-50"/>
              <w:jc w:val="left"/>
              <w:rPr>
                <w:rFonts w:ascii="仿宋_GB2312" w:hAnsi="宋体" w:eastAsia="仿宋_GB2312" w:cs="宋体"/>
                <w:kern w:val="0"/>
                <w:sz w:val="22"/>
              </w:rPr>
            </w:pPr>
            <w:r>
              <w:rPr>
                <w:rFonts w:hint="eastAsia" w:ascii="仿宋_GB2312" w:hAnsi="宋体" w:eastAsia="仿宋_GB2312" w:cs="宋体"/>
                <w:kern w:val="0"/>
                <w:sz w:val="22"/>
              </w:rPr>
              <w:t>2022年李村镇际华现代农业温室项目</w:t>
            </w:r>
          </w:p>
        </w:tc>
        <w:tc>
          <w:tcPr>
            <w:tcW w:w="1000" w:type="dxa"/>
            <w:tcBorders>
              <w:top w:val="single" w:color="auto" w:sz="4" w:space="0"/>
              <w:left w:val="nil"/>
              <w:bottom w:val="single" w:color="auto" w:sz="4" w:space="0"/>
              <w:right w:val="single" w:color="auto" w:sz="4" w:space="0"/>
            </w:tcBorders>
            <w:vAlign w:val="center"/>
          </w:tcPr>
          <w:p w14:paraId="1BF81AC4">
            <w:pPr>
              <w:widowControl/>
              <w:spacing w:line="578" w:lineRule="exact"/>
              <w:ind w:left="-105" w:leftChars="-50" w:right="-105" w:rightChars="-50"/>
              <w:jc w:val="center"/>
              <w:rPr>
                <w:rFonts w:ascii="Times New Roman" w:hAnsi="Times New Roman" w:eastAsia="仿宋_GB2312" w:cs="Times New Roman"/>
                <w:kern w:val="0"/>
                <w:sz w:val="22"/>
              </w:rPr>
            </w:pPr>
            <w:r>
              <w:rPr>
                <w:rFonts w:hint="eastAsia" w:ascii="Times New Roman" w:hAnsi="Times New Roman" w:eastAsia="仿宋_GB2312" w:cs="Times New Roman"/>
                <w:kern w:val="0"/>
                <w:sz w:val="22"/>
              </w:rPr>
              <w:t xml:space="preserve">     96</w:t>
            </w:r>
          </w:p>
        </w:tc>
        <w:tc>
          <w:tcPr>
            <w:tcW w:w="960" w:type="dxa"/>
            <w:tcBorders>
              <w:top w:val="single" w:color="auto" w:sz="4" w:space="0"/>
              <w:left w:val="nil"/>
              <w:bottom w:val="single" w:color="auto" w:sz="4" w:space="0"/>
              <w:right w:val="single" w:color="auto" w:sz="4" w:space="0"/>
            </w:tcBorders>
            <w:vAlign w:val="center"/>
          </w:tcPr>
          <w:p w14:paraId="4B86E5EA">
            <w:pPr>
              <w:widowControl/>
              <w:spacing w:line="578" w:lineRule="exact"/>
              <w:ind w:left="-105" w:leftChars="-50" w:right="-105" w:rightChars="-50"/>
              <w:jc w:val="center"/>
              <w:rPr>
                <w:rFonts w:ascii="Times New Roman" w:hAnsi="Times New Roman" w:eastAsia="仿宋_GB2312" w:cs="Times New Roman"/>
                <w:kern w:val="0"/>
                <w:sz w:val="22"/>
              </w:rPr>
            </w:pPr>
            <w:r>
              <w:rPr>
                <w:rFonts w:hint="eastAsia" w:ascii="Times New Roman" w:hAnsi="Times New Roman" w:eastAsia="仿宋_GB2312" w:cs="Times New Roman"/>
                <w:kern w:val="0"/>
                <w:sz w:val="22"/>
              </w:rPr>
              <w:t>优</w:t>
            </w:r>
          </w:p>
        </w:tc>
      </w:tr>
      <w:tr w14:paraId="6A03E7AE">
        <w:tblPrEx>
          <w:tblCellMar>
            <w:top w:w="0" w:type="dxa"/>
            <w:left w:w="108" w:type="dxa"/>
            <w:bottom w:w="0" w:type="dxa"/>
            <w:right w:w="108" w:type="dxa"/>
          </w:tblCellMar>
        </w:tblPrEx>
        <w:trPr>
          <w:trHeight w:val="217"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6942AD08">
            <w:pPr>
              <w:widowControl/>
              <w:spacing w:line="578" w:lineRule="exact"/>
              <w:ind w:left="-105" w:leftChars="-50" w:right="-105" w:rightChars="-50"/>
              <w:jc w:val="center"/>
              <w:rPr>
                <w:rFonts w:ascii="仿宋_GB2312" w:hAnsi="宋体" w:eastAsia="仿宋_GB2312" w:cs="宋体"/>
                <w:kern w:val="0"/>
                <w:sz w:val="22"/>
              </w:rPr>
            </w:pPr>
            <w:r>
              <w:rPr>
                <w:rFonts w:hint="eastAsia" w:ascii="仿宋_GB2312" w:hAnsi="宋体" w:eastAsia="仿宋_GB2312" w:cs="宋体"/>
                <w:kern w:val="0"/>
                <w:sz w:val="22"/>
              </w:rPr>
              <w:t>9</w:t>
            </w:r>
          </w:p>
        </w:tc>
        <w:tc>
          <w:tcPr>
            <w:tcW w:w="5515" w:type="dxa"/>
            <w:tcBorders>
              <w:top w:val="single" w:color="auto" w:sz="4" w:space="0"/>
              <w:left w:val="nil"/>
              <w:bottom w:val="single" w:color="auto" w:sz="4" w:space="0"/>
              <w:right w:val="single" w:color="auto" w:sz="4" w:space="0"/>
            </w:tcBorders>
            <w:vAlign w:val="center"/>
          </w:tcPr>
          <w:p w14:paraId="5417D1F3">
            <w:pPr>
              <w:widowControl/>
              <w:tabs>
                <w:tab w:val="left" w:pos="707"/>
              </w:tabs>
              <w:spacing w:line="578" w:lineRule="exact"/>
              <w:ind w:right="-105" w:rightChars="-50"/>
              <w:jc w:val="left"/>
              <w:rPr>
                <w:rFonts w:ascii="仿宋_GB2312" w:hAnsi="宋体" w:eastAsia="仿宋_GB2312" w:cs="宋体"/>
                <w:kern w:val="0"/>
                <w:sz w:val="22"/>
              </w:rPr>
            </w:pPr>
            <w:r>
              <w:rPr>
                <w:rFonts w:hint="eastAsia" w:ascii="仿宋_GB2312" w:hAnsi="宋体" w:eastAsia="仿宋_GB2312" w:cs="宋体"/>
                <w:kern w:val="0"/>
                <w:sz w:val="22"/>
              </w:rPr>
              <w:t>李村镇2022年区级石津干渠截导流工程后续管理资金</w:t>
            </w:r>
          </w:p>
        </w:tc>
        <w:tc>
          <w:tcPr>
            <w:tcW w:w="1000" w:type="dxa"/>
            <w:tcBorders>
              <w:top w:val="single" w:color="auto" w:sz="4" w:space="0"/>
              <w:left w:val="nil"/>
              <w:bottom w:val="single" w:color="auto" w:sz="4" w:space="0"/>
              <w:right w:val="single" w:color="auto" w:sz="4" w:space="0"/>
            </w:tcBorders>
            <w:vAlign w:val="center"/>
          </w:tcPr>
          <w:p w14:paraId="7ABEA21F">
            <w:pPr>
              <w:widowControl/>
              <w:spacing w:line="578" w:lineRule="exact"/>
              <w:ind w:left="-105" w:leftChars="-50" w:right="-105" w:rightChars="-50"/>
              <w:jc w:val="center"/>
              <w:rPr>
                <w:rFonts w:ascii="Times New Roman" w:hAnsi="Times New Roman" w:eastAsia="仿宋_GB2312" w:cs="Times New Roman"/>
                <w:kern w:val="0"/>
                <w:sz w:val="22"/>
              </w:rPr>
            </w:pPr>
            <w:r>
              <w:rPr>
                <w:rFonts w:hint="eastAsia" w:ascii="Times New Roman" w:hAnsi="Times New Roman" w:eastAsia="仿宋_GB2312" w:cs="Times New Roman"/>
                <w:kern w:val="0"/>
                <w:sz w:val="22"/>
              </w:rPr>
              <w:t xml:space="preserve">      96</w:t>
            </w:r>
          </w:p>
        </w:tc>
        <w:tc>
          <w:tcPr>
            <w:tcW w:w="960" w:type="dxa"/>
            <w:tcBorders>
              <w:top w:val="single" w:color="auto" w:sz="4" w:space="0"/>
              <w:left w:val="nil"/>
              <w:bottom w:val="single" w:color="auto" w:sz="4" w:space="0"/>
              <w:right w:val="single" w:color="auto" w:sz="4" w:space="0"/>
            </w:tcBorders>
            <w:vAlign w:val="center"/>
          </w:tcPr>
          <w:p w14:paraId="75E1FCFE">
            <w:pPr>
              <w:widowControl/>
              <w:spacing w:line="578" w:lineRule="exact"/>
              <w:ind w:left="-105" w:leftChars="-50" w:right="-105" w:rightChars="-50"/>
              <w:jc w:val="center"/>
              <w:rPr>
                <w:rFonts w:ascii="Times New Roman" w:hAnsi="Times New Roman" w:eastAsia="仿宋_GB2312" w:cs="Times New Roman"/>
                <w:kern w:val="0"/>
                <w:sz w:val="22"/>
              </w:rPr>
            </w:pPr>
            <w:r>
              <w:rPr>
                <w:rFonts w:hint="eastAsia" w:ascii="Times New Roman" w:hAnsi="Times New Roman" w:eastAsia="仿宋_GB2312" w:cs="Times New Roman"/>
                <w:kern w:val="0"/>
                <w:sz w:val="22"/>
              </w:rPr>
              <w:t>优</w:t>
            </w:r>
          </w:p>
        </w:tc>
      </w:tr>
      <w:tr w14:paraId="4A2DAFB0">
        <w:tblPrEx>
          <w:tblCellMar>
            <w:top w:w="0" w:type="dxa"/>
            <w:left w:w="108" w:type="dxa"/>
            <w:bottom w:w="0" w:type="dxa"/>
            <w:right w:w="108" w:type="dxa"/>
          </w:tblCellMar>
        </w:tblPrEx>
        <w:trPr>
          <w:trHeight w:val="472"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5155218B">
            <w:pPr>
              <w:widowControl/>
              <w:spacing w:line="578" w:lineRule="exact"/>
              <w:ind w:left="-105" w:leftChars="-50" w:right="-105" w:rightChars="-50"/>
              <w:jc w:val="center"/>
              <w:rPr>
                <w:rFonts w:ascii="仿宋_GB2312" w:hAnsi="宋体" w:eastAsia="仿宋_GB2312" w:cs="宋体"/>
                <w:kern w:val="0"/>
                <w:sz w:val="22"/>
              </w:rPr>
            </w:pPr>
            <w:r>
              <w:rPr>
                <w:rFonts w:hint="eastAsia" w:ascii="仿宋_GB2312" w:hAnsi="宋体" w:eastAsia="仿宋_GB2312" w:cs="宋体"/>
                <w:kern w:val="0"/>
                <w:sz w:val="22"/>
              </w:rPr>
              <w:t>10</w:t>
            </w:r>
          </w:p>
        </w:tc>
        <w:tc>
          <w:tcPr>
            <w:tcW w:w="5515" w:type="dxa"/>
            <w:tcBorders>
              <w:top w:val="single" w:color="auto" w:sz="4" w:space="0"/>
              <w:left w:val="nil"/>
              <w:bottom w:val="single" w:color="auto" w:sz="4" w:space="0"/>
              <w:right w:val="single" w:color="auto" w:sz="4" w:space="0"/>
            </w:tcBorders>
            <w:vAlign w:val="center"/>
          </w:tcPr>
          <w:p w14:paraId="1AE23C92">
            <w:pPr>
              <w:widowControl/>
              <w:spacing w:line="578" w:lineRule="exact"/>
              <w:ind w:right="-105" w:rightChars="-50"/>
              <w:jc w:val="left"/>
              <w:rPr>
                <w:rFonts w:ascii="仿宋_GB2312" w:hAnsi="宋体" w:eastAsia="仿宋_GB2312" w:cs="宋体"/>
                <w:kern w:val="0"/>
                <w:sz w:val="22"/>
              </w:rPr>
            </w:pPr>
            <w:r>
              <w:rPr>
                <w:rFonts w:hint="eastAsia" w:ascii="仿宋_GB2312" w:hAnsi="宋体" w:eastAsia="仿宋_GB2312" w:cs="宋体"/>
                <w:kern w:val="0"/>
                <w:sz w:val="22"/>
              </w:rPr>
              <w:t>李村镇2022年区级西柏坡高速两侧整治资金</w:t>
            </w:r>
          </w:p>
        </w:tc>
        <w:tc>
          <w:tcPr>
            <w:tcW w:w="1000" w:type="dxa"/>
            <w:tcBorders>
              <w:top w:val="single" w:color="auto" w:sz="4" w:space="0"/>
              <w:left w:val="nil"/>
              <w:bottom w:val="single" w:color="auto" w:sz="4" w:space="0"/>
              <w:right w:val="single" w:color="auto" w:sz="4" w:space="0"/>
            </w:tcBorders>
            <w:vAlign w:val="center"/>
          </w:tcPr>
          <w:p w14:paraId="05951EDD">
            <w:pPr>
              <w:widowControl/>
              <w:spacing w:line="578" w:lineRule="exact"/>
              <w:ind w:left="-105" w:leftChars="-50" w:right="-105" w:rightChars="-50"/>
              <w:jc w:val="center"/>
              <w:rPr>
                <w:rFonts w:ascii="Times New Roman" w:hAnsi="Times New Roman" w:eastAsia="仿宋_GB2312" w:cs="Times New Roman"/>
                <w:kern w:val="0"/>
                <w:sz w:val="22"/>
              </w:rPr>
            </w:pPr>
            <w:r>
              <w:rPr>
                <w:rFonts w:hint="eastAsia" w:ascii="Times New Roman" w:hAnsi="Times New Roman" w:eastAsia="仿宋_GB2312" w:cs="Times New Roman"/>
                <w:kern w:val="0"/>
                <w:sz w:val="22"/>
              </w:rPr>
              <w:t xml:space="preserve">    82.66</w:t>
            </w:r>
          </w:p>
        </w:tc>
        <w:tc>
          <w:tcPr>
            <w:tcW w:w="960" w:type="dxa"/>
            <w:tcBorders>
              <w:top w:val="single" w:color="auto" w:sz="4" w:space="0"/>
              <w:left w:val="nil"/>
              <w:bottom w:val="single" w:color="auto" w:sz="4" w:space="0"/>
              <w:right w:val="single" w:color="auto" w:sz="4" w:space="0"/>
            </w:tcBorders>
            <w:vAlign w:val="center"/>
          </w:tcPr>
          <w:p w14:paraId="4C71B085">
            <w:pPr>
              <w:widowControl/>
              <w:spacing w:line="578" w:lineRule="exact"/>
              <w:ind w:left="-105" w:leftChars="-50" w:right="-105" w:rightChars="-50"/>
              <w:jc w:val="center"/>
              <w:rPr>
                <w:rFonts w:ascii="Times New Roman" w:hAnsi="Times New Roman" w:eastAsia="仿宋_GB2312" w:cs="Times New Roman"/>
                <w:kern w:val="0"/>
                <w:sz w:val="22"/>
              </w:rPr>
            </w:pPr>
            <w:r>
              <w:rPr>
                <w:rFonts w:hint="eastAsia" w:ascii="Times New Roman" w:hAnsi="Times New Roman" w:eastAsia="仿宋_GB2312" w:cs="Times New Roman"/>
                <w:kern w:val="0"/>
                <w:sz w:val="22"/>
              </w:rPr>
              <w:t>良</w:t>
            </w:r>
          </w:p>
        </w:tc>
      </w:tr>
      <w:tr w14:paraId="15E5D56C">
        <w:tblPrEx>
          <w:tblCellMar>
            <w:top w:w="0" w:type="dxa"/>
            <w:left w:w="108" w:type="dxa"/>
            <w:bottom w:w="0" w:type="dxa"/>
            <w:right w:w="108" w:type="dxa"/>
          </w:tblCellMar>
        </w:tblPrEx>
        <w:trPr>
          <w:trHeight w:val="273"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252A775A">
            <w:pPr>
              <w:widowControl/>
              <w:spacing w:line="578" w:lineRule="exact"/>
              <w:ind w:left="-105" w:leftChars="-50" w:right="-105" w:rightChars="-50"/>
              <w:jc w:val="center"/>
              <w:rPr>
                <w:rFonts w:ascii="仿宋_GB2312" w:hAnsi="宋体" w:eastAsia="仿宋_GB2312" w:cs="宋体"/>
                <w:kern w:val="0"/>
                <w:sz w:val="22"/>
              </w:rPr>
            </w:pPr>
            <w:r>
              <w:rPr>
                <w:rFonts w:hint="eastAsia" w:ascii="仿宋_GB2312" w:hAnsi="宋体" w:eastAsia="仿宋_GB2312" w:cs="宋体"/>
                <w:kern w:val="0"/>
                <w:sz w:val="22"/>
              </w:rPr>
              <w:t>11</w:t>
            </w:r>
          </w:p>
        </w:tc>
        <w:tc>
          <w:tcPr>
            <w:tcW w:w="5515" w:type="dxa"/>
            <w:tcBorders>
              <w:top w:val="single" w:color="auto" w:sz="4" w:space="0"/>
              <w:left w:val="nil"/>
              <w:bottom w:val="single" w:color="auto" w:sz="4" w:space="0"/>
              <w:right w:val="single" w:color="auto" w:sz="4" w:space="0"/>
            </w:tcBorders>
            <w:vAlign w:val="center"/>
          </w:tcPr>
          <w:p w14:paraId="29CBF751">
            <w:pPr>
              <w:widowControl/>
              <w:tabs>
                <w:tab w:val="left" w:pos="524"/>
              </w:tabs>
              <w:spacing w:line="578" w:lineRule="exact"/>
              <w:ind w:right="-105" w:rightChars="-50"/>
              <w:jc w:val="left"/>
              <w:rPr>
                <w:rFonts w:ascii="仿宋_GB2312" w:hAnsi="宋体" w:eastAsia="仿宋_GB2312" w:cs="宋体"/>
                <w:kern w:val="0"/>
                <w:sz w:val="22"/>
              </w:rPr>
            </w:pPr>
            <w:r>
              <w:rPr>
                <w:rFonts w:hint="eastAsia" w:ascii="仿宋_GB2312" w:hAnsi="宋体" w:eastAsia="仿宋_GB2312" w:cs="宋体"/>
                <w:kern w:val="0"/>
                <w:sz w:val="22"/>
              </w:rPr>
              <w:t>李村镇2022年区级双同路拓宽升级工程</w:t>
            </w:r>
          </w:p>
        </w:tc>
        <w:tc>
          <w:tcPr>
            <w:tcW w:w="1000" w:type="dxa"/>
            <w:tcBorders>
              <w:top w:val="single" w:color="auto" w:sz="4" w:space="0"/>
              <w:left w:val="nil"/>
              <w:bottom w:val="single" w:color="auto" w:sz="4" w:space="0"/>
              <w:right w:val="single" w:color="auto" w:sz="4" w:space="0"/>
            </w:tcBorders>
            <w:vAlign w:val="center"/>
          </w:tcPr>
          <w:p w14:paraId="3F84631C">
            <w:pPr>
              <w:widowControl/>
              <w:spacing w:line="578" w:lineRule="exact"/>
              <w:ind w:left="-105" w:leftChars="-50" w:right="-105" w:rightChars="-50"/>
              <w:jc w:val="center"/>
              <w:rPr>
                <w:rFonts w:ascii="Times New Roman" w:hAnsi="Times New Roman" w:eastAsia="仿宋_GB2312" w:cs="Times New Roman"/>
                <w:kern w:val="0"/>
                <w:sz w:val="22"/>
              </w:rPr>
            </w:pPr>
            <w:r>
              <w:rPr>
                <w:rFonts w:hint="eastAsia" w:ascii="Times New Roman" w:hAnsi="Times New Roman" w:eastAsia="仿宋_GB2312" w:cs="Times New Roman"/>
                <w:kern w:val="0"/>
                <w:sz w:val="22"/>
              </w:rPr>
              <w:t xml:space="preserve">      97</w:t>
            </w:r>
          </w:p>
        </w:tc>
        <w:tc>
          <w:tcPr>
            <w:tcW w:w="960" w:type="dxa"/>
            <w:tcBorders>
              <w:top w:val="single" w:color="auto" w:sz="4" w:space="0"/>
              <w:left w:val="nil"/>
              <w:bottom w:val="single" w:color="auto" w:sz="4" w:space="0"/>
              <w:right w:val="single" w:color="auto" w:sz="4" w:space="0"/>
            </w:tcBorders>
            <w:vAlign w:val="center"/>
          </w:tcPr>
          <w:p w14:paraId="4E5A558D">
            <w:pPr>
              <w:widowControl/>
              <w:spacing w:line="578" w:lineRule="exact"/>
              <w:ind w:left="-105" w:leftChars="-50" w:right="-105" w:rightChars="-50"/>
              <w:jc w:val="center"/>
              <w:rPr>
                <w:rFonts w:ascii="Times New Roman" w:hAnsi="Times New Roman" w:eastAsia="仿宋_GB2312" w:cs="Times New Roman"/>
                <w:kern w:val="0"/>
                <w:sz w:val="22"/>
              </w:rPr>
            </w:pPr>
            <w:r>
              <w:rPr>
                <w:rFonts w:hint="eastAsia" w:ascii="Times New Roman" w:hAnsi="Times New Roman" w:eastAsia="仿宋_GB2312" w:cs="Times New Roman"/>
                <w:kern w:val="0"/>
                <w:sz w:val="22"/>
              </w:rPr>
              <w:t>优</w:t>
            </w:r>
          </w:p>
        </w:tc>
      </w:tr>
      <w:tr w14:paraId="1DDCF8EA">
        <w:tblPrEx>
          <w:tblCellMar>
            <w:top w:w="0" w:type="dxa"/>
            <w:left w:w="108" w:type="dxa"/>
            <w:bottom w:w="0" w:type="dxa"/>
            <w:right w:w="108" w:type="dxa"/>
          </w:tblCellMar>
        </w:tblPrEx>
        <w:trPr>
          <w:trHeight w:val="202"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6B06C497">
            <w:pPr>
              <w:widowControl/>
              <w:spacing w:line="578" w:lineRule="exact"/>
              <w:ind w:left="-105" w:leftChars="-50" w:right="-105" w:rightChars="-50"/>
              <w:jc w:val="center"/>
              <w:rPr>
                <w:rFonts w:ascii="仿宋_GB2312" w:hAnsi="宋体" w:eastAsia="仿宋_GB2312" w:cs="宋体"/>
                <w:kern w:val="0"/>
                <w:sz w:val="22"/>
              </w:rPr>
            </w:pPr>
            <w:r>
              <w:rPr>
                <w:rFonts w:hint="eastAsia" w:ascii="仿宋_GB2312" w:hAnsi="宋体" w:eastAsia="仿宋_GB2312" w:cs="宋体"/>
                <w:kern w:val="0"/>
                <w:sz w:val="22"/>
              </w:rPr>
              <w:t>12</w:t>
            </w:r>
          </w:p>
        </w:tc>
        <w:tc>
          <w:tcPr>
            <w:tcW w:w="5515" w:type="dxa"/>
            <w:tcBorders>
              <w:top w:val="single" w:color="auto" w:sz="4" w:space="0"/>
              <w:left w:val="nil"/>
              <w:bottom w:val="single" w:color="auto" w:sz="4" w:space="0"/>
              <w:right w:val="single" w:color="auto" w:sz="4" w:space="0"/>
            </w:tcBorders>
            <w:vAlign w:val="center"/>
          </w:tcPr>
          <w:p w14:paraId="25A42FE8">
            <w:pPr>
              <w:widowControl/>
              <w:tabs>
                <w:tab w:val="left" w:pos="2108"/>
              </w:tabs>
              <w:spacing w:line="578" w:lineRule="exact"/>
              <w:ind w:right="-105" w:rightChars="-50"/>
              <w:jc w:val="left"/>
              <w:rPr>
                <w:rFonts w:ascii="仿宋_GB2312" w:hAnsi="宋体" w:eastAsia="仿宋_GB2312" w:cs="宋体"/>
                <w:kern w:val="0"/>
                <w:sz w:val="22"/>
              </w:rPr>
            </w:pPr>
            <w:r>
              <w:rPr>
                <w:rFonts w:hint="eastAsia" w:ascii="仿宋_GB2312" w:hAnsi="宋体" w:eastAsia="仿宋_GB2312" w:cs="宋体"/>
                <w:kern w:val="0"/>
                <w:sz w:val="22"/>
              </w:rPr>
              <w:t>2021年革命老区项目资金</w:t>
            </w:r>
          </w:p>
        </w:tc>
        <w:tc>
          <w:tcPr>
            <w:tcW w:w="1000" w:type="dxa"/>
            <w:tcBorders>
              <w:top w:val="single" w:color="auto" w:sz="4" w:space="0"/>
              <w:left w:val="nil"/>
              <w:bottom w:val="single" w:color="auto" w:sz="4" w:space="0"/>
              <w:right w:val="single" w:color="auto" w:sz="4" w:space="0"/>
            </w:tcBorders>
            <w:vAlign w:val="center"/>
          </w:tcPr>
          <w:p w14:paraId="02D44348">
            <w:pPr>
              <w:widowControl/>
              <w:spacing w:line="578" w:lineRule="exact"/>
              <w:ind w:left="-105" w:leftChars="-50" w:right="-105" w:rightChars="-50"/>
              <w:jc w:val="center"/>
              <w:rPr>
                <w:rFonts w:ascii="Times New Roman" w:hAnsi="Times New Roman" w:eastAsia="仿宋_GB2312" w:cs="Times New Roman"/>
                <w:kern w:val="0"/>
                <w:sz w:val="22"/>
              </w:rPr>
            </w:pPr>
            <w:r>
              <w:rPr>
                <w:rFonts w:hint="eastAsia" w:ascii="Times New Roman" w:hAnsi="Times New Roman" w:eastAsia="仿宋_GB2312" w:cs="Times New Roman"/>
                <w:kern w:val="0"/>
                <w:sz w:val="22"/>
              </w:rPr>
              <w:t xml:space="preserve">     97</w:t>
            </w:r>
          </w:p>
        </w:tc>
        <w:tc>
          <w:tcPr>
            <w:tcW w:w="960" w:type="dxa"/>
            <w:tcBorders>
              <w:top w:val="single" w:color="auto" w:sz="4" w:space="0"/>
              <w:left w:val="nil"/>
              <w:bottom w:val="single" w:color="auto" w:sz="4" w:space="0"/>
              <w:right w:val="single" w:color="auto" w:sz="4" w:space="0"/>
            </w:tcBorders>
            <w:vAlign w:val="center"/>
          </w:tcPr>
          <w:p w14:paraId="0EC2A10C">
            <w:pPr>
              <w:widowControl/>
              <w:spacing w:line="578" w:lineRule="exact"/>
              <w:ind w:left="-105" w:leftChars="-50" w:right="-105" w:rightChars="-50"/>
              <w:jc w:val="center"/>
              <w:rPr>
                <w:rFonts w:ascii="Times New Roman" w:hAnsi="Times New Roman" w:eastAsia="仿宋_GB2312" w:cs="Times New Roman"/>
                <w:kern w:val="0"/>
                <w:sz w:val="22"/>
              </w:rPr>
            </w:pPr>
            <w:r>
              <w:rPr>
                <w:rFonts w:hint="eastAsia" w:ascii="Times New Roman" w:hAnsi="Times New Roman" w:eastAsia="仿宋_GB2312" w:cs="Times New Roman"/>
                <w:kern w:val="0"/>
                <w:sz w:val="22"/>
              </w:rPr>
              <w:t>优</w:t>
            </w:r>
          </w:p>
        </w:tc>
      </w:tr>
      <w:tr w14:paraId="0C039D82">
        <w:tblPrEx>
          <w:tblCellMar>
            <w:top w:w="0" w:type="dxa"/>
            <w:left w:w="108" w:type="dxa"/>
            <w:bottom w:w="0" w:type="dxa"/>
            <w:right w:w="108" w:type="dxa"/>
          </w:tblCellMar>
        </w:tblPrEx>
        <w:trPr>
          <w:trHeight w:val="286"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44C56A65">
            <w:pPr>
              <w:widowControl/>
              <w:spacing w:line="578" w:lineRule="exact"/>
              <w:ind w:left="-105" w:leftChars="-50" w:right="-105" w:rightChars="-50"/>
              <w:jc w:val="center"/>
              <w:rPr>
                <w:rFonts w:ascii="仿宋_GB2312" w:hAnsi="宋体" w:eastAsia="仿宋_GB2312" w:cs="宋体"/>
                <w:kern w:val="0"/>
                <w:sz w:val="22"/>
              </w:rPr>
            </w:pPr>
            <w:r>
              <w:rPr>
                <w:rFonts w:hint="eastAsia" w:ascii="仿宋_GB2312" w:hAnsi="宋体" w:eastAsia="仿宋_GB2312" w:cs="宋体"/>
                <w:kern w:val="0"/>
                <w:sz w:val="22"/>
              </w:rPr>
              <w:t>13</w:t>
            </w:r>
          </w:p>
        </w:tc>
        <w:tc>
          <w:tcPr>
            <w:tcW w:w="5515" w:type="dxa"/>
            <w:tcBorders>
              <w:top w:val="single" w:color="auto" w:sz="4" w:space="0"/>
              <w:left w:val="nil"/>
              <w:bottom w:val="single" w:color="auto" w:sz="4" w:space="0"/>
              <w:right w:val="single" w:color="auto" w:sz="4" w:space="0"/>
            </w:tcBorders>
            <w:vAlign w:val="center"/>
          </w:tcPr>
          <w:p w14:paraId="17A05183">
            <w:pPr>
              <w:widowControl/>
              <w:spacing w:line="578" w:lineRule="exact"/>
              <w:ind w:right="-105" w:rightChars="-50"/>
              <w:jc w:val="left"/>
              <w:rPr>
                <w:rFonts w:ascii="仿宋_GB2312" w:hAnsi="宋体" w:eastAsia="仿宋_GB2312" w:cs="宋体"/>
                <w:kern w:val="0"/>
                <w:sz w:val="22"/>
              </w:rPr>
            </w:pPr>
            <w:r>
              <w:rPr>
                <w:rFonts w:hint="eastAsia" w:ascii="仿宋_GB2312" w:hAnsi="宋体" w:eastAsia="仿宋_GB2312" w:cs="宋体"/>
                <w:kern w:val="0"/>
                <w:sz w:val="22"/>
              </w:rPr>
              <w:t>2021年农村综改项目资金</w:t>
            </w:r>
          </w:p>
        </w:tc>
        <w:tc>
          <w:tcPr>
            <w:tcW w:w="1000" w:type="dxa"/>
            <w:tcBorders>
              <w:top w:val="single" w:color="auto" w:sz="4" w:space="0"/>
              <w:left w:val="nil"/>
              <w:bottom w:val="single" w:color="auto" w:sz="4" w:space="0"/>
              <w:right w:val="single" w:color="auto" w:sz="4" w:space="0"/>
            </w:tcBorders>
            <w:vAlign w:val="center"/>
          </w:tcPr>
          <w:p w14:paraId="28EF28F2">
            <w:pPr>
              <w:widowControl/>
              <w:spacing w:line="578" w:lineRule="exact"/>
              <w:ind w:left="-105" w:leftChars="-50" w:right="-105" w:rightChars="-50"/>
              <w:jc w:val="center"/>
              <w:rPr>
                <w:rFonts w:ascii="Times New Roman" w:hAnsi="Times New Roman" w:eastAsia="仿宋_GB2312" w:cs="Times New Roman"/>
                <w:kern w:val="0"/>
                <w:sz w:val="22"/>
              </w:rPr>
            </w:pPr>
            <w:r>
              <w:rPr>
                <w:rFonts w:hint="eastAsia" w:ascii="Times New Roman" w:hAnsi="Times New Roman" w:eastAsia="仿宋_GB2312" w:cs="Times New Roman"/>
                <w:kern w:val="0"/>
                <w:sz w:val="22"/>
              </w:rPr>
              <w:t xml:space="preserve">      95</w:t>
            </w:r>
          </w:p>
        </w:tc>
        <w:tc>
          <w:tcPr>
            <w:tcW w:w="960" w:type="dxa"/>
            <w:tcBorders>
              <w:top w:val="single" w:color="auto" w:sz="4" w:space="0"/>
              <w:left w:val="nil"/>
              <w:bottom w:val="single" w:color="auto" w:sz="4" w:space="0"/>
              <w:right w:val="single" w:color="auto" w:sz="4" w:space="0"/>
            </w:tcBorders>
            <w:vAlign w:val="center"/>
          </w:tcPr>
          <w:p w14:paraId="34F6897D">
            <w:pPr>
              <w:widowControl/>
              <w:spacing w:line="578" w:lineRule="exact"/>
              <w:ind w:left="-105" w:leftChars="-50" w:right="-105" w:rightChars="-50"/>
              <w:jc w:val="center"/>
              <w:rPr>
                <w:rFonts w:ascii="Times New Roman" w:hAnsi="Times New Roman" w:eastAsia="仿宋_GB2312" w:cs="Times New Roman"/>
                <w:kern w:val="0"/>
                <w:sz w:val="22"/>
              </w:rPr>
            </w:pPr>
            <w:r>
              <w:rPr>
                <w:rFonts w:hint="eastAsia" w:ascii="Times New Roman" w:hAnsi="Times New Roman" w:eastAsia="仿宋_GB2312" w:cs="Times New Roman"/>
                <w:kern w:val="0"/>
                <w:sz w:val="22"/>
              </w:rPr>
              <w:t>优</w:t>
            </w:r>
          </w:p>
        </w:tc>
      </w:tr>
      <w:tr w14:paraId="6737807E">
        <w:tblPrEx>
          <w:tblCellMar>
            <w:top w:w="0" w:type="dxa"/>
            <w:left w:w="108" w:type="dxa"/>
            <w:bottom w:w="0" w:type="dxa"/>
            <w:right w:w="108" w:type="dxa"/>
          </w:tblCellMar>
        </w:tblPrEx>
        <w:trPr>
          <w:trHeight w:val="286"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7F92F470">
            <w:pPr>
              <w:widowControl/>
              <w:spacing w:line="578" w:lineRule="exact"/>
              <w:ind w:left="-105" w:leftChars="-50" w:right="-105" w:rightChars="-50"/>
              <w:jc w:val="center"/>
              <w:rPr>
                <w:rFonts w:ascii="仿宋_GB2312" w:hAnsi="宋体" w:eastAsia="仿宋_GB2312" w:cs="宋体"/>
                <w:kern w:val="0"/>
                <w:sz w:val="22"/>
              </w:rPr>
            </w:pPr>
            <w:r>
              <w:rPr>
                <w:rFonts w:hint="eastAsia" w:ascii="仿宋_GB2312" w:hAnsi="宋体" w:eastAsia="仿宋_GB2312" w:cs="宋体"/>
                <w:kern w:val="0"/>
                <w:sz w:val="22"/>
              </w:rPr>
              <w:t>14</w:t>
            </w:r>
          </w:p>
        </w:tc>
        <w:tc>
          <w:tcPr>
            <w:tcW w:w="5515" w:type="dxa"/>
            <w:tcBorders>
              <w:top w:val="single" w:color="auto" w:sz="4" w:space="0"/>
              <w:left w:val="nil"/>
              <w:bottom w:val="single" w:color="auto" w:sz="4" w:space="0"/>
              <w:right w:val="single" w:color="auto" w:sz="4" w:space="0"/>
            </w:tcBorders>
            <w:vAlign w:val="center"/>
          </w:tcPr>
          <w:p w14:paraId="54D41EAE">
            <w:pPr>
              <w:widowControl/>
              <w:spacing w:line="578" w:lineRule="exact"/>
              <w:ind w:right="-105" w:rightChars="-50"/>
              <w:jc w:val="left"/>
              <w:rPr>
                <w:rFonts w:ascii="仿宋_GB2312" w:hAnsi="宋体" w:eastAsia="仿宋_GB2312" w:cs="宋体"/>
                <w:kern w:val="0"/>
                <w:sz w:val="22"/>
              </w:rPr>
            </w:pPr>
            <w:r>
              <w:rPr>
                <w:rFonts w:hint="eastAsia" w:ascii="仿宋_GB2312" w:hAnsi="宋体" w:eastAsia="仿宋_GB2312" w:cs="宋体"/>
                <w:kern w:val="0"/>
                <w:sz w:val="22"/>
              </w:rPr>
              <w:t>2022年大气污染防治奖励资金</w:t>
            </w:r>
          </w:p>
        </w:tc>
        <w:tc>
          <w:tcPr>
            <w:tcW w:w="1000" w:type="dxa"/>
            <w:tcBorders>
              <w:top w:val="single" w:color="auto" w:sz="4" w:space="0"/>
              <w:left w:val="nil"/>
              <w:bottom w:val="single" w:color="auto" w:sz="4" w:space="0"/>
              <w:right w:val="single" w:color="auto" w:sz="4" w:space="0"/>
            </w:tcBorders>
            <w:vAlign w:val="center"/>
          </w:tcPr>
          <w:p w14:paraId="009A04F8">
            <w:pPr>
              <w:widowControl/>
              <w:spacing w:line="578" w:lineRule="exact"/>
              <w:ind w:left="-105" w:leftChars="-50" w:right="-105" w:rightChars="-50"/>
              <w:jc w:val="center"/>
              <w:rPr>
                <w:rFonts w:ascii="Times New Roman" w:hAnsi="Times New Roman" w:eastAsia="仿宋_GB2312" w:cs="Times New Roman"/>
                <w:kern w:val="0"/>
                <w:sz w:val="22"/>
              </w:rPr>
            </w:pPr>
            <w:r>
              <w:rPr>
                <w:rFonts w:hint="eastAsia" w:ascii="Times New Roman" w:hAnsi="Times New Roman" w:eastAsia="仿宋_GB2312" w:cs="Times New Roman"/>
                <w:kern w:val="0"/>
                <w:sz w:val="22"/>
              </w:rPr>
              <w:t xml:space="preserve">      97</w:t>
            </w:r>
          </w:p>
        </w:tc>
        <w:tc>
          <w:tcPr>
            <w:tcW w:w="960" w:type="dxa"/>
            <w:tcBorders>
              <w:top w:val="single" w:color="auto" w:sz="4" w:space="0"/>
              <w:left w:val="nil"/>
              <w:bottom w:val="single" w:color="auto" w:sz="4" w:space="0"/>
              <w:right w:val="single" w:color="auto" w:sz="4" w:space="0"/>
            </w:tcBorders>
            <w:vAlign w:val="center"/>
          </w:tcPr>
          <w:p w14:paraId="3ACB0707">
            <w:pPr>
              <w:widowControl/>
              <w:spacing w:line="578" w:lineRule="exact"/>
              <w:ind w:left="-105" w:leftChars="-50" w:right="-105" w:rightChars="-50"/>
              <w:jc w:val="center"/>
              <w:rPr>
                <w:rFonts w:ascii="Times New Roman" w:hAnsi="Times New Roman" w:eastAsia="仿宋_GB2312" w:cs="Times New Roman"/>
                <w:kern w:val="0"/>
                <w:sz w:val="22"/>
              </w:rPr>
            </w:pPr>
            <w:r>
              <w:rPr>
                <w:rFonts w:hint="eastAsia" w:ascii="Times New Roman" w:hAnsi="Times New Roman" w:eastAsia="仿宋_GB2312" w:cs="Times New Roman"/>
                <w:kern w:val="0"/>
                <w:sz w:val="22"/>
              </w:rPr>
              <w:t>优</w:t>
            </w:r>
          </w:p>
        </w:tc>
      </w:tr>
      <w:tr w14:paraId="40721B52">
        <w:tblPrEx>
          <w:tblCellMar>
            <w:top w:w="0" w:type="dxa"/>
            <w:left w:w="108" w:type="dxa"/>
            <w:bottom w:w="0" w:type="dxa"/>
            <w:right w:w="108" w:type="dxa"/>
          </w:tblCellMar>
        </w:tblPrEx>
        <w:trPr>
          <w:trHeight w:val="286"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56903225">
            <w:pPr>
              <w:widowControl/>
              <w:spacing w:line="578" w:lineRule="exact"/>
              <w:ind w:left="-105" w:leftChars="-50" w:right="-105" w:rightChars="-50"/>
              <w:jc w:val="center"/>
              <w:rPr>
                <w:rFonts w:ascii="仿宋_GB2312" w:hAnsi="宋体" w:eastAsia="仿宋_GB2312" w:cs="宋体"/>
                <w:kern w:val="0"/>
                <w:sz w:val="22"/>
              </w:rPr>
            </w:pPr>
            <w:r>
              <w:rPr>
                <w:rFonts w:hint="eastAsia" w:ascii="仿宋_GB2312" w:hAnsi="宋体" w:eastAsia="仿宋_GB2312" w:cs="宋体"/>
                <w:kern w:val="0"/>
                <w:sz w:val="22"/>
              </w:rPr>
              <w:t>15</w:t>
            </w:r>
          </w:p>
        </w:tc>
        <w:tc>
          <w:tcPr>
            <w:tcW w:w="5515" w:type="dxa"/>
            <w:tcBorders>
              <w:top w:val="single" w:color="auto" w:sz="4" w:space="0"/>
              <w:left w:val="nil"/>
              <w:bottom w:val="single" w:color="auto" w:sz="4" w:space="0"/>
              <w:right w:val="single" w:color="auto" w:sz="4" w:space="0"/>
            </w:tcBorders>
            <w:vAlign w:val="center"/>
          </w:tcPr>
          <w:p w14:paraId="6A5D2DEE">
            <w:pPr>
              <w:widowControl/>
              <w:spacing w:line="578" w:lineRule="exact"/>
              <w:ind w:right="-105" w:rightChars="-50"/>
              <w:jc w:val="left"/>
              <w:rPr>
                <w:rFonts w:ascii="仿宋_GB2312" w:hAnsi="宋体" w:eastAsia="仿宋_GB2312" w:cs="宋体"/>
                <w:kern w:val="0"/>
                <w:sz w:val="22"/>
              </w:rPr>
            </w:pPr>
            <w:r>
              <w:rPr>
                <w:rFonts w:hint="eastAsia" w:ascii="仿宋_GB2312" w:hAnsi="宋体" w:eastAsia="仿宋_GB2312" w:cs="宋体"/>
                <w:kern w:val="0"/>
                <w:sz w:val="22"/>
              </w:rPr>
              <w:t>镇前大街提升项目</w:t>
            </w:r>
          </w:p>
        </w:tc>
        <w:tc>
          <w:tcPr>
            <w:tcW w:w="1000" w:type="dxa"/>
            <w:tcBorders>
              <w:top w:val="single" w:color="auto" w:sz="4" w:space="0"/>
              <w:left w:val="nil"/>
              <w:bottom w:val="single" w:color="auto" w:sz="4" w:space="0"/>
              <w:right w:val="single" w:color="auto" w:sz="4" w:space="0"/>
            </w:tcBorders>
            <w:vAlign w:val="center"/>
          </w:tcPr>
          <w:p w14:paraId="1F68EDC2">
            <w:pPr>
              <w:widowControl/>
              <w:spacing w:line="578" w:lineRule="exact"/>
              <w:ind w:left="-105" w:leftChars="-50" w:right="-105" w:rightChars="-50"/>
              <w:jc w:val="center"/>
              <w:rPr>
                <w:rFonts w:ascii="Times New Roman" w:hAnsi="Times New Roman" w:eastAsia="仿宋_GB2312" w:cs="Times New Roman"/>
                <w:kern w:val="0"/>
                <w:sz w:val="22"/>
              </w:rPr>
            </w:pPr>
            <w:r>
              <w:rPr>
                <w:rFonts w:hint="eastAsia" w:ascii="Times New Roman" w:hAnsi="Times New Roman" w:eastAsia="仿宋_GB2312" w:cs="Times New Roman"/>
                <w:kern w:val="0"/>
                <w:sz w:val="22"/>
              </w:rPr>
              <w:t xml:space="preserve">      95</w:t>
            </w:r>
          </w:p>
        </w:tc>
        <w:tc>
          <w:tcPr>
            <w:tcW w:w="960" w:type="dxa"/>
            <w:tcBorders>
              <w:top w:val="single" w:color="auto" w:sz="4" w:space="0"/>
              <w:left w:val="nil"/>
              <w:bottom w:val="single" w:color="auto" w:sz="4" w:space="0"/>
              <w:right w:val="single" w:color="auto" w:sz="4" w:space="0"/>
            </w:tcBorders>
            <w:vAlign w:val="center"/>
          </w:tcPr>
          <w:p w14:paraId="4D5B0BB3">
            <w:pPr>
              <w:widowControl/>
              <w:spacing w:line="578" w:lineRule="exact"/>
              <w:ind w:left="-105" w:leftChars="-50" w:right="-105" w:rightChars="-50"/>
              <w:jc w:val="center"/>
              <w:rPr>
                <w:rFonts w:ascii="Times New Roman" w:hAnsi="Times New Roman" w:eastAsia="仿宋_GB2312" w:cs="Times New Roman"/>
                <w:kern w:val="0"/>
                <w:sz w:val="22"/>
              </w:rPr>
            </w:pPr>
            <w:r>
              <w:rPr>
                <w:rFonts w:hint="eastAsia" w:ascii="Times New Roman" w:hAnsi="Times New Roman" w:eastAsia="仿宋_GB2312" w:cs="Times New Roman"/>
                <w:kern w:val="0"/>
                <w:sz w:val="22"/>
              </w:rPr>
              <w:t>优</w:t>
            </w:r>
          </w:p>
        </w:tc>
      </w:tr>
    </w:tbl>
    <w:p w14:paraId="612ABFC9">
      <w:pPr>
        <w:adjustRightInd w:val="0"/>
        <w:snapToGrid w:val="0"/>
        <w:spacing w:line="578" w:lineRule="exact"/>
        <w:ind w:left="210" w:firstLine="1100" w:firstLineChars="500"/>
        <w:rPr>
          <w:rFonts w:ascii="仿宋_GB2312" w:hAnsi="仿宋_GB2312" w:eastAsia="仿宋_GB2312" w:cs="Times New Roman"/>
          <w:sz w:val="32"/>
          <w:szCs w:val="32"/>
        </w:rPr>
      </w:pPr>
      <w:r>
        <w:rPr>
          <w:rFonts w:hint="eastAsia" w:ascii="仿宋_GB2312" w:hAnsi="仿宋_GB2312" w:eastAsia="仿宋_GB2312" w:cs="仿宋_GB2312"/>
          <w:sz w:val="22"/>
        </w:rPr>
        <w:t>本部门在今年绩效自评中反映 15个项目绩效自评结果。</w:t>
      </w:r>
    </w:p>
    <w:p w14:paraId="2DC59A8A">
      <w:pPr>
        <w:spacing w:line="578" w:lineRule="exact"/>
        <w:ind w:firstLine="640" w:firstLineChars="200"/>
        <w:rPr>
          <w:rFonts w:ascii="仿宋" w:hAnsi="仿宋" w:eastAsia="仿宋"/>
          <w:sz w:val="32"/>
          <w:szCs w:val="32"/>
        </w:rPr>
      </w:pPr>
      <w:r>
        <w:rPr>
          <w:rFonts w:hint="eastAsia" w:ascii="仿宋" w:hAnsi="仿宋" w:eastAsia="仿宋"/>
          <w:sz w:val="32"/>
          <w:szCs w:val="32"/>
        </w:rPr>
        <w:t>综上所述，李村镇人民政府2022年度整体支出情况最终得分94.1分，综合绩效评价等级为优秀。</w:t>
      </w:r>
    </w:p>
    <w:p w14:paraId="6CB5CE58">
      <w:pPr>
        <w:spacing w:line="578"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087C7C94">
      <w:pPr>
        <w:spacing w:line="578" w:lineRule="exact"/>
        <w:ind w:firstLine="643" w:firstLineChars="200"/>
        <w:rPr>
          <w:rFonts w:hint="eastAsia" w:ascii="仿宋" w:hAnsi="仿宋" w:eastAsia="仿宋"/>
          <w:b/>
          <w:bCs/>
          <w:sz w:val="32"/>
          <w:szCs w:val="32"/>
        </w:rPr>
      </w:pPr>
      <w:r>
        <w:rPr>
          <w:rFonts w:hint="eastAsia" w:ascii="仿宋" w:hAnsi="仿宋" w:eastAsia="仿宋"/>
          <w:b/>
          <w:bCs/>
          <w:sz w:val="32"/>
          <w:szCs w:val="32"/>
        </w:rPr>
        <w:t>（一）存在的主要问题</w:t>
      </w:r>
    </w:p>
    <w:p w14:paraId="0A44ABBE">
      <w:pPr>
        <w:spacing w:line="578" w:lineRule="exact"/>
        <w:ind w:firstLine="640" w:firstLineChars="200"/>
        <w:rPr>
          <w:rFonts w:hint="eastAsia" w:ascii="仿宋" w:hAnsi="仿宋" w:eastAsia="仿宋"/>
          <w:bCs/>
          <w:sz w:val="32"/>
          <w:szCs w:val="32"/>
        </w:rPr>
      </w:pPr>
      <w:r>
        <w:rPr>
          <w:rFonts w:hint="eastAsia" w:ascii="仿宋" w:hAnsi="仿宋" w:eastAsia="仿宋"/>
          <w:bCs/>
          <w:sz w:val="32"/>
          <w:szCs w:val="32"/>
        </w:rPr>
        <w:t>1.绩效目标细化、资产管理等方面有待完善，个别绩效目标不够完善，不能完整清晰体现工作活动的产出和效果。</w:t>
      </w:r>
    </w:p>
    <w:p w14:paraId="60825AC3">
      <w:pPr>
        <w:spacing w:line="578" w:lineRule="exact"/>
        <w:ind w:firstLine="640" w:firstLineChars="200"/>
        <w:rPr>
          <w:rFonts w:hint="eastAsia" w:ascii="仿宋" w:hAnsi="仿宋" w:eastAsia="仿宋"/>
          <w:bCs/>
          <w:sz w:val="32"/>
          <w:szCs w:val="32"/>
        </w:rPr>
      </w:pPr>
      <w:r>
        <w:rPr>
          <w:rFonts w:hint="eastAsia" w:ascii="仿宋" w:hAnsi="仿宋" w:eastAsia="仿宋"/>
          <w:bCs/>
          <w:sz w:val="32"/>
          <w:szCs w:val="32"/>
        </w:rPr>
        <w:t>2.依据绩效目标所设置的绩效指标不够细化，不能完整清晰的反映活动目标完成情况。</w:t>
      </w:r>
    </w:p>
    <w:p w14:paraId="350FEF0C">
      <w:pPr>
        <w:spacing w:line="578" w:lineRule="exact"/>
        <w:ind w:firstLine="643" w:firstLineChars="200"/>
        <w:rPr>
          <w:rFonts w:hint="eastAsia" w:ascii="仿宋" w:hAnsi="仿宋" w:eastAsia="仿宋"/>
          <w:b/>
          <w:bCs/>
          <w:sz w:val="32"/>
          <w:szCs w:val="32"/>
        </w:rPr>
      </w:pPr>
      <w:r>
        <w:rPr>
          <w:rFonts w:hint="eastAsia" w:ascii="仿宋" w:hAnsi="仿宋" w:eastAsia="仿宋"/>
          <w:b/>
          <w:bCs/>
          <w:sz w:val="32"/>
          <w:szCs w:val="32"/>
        </w:rPr>
        <w:t>（二）针对问题提出具体的改进措施或建议</w:t>
      </w:r>
    </w:p>
    <w:p w14:paraId="0604C08E">
      <w:pPr>
        <w:spacing w:line="578" w:lineRule="exact"/>
        <w:ind w:firstLine="640" w:firstLineChars="200"/>
        <w:rPr>
          <w:rFonts w:hint="eastAsia" w:ascii="仿宋" w:hAnsi="仿宋" w:eastAsia="仿宋"/>
          <w:bCs/>
          <w:sz w:val="32"/>
          <w:szCs w:val="32"/>
        </w:rPr>
      </w:pPr>
      <w:r>
        <w:rPr>
          <w:rFonts w:hint="eastAsia" w:ascii="仿宋" w:hAnsi="仿宋" w:eastAsia="仿宋"/>
          <w:bCs/>
          <w:sz w:val="32"/>
          <w:szCs w:val="32"/>
        </w:rPr>
        <w:t>1.科学设定绩效目标和指标</w:t>
      </w:r>
    </w:p>
    <w:p w14:paraId="0FC86EEA">
      <w:pPr>
        <w:spacing w:line="578" w:lineRule="exact"/>
        <w:ind w:firstLine="640" w:firstLineChars="200"/>
        <w:rPr>
          <w:rFonts w:hint="eastAsia" w:ascii="仿宋" w:hAnsi="仿宋" w:eastAsia="仿宋"/>
          <w:bCs/>
          <w:sz w:val="32"/>
          <w:szCs w:val="32"/>
        </w:rPr>
      </w:pPr>
      <w:r>
        <w:rPr>
          <w:rFonts w:hint="eastAsia" w:ascii="仿宋" w:hAnsi="仿宋" w:eastAsia="仿宋"/>
          <w:bCs/>
          <w:sz w:val="32"/>
          <w:szCs w:val="32"/>
        </w:rPr>
        <w:t>我单位要加强绩效目标的设定，将绩效目标做实，做到项目绩效目标全覆盖，最终实现部门整体绩效目标全覆盖，同时在设定绩效指标值注意细化量化，便于对项目进行监控和考核。在实际操作中，应建立全面规范的绩效指标体系，依据部门职责和年度工作重点，设定科学、合理、可行的年度绩效目标、绩效指标。</w:t>
      </w:r>
    </w:p>
    <w:p w14:paraId="7BBC1027">
      <w:pPr>
        <w:spacing w:line="578" w:lineRule="exact"/>
        <w:ind w:firstLine="640" w:firstLineChars="200"/>
        <w:rPr>
          <w:rFonts w:hint="eastAsia" w:ascii="仿宋" w:hAnsi="仿宋" w:eastAsia="仿宋"/>
          <w:bCs/>
          <w:sz w:val="32"/>
          <w:szCs w:val="32"/>
        </w:rPr>
      </w:pPr>
      <w:r>
        <w:rPr>
          <w:rFonts w:hint="eastAsia" w:ascii="仿宋" w:hAnsi="仿宋" w:eastAsia="仿宋"/>
          <w:bCs/>
          <w:sz w:val="32"/>
          <w:szCs w:val="32"/>
        </w:rPr>
        <w:t>2.加强项目管理，完善项目监督工作</w:t>
      </w:r>
    </w:p>
    <w:p w14:paraId="18FD6877">
      <w:pPr>
        <w:spacing w:line="578" w:lineRule="exact"/>
        <w:ind w:firstLine="640" w:firstLineChars="200"/>
        <w:rPr>
          <w:rFonts w:hint="eastAsia" w:ascii="仿宋" w:hAnsi="仿宋" w:eastAsia="仿宋"/>
          <w:bCs/>
          <w:sz w:val="32"/>
          <w:szCs w:val="32"/>
        </w:rPr>
      </w:pPr>
      <w:r>
        <w:rPr>
          <w:rFonts w:hint="eastAsia" w:ascii="仿宋" w:hAnsi="仿宋" w:eastAsia="仿宋"/>
          <w:bCs/>
          <w:sz w:val="32"/>
          <w:szCs w:val="32"/>
        </w:rPr>
        <w:t>部门应进一步加强对项目实施的管理，加强对项目实施全过程的监管，做到事前计划合理、事中执行监管有力、事后评价及时有效反馈。</w:t>
      </w:r>
    </w:p>
    <w:p w14:paraId="52D157EA">
      <w:pPr>
        <w:spacing w:line="578" w:lineRule="exact"/>
        <w:ind w:firstLine="640" w:firstLineChars="200"/>
        <w:rPr>
          <w:rFonts w:hint="eastAsia" w:ascii="仿宋" w:hAnsi="仿宋" w:eastAsia="仿宋"/>
          <w:bCs/>
          <w:sz w:val="32"/>
          <w:szCs w:val="32"/>
        </w:rPr>
      </w:pPr>
      <w:r>
        <w:rPr>
          <w:rFonts w:hint="eastAsia" w:ascii="仿宋" w:hAnsi="仿宋" w:eastAsia="仿宋"/>
          <w:bCs/>
          <w:sz w:val="32"/>
          <w:szCs w:val="32"/>
        </w:rPr>
        <w:t>3.提高部门绩效管理意识</w:t>
      </w:r>
    </w:p>
    <w:p w14:paraId="2F1029DF">
      <w:pPr>
        <w:spacing w:line="578" w:lineRule="exact"/>
        <w:ind w:firstLine="640" w:firstLineChars="200"/>
        <w:rPr>
          <w:rFonts w:ascii="仿宋" w:hAnsi="仿宋" w:eastAsia="仿宋"/>
          <w:bCs/>
          <w:sz w:val="32"/>
          <w:szCs w:val="32"/>
        </w:rPr>
      </w:pPr>
      <w:r>
        <w:rPr>
          <w:rFonts w:hint="eastAsia" w:ascii="仿宋" w:hAnsi="仿宋" w:eastAsia="仿宋"/>
          <w:bCs/>
          <w:sz w:val="32"/>
          <w:szCs w:val="32"/>
        </w:rPr>
        <w:t>部门在今后的工作中，应加强对预算绩效管理工作的重视， 把绩效理念融入到预算编制、执行、监督管理的全过程，通过制定统一的工作规划、管理制度体系，加强对预算绩效管理的保障支撑性。加强部门工作人员对预算绩效管理的认识，充分理解财政绩效评价指标体系，强化全过程预算绩效管理理念，积极主动的开展绩效管理工作，以提高财政资金使用效益。</w:t>
      </w:r>
    </w:p>
    <w:p w14:paraId="6C8D4251">
      <w:pPr>
        <w:adjustRightInd w:val="0"/>
        <w:snapToGrid w:val="0"/>
        <w:spacing w:line="578" w:lineRule="exact"/>
        <w:ind w:firstLine="640" w:firstLineChars="200"/>
        <w:rPr>
          <w:rFonts w:ascii="黑体" w:hAnsi="黑体" w:eastAsia="黑体"/>
          <w:sz w:val="32"/>
          <w:szCs w:val="32"/>
        </w:rPr>
      </w:pPr>
      <w:r>
        <w:rPr>
          <w:rFonts w:hint="eastAsia" w:ascii="黑体" w:hAnsi="黑体" w:eastAsia="黑体"/>
          <w:sz w:val="32"/>
          <w:szCs w:val="32"/>
        </w:rPr>
        <w:t>六、评价工作组人员名单</w:t>
      </w:r>
    </w:p>
    <w:p w14:paraId="1B399816">
      <w:pPr>
        <w:spacing w:line="578" w:lineRule="exact"/>
        <w:ind w:firstLine="640"/>
        <w:rPr>
          <w:rFonts w:ascii="仿宋" w:hAnsi="仿宋" w:eastAsia="仿宋"/>
          <w:sz w:val="32"/>
          <w:szCs w:val="32"/>
        </w:rPr>
      </w:pPr>
      <w:r>
        <w:rPr>
          <w:rFonts w:hint="eastAsia" w:ascii="仿宋" w:hAnsi="仿宋" w:eastAsia="仿宋"/>
          <w:sz w:val="32"/>
          <w:szCs w:val="32"/>
        </w:rPr>
        <w:t>刘志斌    镇长</w:t>
      </w:r>
    </w:p>
    <w:p w14:paraId="5DDA471D">
      <w:pPr>
        <w:pStyle w:val="6"/>
        <w:spacing w:line="578" w:lineRule="exact"/>
      </w:pPr>
      <w:r>
        <w:rPr>
          <w:rFonts w:hint="eastAsia" w:ascii="仿宋" w:hAnsi="仿宋" w:eastAsia="仿宋"/>
        </w:rPr>
        <w:t xml:space="preserve">    牛东杰    主管财务负责人</w:t>
      </w:r>
    </w:p>
    <w:p w14:paraId="02E17E49">
      <w:pPr>
        <w:spacing w:line="578" w:lineRule="exact"/>
        <w:ind w:firstLine="640"/>
        <w:rPr>
          <w:rFonts w:ascii="仿宋" w:hAnsi="仿宋" w:eastAsia="仿宋"/>
          <w:sz w:val="32"/>
          <w:szCs w:val="32"/>
        </w:rPr>
      </w:pPr>
      <w:r>
        <w:rPr>
          <w:rFonts w:hint="eastAsia" w:ascii="仿宋" w:hAnsi="仿宋" w:eastAsia="仿宋"/>
          <w:sz w:val="32"/>
          <w:szCs w:val="32"/>
        </w:rPr>
        <w:t xml:space="preserve">王会霞    财政所所长   </w:t>
      </w:r>
    </w:p>
    <w:p w14:paraId="2B8C70F3">
      <w:pPr>
        <w:spacing w:line="578" w:lineRule="exact"/>
        <w:ind w:firstLine="640"/>
        <w:rPr>
          <w:rFonts w:ascii="仿宋" w:hAnsi="仿宋" w:eastAsia="仿宋"/>
          <w:sz w:val="32"/>
          <w:szCs w:val="32"/>
        </w:rPr>
      </w:pPr>
      <w:r>
        <w:rPr>
          <w:rFonts w:hint="eastAsia" w:ascii="仿宋" w:hAnsi="仿宋" w:eastAsia="仿宋"/>
          <w:sz w:val="32"/>
          <w:szCs w:val="32"/>
        </w:rPr>
        <w:t>魏佳佳    财政所职员</w:t>
      </w:r>
    </w:p>
    <w:p w14:paraId="1720BE10">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276FCF">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FE3A48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5FE3A48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FhN2M5YjRhMGIzYzY3NzJiMGMzOWE0ZDBmMDVmN2YifQ=="/>
  </w:docVars>
  <w:rsids>
    <w:rsidRoot w:val="0EBD2122"/>
    <w:rsid w:val="000A756B"/>
    <w:rsid w:val="000E0C01"/>
    <w:rsid w:val="00104DC2"/>
    <w:rsid w:val="00127C32"/>
    <w:rsid w:val="003C288A"/>
    <w:rsid w:val="004B6770"/>
    <w:rsid w:val="00502A6B"/>
    <w:rsid w:val="00573F9F"/>
    <w:rsid w:val="005A0E19"/>
    <w:rsid w:val="005C4E1D"/>
    <w:rsid w:val="006B5822"/>
    <w:rsid w:val="00723AB6"/>
    <w:rsid w:val="007331FE"/>
    <w:rsid w:val="007E6C1F"/>
    <w:rsid w:val="0086421D"/>
    <w:rsid w:val="00885C0C"/>
    <w:rsid w:val="008A3BCE"/>
    <w:rsid w:val="009838BA"/>
    <w:rsid w:val="00AF566A"/>
    <w:rsid w:val="00B3359E"/>
    <w:rsid w:val="00B46F4C"/>
    <w:rsid w:val="00B519BD"/>
    <w:rsid w:val="00B6553A"/>
    <w:rsid w:val="00BC044F"/>
    <w:rsid w:val="00BF02E9"/>
    <w:rsid w:val="00C24DB6"/>
    <w:rsid w:val="00C6364E"/>
    <w:rsid w:val="00CD6F04"/>
    <w:rsid w:val="00D836EA"/>
    <w:rsid w:val="00F24032"/>
    <w:rsid w:val="01B104CA"/>
    <w:rsid w:val="02106AB0"/>
    <w:rsid w:val="02B43A28"/>
    <w:rsid w:val="046F331E"/>
    <w:rsid w:val="07956271"/>
    <w:rsid w:val="09721397"/>
    <w:rsid w:val="0BB63BED"/>
    <w:rsid w:val="0EB97A43"/>
    <w:rsid w:val="0EBD2122"/>
    <w:rsid w:val="0F214EAE"/>
    <w:rsid w:val="117163A9"/>
    <w:rsid w:val="11B71E6A"/>
    <w:rsid w:val="1AAF0063"/>
    <w:rsid w:val="1BE140DE"/>
    <w:rsid w:val="248C197D"/>
    <w:rsid w:val="252959AF"/>
    <w:rsid w:val="277A6671"/>
    <w:rsid w:val="292D35B7"/>
    <w:rsid w:val="2A594280"/>
    <w:rsid w:val="310108B4"/>
    <w:rsid w:val="33EB6CFF"/>
    <w:rsid w:val="35A12947"/>
    <w:rsid w:val="37387040"/>
    <w:rsid w:val="3B625C0A"/>
    <w:rsid w:val="3CEE1963"/>
    <w:rsid w:val="450645E9"/>
    <w:rsid w:val="4C9C27FE"/>
    <w:rsid w:val="512260B4"/>
    <w:rsid w:val="52BD6ACB"/>
    <w:rsid w:val="55537534"/>
    <w:rsid w:val="561A74F1"/>
    <w:rsid w:val="597244E8"/>
    <w:rsid w:val="5EB71C30"/>
    <w:rsid w:val="66AF0CE5"/>
    <w:rsid w:val="6AC537CF"/>
    <w:rsid w:val="6E5B14A6"/>
    <w:rsid w:val="711B255E"/>
    <w:rsid w:val="7317199D"/>
    <w:rsid w:val="7BB51E06"/>
    <w:rsid w:val="7C387F7C"/>
    <w:rsid w:val="7FE834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15</Pages>
  <Words>8379</Words>
  <Characters>8804</Characters>
  <Lines>64</Lines>
  <Paragraphs>18</Paragraphs>
  <TotalTime>611</TotalTime>
  <ScaleCrop>false</ScaleCrop>
  <LinksUpToDate>false</LinksUpToDate>
  <CharactersWithSpaces>8916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沈。</cp:lastModifiedBy>
  <cp:lastPrinted>2022-01-19T07:24:00Z</cp:lastPrinted>
  <dcterms:modified xsi:type="dcterms:W3CDTF">2026-04-29T07:45:39Z</dcterms:modified>
  <dc:title>附件3：</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C65BB322C8824F30BE29C545402735C1_12</vt:lpwstr>
  </property>
  <property fmtid="{D5CDD505-2E9C-101B-9397-08002B2CF9AE}" pid="4" name="KSOTemplateDocerSaveRecord">
    <vt:lpwstr>eyJoZGlkIjoiYzFhN2M5YjRhMGIzYzY3NzJiMGMzOWE0ZDBmMDVmN2YiLCJ1c2VySWQiOiI3Mjk2NjExMjgifQ==</vt:lpwstr>
  </property>
</Properties>
</file>