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AB407">
      <w:pPr>
        <w:spacing w:line="560" w:lineRule="exact"/>
        <w:jc w:val="center"/>
        <w:rPr>
          <w:rFonts w:hint="eastAsia" w:ascii="宋体" w:hAnsi="宋体" w:eastAsia="宋体" w:cs="宋体"/>
          <w:b/>
          <w:bCs/>
          <w:sz w:val="44"/>
          <w:szCs w:val="44"/>
          <w:lang w:eastAsia="zh-CN"/>
        </w:rPr>
      </w:pPr>
      <w:bookmarkStart w:id="0" w:name="_GoBack"/>
      <w:bookmarkEnd w:id="0"/>
    </w:p>
    <w:p w14:paraId="148C1663">
      <w:pPr>
        <w:spacing w:line="560" w:lineRule="exact"/>
        <w:jc w:val="center"/>
        <w:rPr>
          <w:rFonts w:hint="eastAsia" w:ascii="宋体" w:hAnsi="宋体" w:cs="宋体"/>
          <w:b/>
          <w:bCs/>
          <w:sz w:val="44"/>
          <w:szCs w:val="44"/>
        </w:rPr>
      </w:pPr>
      <w:r>
        <w:rPr>
          <w:rFonts w:hint="eastAsia" w:ascii="宋体" w:hAnsi="宋体" w:cs="宋体"/>
          <w:b/>
          <w:bCs/>
          <w:sz w:val="44"/>
          <w:szCs w:val="44"/>
        </w:rPr>
        <w:t>石家庄市鹿泉区白鹿泉乡人民政府</w:t>
      </w:r>
    </w:p>
    <w:p w14:paraId="668D0861">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29F8A4A9">
      <w:pPr>
        <w:spacing w:line="560" w:lineRule="exact"/>
        <w:jc w:val="center"/>
        <w:rPr>
          <w:rFonts w:hint="eastAsia" w:ascii="华文楷体" w:eastAsia="华文楷体"/>
          <w:sz w:val="32"/>
          <w:szCs w:val="32"/>
          <w:lang w:eastAsia="zh-CN"/>
        </w:rPr>
      </w:pPr>
    </w:p>
    <w:p w14:paraId="670DEB0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文件精神，遵循“科学性、规范性、客观性和公正性”的原则，对石家庄市鹿泉区白鹿泉乡人民政府202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40FB28E1">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DD2AA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B90E668">
      <w:pPr>
        <w:widowControl/>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白鹿泉乡党委、人大、政府主要职责是：</w:t>
      </w:r>
    </w:p>
    <w:p w14:paraId="164EC641">
      <w:pPr>
        <w:widowControl/>
        <w:numPr>
          <w:ilvl w:val="0"/>
          <w:numId w:val="1"/>
        </w:numPr>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C3B6841">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讨论和决定本乡经济建设、政治建设、文化建设、社会建设、生态文明建设和党的建设以及乡村振兴中的重大问题。</w:t>
      </w:r>
    </w:p>
    <w:p w14:paraId="7964EC90">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组织召开本级人民代表大会，充分行使重大事项决定权、监督权和任免权，做好人大代表工作，联系选民、反映群众意见和要求。</w:t>
      </w:r>
    </w:p>
    <w:p w14:paraId="59E15AAB">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2180136E">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56B25EA1">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加强乡党委自身建设和村党组织建设，以及其他隶属乡党委的党组织建设，抓好发展党员工作，加强党员队伍建设。维护和执行党的纪律，监督党员干部和其他任何工作人员严格遵守国家法律法规。</w:t>
      </w:r>
    </w:p>
    <w:p w14:paraId="2D6C2D21">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按照干部管理权限，负责对干部的教育、培训、选拔、考核和监督工作。协助管理上级有关部门驻乡单位的干部。做好人才服务工作。</w:t>
      </w:r>
    </w:p>
    <w:p w14:paraId="6B7279BC">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FECCA45">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3D02EE1">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承办上级党委、人大、政府交办的其他事项。</w:t>
      </w:r>
    </w:p>
    <w:p w14:paraId="6B0701B6">
      <w:pPr>
        <w:widowControl/>
        <w:shd w:val="clear" w:color="auto" w:fill="FFFFFF"/>
        <w:spacing w:line="560" w:lineRule="exact"/>
        <w:ind w:firstLine="640"/>
        <w:rPr>
          <w:rFonts w:hint="default" w:ascii="仿宋" w:hAnsi="仿宋" w:eastAsia="仿宋" w:cs="Arial"/>
          <w:color w:val="000000"/>
          <w:kern w:val="0"/>
          <w:sz w:val="32"/>
          <w:szCs w:val="32"/>
          <w:shd w:val="clear" w:color="auto" w:fill="FFFFFF"/>
          <w:lang w:val="en-US" w:eastAsia="zh-CN"/>
        </w:rPr>
      </w:pPr>
      <w:r>
        <w:rPr>
          <w:rFonts w:hint="eastAsia" w:ascii="仿宋" w:hAnsi="仿宋" w:eastAsia="仿宋" w:cs="Arial"/>
          <w:color w:val="000000"/>
          <w:kern w:val="0"/>
          <w:sz w:val="32"/>
          <w:szCs w:val="32"/>
          <w:shd w:val="clear" w:color="auto" w:fill="FFFFFF"/>
        </w:rPr>
        <w:t>白鹿泉乡内设机构</w:t>
      </w:r>
      <w:r>
        <w:rPr>
          <w:rFonts w:hint="eastAsia" w:ascii="仿宋" w:hAnsi="仿宋" w:eastAsia="仿宋" w:cs="Arial"/>
          <w:color w:val="000000"/>
          <w:kern w:val="0"/>
          <w:sz w:val="32"/>
          <w:szCs w:val="32"/>
          <w:shd w:val="clear" w:color="auto" w:fill="FFFFFF"/>
          <w:lang w:val="en-US" w:eastAsia="zh-CN"/>
        </w:rPr>
        <w:t>4</w:t>
      </w:r>
      <w:r>
        <w:rPr>
          <w:rFonts w:hint="eastAsia" w:ascii="仿宋" w:hAnsi="仿宋" w:eastAsia="仿宋" w:cs="Arial"/>
          <w:color w:val="000000"/>
          <w:kern w:val="0"/>
          <w:sz w:val="32"/>
          <w:szCs w:val="32"/>
          <w:shd w:val="clear" w:color="auto" w:fill="FFFFFF"/>
        </w:rPr>
        <w:t>个，分别为：党政综合办公室、党建工作办公室（挂人大主席团办公室牌子）、社会治理和应急管理办公室（挂综合指挥和信息化网络中心牌子）、自然资源和生态环境办公室；下辖事业单位</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个：综合行政执法队、行政综合服务中心（挂综合文化服务站、财政所牌子）、农业综合服务中心（挂经济发展办公室牌子）。</w:t>
      </w:r>
      <w:r>
        <w:rPr>
          <w:rFonts w:hint="eastAsia" w:ascii="仿宋" w:hAnsi="仿宋" w:eastAsia="仿宋" w:cs="Arial"/>
          <w:color w:val="000000"/>
          <w:kern w:val="0"/>
          <w:sz w:val="32"/>
          <w:szCs w:val="32"/>
          <w:shd w:val="clear" w:color="auto" w:fill="FFFFFF"/>
          <w:lang w:val="en-US" w:eastAsia="zh-CN"/>
        </w:rPr>
        <w:t>另根据中央和省委要求，设立退役军人服务站，规格为股级，所属类别为公益一类。乡纪委（监察办公室），负责全乡党的纪律检查工作。</w:t>
      </w:r>
    </w:p>
    <w:p w14:paraId="239B1FE1">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年底，部门独立编制机构1个为白鹿泉乡人民政府；独立核算机构1个为白鹿泉乡人民政府，年末在职在编实有人数</w:t>
      </w:r>
      <w:r>
        <w:rPr>
          <w:rFonts w:hint="eastAsia" w:ascii="仿宋" w:hAnsi="仿宋" w:eastAsia="仿宋" w:cs="Arial"/>
          <w:color w:val="000000"/>
          <w:kern w:val="0"/>
          <w:sz w:val="32"/>
          <w:szCs w:val="32"/>
          <w:shd w:val="clear" w:color="auto" w:fill="FFFFFF"/>
          <w:lang w:val="en-US" w:eastAsia="zh-CN"/>
        </w:rPr>
        <w:t>46</w:t>
      </w:r>
      <w:r>
        <w:rPr>
          <w:rFonts w:hint="eastAsia" w:ascii="仿宋" w:hAnsi="仿宋" w:eastAsia="仿宋" w:cs="Arial"/>
          <w:color w:val="000000"/>
          <w:kern w:val="0"/>
          <w:sz w:val="32"/>
          <w:szCs w:val="32"/>
          <w:shd w:val="clear" w:color="auto" w:fill="FFFFFF"/>
        </w:rPr>
        <w:t>人，其中行政在编人员20人，非参公事业人员</w:t>
      </w:r>
      <w:r>
        <w:rPr>
          <w:rFonts w:hint="eastAsia" w:ascii="仿宋" w:hAnsi="仿宋" w:eastAsia="仿宋" w:cs="Arial"/>
          <w:color w:val="000000"/>
          <w:kern w:val="0"/>
          <w:sz w:val="32"/>
          <w:szCs w:val="32"/>
          <w:shd w:val="clear" w:color="auto" w:fill="FFFFFF"/>
          <w:lang w:val="en-US" w:eastAsia="zh-CN"/>
        </w:rPr>
        <w:t>26</w:t>
      </w:r>
      <w:r>
        <w:rPr>
          <w:rFonts w:hint="eastAsia" w:ascii="仿宋" w:hAnsi="仿宋" w:eastAsia="仿宋" w:cs="Arial"/>
          <w:color w:val="000000"/>
          <w:kern w:val="0"/>
          <w:sz w:val="32"/>
          <w:szCs w:val="32"/>
          <w:shd w:val="clear" w:color="auto" w:fill="FFFFFF"/>
        </w:rPr>
        <w:t>人。</w:t>
      </w:r>
    </w:p>
    <w:p w14:paraId="6F1E476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年12月31日，本部门共有车辆</w:t>
      </w:r>
      <w:r>
        <w:rPr>
          <w:rFonts w:hint="eastAsia" w:ascii="仿宋" w:hAnsi="仿宋" w:eastAsia="仿宋" w:cs="Arial"/>
          <w:color w:val="000000"/>
          <w:kern w:val="0"/>
          <w:sz w:val="32"/>
          <w:szCs w:val="32"/>
          <w:shd w:val="clear" w:color="auto" w:fill="FFFFFF"/>
          <w:lang w:val="en-US" w:eastAsia="zh-CN"/>
        </w:rPr>
        <w:t>8</w:t>
      </w:r>
      <w:r>
        <w:rPr>
          <w:rFonts w:hint="eastAsia" w:ascii="仿宋" w:hAnsi="仿宋" w:eastAsia="仿宋" w:cs="Arial"/>
          <w:color w:val="000000"/>
          <w:kern w:val="0"/>
          <w:sz w:val="32"/>
          <w:szCs w:val="32"/>
          <w:shd w:val="clear" w:color="auto" w:fill="FFFFFF"/>
        </w:rPr>
        <w:t>辆。其中，副部（省）级及以上领导用车0辆，主要领导干部用车0辆，机要通信用车1辆，应急保障用车1辆，执法执勤用车0辆，特种专业技术用车</w:t>
      </w:r>
      <w:r>
        <w:rPr>
          <w:rFonts w:hint="eastAsia" w:ascii="仿宋" w:hAnsi="仿宋" w:eastAsia="仿宋" w:cs="Arial"/>
          <w:color w:val="000000"/>
          <w:kern w:val="0"/>
          <w:sz w:val="32"/>
          <w:szCs w:val="32"/>
          <w:shd w:val="clear" w:color="auto" w:fill="FFFFFF"/>
          <w:lang w:val="en-US" w:eastAsia="zh-CN"/>
        </w:rPr>
        <w:t>6</w:t>
      </w:r>
      <w:r>
        <w:rPr>
          <w:rFonts w:hint="eastAsia" w:ascii="仿宋" w:hAnsi="仿宋" w:eastAsia="仿宋" w:cs="Arial"/>
          <w:color w:val="000000"/>
          <w:kern w:val="0"/>
          <w:sz w:val="32"/>
          <w:szCs w:val="32"/>
          <w:shd w:val="clear" w:color="auto" w:fill="FFFFFF"/>
        </w:rPr>
        <w:t>辆，离退休干部用车0辆，其他用车0辆；单位价值</w:t>
      </w:r>
      <w:r>
        <w:rPr>
          <w:rFonts w:ascii="仿宋" w:hAnsi="仿宋" w:eastAsia="仿宋" w:cs="Arial"/>
          <w:color w:val="000000"/>
          <w:kern w:val="0"/>
          <w:sz w:val="32"/>
          <w:szCs w:val="32"/>
          <w:shd w:val="clear" w:color="auto" w:fill="FFFFFF"/>
        </w:rPr>
        <w:t>100</w:t>
      </w:r>
      <w:r>
        <w:rPr>
          <w:rFonts w:hint="eastAsia" w:ascii="仿宋" w:hAnsi="仿宋" w:eastAsia="仿宋" w:cs="Arial"/>
          <w:color w:val="000000"/>
          <w:kern w:val="0"/>
          <w:sz w:val="32"/>
          <w:szCs w:val="32"/>
          <w:shd w:val="clear" w:color="auto" w:fill="FFFFFF"/>
        </w:rPr>
        <w:t>万元以上设备（不含车辆）0台（套）。</w:t>
      </w:r>
    </w:p>
    <w:p w14:paraId="159FC365">
      <w:pPr>
        <w:numPr>
          <w:ilvl w:val="0"/>
          <w:numId w:val="2"/>
        </w:num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14:paraId="4E5899C0">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1、收入支出预算总体情况说明</w:t>
      </w:r>
    </w:p>
    <w:p w14:paraId="0D71C11F">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年度</w:t>
      </w:r>
      <w:r>
        <w:rPr>
          <w:rFonts w:ascii="仿宋" w:hAnsi="仿宋" w:eastAsia="仿宋"/>
          <w:sz w:val="32"/>
          <w:szCs w:val="32"/>
          <w:highlight w:val="none"/>
        </w:rPr>
        <w:t>预算收入总计</w:t>
      </w:r>
      <w:r>
        <w:rPr>
          <w:rFonts w:hint="eastAsia" w:ascii="仿宋" w:hAnsi="仿宋" w:eastAsia="仿宋"/>
          <w:sz w:val="32"/>
          <w:szCs w:val="32"/>
          <w:highlight w:val="none"/>
        </w:rPr>
        <w:t>2</w:t>
      </w:r>
      <w:r>
        <w:rPr>
          <w:rFonts w:hint="eastAsia" w:ascii="仿宋" w:hAnsi="仿宋" w:eastAsia="仿宋"/>
          <w:sz w:val="32"/>
          <w:szCs w:val="32"/>
          <w:highlight w:val="none"/>
          <w:lang w:val="en-US" w:eastAsia="zh-CN"/>
        </w:rPr>
        <w:t>158.23</w:t>
      </w:r>
      <w:r>
        <w:rPr>
          <w:rFonts w:hint="eastAsia" w:ascii="仿宋" w:hAnsi="仿宋" w:eastAsia="仿宋"/>
          <w:sz w:val="32"/>
          <w:szCs w:val="32"/>
          <w:highlight w:val="none"/>
        </w:rPr>
        <w:t>万元，</w:t>
      </w:r>
      <w:r>
        <w:rPr>
          <w:rFonts w:ascii="仿宋" w:hAnsi="仿宋" w:eastAsia="仿宋"/>
          <w:sz w:val="32"/>
          <w:szCs w:val="32"/>
          <w:highlight w:val="none"/>
        </w:rPr>
        <w:t>预算支出</w:t>
      </w:r>
      <w:r>
        <w:rPr>
          <w:rFonts w:hint="eastAsia" w:ascii="仿宋" w:hAnsi="仿宋" w:eastAsia="仿宋"/>
          <w:sz w:val="32"/>
          <w:szCs w:val="32"/>
          <w:highlight w:val="none"/>
          <w:lang w:val="en-US" w:eastAsia="zh-CN"/>
        </w:rPr>
        <w:t>2158.23</w:t>
      </w:r>
      <w:r>
        <w:rPr>
          <w:rFonts w:ascii="仿宋" w:hAnsi="仿宋" w:eastAsia="仿宋"/>
          <w:sz w:val="32"/>
          <w:szCs w:val="32"/>
          <w:highlight w:val="none"/>
        </w:rPr>
        <w:t>万元。</w:t>
      </w:r>
    </w:p>
    <w:p w14:paraId="5A627EA5">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2、收入支出决算总体情况说明</w:t>
      </w:r>
    </w:p>
    <w:p w14:paraId="6512E349">
      <w:pPr>
        <w:adjustRightInd w:val="0"/>
        <w:snapToGrid w:val="0"/>
        <w:spacing w:line="578"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年度收、支总计（含结转和结余）2</w:t>
      </w:r>
      <w:r>
        <w:rPr>
          <w:rFonts w:hint="eastAsia" w:ascii="仿宋" w:hAnsi="仿宋" w:eastAsia="仿宋"/>
          <w:sz w:val="32"/>
          <w:szCs w:val="32"/>
          <w:highlight w:val="none"/>
          <w:lang w:val="en-US" w:eastAsia="zh-CN"/>
        </w:rPr>
        <w:t>167.11</w:t>
      </w:r>
      <w:r>
        <w:rPr>
          <w:rFonts w:hint="eastAsia" w:ascii="仿宋" w:hAnsi="仿宋" w:eastAsia="仿宋"/>
          <w:sz w:val="32"/>
          <w:szCs w:val="32"/>
          <w:highlight w:val="none"/>
        </w:rPr>
        <w:t>万元。与</w:t>
      </w:r>
      <w:r>
        <w:rPr>
          <w:rFonts w:ascii="仿宋" w:hAnsi="仿宋" w:eastAsia="仿宋"/>
          <w:sz w:val="32"/>
          <w:szCs w:val="32"/>
          <w:highlight w:val="none"/>
        </w:rPr>
        <w:t>202</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年度决算相比，收支各</w:t>
      </w:r>
      <w:r>
        <w:rPr>
          <w:rFonts w:hint="eastAsia" w:ascii="仿宋" w:hAnsi="仿宋" w:eastAsia="仿宋"/>
          <w:sz w:val="32"/>
          <w:szCs w:val="32"/>
          <w:highlight w:val="none"/>
          <w:lang w:eastAsia="zh-CN"/>
        </w:rPr>
        <w:t>增加</w:t>
      </w:r>
      <w:r>
        <w:rPr>
          <w:rFonts w:hint="eastAsia" w:ascii="仿宋" w:hAnsi="仿宋" w:eastAsia="仿宋"/>
          <w:sz w:val="32"/>
          <w:szCs w:val="32"/>
          <w:highlight w:val="none"/>
        </w:rPr>
        <w:t>105.02万元，</w:t>
      </w:r>
      <w:r>
        <w:rPr>
          <w:rFonts w:hint="eastAsia" w:ascii="仿宋" w:hAnsi="仿宋" w:eastAsia="仿宋"/>
          <w:sz w:val="32"/>
          <w:szCs w:val="32"/>
          <w:highlight w:val="none"/>
          <w:lang w:eastAsia="zh-CN"/>
        </w:rPr>
        <w:t>上升</w:t>
      </w:r>
      <w:r>
        <w:rPr>
          <w:rFonts w:hint="eastAsia" w:ascii="仿宋" w:hAnsi="仿宋" w:eastAsia="仿宋"/>
          <w:sz w:val="32"/>
          <w:szCs w:val="32"/>
          <w:highlight w:val="none"/>
        </w:rPr>
        <w:t>5</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09</w:t>
      </w:r>
      <w:r>
        <w:rPr>
          <w:rFonts w:ascii="仿宋" w:hAnsi="仿宋" w:eastAsia="仿宋"/>
          <w:sz w:val="32"/>
          <w:szCs w:val="32"/>
          <w:highlight w:val="none"/>
        </w:rPr>
        <w:t>%</w:t>
      </w:r>
      <w:r>
        <w:rPr>
          <w:rFonts w:hint="eastAsia" w:ascii="仿宋" w:hAnsi="仿宋" w:eastAsia="仿宋"/>
          <w:sz w:val="32"/>
          <w:szCs w:val="32"/>
          <w:highlight w:val="none"/>
        </w:rPr>
        <w:t>，主要原因是</w:t>
      </w:r>
      <w:r>
        <w:rPr>
          <w:rFonts w:hint="eastAsia" w:ascii="仿宋" w:hAnsi="仿宋" w:eastAsia="仿宋"/>
          <w:sz w:val="32"/>
          <w:szCs w:val="32"/>
          <w:highlight w:val="none"/>
          <w:lang w:eastAsia="zh-CN"/>
        </w:rPr>
        <w:t>增加梁庄村</w:t>
      </w:r>
      <w:r>
        <w:rPr>
          <w:rFonts w:hint="eastAsia" w:ascii="仿宋" w:hAnsi="仿宋" w:eastAsia="仿宋"/>
          <w:sz w:val="32"/>
          <w:szCs w:val="32"/>
          <w:highlight w:val="none"/>
          <w:lang w:val="en-US" w:eastAsia="zh-CN"/>
        </w:rPr>
        <w:t>2023年农村综合改革示范村建设项目、白鹿泉村道路硬化及健身广场建设工程等</w:t>
      </w:r>
      <w:r>
        <w:rPr>
          <w:rFonts w:hint="eastAsia" w:ascii="仿宋" w:hAnsi="仿宋" w:eastAsia="仿宋"/>
          <w:sz w:val="32"/>
          <w:szCs w:val="32"/>
          <w:highlight w:val="none"/>
        </w:rPr>
        <w:t>项目</w:t>
      </w:r>
      <w:r>
        <w:rPr>
          <w:rFonts w:hint="eastAsia" w:ascii="仿宋" w:hAnsi="仿宋" w:eastAsia="仿宋"/>
          <w:sz w:val="32"/>
          <w:szCs w:val="32"/>
          <w:highlight w:val="none"/>
          <w:lang w:eastAsia="zh-CN"/>
        </w:rPr>
        <w:t>支出。</w:t>
      </w:r>
    </w:p>
    <w:p w14:paraId="3A26720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w:t>
      </w:r>
      <w:r>
        <w:rPr>
          <w:rFonts w:hint="eastAsia" w:ascii="楷体" w:hAnsi="楷体" w:eastAsia="楷体" w:cs="楷体_GB2312"/>
          <w:bCs/>
          <w:sz w:val="32"/>
          <w:szCs w:val="32"/>
          <w:highlight w:val="none"/>
        </w:rPr>
        <w:t>部门整体支出绩效目标、指标</w:t>
      </w:r>
    </w:p>
    <w:p w14:paraId="69E9EB45">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坚持以习近平新时代中国特色社会主义思想为指导，</w:t>
      </w:r>
      <w:r>
        <w:rPr>
          <w:rFonts w:hint="eastAsia" w:ascii="仿宋" w:hAnsi="仿宋" w:eastAsia="仿宋"/>
          <w:sz w:val="32"/>
          <w:szCs w:val="32"/>
          <w:highlight w:val="none"/>
          <w:lang w:eastAsia="zh-CN"/>
        </w:rPr>
        <w:t>深入学习贯彻</w:t>
      </w:r>
      <w:r>
        <w:rPr>
          <w:rFonts w:hint="eastAsia" w:ascii="仿宋" w:hAnsi="仿宋" w:eastAsia="仿宋"/>
          <w:sz w:val="32"/>
          <w:szCs w:val="32"/>
          <w:highlight w:val="none"/>
        </w:rPr>
        <w:t>党的二十大精神，坚决贯彻落实党中央和省市区委各项决策部署，以争创全市“最干净乡镇，最美丽乡村，最休闲区域”为目标，以创建省级乡村振兴示范区为抓手，持续深化改革，在全域旅游、乡村振兴方面做乘法，着力增强综合实力，提高发展质量，巩固污染治理成果，保障改善民生，加快建设美丽、富裕、和谐的生态白鹿泉。</w:t>
      </w:r>
    </w:p>
    <w:p w14:paraId="329523AB">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以党建领航，推动产业做大做强，不断强化高质量发展基础动能</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大力发展休闲旅游，收集各村空闲土地和房屋，推广民宿，因地制宜，以山水为底色，发展果园经济、采摘经济，完善旅游购物配套设施，带动周边产品发展，提升游客体验感。建设一批现代农业和休闲观光，力促响当当果品深加工、栖泉农业休闲谷二期等项目早日落地开工，为迭续发展积蓄动力。</w:t>
      </w:r>
    </w:p>
    <w:p w14:paraId="5269B2D2">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把良好的生态环境作为核心竞争力，统筹生态效益、经济效益、社会效益，切实提升生态文明建设水平。持续推进美丽乡村建设提档升级。深入开展扬尘整治，对辖区内主干道、企业及工地开展持续巡查，建立问题清单、责任清单，对交办问题整改情况进行挂账督办、动态更新和办结销号管理。做好裸露土方的绿化、硬化工作。扎实推进造林绿化、封山育林工程。继续推进矿山修复和山场绿化，打造绿色生态空间。</w:t>
      </w:r>
    </w:p>
    <w:p w14:paraId="0D4B68C5">
      <w:pPr>
        <w:spacing w:line="578" w:lineRule="exact"/>
        <w:ind w:firstLine="640" w:firstLineChars="200"/>
        <w:rPr>
          <w:rFonts w:hint="eastAsia"/>
        </w:rPr>
      </w:pPr>
      <w:r>
        <w:rPr>
          <w:rFonts w:hint="eastAsia" w:ascii="仿宋" w:hAnsi="仿宋" w:eastAsia="仿宋" w:cs="黑体"/>
          <w:b w:val="0"/>
          <w:kern w:val="2"/>
          <w:sz w:val="32"/>
          <w:szCs w:val="32"/>
          <w:highlight w:val="none"/>
          <w:lang w:val="en-US" w:eastAsia="zh-CN" w:bidi="ar-SA"/>
        </w:rPr>
        <w:t>坚持以人民为中心的发展思想，完善基本公共服务体系。巩固脱贫攻坚成果，构建“近贫预警、职业培训、脱贫保稳”的精准防返贫机制。强化系统风险意识，着力防范化解重大风险。完善矛盾纠纷多元化解机制，集中解决一批信访积案和历史遗留问题。完善平安建设体制机制，依托雪亮工程，健全立体化社会治安防控体系。完善应急管理机制，提升应急救援和防灾救灾能力。切实办好民生实事。努力为全乡人民创造更加美好、更加幸福的生活环境。</w:t>
      </w:r>
    </w:p>
    <w:p w14:paraId="4CFB3A6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75B0B5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93814E7">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14:paraId="403DB186">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通过清晰的界定工作的内容与其需要达到的标准，使管理活动更加适宜，组织目标更加明确，达到项目设定的效果。精确编制建设项目预算；着重于计划管理、绩效监控、风险控制、资金筹措及绩效制度建设，认真组织实施；设立绩效自评工作组织，进行评价。</w:t>
      </w:r>
    </w:p>
    <w:p w14:paraId="3141ADA3">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F615232">
      <w:pPr>
        <w:numPr>
          <w:ilvl w:val="0"/>
          <w:numId w:val="4"/>
        </w:num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绩效自评方法</w:t>
      </w:r>
    </w:p>
    <w:p w14:paraId="3C52356F">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根据项目实际情况，选用恰当的标准进行评价，通过定量评价标准、定性评价标准、隶属度标准、客观标准等方法相结合，从多角度进行综合评价。</w:t>
      </w:r>
    </w:p>
    <w:p w14:paraId="1E2DC483">
      <w:p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2、绩效自评过程</w:t>
      </w:r>
    </w:p>
    <w:p w14:paraId="477A0D25">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前期准备：根据有关规定及要求，认真组织人员对项目自评资料进行收集、整理，针对指标完成情况进行绩效分析。为有效及时的完成项目绩效自评工作打下坚实的基础。</w:t>
      </w:r>
    </w:p>
    <w:p w14:paraId="229010D6">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584C067A">
      <w:pPr>
        <w:spacing w:line="578" w:lineRule="exact"/>
        <w:ind w:firstLine="640" w:firstLineChars="200"/>
      </w:pPr>
      <w:r>
        <w:rPr>
          <w:rFonts w:hint="eastAsia" w:ascii="仿宋" w:hAnsi="仿宋" w:eastAsia="仿宋" w:cs="Times New Roman"/>
          <w:sz w:val="32"/>
          <w:szCs w:val="32"/>
        </w:rPr>
        <w:t>分析评价：根据项目的自身特点和确定的各项绩效指标，对照项目完成情况，逐一进行评价，确保评价结论真实、客观、公平、公正。</w:t>
      </w:r>
    </w:p>
    <w:p w14:paraId="2AC2D09E">
      <w:pPr>
        <w:spacing w:line="560" w:lineRule="exact"/>
        <w:rPr>
          <w:rFonts w:ascii="黑体" w:hAnsi="黑体" w:eastAsia="黑体"/>
          <w:b/>
          <w:bCs/>
          <w:sz w:val="32"/>
          <w:szCs w:val="32"/>
          <w:highlight w:val="none"/>
        </w:rPr>
      </w:pPr>
      <w:r>
        <w:rPr>
          <w:rFonts w:hint="eastAsia" w:ascii="黑体" w:hAnsi="黑体" w:eastAsia="黑体"/>
          <w:sz w:val="32"/>
          <w:szCs w:val="32"/>
        </w:rPr>
        <w:t xml:space="preserve">    三、</w:t>
      </w:r>
      <w:r>
        <w:rPr>
          <w:rFonts w:hint="eastAsia" w:ascii="黑体" w:hAnsi="黑体" w:eastAsia="黑体"/>
          <w:sz w:val="32"/>
          <w:szCs w:val="32"/>
          <w:highlight w:val="none"/>
        </w:rPr>
        <w:t>部门整体支出绩效目标实现情况及指标分析</w:t>
      </w:r>
    </w:p>
    <w:p w14:paraId="2D5C023D">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B6E7BB0">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2023年，我乡以习近平新时代中国特色社会主义思想为统领，</w:t>
      </w:r>
      <w:r>
        <w:rPr>
          <w:rFonts w:hint="eastAsia" w:ascii="仿宋" w:hAnsi="仿宋" w:eastAsia="仿宋"/>
          <w:sz w:val="32"/>
          <w:szCs w:val="32"/>
          <w:lang w:eastAsia="zh-CN"/>
        </w:rPr>
        <w:t>深入学习贯彻</w:t>
      </w:r>
      <w:r>
        <w:rPr>
          <w:rFonts w:hint="eastAsia" w:ascii="仿宋" w:hAnsi="仿宋" w:eastAsia="仿宋"/>
          <w:sz w:val="32"/>
          <w:szCs w:val="32"/>
        </w:rPr>
        <w:t>党的二十大精神，坚决贯彻落实党中央和省市区委各项决策部署，大力发展休闲旅游，收集各村空闲土地和房屋，推广民宿，因地制宜，以山水为底色，发展果园经济、采摘经济，完善旅游购物配套设施，带动周边产品发展，提升游客体验感。按照乡村振兴示范区功能结构和规划定位，优化城乡基础设施和公共服务网络空间布局，推进乡村基础设施网络提档升级</w:t>
      </w:r>
      <w:r>
        <w:rPr>
          <w:rFonts w:hint="eastAsia" w:ascii="仿宋" w:hAnsi="仿宋" w:eastAsia="仿宋"/>
          <w:sz w:val="32"/>
          <w:szCs w:val="32"/>
          <w:lang w:eastAsia="zh-CN"/>
        </w:rPr>
        <w:t>。</w:t>
      </w:r>
    </w:p>
    <w:p w14:paraId="4A55A571">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A161CBD">
      <w:pPr>
        <w:spacing w:line="560" w:lineRule="exact"/>
        <w:ind w:firstLine="640" w:firstLineChars="200"/>
        <w:rPr>
          <w:rFonts w:hint="eastAsia" w:ascii="仿宋" w:hAnsi="仿宋" w:eastAsia="仿宋" w:cs="黑体"/>
          <w:b w:val="0"/>
          <w:kern w:val="2"/>
          <w:sz w:val="32"/>
          <w:szCs w:val="32"/>
          <w:lang w:val="en-US" w:eastAsia="zh-CN" w:bidi="ar-SA"/>
        </w:rPr>
      </w:pPr>
      <w:r>
        <w:rPr>
          <w:rFonts w:hint="eastAsia" w:ascii="仿宋" w:hAnsi="仿宋" w:eastAsia="仿宋" w:cs="黑体"/>
          <w:b w:val="0"/>
          <w:kern w:val="2"/>
          <w:sz w:val="32"/>
          <w:szCs w:val="32"/>
          <w:lang w:val="en-US" w:eastAsia="zh-CN" w:bidi="ar-SA"/>
        </w:rPr>
        <w:t>聚焦产业发展，推动经济社会快步前进。全年新开工项目3个。强力推进西部长青小三亚、白鹿栖谷酒店等重点项目建设全面提速。谷家峪村通过举办香椿节等特色活动，打响香椿品牌，发展采摘经济。以栖泉农业为代表的智慧农业荣获河北省农林科学院石家庄果树研究所特色成果转化示范基地、河北省农业产业协会智慧农业特色果蔬种植示范基地等称号，“鹿泉白菜”已获批中国地理标志。重点打造水峪、段庄、荷莲峪、梁庄等精品民宿，2023年建设完成民宿14套，全乡各类民宿总量达到140余套，其中“理想院子”“荷莲遇”成功获评“冀忆乡居”河北省百佳精品民宿培育单位。</w:t>
      </w:r>
    </w:p>
    <w:p w14:paraId="7F0537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b w:val="0"/>
          <w:kern w:val="2"/>
          <w:sz w:val="32"/>
          <w:szCs w:val="32"/>
          <w:lang w:val="en-US" w:eastAsia="zh-CN" w:bidi="ar-SA"/>
        </w:rPr>
      </w:pPr>
      <w:r>
        <w:rPr>
          <w:rFonts w:hint="eastAsia" w:ascii="仿宋" w:hAnsi="仿宋" w:eastAsia="仿宋" w:cs="黑体"/>
          <w:b w:val="0"/>
          <w:kern w:val="2"/>
          <w:sz w:val="32"/>
          <w:szCs w:val="32"/>
          <w:lang w:val="en-US" w:eastAsia="zh-CN" w:bidi="ar-SA"/>
        </w:rPr>
        <w:t>改善人居环境，做强和美乡村建设。组织开展“村庄清洁活动”，我乡在全区每季度环境检查评比中均获得前二名；全乡山场绿化完成510亩，超额完成27%；春季村庄绿化行动完成树种移栽5000余棵。</w:t>
      </w:r>
    </w:p>
    <w:p w14:paraId="671D58EA">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lang w:val="en-US" w:eastAsia="zh-CN"/>
        </w:rPr>
        <w:t>严抓环保治理，做好生态环境整治。对辖区内乡村主干道进行全面检查，累计出动洒水车1000余次，洒水面积3200万平方，及时对道路扬尘、泥车清洗等事项开展逐一检查。</w:t>
      </w:r>
    </w:p>
    <w:p w14:paraId="1E4C7397">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lang w:val="en-US" w:eastAsia="zh-CN"/>
        </w:rPr>
        <w:t>依法办事化解信访矛盾。今年1</w:t>
      </w:r>
      <w:r>
        <w:rPr>
          <w:rFonts w:hint="default"/>
          <w:lang w:val="en-US" w:eastAsia="zh-CN"/>
        </w:rPr>
        <w:t>7</w:t>
      </w:r>
      <w:r>
        <w:rPr>
          <w:rFonts w:hint="eastAsia"/>
          <w:lang w:val="en-US" w:eastAsia="zh-CN"/>
        </w:rPr>
        <w:t>个村共新增“法律明白人”69人，乡村两级依托国家宪法日，组织工作人员进行宪法考试，提高法律意识。严格落实周日书记接访制度，逐件研究重点信访案件。阳光平台转送、交办案件中，我乡办结率达到9</w:t>
      </w:r>
      <w:r>
        <w:rPr>
          <w:rFonts w:hint="default"/>
          <w:lang w:val="en-US" w:eastAsia="zh-CN"/>
        </w:rPr>
        <w:t>7</w:t>
      </w:r>
      <w:r>
        <w:rPr>
          <w:rFonts w:hint="eastAsia"/>
          <w:lang w:val="en-US" w:eastAsia="zh-CN"/>
        </w:rPr>
        <w:t>%，无群体访事件，有力地维护了全乡社会稳定。</w:t>
      </w:r>
    </w:p>
    <w:p w14:paraId="4438F67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F8ABF2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3B1A62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白鹿泉乡本年度整体支出情况最终得分</w:t>
      </w:r>
      <w:r>
        <w:rPr>
          <w:rFonts w:hint="eastAsia" w:ascii="仿宋" w:hAnsi="仿宋" w:eastAsia="仿宋"/>
          <w:sz w:val="32"/>
          <w:szCs w:val="32"/>
          <w:highlight w:val="none"/>
        </w:rPr>
        <w:t>96.3</w:t>
      </w:r>
      <w:r>
        <w:rPr>
          <w:rFonts w:hint="eastAsia" w:ascii="仿宋" w:hAnsi="仿宋" w:eastAsia="仿宋"/>
          <w:sz w:val="32"/>
          <w:szCs w:val="32"/>
          <w:highlight w:val="none"/>
          <w:lang w:val="en-US" w:eastAsia="zh-CN"/>
        </w:rPr>
        <w:t>3</w:t>
      </w:r>
      <w:r>
        <w:rPr>
          <w:rFonts w:hint="eastAsia" w:ascii="仿宋" w:hAnsi="仿宋" w:eastAsia="仿宋"/>
          <w:sz w:val="32"/>
          <w:szCs w:val="32"/>
        </w:rPr>
        <w:t>分，综合绩效评价等级为优秀。</w:t>
      </w:r>
    </w:p>
    <w:p w14:paraId="3D1ED20F">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rPr>
        <w:t>五、</w:t>
      </w:r>
      <w:r>
        <w:rPr>
          <w:rFonts w:hint="eastAsia" w:ascii="黑体" w:hAnsi="黑体" w:eastAsia="黑体"/>
          <w:sz w:val="32"/>
          <w:szCs w:val="32"/>
          <w:highlight w:val="none"/>
        </w:rPr>
        <w:t>存在的问题及改进措施</w:t>
      </w:r>
    </w:p>
    <w:p w14:paraId="71A33EB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AB0826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项目自评、公开、结果运用等方面不够完善。</w:t>
      </w:r>
    </w:p>
    <w:p w14:paraId="5EF1AA25">
      <w:pPr>
        <w:numPr>
          <w:ilvl w:val="0"/>
          <w:numId w:val="5"/>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51BACA1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一是增强法律法规意识。提高自我约束和管理能力，保障专项资金专款专用。二是全面推行公示公告制度。积极推进财政专项资金项目公开公示，对资金安排、使用等信息进行公开。</w:t>
      </w:r>
    </w:p>
    <w:p w14:paraId="2B636CE7">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6FB6407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康婧哲   白鹿泉乡人大主席</w:t>
      </w:r>
    </w:p>
    <w:p w14:paraId="6A49ECB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lang w:eastAsia="zh-CN"/>
        </w:rPr>
      </w:pPr>
      <w:r>
        <w:rPr>
          <w:rFonts w:hint="eastAsia" w:ascii="仿宋" w:hAnsi="仿宋" w:eastAsia="仿宋" w:cs="Arial"/>
          <w:sz w:val="32"/>
          <w:szCs w:val="32"/>
          <w:lang w:eastAsia="zh-CN"/>
        </w:rPr>
        <w:t>赵建新</w:t>
      </w:r>
      <w:r>
        <w:rPr>
          <w:rFonts w:hint="eastAsia" w:ascii="仿宋" w:hAnsi="仿宋" w:eastAsia="仿宋" w:cs="Arial"/>
          <w:sz w:val="32"/>
          <w:szCs w:val="32"/>
        </w:rPr>
        <w:t xml:space="preserve">   白鹿泉</w:t>
      </w:r>
      <w:r>
        <w:rPr>
          <w:rFonts w:hint="eastAsia" w:ascii="仿宋" w:hAnsi="仿宋" w:eastAsia="仿宋" w:cs="Arial"/>
          <w:sz w:val="32"/>
          <w:szCs w:val="32"/>
          <w:lang w:eastAsia="zh-CN"/>
        </w:rPr>
        <w:t>乡党委副书记</w:t>
      </w:r>
    </w:p>
    <w:p w14:paraId="363D0F1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rPr>
        <w:t>敦志惠   白鹿泉乡副乡长</w:t>
      </w:r>
    </w:p>
    <w:p w14:paraId="710DFCB4">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lang w:eastAsia="zh-CN"/>
        </w:rPr>
        <w:t>刘若晗</w:t>
      </w:r>
      <w:r>
        <w:rPr>
          <w:rFonts w:hint="eastAsia" w:ascii="仿宋" w:hAnsi="仿宋" w:eastAsia="仿宋" w:cs="Arial"/>
          <w:sz w:val="32"/>
          <w:szCs w:val="32"/>
        </w:rPr>
        <w:t xml:space="preserve">   白鹿泉乡副乡长</w:t>
      </w:r>
    </w:p>
    <w:p w14:paraId="675F9EA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薛  强   白鹿泉乡宣传委员、统战委员</w:t>
      </w:r>
    </w:p>
    <w:p w14:paraId="241C7FD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王  光   白鹿泉乡武装部长</w:t>
      </w:r>
    </w:p>
    <w:p w14:paraId="216FAE7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张伟铮   白鹿泉乡人大副主席</w:t>
      </w:r>
    </w:p>
    <w:p w14:paraId="4BED7ED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王添霖   白鹿泉乡人大副主席</w:t>
      </w:r>
    </w:p>
    <w:p w14:paraId="2F62EA34">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高玉峰   白鹿泉乡综合行政执法队队长</w:t>
      </w:r>
    </w:p>
    <w:p w14:paraId="5D7D1230">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范伟娜   白鹿泉乡行政综合服务中心主任</w:t>
      </w:r>
    </w:p>
    <w:p w14:paraId="4C74EAA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张利军   白鹿泉乡党政办主任</w:t>
      </w:r>
    </w:p>
    <w:p w14:paraId="029F8F3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聂志宇</w:t>
      </w:r>
      <w:r>
        <w:rPr>
          <w:rFonts w:ascii="仿宋" w:hAnsi="仿宋" w:eastAsia="仿宋" w:cs="Arial"/>
          <w:sz w:val="32"/>
          <w:szCs w:val="32"/>
        </w:rPr>
        <w:t xml:space="preserve"> </w:t>
      </w:r>
      <w:r>
        <w:rPr>
          <w:rFonts w:hint="eastAsia" w:ascii="仿宋" w:hAnsi="仿宋" w:eastAsia="仿宋" w:cs="Arial"/>
          <w:sz w:val="32"/>
          <w:szCs w:val="32"/>
        </w:rPr>
        <w:t xml:space="preserve">  白鹿泉乡财政所所长</w:t>
      </w:r>
    </w:p>
    <w:p w14:paraId="12961DE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赵金楠</w:t>
      </w:r>
      <w:r>
        <w:rPr>
          <w:rFonts w:ascii="仿宋" w:hAnsi="仿宋" w:eastAsia="仿宋" w:cs="Arial"/>
          <w:sz w:val="32"/>
          <w:szCs w:val="32"/>
        </w:rPr>
        <w:t xml:space="preserve"> </w:t>
      </w:r>
      <w:r>
        <w:rPr>
          <w:rFonts w:hint="eastAsia" w:ascii="仿宋" w:hAnsi="仿宋" w:eastAsia="仿宋" w:cs="Arial"/>
          <w:sz w:val="32"/>
          <w:szCs w:val="32"/>
        </w:rPr>
        <w:t xml:space="preserve">  白鹿泉乡财政所成员</w:t>
      </w:r>
    </w:p>
    <w:p w14:paraId="7ADC5715">
      <w:pPr>
        <w:adjustRightInd w:val="0"/>
        <w:snapToGrid w:val="0"/>
        <w:spacing w:line="560" w:lineRule="exact"/>
        <w:ind w:firstLine="640" w:firstLineChars="200"/>
        <w:rPr>
          <w:rFonts w:hint="eastAsia" w:ascii="黑体" w:hAnsi="黑体" w:eastAsia="黑体"/>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20379">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7A6D6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7A6D6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39EFB3"/>
    <w:multiLevelType w:val="singleLevel"/>
    <w:tmpl w:val="D839EFB3"/>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5073D9E"/>
    <w:multiLevelType w:val="singleLevel"/>
    <w:tmpl w:val="15073D9E"/>
    <w:lvl w:ilvl="0" w:tentative="0">
      <w:start w:val="1"/>
      <w:numFmt w:val="decimal"/>
      <w:suff w:val="nothing"/>
      <w:lvlText w:val="%1、"/>
      <w:lvlJc w:val="left"/>
    </w:lvl>
  </w:abstractNum>
  <w:abstractNum w:abstractNumId="3">
    <w:nsid w:val="2CEE3CED"/>
    <w:multiLevelType w:val="singleLevel"/>
    <w:tmpl w:val="2CEE3CED"/>
    <w:lvl w:ilvl="0" w:tentative="0">
      <w:start w:val="2"/>
      <w:numFmt w:val="chineseCounting"/>
      <w:suff w:val="nothing"/>
      <w:lvlText w:val="（%1）"/>
      <w:lvlJc w:val="left"/>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5MmNmYWFjMDYwZDdmZmY2Nzk3ODk1MGYzMTU2Mm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08F0D2D"/>
    <w:rsid w:val="248C197D"/>
    <w:rsid w:val="252959AF"/>
    <w:rsid w:val="26E42C09"/>
    <w:rsid w:val="27370766"/>
    <w:rsid w:val="277A6671"/>
    <w:rsid w:val="292D35B7"/>
    <w:rsid w:val="31727F3E"/>
    <w:rsid w:val="32817910"/>
    <w:rsid w:val="33EB6CFF"/>
    <w:rsid w:val="35A12947"/>
    <w:rsid w:val="37387040"/>
    <w:rsid w:val="3B625C0A"/>
    <w:rsid w:val="3C2E5C16"/>
    <w:rsid w:val="3CEE1963"/>
    <w:rsid w:val="3E925F20"/>
    <w:rsid w:val="436B78D3"/>
    <w:rsid w:val="44932206"/>
    <w:rsid w:val="45FF5A2E"/>
    <w:rsid w:val="4C9C27FE"/>
    <w:rsid w:val="512260B4"/>
    <w:rsid w:val="52BD6ACB"/>
    <w:rsid w:val="55537534"/>
    <w:rsid w:val="561A74F1"/>
    <w:rsid w:val="597244E8"/>
    <w:rsid w:val="5EB71C30"/>
    <w:rsid w:val="65336C68"/>
    <w:rsid w:val="66AF0CE5"/>
    <w:rsid w:val="6725668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autoRedefine/>
    <w:unhideWhenUsed/>
    <w:qFormat/>
    <w:uiPriority w:val="0"/>
    <w:pPr>
      <w:keepNext/>
      <w:keepLines/>
      <w:spacing w:line="413" w:lineRule="auto"/>
      <w:outlineLvl w:val="1"/>
    </w:pPr>
    <w:rPr>
      <w:rFonts w:ascii="Arial" w:hAnsi="Arial" w:eastAsia="黑体"/>
      <w:b/>
      <w:sz w:val="32"/>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4152</Words>
  <Characters>4251</Characters>
  <Lines>4</Lines>
  <Paragraphs>1</Paragraphs>
  <TotalTime>77</TotalTime>
  <ScaleCrop>false</ScaleCrop>
  <LinksUpToDate>false</LinksUpToDate>
  <CharactersWithSpaces>4311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西北妈</cp:lastModifiedBy>
  <cp:lastPrinted>2024-04-19T02:07:00Z</cp:lastPrinted>
  <dcterms:modified xsi:type="dcterms:W3CDTF">2026-04-29T08:11:26Z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766AED77E30946008F9727AC6B4B2415_13</vt:lpwstr>
  </property>
  <property fmtid="{D5CDD505-2E9C-101B-9397-08002B2CF9AE}" pid="4" name="KSOTemplateDocerSaveRecord">
    <vt:lpwstr>eyJoZGlkIjoiMjg5MmNmYWFjMDYwZDdmZmY2Nzk3ODk1MGYzMTU2MmQiLCJ1c2VySWQiOiIxMTgyNTMwODY0In0=</vt:lpwstr>
  </property>
</Properties>
</file>