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C95D38">
      <w:pPr>
        <w:adjustRightInd w:val="0"/>
        <w:snapToGrid w:val="0"/>
        <w:spacing w:line="560" w:lineRule="exact"/>
        <w:rPr>
          <w:rFonts w:ascii="黑体" w:hAnsi="黑体" w:eastAsia="黑体"/>
          <w:sz w:val="32"/>
          <w:szCs w:val="32"/>
        </w:rPr>
      </w:pPr>
      <w:r>
        <w:rPr>
          <w:rFonts w:hint="eastAsia" w:ascii="黑体" w:hAnsi="黑体" w:eastAsia="黑体"/>
          <w:sz w:val="32"/>
          <w:szCs w:val="32"/>
        </w:rPr>
        <w:t>附件</w:t>
      </w:r>
      <w:r>
        <w:rPr>
          <w:rFonts w:ascii="黑体" w:hAnsi="黑体" w:eastAsia="黑体"/>
          <w:sz w:val="32"/>
          <w:szCs w:val="32"/>
        </w:rPr>
        <w:t>3</w:t>
      </w:r>
    </w:p>
    <w:p w14:paraId="76DCE0C1">
      <w:pPr>
        <w:spacing w:line="560" w:lineRule="exact"/>
        <w:jc w:val="center"/>
        <w:rPr>
          <w:rFonts w:ascii="宋体" w:cs="方正黑体简体"/>
          <w:b/>
          <w:sz w:val="44"/>
          <w:szCs w:val="44"/>
        </w:rPr>
      </w:pPr>
      <w:r>
        <w:rPr>
          <w:rFonts w:hint="eastAsia" w:ascii="宋体" w:hAnsi="宋体" w:cs="方正黑体简体"/>
          <w:b/>
          <w:sz w:val="44"/>
          <w:szCs w:val="44"/>
        </w:rPr>
        <w:t>李村镇部门</w:t>
      </w:r>
      <w:r>
        <w:rPr>
          <w:rFonts w:ascii="宋体" w:hAnsi="宋体" w:cs="方正黑体简体"/>
          <w:b/>
          <w:sz w:val="44"/>
          <w:szCs w:val="44"/>
        </w:rPr>
        <w:t>2023</w:t>
      </w:r>
      <w:r>
        <w:rPr>
          <w:rFonts w:hint="eastAsia" w:ascii="宋体" w:hAnsi="宋体" w:cs="方正黑体简体"/>
          <w:b/>
          <w:sz w:val="44"/>
          <w:szCs w:val="44"/>
        </w:rPr>
        <w:t>年度整体支出</w:t>
      </w:r>
    </w:p>
    <w:p w14:paraId="25A29D8B">
      <w:pPr>
        <w:spacing w:line="560" w:lineRule="exact"/>
        <w:jc w:val="center"/>
        <w:rPr>
          <w:rFonts w:ascii="宋体" w:cs="方正黑体简体"/>
          <w:b/>
          <w:sz w:val="44"/>
          <w:szCs w:val="44"/>
        </w:rPr>
      </w:pPr>
      <w:r>
        <w:rPr>
          <w:rFonts w:hint="eastAsia" w:ascii="宋体" w:hAnsi="宋体" w:cs="方正黑体简体"/>
          <w:b/>
          <w:sz w:val="44"/>
          <w:szCs w:val="44"/>
        </w:rPr>
        <w:t>绩效自评报告</w:t>
      </w:r>
    </w:p>
    <w:p w14:paraId="4E10BDB6">
      <w:pPr>
        <w:adjustRightInd w:val="0"/>
        <w:snapToGrid w:val="0"/>
        <w:spacing w:line="560" w:lineRule="exact"/>
        <w:ind w:firstLine="640" w:firstLineChars="200"/>
        <w:rPr>
          <w:rFonts w:ascii="仿宋" w:hAnsi="仿宋" w:eastAsia="仿宋"/>
          <w:sz w:val="32"/>
          <w:szCs w:val="32"/>
        </w:rPr>
      </w:pPr>
    </w:p>
    <w:p w14:paraId="475D5C7A">
      <w:pPr>
        <w:adjustRightInd w:val="0"/>
        <w:snapToGrid w:val="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贯彻落实石家庄市鹿泉区人民政府《关于全面实施预算绩效管理的实施意见》（鹿发〔</w:t>
      </w:r>
      <w:r>
        <w:rPr>
          <w:rFonts w:ascii="仿宋" w:hAnsi="仿宋" w:eastAsia="仿宋" w:cs="仿宋"/>
          <w:sz w:val="32"/>
          <w:szCs w:val="32"/>
        </w:rPr>
        <w:t>2019</w:t>
      </w:r>
      <w:r>
        <w:rPr>
          <w:rFonts w:hint="eastAsia" w:ascii="仿宋" w:hAnsi="仿宋" w:eastAsia="仿宋" w:cs="仿宋"/>
          <w:sz w:val="32"/>
          <w:szCs w:val="32"/>
        </w:rPr>
        <w:t>〕</w:t>
      </w:r>
      <w:r>
        <w:rPr>
          <w:rFonts w:ascii="仿宋" w:hAnsi="仿宋" w:eastAsia="仿宋" w:cs="仿宋"/>
          <w:sz w:val="32"/>
          <w:szCs w:val="32"/>
        </w:rPr>
        <w:t>8</w:t>
      </w:r>
      <w:r>
        <w:rPr>
          <w:rFonts w:hint="eastAsia" w:ascii="仿宋" w:hAnsi="仿宋" w:eastAsia="仿宋" w:cs="仿宋"/>
          <w:sz w:val="32"/>
          <w:szCs w:val="32"/>
        </w:rPr>
        <w:t>号）文件精神，遵循“科学性、规范性、客观性和公正性”的原则，对李村镇部门</w:t>
      </w:r>
      <w:r>
        <w:rPr>
          <w:rFonts w:ascii="仿宋" w:hAnsi="仿宋" w:eastAsia="仿宋" w:cs="仿宋"/>
          <w:sz w:val="32"/>
          <w:szCs w:val="32"/>
        </w:rPr>
        <w:t>2023</w:t>
      </w:r>
      <w:r>
        <w:rPr>
          <w:rFonts w:hint="eastAsia" w:ascii="仿宋" w:hAnsi="仿宋" w:eastAsia="仿宋" w:cs="仿宋"/>
          <w:sz w:val="32"/>
          <w:szCs w:val="32"/>
        </w:rPr>
        <w:t>年整体支出情况实施了财政支出绩效自评价，形成本评价报告。</w:t>
      </w:r>
    </w:p>
    <w:p w14:paraId="0CA9C3F7">
      <w:pPr>
        <w:adjustRightInd w:val="0"/>
        <w:snapToGrid w:val="0"/>
        <w:spacing w:line="578" w:lineRule="exact"/>
        <w:rPr>
          <w:rFonts w:ascii="黑体" w:hAnsi="黑体" w:eastAsia="黑体" w:cs="方正黑体简体"/>
          <w:sz w:val="32"/>
          <w:szCs w:val="32"/>
        </w:rPr>
      </w:pPr>
      <w:r>
        <w:rPr>
          <w:rFonts w:ascii="仿宋" w:hAnsi="仿宋" w:eastAsia="仿宋" w:cs="仿宋"/>
          <w:sz w:val="32"/>
          <w:szCs w:val="32"/>
        </w:rPr>
        <w:t xml:space="preserve">   </w:t>
      </w:r>
      <w:r>
        <w:rPr>
          <w:rFonts w:ascii="方正黑体简体" w:hAnsi="方正黑体简体" w:eastAsia="方正黑体简体" w:cs="方正黑体简体"/>
          <w:sz w:val="32"/>
          <w:szCs w:val="32"/>
        </w:rPr>
        <w:t xml:space="preserve">  </w:t>
      </w:r>
      <w:r>
        <w:rPr>
          <w:rFonts w:hint="eastAsia" w:ascii="黑体" w:hAnsi="黑体" w:eastAsia="黑体" w:cs="方正黑体简体"/>
          <w:sz w:val="32"/>
          <w:szCs w:val="32"/>
        </w:rPr>
        <w:t>一、部门基本情况</w:t>
      </w:r>
    </w:p>
    <w:p w14:paraId="5A5C007C">
      <w:pPr>
        <w:widowControl/>
        <w:spacing w:line="578" w:lineRule="exact"/>
        <w:ind w:firstLine="800" w:firstLineChars="250"/>
        <w:rPr>
          <w:rFonts w:ascii="楷体" w:hAnsi="楷体" w:eastAsia="楷体" w:cs="仿宋"/>
          <w:bCs/>
          <w:kern w:val="0"/>
          <w:sz w:val="32"/>
          <w:szCs w:val="32"/>
        </w:rPr>
      </w:pPr>
      <w:r>
        <w:rPr>
          <w:rFonts w:hint="eastAsia" w:ascii="楷体" w:hAnsi="楷体" w:eastAsia="楷体" w:cs="仿宋"/>
          <w:bCs/>
          <w:kern w:val="0"/>
          <w:sz w:val="32"/>
          <w:szCs w:val="32"/>
        </w:rPr>
        <w:t>（一）部门概况</w:t>
      </w:r>
    </w:p>
    <w:p w14:paraId="2A614E0A">
      <w:pPr>
        <w:widowControl/>
        <w:spacing w:line="578" w:lineRule="exact"/>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、部门职能：根据中共石家庄市鹿泉区委办公室、石家庄市鹿泉区人民政府办公室关于印发《石家庄市鹿泉区李村镇党委、人大、政府职能配置、内设机构和人员编制规定》，</w:t>
      </w:r>
      <w:r>
        <w:rPr>
          <w:rFonts w:ascii="仿宋" w:hAnsi="仿宋" w:eastAsia="仿宋" w:cs="仿宋"/>
          <w:sz w:val="32"/>
          <w:szCs w:val="32"/>
        </w:rPr>
        <w:t xml:space="preserve"> </w:t>
      </w:r>
      <w:r>
        <w:rPr>
          <w:rFonts w:hint="eastAsia" w:ascii="仿宋" w:hAnsi="仿宋" w:eastAsia="仿宋" w:cs="仿宋"/>
          <w:sz w:val="32"/>
          <w:szCs w:val="32"/>
        </w:rPr>
        <w:t>石家庄市鹿泉区李村镇人民政府的主要职责是：李村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456683B6">
      <w:pPr>
        <w:spacing w:line="578" w:lineRule="exact"/>
        <w:ind w:firstLine="640"/>
        <w:rPr>
          <w:rFonts w:ascii="仿宋" w:hAnsi="仿宋" w:eastAsia="仿宋" w:cs="仿宋"/>
          <w:sz w:val="32"/>
          <w:szCs w:val="32"/>
        </w:rPr>
      </w:pPr>
      <w:r>
        <w:rPr>
          <w:rFonts w:hint="eastAsia" w:ascii="仿宋" w:hAnsi="仿宋" w:eastAsia="仿宋" w:cs="仿宋"/>
          <w:sz w:val="32"/>
          <w:szCs w:val="32"/>
        </w:rPr>
        <w:t>李村镇党委、人大、政府设</w:t>
      </w:r>
      <w:r>
        <w:rPr>
          <w:rFonts w:ascii="仿宋" w:hAnsi="仿宋" w:eastAsia="仿宋" w:cs="仿宋"/>
          <w:sz w:val="32"/>
          <w:szCs w:val="32"/>
        </w:rPr>
        <w:t>8</w:t>
      </w:r>
      <w:r>
        <w:rPr>
          <w:rFonts w:hint="eastAsia" w:ascii="仿宋" w:hAnsi="仿宋" w:eastAsia="仿宋" w:cs="仿宋"/>
          <w:sz w:val="32"/>
          <w:szCs w:val="32"/>
        </w:rPr>
        <w:t>个工作机构。（一）内设机构</w:t>
      </w:r>
      <w:r>
        <w:rPr>
          <w:rFonts w:ascii="仿宋" w:hAnsi="仿宋" w:eastAsia="仿宋" w:cs="仿宋"/>
          <w:sz w:val="32"/>
          <w:szCs w:val="32"/>
        </w:rPr>
        <w:t>4</w:t>
      </w:r>
      <w:r>
        <w:rPr>
          <w:rFonts w:hint="eastAsia" w:ascii="仿宋" w:hAnsi="仿宋" w:eastAsia="仿宋" w:cs="仿宋"/>
          <w:sz w:val="32"/>
          <w:szCs w:val="32"/>
        </w:rPr>
        <w:t>个：</w:t>
      </w:r>
      <w:r>
        <w:rPr>
          <w:rFonts w:ascii="仿宋" w:hAnsi="仿宋" w:eastAsia="仿宋" w:cs="仿宋"/>
          <w:sz w:val="32"/>
          <w:szCs w:val="32"/>
        </w:rPr>
        <w:t>1</w:t>
      </w:r>
      <w:r>
        <w:rPr>
          <w:rFonts w:hint="eastAsia" w:ascii="仿宋" w:hAnsi="仿宋" w:eastAsia="仿宋" w:cs="仿宋"/>
          <w:sz w:val="32"/>
          <w:szCs w:val="32"/>
        </w:rPr>
        <w:t>、党政综合办公室。负责机关日常工作的综合协调和督促检查；负责机关文电、值班、会务、机要、保密、档案、党务政务公开、对外联络、后勤保障等日常运转工作；负责机关和所属单位财务及国有资产管理等工作。</w:t>
      </w:r>
      <w:r>
        <w:rPr>
          <w:rFonts w:ascii="仿宋" w:hAnsi="仿宋" w:eastAsia="仿宋" w:cs="仿宋"/>
          <w:sz w:val="32"/>
          <w:szCs w:val="32"/>
        </w:rPr>
        <w:t>2</w:t>
      </w:r>
      <w:r>
        <w:rPr>
          <w:rFonts w:hint="eastAsia" w:ascii="仿宋" w:hAnsi="仿宋" w:eastAsia="仿宋" w:cs="仿宋"/>
          <w:sz w:val="32"/>
          <w:szCs w:val="32"/>
        </w:rPr>
        <w:t>、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r>
        <w:rPr>
          <w:rFonts w:ascii="仿宋" w:hAnsi="仿宋" w:eastAsia="仿宋" w:cs="仿宋"/>
          <w:sz w:val="32"/>
          <w:szCs w:val="32"/>
        </w:rPr>
        <w:t>3</w:t>
      </w:r>
      <w:r>
        <w:rPr>
          <w:rFonts w:hint="eastAsia" w:ascii="仿宋" w:hAnsi="仿宋" w:eastAsia="仿宋" w:cs="仿宋"/>
          <w:sz w:val="32"/>
          <w:szCs w:val="32"/>
        </w:rPr>
        <w:t>、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防治工作，自然灾害救助相关工作，护林和森林草原防火相关工作。负责基层治理综合指挥巩工作，建立健全综合指挥协调机制和工作流程，透出协调指挥各类民生诉求事项、各类政府服务热线交办事项的受理、研判、转办、落实、反馈工作；负责基层网络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负责指导基层自治和居民区建设工作，负责直达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r>
        <w:rPr>
          <w:rFonts w:ascii="仿宋" w:hAnsi="仿宋" w:eastAsia="仿宋" w:cs="仿宋"/>
          <w:sz w:val="32"/>
          <w:szCs w:val="32"/>
        </w:rPr>
        <w:t>4</w:t>
      </w:r>
      <w:r>
        <w:rPr>
          <w:rFonts w:hint="eastAsia" w:ascii="仿宋" w:hAnsi="仿宋" w:eastAsia="仿宋" w:cs="仿宋"/>
          <w:sz w:val="32"/>
          <w:szCs w:val="32"/>
        </w:rPr>
        <w:t>、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二）所属事业单位</w:t>
      </w:r>
      <w:r>
        <w:rPr>
          <w:rFonts w:ascii="仿宋" w:hAnsi="仿宋" w:eastAsia="仿宋" w:cs="仿宋"/>
          <w:sz w:val="32"/>
          <w:szCs w:val="32"/>
        </w:rPr>
        <w:t>4</w:t>
      </w:r>
      <w:r>
        <w:rPr>
          <w:rFonts w:hint="eastAsia" w:ascii="仿宋" w:hAnsi="仿宋" w:eastAsia="仿宋" w:cs="仿宋"/>
          <w:sz w:val="32"/>
          <w:szCs w:val="32"/>
        </w:rPr>
        <w:t>个，规格为股级，所属类别为公益一类，经费形式为财政性资金基本保障：</w:t>
      </w:r>
      <w:r>
        <w:rPr>
          <w:rFonts w:ascii="仿宋" w:hAnsi="仿宋" w:eastAsia="仿宋" w:cs="仿宋"/>
          <w:sz w:val="32"/>
          <w:szCs w:val="32"/>
        </w:rPr>
        <w:t>5</w:t>
      </w:r>
      <w:r>
        <w:rPr>
          <w:rFonts w:hint="eastAsia" w:ascii="仿宋" w:hAnsi="仿宋" w:eastAsia="仿宋" w:cs="仿宋"/>
          <w:sz w:val="32"/>
          <w:szCs w:val="32"/>
        </w:rPr>
        <w:t>、综合行政执法队。核定财政性资金基本保障事业编制</w:t>
      </w:r>
      <w:r>
        <w:rPr>
          <w:rFonts w:ascii="仿宋" w:hAnsi="仿宋" w:eastAsia="仿宋" w:cs="仿宋"/>
          <w:sz w:val="32"/>
          <w:szCs w:val="32"/>
        </w:rPr>
        <w:t>15</w:t>
      </w:r>
      <w:r>
        <w:rPr>
          <w:rFonts w:hint="eastAsia" w:ascii="仿宋" w:hAnsi="仿宋" w:eastAsia="仿宋" w:cs="仿宋"/>
          <w:sz w:val="32"/>
          <w:szCs w:val="32"/>
        </w:rPr>
        <w:t>名，股级职数</w:t>
      </w:r>
      <w:r>
        <w:rPr>
          <w:rFonts w:ascii="仿宋" w:hAnsi="仿宋" w:eastAsia="仿宋" w:cs="仿宋"/>
          <w:sz w:val="32"/>
          <w:szCs w:val="32"/>
        </w:rPr>
        <w:t>1</w:t>
      </w:r>
      <w:r>
        <w:rPr>
          <w:rFonts w:hint="eastAsia" w:ascii="仿宋" w:hAnsi="仿宋" w:eastAsia="仿宋" w:cs="仿宋"/>
          <w:sz w:val="32"/>
          <w:szCs w:val="32"/>
        </w:rPr>
        <w:t>正</w:t>
      </w:r>
      <w:r>
        <w:rPr>
          <w:rFonts w:ascii="仿宋" w:hAnsi="仿宋" w:eastAsia="仿宋" w:cs="仿宋"/>
          <w:sz w:val="32"/>
          <w:szCs w:val="32"/>
        </w:rPr>
        <w:t>2</w:t>
      </w:r>
      <w:r>
        <w:rPr>
          <w:rFonts w:hint="eastAsia" w:ascii="仿宋" w:hAnsi="仿宋" w:eastAsia="仿宋" w:cs="仿宋"/>
          <w:sz w:val="32"/>
          <w:szCs w:val="32"/>
        </w:rPr>
        <w:t>副。根据有关法律法规和上级部门授权、委托，承担城乡建设、生态环境、文化市场、农业农村、安全生产、民族宗教等领域行政执法工作。</w:t>
      </w:r>
      <w:r>
        <w:rPr>
          <w:rFonts w:ascii="仿宋" w:hAnsi="仿宋" w:eastAsia="仿宋" w:cs="仿宋"/>
          <w:sz w:val="32"/>
          <w:szCs w:val="32"/>
        </w:rPr>
        <w:t>6</w:t>
      </w:r>
      <w:r>
        <w:rPr>
          <w:rFonts w:hint="eastAsia" w:ascii="仿宋" w:hAnsi="仿宋" w:eastAsia="仿宋" w:cs="仿宋"/>
          <w:sz w:val="32"/>
          <w:szCs w:val="32"/>
        </w:rPr>
        <w:t>、行政综合服务中心</w:t>
      </w:r>
      <w:r>
        <w:rPr>
          <w:rFonts w:ascii="仿宋" w:hAnsi="仿宋" w:eastAsia="仿宋" w:cs="仿宋"/>
          <w:sz w:val="32"/>
          <w:szCs w:val="32"/>
        </w:rPr>
        <w:t>(</w:t>
      </w:r>
      <w:r>
        <w:rPr>
          <w:rFonts w:hint="eastAsia" w:ascii="仿宋" w:hAnsi="仿宋" w:eastAsia="仿宋" w:cs="仿宋"/>
          <w:sz w:val="32"/>
          <w:szCs w:val="32"/>
        </w:rPr>
        <w:t>挂综合文化服务站、财政所牌子</w:t>
      </w:r>
      <w:r>
        <w:rPr>
          <w:rFonts w:ascii="仿宋" w:hAnsi="仿宋" w:eastAsia="仿宋" w:cs="仿宋"/>
          <w:sz w:val="32"/>
          <w:szCs w:val="32"/>
        </w:rPr>
        <w:t>)</w:t>
      </w:r>
      <w:r>
        <w:rPr>
          <w:rFonts w:hint="eastAsia" w:ascii="仿宋" w:hAnsi="仿宋" w:eastAsia="仿宋" w:cs="仿宋"/>
          <w:sz w:val="32"/>
          <w:szCs w:val="32"/>
        </w:rPr>
        <w:t>。核定财政性资金基本保障事业编制</w:t>
      </w:r>
      <w:r>
        <w:rPr>
          <w:rFonts w:ascii="仿宋" w:hAnsi="仿宋" w:eastAsia="仿宋" w:cs="仿宋"/>
          <w:sz w:val="32"/>
          <w:szCs w:val="32"/>
        </w:rPr>
        <w:t>9</w:t>
      </w:r>
      <w:r>
        <w:rPr>
          <w:rFonts w:hint="eastAsia" w:ascii="仿宋" w:hAnsi="仿宋" w:eastAsia="仿宋" w:cs="仿宋"/>
          <w:sz w:val="32"/>
          <w:szCs w:val="32"/>
        </w:rPr>
        <w:t>名，股级职数</w:t>
      </w:r>
      <w:r>
        <w:rPr>
          <w:rFonts w:ascii="仿宋" w:hAnsi="仿宋" w:eastAsia="仿宋" w:cs="仿宋"/>
          <w:sz w:val="32"/>
          <w:szCs w:val="32"/>
        </w:rPr>
        <w:t>1</w:t>
      </w:r>
      <w:r>
        <w:rPr>
          <w:rFonts w:hint="eastAsia" w:ascii="仿宋" w:hAnsi="仿宋" w:eastAsia="仿宋" w:cs="仿宋"/>
          <w:sz w:val="32"/>
          <w:szCs w:val="32"/>
        </w:rPr>
        <w:t>正</w:t>
      </w:r>
      <w:r>
        <w:rPr>
          <w:rFonts w:ascii="仿宋" w:hAnsi="仿宋" w:eastAsia="仿宋" w:cs="仿宋"/>
          <w:sz w:val="32"/>
          <w:szCs w:val="32"/>
        </w:rPr>
        <w:t>2</w:t>
      </w:r>
      <w:r>
        <w:rPr>
          <w:rFonts w:hint="eastAsia" w:ascii="仿宋" w:hAnsi="仿宋" w:eastAsia="仿宋" w:cs="仿宋"/>
          <w:sz w:val="32"/>
          <w:szCs w:val="32"/>
        </w:rPr>
        <w:t>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w:t>
      </w:r>
      <w:r>
        <w:rPr>
          <w:rFonts w:ascii="仿宋" w:hAnsi="仿宋" w:eastAsia="仿宋" w:cs="仿宋"/>
          <w:sz w:val="32"/>
          <w:szCs w:val="32"/>
        </w:rPr>
        <w:t>7</w:t>
      </w:r>
      <w:r>
        <w:rPr>
          <w:rFonts w:hint="eastAsia" w:ascii="仿宋" w:hAnsi="仿宋" w:eastAsia="仿宋" w:cs="仿宋"/>
          <w:sz w:val="32"/>
          <w:szCs w:val="32"/>
        </w:rPr>
        <w:t>、农业综合服务中心（挂经济发展办公室牌子）。核定财政性资金基本保障事业编制</w:t>
      </w:r>
      <w:r>
        <w:rPr>
          <w:rFonts w:ascii="仿宋" w:hAnsi="仿宋" w:eastAsia="仿宋" w:cs="仿宋"/>
          <w:sz w:val="32"/>
          <w:szCs w:val="32"/>
        </w:rPr>
        <w:t>9</w:t>
      </w:r>
      <w:r>
        <w:rPr>
          <w:rFonts w:hint="eastAsia" w:ascii="仿宋" w:hAnsi="仿宋" w:eastAsia="仿宋" w:cs="仿宋"/>
          <w:sz w:val="32"/>
          <w:szCs w:val="32"/>
        </w:rPr>
        <w:t>名，股级职数</w:t>
      </w:r>
      <w:r>
        <w:rPr>
          <w:rFonts w:ascii="仿宋" w:hAnsi="仿宋" w:eastAsia="仿宋" w:cs="仿宋"/>
          <w:sz w:val="32"/>
          <w:szCs w:val="32"/>
        </w:rPr>
        <w:t>1</w:t>
      </w:r>
      <w:r>
        <w:rPr>
          <w:rFonts w:hint="eastAsia" w:ascii="仿宋" w:hAnsi="仿宋" w:eastAsia="仿宋" w:cs="仿宋"/>
          <w:sz w:val="32"/>
          <w:szCs w:val="32"/>
        </w:rPr>
        <w:t>正两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r>
        <w:rPr>
          <w:rFonts w:ascii="仿宋" w:hAnsi="仿宋" w:eastAsia="仿宋" w:cs="仿宋"/>
          <w:sz w:val="32"/>
          <w:szCs w:val="32"/>
        </w:rPr>
        <w:t>8</w:t>
      </w:r>
      <w:r>
        <w:rPr>
          <w:rFonts w:hint="eastAsia" w:ascii="仿宋" w:hAnsi="仿宋" w:eastAsia="仿宋" w:cs="仿宋"/>
          <w:sz w:val="32"/>
          <w:szCs w:val="32"/>
        </w:rPr>
        <w:t>、退役军人服务站。核定财政性资金基本保障事业编制</w:t>
      </w:r>
      <w:r>
        <w:rPr>
          <w:rFonts w:ascii="仿宋" w:hAnsi="仿宋" w:eastAsia="仿宋" w:cs="仿宋"/>
          <w:sz w:val="32"/>
          <w:szCs w:val="32"/>
        </w:rPr>
        <w:t>3</w:t>
      </w:r>
      <w:r>
        <w:rPr>
          <w:rFonts w:hint="eastAsia" w:ascii="仿宋" w:hAnsi="仿宋" w:eastAsia="仿宋" w:cs="仿宋"/>
          <w:sz w:val="32"/>
          <w:szCs w:val="32"/>
        </w:rPr>
        <w:t>名，股级职数</w:t>
      </w:r>
      <w:r>
        <w:rPr>
          <w:rFonts w:ascii="仿宋" w:hAnsi="仿宋" w:eastAsia="仿宋" w:cs="仿宋"/>
          <w:sz w:val="32"/>
          <w:szCs w:val="32"/>
        </w:rPr>
        <w:t>1</w:t>
      </w:r>
      <w:r>
        <w:rPr>
          <w:rFonts w:hint="eastAsia" w:ascii="仿宋" w:hAnsi="仿宋" w:eastAsia="仿宋" w:cs="仿宋"/>
          <w:sz w:val="32"/>
          <w:szCs w:val="32"/>
        </w:rPr>
        <w:t>名。负责退役军人就业创业扶持、拥军优属、优抚帮扶、走访慰问、信访接待、权益保障等工作；配合武装部做好征兵、民兵、预备役、国防教育、国民经济动员、人民防空、国防交通、国防设施保护等相关工作。镇纪委（监察办公室）。核定行政编制</w:t>
      </w:r>
      <w:r>
        <w:rPr>
          <w:rFonts w:ascii="仿宋" w:hAnsi="仿宋" w:eastAsia="仿宋" w:cs="仿宋"/>
          <w:sz w:val="32"/>
          <w:szCs w:val="32"/>
        </w:rPr>
        <w:t>4</w:t>
      </w:r>
      <w:r>
        <w:rPr>
          <w:rFonts w:hint="eastAsia" w:ascii="仿宋" w:hAnsi="仿宋" w:eastAsia="仿宋" w:cs="仿宋"/>
          <w:sz w:val="32"/>
          <w:szCs w:val="32"/>
        </w:rPr>
        <w:t>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作等情况；负责组织协调全镇党风廉政建设和</w:t>
      </w:r>
      <w:r>
        <w:rPr>
          <w:rFonts w:hint="eastAsia" w:ascii="仿宋" w:hAnsi="仿宋" w:eastAsia="仿宋" w:cs="仿宋"/>
          <w:sz w:val="32"/>
          <w:szCs w:val="32"/>
          <w:lang w:val="en-US" w:eastAsia="zh-CN"/>
        </w:rPr>
        <w:t>反</w:t>
      </w:r>
      <w:r>
        <w:rPr>
          <w:rFonts w:hint="eastAsia" w:ascii="仿宋" w:hAnsi="仿宋" w:eastAsia="仿宋" w:cs="仿宋"/>
          <w:sz w:val="32"/>
          <w:szCs w:val="32"/>
        </w:rPr>
        <w:t>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14:paraId="0688B674">
      <w:pPr>
        <w:keepNext/>
        <w:keepLines/>
        <w:spacing w:line="578" w:lineRule="exact"/>
        <w:ind w:firstLine="640" w:firstLineChars="200"/>
        <w:jc w:val="left"/>
        <w:outlineLvl w:val="0"/>
        <w:rPr>
          <w:rFonts w:ascii="仿宋" w:hAnsi="仿宋" w:eastAsia="仿宋" w:cs="仿宋"/>
          <w:kern w:val="0"/>
          <w:sz w:val="32"/>
          <w:szCs w:val="32"/>
        </w:rPr>
      </w:pPr>
      <w:r>
        <w:rPr>
          <w:rFonts w:ascii="仿宋" w:hAnsi="仿宋" w:eastAsia="仿宋" w:cs="仿宋"/>
          <w:kern w:val="0"/>
          <w:sz w:val="32"/>
          <w:szCs w:val="32"/>
        </w:rPr>
        <w:t>2.</w:t>
      </w:r>
      <w:r>
        <w:rPr>
          <w:rFonts w:hint="eastAsia" w:ascii="仿宋" w:hAnsi="仿宋" w:eastAsia="仿宋" w:cs="仿宋"/>
          <w:kern w:val="0"/>
          <w:sz w:val="32"/>
          <w:szCs w:val="32"/>
        </w:rPr>
        <w:t>机构设置：从绩效自评单位构成看，纳入</w:t>
      </w:r>
      <w:r>
        <w:rPr>
          <w:rFonts w:ascii="仿宋" w:hAnsi="仿宋" w:eastAsia="仿宋" w:cs="仿宋"/>
          <w:kern w:val="0"/>
          <w:sz w:val="32"/>
          <w:szCs w:val="32"/>
        </w:rPr>
        <w:t>202</w:t>
      </w:r>
      <w:r>
        <w:rPr>
          <w:rFonts w:hint="eastAsia" w:ascii="仿宋" w:hAnsi="仿宋" w:eastAsia="仿宋" w:cs="仿宋"/>
          <w:kern w:val="0"/>
          <w:sz w:val="32"/>
          <w:szCs w:val="32"/>
          <w:lang w:val="en-US" w:eastAsia="zh-CN"/>
        </w:rPr>
        <w:t>3</w:t>
      </w:r>
      <w:r>
        <w:rPr>
          <w:rFonts w:hint="eastAsia" w:ascii="仿宋" w:hAnsi="仿宋" w:eastAsia="仿宋" w:cs="仿宋"/>
          <w:kern w:val="0"/>
          <w:sz w:val="32"/>
          <w:szCs w:val="32"/>
        </w:rPr>
        <w:t>年度本部门绩效自评范围的独立核算单位（以下简称“单位”）共</w:t>
      </w:r>
      <w:r>
        <w:rPr>
          <w:rFonts w:ascii="仿宋" w:hAnsi="仿宋" w:eastAsia="仿宋" w:cs="仿宋"/>
          <w:kern w:val="0"/>
          <w:sz w:val="32"/>
          <w:szCs w:val="32"/>
        </w:rPr>
        <w:t>1</w:t>
      </w:r>
      <w:r>
        <w:rPr>
          <w:rFonts w:hint="eastAsia" w:ascii="仿宋" w:hAnsi="仿宋" w:eastAsia="仿宋" w:cs="仿宋"/>
          <w:kern w:val="0"/>
          <w:sz w:val="32"/>
          <w:szCs w:val="32"/>
        </w:rPr>
        <w:t>个，具体情况如下：</w:t>
      </w:r>
    </w:p>
    <w:tbl>
      <w:tblPr>
        <w:tblStyle w:val="5"/>
        <w:tblpPr w:leftFromText="180" w:rightFromText="180" w:vertAnchor="text" w:horzAnchor="page" w:tblpXSpec="center" w:tblpY="10"/>
        <w:tblOverlap w:val="never"/>
        <w:tblW w:w="90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5"/>
        <w:gridCol w:w="5001"/>
        <w:gridCol w:w="1526"/>
        <w:gridCol w:w="1719"/>
      </w:tblGrid>
      <w:tr w14:paraId="3B619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755" w:type="dxa"/>
            <w:vAlign w:val="center"/>
          </w:tcPr>
          <w:p w14:paraId="246BDE95">
            <w:pPr>
              <w:spacing w:line="578" w:lineRule="exact"/>
              <w:jc w:val="center"/>
              <w:rPr>
                <w:rFonts w:ascii="仿宋" w:hAnsi="仿宋" w:eastAsia="仿宋" w:cs="仿宋"/>
                <w:b/>
                <w:bCs/>
                <w:kern w:val="0"/>
                <w:sz w:val="32"/>
                <w:szCs w:val="32"/>
              </w:rPr>
            </w:pPr>
            <w:r>
              <w:rPr>
                <w:rFonts w:hint="eastAsia" w:ascii="仿宋" w:hAnsi="仿宋" w:eastAsia="仿宋" w:cs="仿宋"/>
                <w:b/>
                <w:bCs/>
                <w:kern w:val="0"/>
                <w:sz w:val="32"/>
                <w:szCs w:val="32"/>
              </w:rPr>
              <w:t>序号</w:t>
            </w:r>
          </w:p>
        </w:tc>
        <w:tc>
          <w:tcPr>
            <w:tcW w:w="5001" w:type="dxa"/>
            <w:vAlign w:val="center"/>
          </w:tcPr>
          <w:p w14:paraId="22D10108">
            <w:pPr>
              <w:spacing w:line="578" w:lineRule="exact"/>
              <w:jc w:val="center"/>
              <w:rPr>
                <w:rFonts w:ascii="仿宋" w:hAnsi="仿宋" w:eastAsia="仿宋" w:cs="仿宋"/>
                <w:b/>
                <w:bCs/>
                <w:kern w:val="0"/>
                <w:sz w:val="32"/>
                <w:szCs w:val="32"/>
              </w:rPr>
            </w:pPr>
            <w:r>
              <w:rPr>
                <w:rFonts w:hint="eastAsia" w:ascii="仿宋" w:hAnsi="仿宋" w:eastAsia="仿宋" w:cs="仿宋"/>
                <w:b/>
                <w:bCs/>
                <w:kern w:val="0"/>
                <w:sz w:val="32"/>
                <w:szCs w:val="32"/>
              </w:rPr>
              <w:t>单位名称</w:t>
            </w:r>
          </w:p>
        </w:tc>
        <w:tc>
          <w:tcPr>
            <w:tcW w:w="1526" w:type="dxa"/>
            <w:vAlign w:val="center"/>
          </w:tcPr>
          <w:p w14:paraId="0E57C0EA">
            <w:pPr>
              <w:spacing w:line="578" w:lineRule="exact"/>
              <w:jc w:val="center"/>
              <w:rPr>
                <w:rFonts w:ascii="仿宋" w:hAnsi="仿宋" w:eastAsia="仿宋" w:cs="仿宋"/>
                <w:b/>
                <w:bCs/>
                <w:kern w:val="0"/>
                <w:sz w:val="32"/>
                <w:szCs w:val="32"/>
              </w:rPr>
            </w:pPr>
            <w:r>
              <w:rPr>
                <w:rFonts w:hint="eastAsia" w:ascii="仿宋" w:hAnsi="仿宋" w:eastAsia="仿宋" w:cs="仿宋"/>
                <w:b/>
                <w:bCs/>
                <w:kern w:val="0"/>
                <w:sz w:val="32"/>
                <w:szCs w:val="32"/>
              </w:rPr>
              <w:t>单位基本性质</w:t>
            </w:r>
          </w:p>
        </w:tc>
        <w:tc>
          <w:tcPr>
            <w:tcW w:w="1719" w:type="dxa"/>
            <w:vAlign w:val="center"/>
          </w:tcPr>
          <w:p w14:paraId="120E487C">
            <w:pPr>
              <w:spacing w:line="578" w:lineRule="exact"/>
              <w:jc w:val="center"/>
              <w:rPr>
                <w:rFonts w:ascii="仿宋" w:hAnsi="仿宋" w:eastAsia="仿宋" w:cs="仿宋"/>
                <w:b/>
                <w:bCs/>
                <w:kern w:val="0"/>
                <w:sz w:val="32"/>
                <w:szCs w:val="32"/>
              </w:rPr>
            </w:pPr>
            <w:r>
              <w:rPr>
                <w:rFonts w:hint="eastAsia" w:ascii="仿宋" w:hAnsi="仿宋" w:eastAsia="仿宋" w:cs="仿宋"/>
                <w:b/>
                <w:bCs/>
                <w:kern w:val="0"/>
                <w:sz w:val="32"/>
                <w:szCs w:val="32"/>
              </w:rPr>
              <w:t>经费形式</w:t>
            </w:r>
          </w:p>
        </w:tc>
      </w:tr>
      <w:tr w14:paraId="7DA14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755" w:type="dxa"/>
          </w:tcPr>
          <w:p w14:paraId="7CAD252A">
            <w:pPr>
              <w:spacing w:line="578" w:lineRule="exact"/>
              <w:jc w:val="center"/>
              <w:rPr>
                <w:rFonts w:ascii="仿宋" w:hAnsi="仿宋" w:eastAsia="仿宋" w:cs="仿宋"/>
                <w:kern w:val="0"/>
                <w:sz w:val="32"/>
                <w:szCs w:val="32"/>
              </w:rPr>
            </w:pPr>
            <w:r>
              <w:rPr>
                <w:rFonts w:ascii="仿宋" w:hAnsi="仿宋" w:eastAsia="仿宋" w:cs="仿宋"/>
                <w:kern w:val="0"/>
                <w:sz w:val="32"/>
                <w:szCs w:val="32"/>
              </w:rPr>
              <w:t>1</w:t>
            </w:r>
          </w:p>
        </w:tc>
        <w:tc>
          <w:tcPr>
            <w:tcW w:w="5001" w:type="dxa"/>
          </w:tcPr>
          <w:p w14:paraId="73B99E0D">
            <w:pPr>
              <w:spacing w:line="578" w:lineRule="exact"/>
              <w:ind w:left="2240" w:hanging="2240" w:hangingChars="700"/>
              <w:rPr>
                <w:rFonts w:ascii="仿宋" w:hAnsi="仿宋" w:eastAsia="仿宋" w:cs="仿宋"/>
                <w:kern w:val="0"/>
                <w:sz w:val="32"/>
                <w:szCs w:val="32"/>
              </w:rPr>
            </w:pPr>
            <w:r>
              <w:rPr>
                <w:rFonts w:hint="eastAsia" w:ascii="仿宋" w:hAnsi="仿宋" w:eastAsia="仿宋" w:cs="仿宋"/>
                <w:kern w:val="0"/>
                <w:sz w:val="32"/>
                <w:szCs w:val="32"/>
              </w:rPr>
              <w:t>石家庄市鹿泉区李村镇人民政府</w:t>
            </w:r>
          </w:p>
        </w:tc>
        <w:tc>
          <w:tcPr>
            <w:tcW w:w="1526" w:type="dxa"/>
          </w:tcPr>
          <w:p w14:paraId="1A159100">
            <w:pPr>
              <w:spacing w:line="578" w:lineRule="exact"/>
              <w:jc w:val="center"/>
              <w:rPr>
                <w:rFonts w:ascii="仿宋" w:hAnsi="仿宋" w:eastAsia="仿宋" w:cs="仿宋"/>
                <w:kern w:val="0"/>
                <w:sz w:val="32"/>
                <w:szCs w:val="32"/>
              </w:rPr>
            </w:pPr>
            <w:r>
              <w:rPr>
                <w:rFonts w:hint="eastAsia" w:ascii="仿宋" w:hAnsi="仿宋" w:eastAsia="仿宋" w:cs="仿宋"/>
                <w:kern w:val="0"/>
                <w:sz w:val="32"/>
                <w:szCs w:val="32"/>
              </w:rPr>
              <w:t>行政单位</w:t>
            </w:r>
          </w:p>
        </w:tc>
        <w:tc>
          <w:tcPr>
            <w:tcW w:w="1719" w:type="dxa"/>
          </w:tcPr>
          <w:p w14:paraId="78A5E598">
            <w:pPr>
              <w:spacing w:line="578" w:lineRule="exact"/>
              <w:jc w:val="center"/>
              <w:rPr>
                <w:rFonts w:ascii="仿宋" w:hAnsi="仿宋" w:eastAsia="仿宋" w:cs="仿宋"/>
                <w:kern w:val="0"/>
                <w:sz w:val="32"/>
                <w:szCs w:val="32"/>
              </w:rPr>
            </w:pPr>
            <w:r>
              <w:rPr>
                <w:rFonts w:hint="eastAsia" w:ascii="仿宋" w:hAnsi="仿宋" w:eastAsia="仿宋" w:cs="仿宋"/>
                <w:kern w:val="0"/>
                <w:sz w:val="32"/>
                <w:szCs w:val="32"/>
              </w:rPr>
              <w:t>财政拨款</w:t>
            </w:r>
          </w:p>
        </w:tc>
      </w:tr>
    </w:tbl>
    <w:p w14:paraId="15F34490">
      <w:pPr>
        <w:adjustRightInd w:val="0"/>
        <w:snapToGrid w:val="0"/>
        <w:spacing w:line="578" w:lineRule="exact"/>
        <w:ind w:firstLine="640" w:firstLineChars="200"/>
        <w:rPr>
          <w:rFonts w:ascii="仿宋" w:hAnsi="仿宋" w:eastAsia="仿宋" w:cs="仿宋"/>
          <w:kern w:val="0"/>
          <w:sz w:val="32"/>
          <w:szCs w:val="32"/>
        </w:rPr>
      </w:pPr>
      <w:r>
        <w:rPr>
          <w:rFonts w:ascii="仿宋" w:hAnsi="仿宋" w:eastAsia="仿宋" w:cs="仿宋"/>
          <w:kern w:val="0"/>
          <w:sz w:val="32"/>
          <w:szCs w:val="32"/>
        </w:rPr>
        <w:t>3.</w:t>
      </w:r>
      <w:r>
        <w:rPr>
          <w:rFonts w:hint="eastAsia" w:ascii="仿宋" w:hAnsi="仿宋" w:eastAsia="仿宋" w:cs="仿宋"/>
          <w:kern w:val="0"/>
          <w:sz w:val="32"/>
          <w:szCs w:val="32"/>
        </w:rPr>
        <w:t>资产情况：截至</w:t>
      </w:r>
      <w:r>
        <w:rPr>
          <w:rFonts w:ascii="仿宋" w:hAnsi="仿宋" w:eastAsia="仿宋" w:cs="仿宋"/>
          <w:kern w:val="0"/>
          <w:sz w:val="32"/>
          <w:szCs w:val="32"/>
        </w:rPr>
        <w:t>2023</w:t>
      </w:r>
      <w:r>
        <w:rPr>
          <w:rFonts w:hint="eastAsia" w:ascii="仿宋" w:hAnsi="仿宋" w:eastAsia="仿宋" w:cs="仿宋"/>
          <w:kern w:val="0"/>
          <w:sz w:val="32"/>
          <w:szCs w:val="32"/>
        </w:rPr>
        <w:t>年</w:t>
      </w:r>
      <w:r>
        <w:rPr>
          <w:rFonts w:ascii="仿宋" w:hAnsi="仿宋" w:eastAsia="仿宋" w:cs="仿宋"/>
          <w:kern w:val="0"/>
          <w:sz w:val="32"/>
          <w:szCs w:val="32"/>
        </w:rPr>
        <w:t>12</w:t>
      </w:r>
      <w:r>
        <w:rPr>
          <w:rFonts w:hint="eastAsia" w:ascii="仿宋" w:hAnsi="仿宋" w:eastAsia="仿宋" w:cs="仿宋"/>
          <w:kern w:val="0"/>
          <w:sz w:val="32"/>
          <w:szCs w:val="32"/>
        </w:rPr>
        <w:t>月</w:t>
      </w:r>
      <w:r>
        <w:rPr>
          <w:rFonts w:ascii="仿宋" w:hAnsi="仿宋" w:eastAsia="仿宋" w:cs="仿宋"/>
          <w:kern w:val="0"/>
          <w:sz w:val="32"/>
          <w:szCs w:val="32"/>
        </w:rPr>
        <w:t>31</w:t>
      </w:r>
      <w:r>
        <w:rPr>
          <w:rFonts w:hint="eastAsia" w:ascii="仿宋" w:hAnsi="仿宋" w:eastAsia="仿宋" w:cs="仿宋"/>
          <w:kern w:val="0"/>
          <w:sz w:val="32"/>
          <w:szCs w:val="32"/>
        </w:rPr>
        <w:t>日，固定资产</w:t>
      </w:r>
      <w:r>
        <w:rPr>
          <w:rFonts w:ascii="仿宋" w:hAnsi="仿宋" w:eastAsia="仿宋" w:cs="仿宋"/>
          <w:kern w:val="0"/>
          <w:sz w:val="32"/>
          <w:szCs w:val="32"/>
        </w:rPr>
        <w:t>566.18</w:t>
      </w:r>
      <w:r>
        <w:rPr>
          <w:rFonts w:hint="eastAsia" w:ascii="仿宋" w:hAnsi="仿宋" w:eastAsia="仿宋" w:cs="仿宋"/>
          <w:kern w:val="0"/>
          <w:sz w:val="32"/>
          <w:szCs w:val="32"/>
        </w:rPr>
        <w:t>万元，其中：房屋及构筑物</w:t>
      </w:r>
      <w:r>
        <w:rPr>
          <w:rFonts w:ascii="仿宋" w:hAnsi="仿宋" w:eastAsia="仿宋" w:cs="仿宋"/>
          <w:kern w:val="0"/>
          <w:sz w:val="32"/>
          <w:szCs w:val="32"/>
        </w:rPr>
        <w:t>227.48</w:t>
      </w:r>
      <w:r>
        <w:rPr>
          <w:rFonts w:hint="eastAsia" w:ascii="仿宋" w:hAnsi="仿宋" w:eastAsia="仿宋" w:cs="仿宋"/>
          <w:kern w:val="0"/>
          <w:sz w:val="32"/>
          <w:szCs w:val="32"/>
        </w:rPr>
        <w:t>万元，通用设备</w:t>
      </w:r>
      <w:r>
        <w:rPr>
          <w:rFonts w:ascii="仿宋" w:hAnsi="仿宋" w:eastAsia="仿宋" w:cs="仿宋"/>
          <w:kern w:val="0"/>
          <w:sz w:val="32"/>
          <w:szCs w:val="32"/>
        </w:rPr>
        <w:t>251.75</w:t>
      </w:r>
      <w:r>
        <w:rPr>
          <w:rFonts w:hint="eastAsia" w:ascii="仿宋" w:hAnsi="仿宋" w:eastAsia="仿宋" w:cs="仿宋"/>
          <w:kern w:val="0"/>
          <w:sz w:val="32"/>
          <w:szCs w:val="32"/>
        </w:rPr>
        <w:t>万元，专用设备</w:t>
      </w:r>
      <w:r>
        <w:rPr>
          <w:rFonts w:ascii="仿宋" w:hAnsi="仿宋" w:eastAsia="仿宋" w:cs="仿宋"/>
          <w:kern w:val="0"/>
          <w:sz w:val="32"/>
          <w:szCs w:val="32"/>
        </w:rPr>
        <w:t>55.22</w:t>
      </w:r>
      <w:r>
        <w:rPr>
          <w:rFonts w:hint="eastAsia" w:ascii="仿宋" w:hAnsi="仿宋" w:eastAsia="仿宋" w:cs="仿宋"/>
          <w:kern w:val="0"/>
          <w:sz w:val="32"/>
          <w:szCs w:val="32"/>
        </w:rPr>
        <w:t>万元，家具、用具、装具</w:t>
      </w:r>
      <w:r>
        <w:rPr>
          <w:rFonts w:ascii="仿宋" w:hAnsi="仿宋" w:eastAsia="仿宋" w:cs="仿宋"/>
          <w:kern w:val="0"/>
          <w:sz w:val="32"/>
          <w:szCs w:val="32"/>
        </w:rPr>
        <w:t>31.73</w:t>
      </w:r>
      <w:r>
        <w:rPr>
          <w:rFonts w:hint="eastAsia" w:ascii="仿宋" w:hAnsi="仿宋" w:eastAsia="仿宋" w:cs="仿宋"/>
          <w:kern w:val="0"/>
          <w:sz w:val="32"/>
          <w:szCs w:val="32"/>
        </w:rPr>
        <w:t>万元。本部门共有车辆</w:t>
      </w:r>
      <w:r>
        <w:rPr>
          <w:rFonts w:ascii="仿宋" w:hAnsi="仿宋" w:eastAsia="仿宋" w:cs="仿宋"/>
          <w:kern w:val="0"/>
          <w:sz w:val="32"/>
          <w:szCs w:val="32"/>
        </w:rPr>
        <w:t>2</w:t>
      </w:r>
      <w:r>
        <w:rPr>
          <w:rFonts w:hint="eastAsia" w:ascii="仿宋" w:hAnsi="仿宋" w:eastAsia="仿宋" w:cs="仿宋"/>
          <w:kern w:val="0"/>
          <w:sz w:val="32"/>
          <w:szCs w:val="32"/>
        </w:rPr>
        <w:t>辆，与上年持平。其中，副部（省）级及以上领导用车</w:t>
      </w:r>
      <w:r>
        <w:rPr>
          <w:rFonts w:ascii="仿宋" w:hAnsi="仿宋" w:eastAsia="仿宋" w:cs="仿宋"/>
          <w:kern w:val="0"/>
          <w:sz w:val="32"/>
          <w:szCs w:val="32"/>
        </w:rPr>
        <w:t>0</w:t>
      </w:r>
      <w:r>
        <w:rPr>
          <w:rFonts w:hint="eastAsia" w:ascii="仿宋" w:hAnsi="仿宋" w:eastAsia="仿宋" w:cs="仿宋"/>
          <w:kern w:val="0"/>
          <w:sz w:val="32"/>
          <w:szCs w:val="32"/>
        </w:rPr>
        <w:t>辆，主要领导干部用车</w:t>
      </w:r>
      <w:r>
        <w:rPr>
          <w:rFonts w:ascii="仿宋" w:hAnsi="仿宋" w:eastAsia="仿宋" w:cs="仿宋"/>
          <w:kern w:val="0"/>
          <w:sz w:val="32"/>
          <w:szCs w:val="32"/>
        </w:rPr>
        <w:t xml:space="preserve"> 0</w:t>
      </w:r>
      <w:r>
        <w:rPr>
          <w:rFonts w:hint="eastAsia" w:ascii="仿宋" w:hAnsi="仿宋" w:eastAsia="仿宋" w:cs="仿宋"/>
          <w:kern w:val="0"/>
          <w:sz w:val="32"/>
          <w:szCs w:val="32"/>
        </w:rPr>
        <w:t>辆，机要通信用车</w:t>
      </w:r>
      <w:r>
        <w:rPr>
          <w:rFonts w:ascii="仿宋" w:hAnsi="仿宋" w:eastAsia="仿宋" w:cs="仿宋"/>
          <w:kern w:val="0"/>
          <w:sz w:val="32"/>
          <w:szCs w:val="32"/>
        </w:rPr>
        <w:t>0</w:t>
      </w:r>
      <w:r>
        <w:rPr>
          <w:rFonts w:hint="eastAsia" w:ascii="仿宋" w:hAnsi="仿宋" w:eastAsia="仿宋" w:cs="仿宋"/>
          <w:kern w:val="0"/>
          <w:sz w:val="32"/>
          <w:szCs w:val="32"/>
        </w:rPr>
        <w:t>辆，应急保障用车</w:t>
      </w:r>
      <w:r>
        <w:rPr>
          <w:rFonts w:ascii="仿宋" w:hAnsi="仿宋" w:eastAsia="仿宋" w:cs="仿宋"/>
          <w:kern w:val="0"/>
          <w:sz w:val="32"/>
          <w:szCs w:val="32"/>
        </w:rPr>
        <w:t>0</w:t>
      </w:r>
      <w:r>
        <w:rPr>
          <w:rFonts w:hint="eastAsia" w:ascii="仿宋" w:hAnsi="仿宋" w:eastAsia="仿宋" w:cs="仿宋"/>
          <w:kern w:val="0"/>
          <w:sz w:val="32"/>
          <w:szCs w:val="32"/>
        </w:rPr>
        <w:t>辆，执法执勤用车</w:t>
      </w:r>
      <w:r>
        <w:rPr>
          <w:rFonts w:ascii="仿宋" w:hAnsi="仿宋" w:eastAsia="仿宋" w:cs="仿宋"/>
          <w:kern w:val="0"/>
          <w:sz w:val="32"/>
          <w:szCs w:val="32"/>
        </w:rPr>
        <w:t>0</w:t>
      </w:r>
      <w:r>
        <w:rPr>
          <w:rFonts w:hint="eastAsia" w:ascii="仿宋" w:hAnsi="仿宋" w:eastAsia="仿宋" w:cs="仿宋"/>
          <w:kern w:val="0"/>
          <w:sz w:val="32"/>
          <w:szCs w:val="32"/>
        </w:rPr>
        <w:t>辆，特种专业技术用车</w:t>
      </w:r>
      <w:r>
        <w:rPr>
          <w:rFonts w:ascii="仿宋" w:hAnsi="仿宋" w:eastAsia="仿宋" w:cs="仿宋"/>
          <w:kern w:val="0"/>
          <w:sz w:val="32"/>
          <w:szCs w:val="32"/>
        </w:rPr>
        <w:t>0</w:t>
      </w:r>
      <w:r>
        <w:rPr>
          <w:rFonts w:hint="eastAsia" w:ascii="仿宋" w:hAnsi="仿宋" w:eastAsia="仿宋" w:cs="仿宋"/>
          <w:kern w:val="0"/>
          <w:sz w:val="32"/>
          <w:szCs w:val="32"/>
        </w:rPr>
        <w:t>辆，离退休干部用车</w:t>
      </w:r>
      <w:r>
        <w:rPr>
          <w:rFonts w:ascii="仿宋" w:hAnsi="仿宋" w:eastAsia="仿宋" w:cs="仿宋"/>
          <w:kern w:val="0"/>
          <w:sz w:val="32"/>
          <w:szCs w:val="32"/>
        </w:rPr>
        <w:t>0</w:t>
      </w:r>
      <w:r>
        <w:rPr>
          <w:rFonts w:hint="eastAsia" w:ascii="仿宋" w:hAnsi="仿宋" w:eastAsia="仿宋" w:cs="仿宋"/>
          <w:kern w:val="0"/>
          <w:sz w:val="32"/>
          <w:szCs w:val="32"/>
        </w:rPr>
        <w:t>辆，其他用车</w:t>
      </w:r>
      <w:r>
        <w:rPr>
          <w:rFonts w:ascii="仿宋" w:hAnsi="仿宋" w:eastAsia="仿宋" w:cs="仿宋"/>
          <w:kern w:val="0"/>
          <w:sz w:val="32"/>
          <w:szCs w:val="32"/>
        </w:rPr>
        <w:t>2</w:t>
      </w:r>
      <w:r>
        <w:rPr>
          <w:rFonts w:hint="eastAsia" w:ascii="仿宋" w:hAnsi="仿宋" w:eastAsia="仿宋" w:cs="仿宋"/>
          <w:kern w:val="0"/>
          <w:sz w:val="32"/>
          <w:szCs w:val="32"/>
        </w:rPr>
        <w:t>辆，与上年持平；单位价值</w:t>
      </w:r>
      <w:r>
        <w:rPr>
          <w:rFonts w:ascii="仿宋" w:hAnsi="仿宋" w:eastAsia="仿宋" w:cs="仿宋"/>
          <w:kern w:val="0"/>
          <w:sz w:val="32"/>
          <w:szCs w:val="32"/>
        </w:rPr>
        <w:t>100</w:t>
      </w:r>
      <w:r>
        <w:rPr>
          <w:rFonts w:hint="eastAsia" w:ascii="仿宋" w:hAnsi="仿宋" w:eastAsia="仿宋" w:cs="仿宋"/>
          <w:kern w:val="0"/>
          <w:sz w:val="32"/>
          <w:szCs w:val="32"/>
        </w:rPr>
        <w:t>万元以上设备（不含车辆）</w:t>
      </w:r>
      <w:r>
        <w:rPr>
          <w:rFonts w:ascii="仿宋" w:hAnsi="仿宋" w:eastAsia="仿宋" w:cs="仿宋"/>
          <w:kern w:val="0"/>
          <w:sz w:val="32"/>
          <w:szCs w:val="32"/>
        </w:rPr>
        <w:t>0</w:t>
      </w:r>
      <w:r>
        <w:rPr>
          <w:rFonts w:hint="eastAsia" w:ascii="仿宋" w:hAnsi="仿宋" w:eastAsia="仿宋" w:cs="仿宋"/>
          <w:kern w:val="0"/>
          <w:sz w:val="32"/>
          <w:szCs w:val="32"/>
        </w:rPr>
        <w:t>套，与上年持平。</w:t>
      </w:r>
    </w:p>
    <w:p w14:paraId="00A35B4F">
      <w:pPr>
        <w:adjustRightInd w:val="0"/>
        <w:snapToGrid w:val="0"/>
        <w:spacing w:line="578" w:lineRule="exact"/>
        <w:ind w:firstLine="640" w:firstLineChars="200"/>
        <w:rPr>
          <w:rFonts w:ascii="楷体" w:hAnsi="楷体" w:eastAsia="楷体" w:cs="仿宋"/>
          <w:sz w:val="32"/>
          <w:szCs w:val="32"/>
        </w:rPr>
      </w:pPr>
      <w:r>
        <w:rPr>
          <w:rFonts w:hint="eastAsia" w:ascii="楷体" w:hAnsi="楷体" w:eastAsia="楷体" w:cs="仿宋"/>
          <w:sz w:val="32"/>
          <w:szCs w:val="32"/>
        </w:rPr>
        <w:t>（二）部门收支预决算情况</w:t>
      </w:r>
    </w:p>
    <w:p w14:paraId="67A6AF9C">
      <w:pPr>
        <w:snapToGrid w:val="0"/>
        <w:spacing w:line="578" w:lineRule="exact"/>
        <w:ind w:firstLine="640" w:firstLineChars="200"/>
        <w:rPr>
          <w:rFonts w:ascii="仿宋" w:hAnsi="仿宋" w:eastAsia="仿宋" w:cs="仿宋"/>
          <w:sz w:val="32"/>
          <w:szCs w:val="32"/>
        </w:rPr>
      </w:pPr>
      <w:r>
        <w:rPr>
          <w:rFonts w:ascii="仿宋" w:hAnsi="仿宋" w:eastAsia="仿宋" w:cs="仿宋"/>
          <w:sz w:val="32"/>
          <w:szCs w:val="32"/>
        </w:rPr>
        <w:t>2023</w:t>
      </w:r>
      <w:r>
        <w:rPr>
          <w:rFonts w:hint="eastAsia" w:ascii="仿宋" w:hAnsi="仿宋" w:eastAsia="仿宋" w:cs="仿宋"/>
          <w:sz w:val="32"/>
          <w:szCs w:val="32"/>
        </w:rPr>
        <w:t>年度预算收入</w:t>
      </w:r>
      <w:r>
        <w:rPr>
          <w:rFonts w:ascii="仿宋" w:hAnsi="仿宋" w:eastAsia="仿宋" w:cs="仿宋"/>
          <w:sz w:val="32"/>
          <w:szCs w:val="32"/>
        </w:rPr>
        <w:t>5252.16</w:t>
      </w:r>
      <w:r>
        <w:rPr>
          <w:rFonts w:hint="eastAsia" w:ascii="仿宋" w:hAnsi="仿宋" w:eastAsia="仿宋" w:cs="仿宋"/>
          <w:sz w:val="32"/>
          <w:szCs w:val="32"/>
        </w:rPr>
        <w:t>万元，比</w:t>
      </w:r>
      <w:r>
        <w:rPr>
          <w:rFonts w:ascii="仿宋" w:hAnsi="仿宋" w:eastAsia="仿宋" w:cs="仿宋"/>
          <w:sz w:val="32"/>
          <w:szCs w:val="32"/>
        </w:rPr>
        <w:t>2022</w:t>
      </w:r>
      <w:r>
        <w:rPr>
          <w:rFonts w:hint="eastAsia" w:ascii="仿宋" w:hAnsi="仿宋" w:eastAsia="仿宋" w:cs="仿宋"/>
          <w:sz w:val="32"/>
          <w:szCs w:val="32"/>
        </w:rPr>
        <w:t>年预算收入</w:t>
      </w:r>
      <w:r>
        <w:rPr>
          <w:rFonts w:ascii="仿宋" w:hAnsi="仿宋" w:eastAsia="仿宋" w:cs="仿宋"/>
          <w:sz w:val="32"/>
          <w:szCs w:val="32"/>
        </w:rPr>
        <w:t>2971</w:t>
      </w:r>
      <w:r>
        <w:rPr>
          <w:rFonts w:hint="eastAsia" w:ascii="仿宋" w:hAnsi="仿宋" w:eastAsia="仿宋" w:cs="仿宋"/>
          <w:sz w:val="32"/>
          <w:szCs w:val="32"/>
        </w:rPr>
        <w:t>万元增加了</w:t>
      </w:r>
      <w:r>
        <w:rPr>
          <w:rFonts w:ascii="仿宋" w:hAnsi="仿宋" w:eastAsia="仿宋" w:cs="仿宋"/>
          <w:sz w:val="32"/>
          <w:szCs w:val="32"/>
        </w:rPr>
        <w:t>2281.16</w:t>
      </w:r>
      <w:r>
        <w:rPr>
          <w:rFonts w:hint="eastAsia" w:ascii="仿宋" w:hAnsi="仿宋" w:eastAsia="仿宋" w:cs="仿宋"/>
          <w:sz w:val="32"/>
          <w:szCs w:val="32"/>
        </w:rPr>
        <w:t>万元，增长了</w:t>
      </w:r>
      <w:r>
        <w:rPr>
          <w:rFonts w:ascii="仿宋" w:hAnsi="仿宋" w:eastAsia="仿宋" w:cs="仿宋"/>
          <w:sz w:val="32"/>
          <w:szCs w:val="32"/>
        </w:rPr>
        <w:t>76.8%</w:t>
      </w:r>
      <w:r>
        <w:rPr>
          <w:rFonts w:hint="eastAsia" w:ascii="仿宋" w:hAnsi="仿宋" w:eastAsia="仿宋" w:cs="仿宋"/>
          <w:sz w:val="32"/>
          <w:szCs w:val="32"/>
        </w:rPr>
        <w:t>；比年初预算数</w:t>
      </w:r>
      <w:r>
        <w:rPr>
          <w:rFonts w:ascii="仿宋" w:hAnsi="仿宋" w:eastAsia="仿宋" w:cs="仿宋"/>
          <w:sz w:val="32"/>
          <w:szCs w:val="32"/>
        </w:rPr>
        <w:t>5605.42</w:t>
      </w:r>
      <w:r>
        <w:rPr>
          <w:rFonts w:hint="eastAsia" w:ascii="仿宋" w:hAnsi="仿宋" w:eastAsia="仿宋" w:cs="仿宋"/>
          <w:sz w:val="32"/>
          <w:szCs w:val="32"/>
        </w:rPr>
        <w:t>万元减少了</w:t>
      </w:r>
      <w:r>
        <w:rPr>
          <w:rFonts w:ascii="仿宋" w:hAnsi="仿宋" w:eastAsia="仿宋" w:cs="仿宋"/>
          <w:sz w:val="32"/>
          <w:szCs w:val="32"/>
        </w:rPr>
        <w:t>353.26</w:t>
      </w:r>
      <w:r>
        <w:rPr>
          <w:rFonts w:hint="eastAsia" w:ascii="仿宋" w:hAnsi="仿宋" w:eastAsia="仿宋" w:cs="仿宋"/>
          <w:sz w:val="32"/>
          <w:szCs w:val="32"/>
        </w:rPr>
        <w:t>万元，减少</w:t>
      </w:r>
      <w:r>
        <w:rPr>
          <w:rFonts w:ascii="仿宋" w:hAnsi="仿宋" w:eastAsia="仿宋" w:cs="仿宋"/>
          <w:sz w:val="32"/>
          <w:szCs w:val="32"/>
        </w:rPr>
        <w:t>6.3%</w:t>
      </w:r>
      <w:r>
        <w:rPr>
          <w:rFonts w:hint="eastAsia" w:ascii="仿宋" w:hAnsi="仿宋" w:eastAsia="仿宋" w:cs="仿宋"/>
          <w:sz w:val="32"/>
          <w:szCs w:val="32"/>
        </w:rPr>
        <w:t>。</w:t>
      </w:r>
      <w:r>
        <w:rPr>
          <w:rFonts w:ascii="仿宋" w:hAnsi="仿宋" w:eastAsia="仿宋" w:cs="仿宋"/>
          <w:sz w:val="32"/>
          <w:szCs w:val="32"/>
        </w:rPr>
        <w:t>1</w:t>
      </w:r>
      <w:r>
        <w:rPr>
          <w:rFonts w:hint="eastAsia" w:ascii="仿宋" w:hAnsi="仿宋" w:eastAsia="仿宋" w:cs="仿宋"/>
          <w:sz w:val="32"/>
          <w:szCs w:val="32"/>
        </w:rPr>
        <w:t>、决算收入比</w:t>
      </w:r>
      <w:r>
        <w:rPr>
          <w:rFonts w:ascii="仿宋" w:hAnsi="仿宋" w:eastAsia="仿宋" w:cs="仿宋"/>
          <w:sz w:val="32"/>
          <w:szCs w:val="32"/>
        </w:rPr>
        <w:t>2022</w:t>
      </w:r>
      <w:r>
        <w:rPr>
          <w:rFonts w:hint="eastAsia" w:ascii="仿宋" w:hAnsi="仿宋" w:eastAsia="仿宋" w:cs="仿宋"/>
          <w:sz w:val="32"/>
          <w:szCs w:val="32"/>
        </w:rPr>
        <w:t>年增加的原因是主要是项目类李村镇智慧物流园项目地上附着物补偿返还款增加了</w:t>
      </w:r>
      <w:r>
        <w:rPr>
          <w:rFonts w:ascii="仿宋" w:hAnsi="仿宋" w:eastAsia="仿宋" w:cs="仿宋"/>
          <w:sz w:val="32"/>
          <w:szCs w:val="32"/>
        </w:rPr>
        <w:t>1995.43</w:t>
      </w:r>
      <w:r>
        <w:rPr>
          <w:rFonts w:hint="eastAsia" w:ascii="仿宋" w:hAnsi="仿宋" w:eastAsia="仿宋" w:cs="仿宋"/>
          <w:sz w:val="32"/>
          <w:szCs w:val="32"/>
        </w:rPr>
        <w:t>万元。</w:t>
      </w:r>
      <w:r>
        <w:rPr>
          <w:rFonts w:ascii="仿宋" w:hAnsi="仿宋" w:eastAsia="仿宋" w:cs="仿宋"/>
          <w:sz w:val="32"/>
          <w:szCs w:val="32"/>
        </w:rPr>
        <w:t>2</w:t>
      </w:r>
      <w:r>
        <w:rPr>
          <w:rFonts w:hint="eastAsia" w:ascii="仿宋" w:hAnsi="仿宋" w:eastAsia="仿宋" w:cs="仿宋"/>
          <w:sz w:val="32"/>
          <w:szCs w:val="32"/>
        </w:rPr>
        <w:t>、决算收入比预算减少的主要原因是基金类支出未能拨付，如：双同路拓宽升级项目</w:t>
      </w:r>
      <w:r>
        <w:rPr>
          <w:rFonts w:ascii="仿宋" w:hAnsi="仿宋" w:eastAsia="仿宋" w:cs="仿宋"/>
          <w:sz w:val="32"/>
          <w:szCs w:val="32"/>
        </w:rPr>
        <w:t>410</w:t>
      </w:r>
      <w:r>
        <w:rPr>
          <w:rFonts w:hint="eastAsia" w:ascii="仿宋" w:hAnsi="仿宋" w:eastAsia="仿宋" w:cs="仿宋"/>
          <w:sz w:val="32"/>
          <w:szCs w:val="32"/>
        </w:rPr>
        <w:t>万元、同阁工业区拆迁资金</w:t>
      </w:r>
      <w:r>
        <w:rPr>
          <w:rFonts w:ascii="仿宋" w:hAnsi="仿宋" w:eastAsia="仿宋" w:cs="仿宋"/>
          <w:sz w:val="32"/>
          <w:szCs w:val="32"/>
        </w:rPr>
        <w:t>185</w:t>
      </w:r>
      <w:r>
        <w:rPr>
          <w:rFonts w:hint="eastAsia" w:ascii="仿宋" w:hAnsi="仿宋" w:eastAsia="仿宋" w:cs="仿宋"/>
          <w:sz w:val="32"/>
          <w:szCs w:val="32"/>
        </w:rPr>
        <w:t>万元、南白砂饮水管网升级改造项目</w:t>
      </w:r>
      <w:r>
        <w:rPr>
          <w:rFonts w:ascii="仿宋" w:hAnsi="仿宋" w:eastAsia="仿宋" w:cs="仿宋"/>
          <w:sz w:val="32"/>
          <w:szCs w:val="32"/>
        </w:rPr>
        <w:t>27</w:t>
      </w:r>
      <w:r>
        <w:rPr>
          <w:rFonts w:hint="eastAsia" w:ascii="仿宋" w:hAnsi="仿宋" w:eastAsia="仿宋" w:cs="仿宋"/>
          <w:sz w:val="32"/>
          <w:szCs w:val="32"/>
        </w:rPr>
        <w:t>万元、李村镇智慧物流园区电力迁改项目</w:t>
      </w:r>
      <w:r>
        <w:rPr>
          <w:rFonts w:ascii="仿宋" w:hAnsi="仿宋" w:eastAsia="仿宋" w:cs="仿宋"/>
          <w:sz w:val="32"/>
          <w:szCs w:val="32"/>
        </w:rPr>
        <w:t>45</w:t>
      </w:r>
      <w:r>
        <w:rPr>
          <w:rFonts w:hint="eastAsia" w:ascii="仿宋" w:hAnsi="仿宋" w:eastAsia="仿宋" w:cs="仿宋"/>
          <w:sz w:val="32"/>
          <w:szCs w:val="32"/>
        </w:rPr>
        <w:t>万元等资金未拨付。</w:t>
      </w:r>
    </w:p>
    <w:p w14:paraId="3116DFB6">
      <w:pPr>
        <w:snapToGrid w:val="0"/>
        <w:spacing w:line="578" w:lineRule="exact"/>
        <w:ind w:firstLine="640" w:firstLineChars="200"/>
        <w:rPr>
          <w:rFonts w:ascii="仿宋" w:hAnsi="仿宋" w:eastAsia="仿宋" w:cs="仿宋"/>
          <w:sz w:val="32"/>
          <w:szCs w:val="32"/>
        </w:rPr>
      </w:pPr>
      <w:r>
        <w:rPr>
          <w:rFonts w:ascii="仿宋" w:hAnsi="仿宋" w:eastAsia="仿宋" w:cs="仿宋"/>
          <w:sz w:val="32"/>
          <w:szCs w:val="32"/>
        </w:rPr>
        <w:t>2023</w:t>
      </w:r>
      <w:r>
        <w:rPr>
          <w:rFonts w:hint="eastAsia" w:ascii="仿宋" w:hAnsi="仿宋" w:eastAsia="仿宋" w:cs="仿宋"/>
          <w:sz w:val="32"/>
          <w:szCs w:val="32"/>
        </w:rPr>
        <w:t>年度决算支出</w:t>
      </w:r>
      <w:r>
        <w:rPr>
          <w:rFonts w:ascii="仿宋" w:hAnsi="仿宋" w:eastAsia="仿宋" w:cs="仿宋"/>
          <w:sz w:val="32"/>
          <w:szCs w:val="32"/>
        </w:rPr>
        <w:t>5252.16</w:t>
      </w:r>
      <w:r>
        <w:rPr>
          <w:rFonts w:hint="eastAsia" w:ascii="仿宋" w:hAnsi="仿宋" w:eastAsia="仿宋" w:cs="仿宋"/>
          <w:sz w:val="32"/>
          <w:szCs w:val="32"/>
        </w:rPr>
        <w:t>万元，比</w:t>
      </w:r>
      <w:r>
        <w:rPr>
          <w:rFonts w:ascii="仿宋" w:hAnsi="仿宋" w:eastAsia="仿宋" w:cs="仿宋"/>
          <w:sz w:val="32"/>
          <w:szCs w:val="32"/>
        </w:rPr>
        <w:t>2022</w:t>
      </w:r>
      <w:r>
        <w:rPr>
          <w:rFonts w:hint="eastAsia" w:ascii="仿宋" w:hAnsi="仿宋" w:eastAsia="仿宋" w:cs="仿宋"/>
          <w:sz w:val="32"/>
          <w:szCs w:val="32"/>
        </w:rPr>
        <w:t>年决算支出</w:t>
      </w:r>
      <w:r>
        <w:rPr>
          <w:rFonts w:ascii="仿宋" w:hAnsi="仿宋" w:eastAsia="仿宋" w:cs="仿宋"/>
          <w:sz w:val="32"/>
          <w:szCs w:val="32"/>
        </w:rPr>
        <w:t>3269</w:t>
      </w:r>
      <w:r>
        <w:rPr>
          <w:rFonts w:hint="eastAsia" w:ascii="仿宋" w:hAnsi="仿宋" w:eastAsia="仿宋" w:cs="仿宋"/>
          <w:sz w:val="32"/>
          <w:szCs w:val="32"/>
        </w:rPr>
        <w:t>万元增加了</w:t>
      </w:r>
      <w:r>
        <w:rPr>
          <w:rFonts w:ascii="仿宋" w:hAnsi="仿宋" w:eastAsia="仿宋" w:cs="仿宋"/>
          <w:sz w:val="32"/>
          <w:szCs w:val="32"/>
        </w:rPr>
        <w:t>1983.16</w:t>
      </w:r>
      <w:r>
        <w:rPr>
          <w:rFonts w:hint="eastAsia" w:ascii="仿宋" w:hAnsi="仿宋" w:eastAsia="仿宋" w:cs="仿宋"/>
          <w:sz w:val="32"/>
          <w:szCs w:val="32"/>
        </w:rPr>
        <w:t>万元，增加</w:t>
      </w:r>
      <w:r>
        <w:rPr>
          <w:rFonts w:ascii="仿宋" w:hAnsi="仿宋" w:eastAsia="仿宋" w:cs="仿宋"/>
          <w:sz w:val="32"/>
          <w:szCs w:val="32"/>
        </w:rPr>
        <w:t>60.7%</w:t>
      </w:r>
      <w:r>
        <w:rPr>
          <w:rFonts w:hint="eastAsia" w:ascii="仿宋" w:hAnsi="仿宋" w:eastAsia="仿宋" w:cs="仿宋"/>
          <w:sz w:val="32"/>
          <w:szCs w:val="32"/>
        </w:rPr>
        <w:t>，增加的原因是项目类李村镇智慧物流园项目地上附着物补偿返还款增加了</w:t>
      </w:r>
      <w:r>
        <w:rPr>
          <w:rFonts w:ascii="仿宋" w:hAnsi="仿宋" w:eastAsia="仿宋" w:cs="仿宋"/>
          <w:sz w:val="32"/>
          <w:szCs w:val="32"/>
        </w:rPr>
        <w:t>1995.43</w:t>
      </w:r>
      <w:r>
        <w:rPr>
          <w:rFonts w:hint="eastAsia" w:ascii="仿宋" w:hAnsi="仿宋" w:eastAsia="仿宋" w:cs="仿宋"/>
          <w:sz w:val="32"/>
          <w:szCs w:val="32"/>
        </w:rPr>
        <w:t>万元；比年初预算减少了</w:t>
      </w:r>
      <w:r>
        <w:rPr>
          <w:rFonts w:ascii="仿宋" w:hAnsi="仿宋" w:eastAsia="仿宋" w:cs="仿宋"/>
          <w:sz w:val="32"/>
          <w:szCs w:val="32"/>
        </w:rPr>
        <w:t>353.26</w:t>
      </w:r>
      <w:r>
        <w:rPr>
          <w:rFonts w:hint="eastAsia" w:ascii="仿宋" w:hAnsi="仿宋" w:eastAsia="仿宋" w:cs="仿宋"/>
          <w:sz w:val="32"/>
          <w:szCs w:val="32"/>
        </w:rPr>
        <w:t>万元，减少</w:t>
      </w:r>
      <w:r>
        <w:rPr>
          <w:rFonts w:ascii="仿宋" w:hAnsi="仿宋" w:eastAsia="仿宋" w:cs="仿宋"/>
          <w:sz w:val="32"/>
          <w:szCs w:val="32"/>
        </w:rPr>
        <w:t>6.3%</w:t>
      </w:r>
      <w:r>
        <w:rPr>
          <w:rFonts w:hint="eastAsia" w:ascii="仿宋" w:hAnsi="仿宋" w:eastAsia="仿宋" w:cs="仿宋"/>
          <w:sz w:val="32"/>
          <w:szCs w:val="32"/>
        </w:rPr>
        <w:t>，减少的原因主要是基金类支出未能拨付，如：双同路拓宽升级项目</w:t>
      </w:r>
      <w:r>
        <w:rPr>
          <w:rFonts w:ascii="仿宋" w:hAnsi="仿宋" w:eastAsia="仿宋" w:cs="仿宋"/>
          <w:sz w:val="32"/>
          <w:szCs w:val="32"/>
        </w:rPr>
        <w:t>410</w:t>
      </w:r>
      <w:r>
        <w:rPr>
          <w:rFonts w:hint="eastAsia" w:ascii="仿宋" w:hAnsi="仿宋" w:eastAsia="仿宋" w:cs="仿宋"/>
          <w:sz w:val="32"/>
          <w:szCs w:val="32"/>
        </w:rPr>
        <w:t>万元、同阁工业区拆迁资金</w:t>
      </w:r>
      <w:r>
        <w:rPr>
          <w:rFonts w:ascii="仿宋" w:hAnsi="仿宋" w:eastAsia="仿宋" w:cs="仿宋"/>
          <w:sz w:val="32"/>
          <w:szCs w:val="32"/>
        </w:rPr>
        <w:t>185</w:t>
      </w:r>
      <w:r>
        <w:rPr>
          <w:rFonts w:hint="eastAsia" w:ascii="仿宋" w:hAnsi="仿宋" w:eastAsia="仿宋" w:cs="仿宋"/>
          <w:sz w:val="32"/>
          <w:szCs w:val="32"/>
        </w:rPr>
        <w:t>万元、南白砂饮水管网升级改造项目</w:t>
      </w:r>
      <w:r>
        <w:rPr>
          <w:rFonts w:ascii="仿宋" w:hAnsi="仿宋" w:eastAsia="仿宋" w:cs="仿宋"/>
          <w:sz w:val="32"/>
          <w:szCs w:val="32"/>
        </w:rPr>
        <w:t>27</w:t>
      </w:r>
      <w:r>
        <w:rPr>
          <w:rFonts w:hint="eastAsia" w:ascii="仿宋" w:hAnsi="仿宋" w:eastAsia="仿宋" w:cs="仿宋"/>
          <w:sz w:val="32"/>
          <w:szCs w:val="32"/>
        </w:rPr>
        <w:t>万元、李村镇智慧物流园区电力迁改项目</w:t>
      </w:r>
      <w:r>
        <w:rPr>
          <w:rFonts w:ascii="仿宋" w:hAnsi="仿宋" w:eastAsia="仿宋" w:cs="仿宋"/>
          <w:sz w:val="32"/>
          <w:szCs w:val="32"/>
        </w:rPr>
        <w:t>45</w:t>
      </w:r>
      <w:r>
        <w:rPr>
          <w:rFonts w:hint="eastAsia" w:ascii="仿宋" w:hAnsi="仿宋" w:eastAsia="仿宋" w:cs="仿宋"/>
          <w:sz w:val="32"/>
          <w:szCs w:val="32"/>
        </w:rPr>
        <w:t>万元等资金未拨付。</w:t>
      </w:r>
    </w:p>
    <w:p w14:paraId="59929A97">
      <w:pPr>
        <w:adjustRightInd w:val="0"/>
        <w:snapToGrid w:val="0"/>
        <w:spacing w:line="578" w:lineRule="exact"/>
        <w:ind w:firstLine="480" w:firstLineChars="150"/>
        <w:rPr>
          <w:rFonts w:ascii="楷体" w:hAnsi="楷体" w:eastAsia="楷体" w:cs="仿宋"/>
          <w:sz w:val="32"/>
          <w:szCs w:val="32"/>
        </w:rPr>
      </w:pPr>
      <w:r>
        <w:rPr>
          <w:rFonts w:hint="eastAsia" w:ascii="楷体" w:hAnsi="楷体" w:eastAsia="楷体" w:cs="仿宋"/>
          <w:sz w:val="32"/>
          <w:szCs w:val="32"/>
        </w:rPr>
        <w:t>（三）部门整体支出绩效目标、指标</w:t>
      </w:r>
    </w:p>
    <w:p w14:paraId="4BB3A9C7">
      <w:pPr>
        <w:snapToGrid w:val="0"/>
        <w:spacing w:line="578" w:lineRule="exact"/>
        <w:ind w:firstLine="640" w:firstLineChars="200"/>
        <w:rPr>
          <w:rFonts w:ascii="仿宋" w:hAnsi="仿宋" w:eastAsia="仿宋" w:cs="仿宋"/>
          <w:color w:val="000000"/>
          <w:sz w:val="32"/>
          <w:szCs w:val="32"/>
        </w:rPr>
      </w:pPr>
      <w:r>
        <w:rPr>
          <w:rFonts w:ascii="仿宋" w:hAnsi="仿宋" w:eastAsia="仿宋" w:cs="仿宋"/>
          <w:sz w:val="32"/>
          <w:szCs w:val="32"/>
        </w:rPr>
        <w:t>1</w:t>
      </w:r>
      <w:r>
        <w:rPr>
          <w:rFonts w:hint="eastAsia" w:ascii="仿宋" w:hAnsi="仿宋" w:eastAsia="仿宋" w:cs="仿宋"/>
          <w:sz w:val="32"/>
          <w:szCs w:val="32"/>
        </w:rPr>
        <w:t>、</w:t>
      </w:r>
      <w:r>
        <w:rPr>
          <w:rFonts w:ascii="仿宋" w:hAnsi="仿宋" w:eastAsia="仿宋" w:cs="仿宋"/>
          <w:sz w:val="32"/>
          <w:szCs w:val="32"/>
        </w:rPr>
        <w:t>2023</w:t>
      </w:r>
      <w:r>
        <w:rPr>
          <w:rFonts w:hint="eastAsia" w:ascii="仿宋" w:hAnsi="仿宋" w:eastAsia="仿宋" w:cs="仿宋"/>
          <w:sz w:val="32"/>
          <w:szCs w:val="32"/>
        </w:rPr>
        <w:t>项目绩效目标完成情况。</w:t>
      </w:r>
      <w:r>
        <w:rPr>
          <w:rFonts w:ascii="仿宋" w:hAnsi="仿宋" w:eastAsia="仿宋" w:cs="仿宋"/>
          <w:sz w:val="32"/>
          <w:szCs w:val="32"/>
        </w:rPr>
        <w:t>2023</w:t>
      </w:r>
      <w:r>
        <w:rPr>
          <w:rFonts w:hint="eastAsia" w:ascii="仿宋" w:hAnsi="仿宋" w:eastAsia="仿宋" w:cs="仿宋"/>
          <w:sz w:val="32"/>
          <w:szCs w:val="32"/>
        </w:rPr>
        <w:t>年项目决算支出</w:t>
      </w:r>
      <w:r>
        <w:rPr>
          <w:rFonts w:ascii="仿宋" w:hAnsi="仿宋" w:eastAsia="仿宋" w:cs="仿宋"/>
          <w:sz w:val="32"/>
          <w:szCs w:val="32"/>
        </w:rPr>
        <w:t>3679.22</w:t>
      </w:r>
      <w:r>
        <w:rPr>
          <w:rFonts w:hint="eastAsia" w:ascii="仿宋" w:hAnsi="仿宋" w:eastAsia="仿宋" w:cs="仿宋"/>
          <w:sz w:val="32"/>
          <w:szCs w:val="32"/>
        </w:rPr>
        <w:t>万元，比年初预算项目支出</w:t>
      </w:r>
      <w:r>
        <w:rPr>
          <w:rFonts w:ascii="仿宋" w:hAnsi="仿宋" w:eastAsia="仿宋" w:cs="仿宋"/>
          <w:sz w:val="32"/>
          <w:szCs w:val="32"/>
        </w:rPr>
        <w:t>4155.6</w:t>
      </w:r>
      <w:r>
        <w:rPr>
          <w:rFonts w:hint="eastAsia" w:ascii="仿宋" w:hAnsi="仿宋" w:eastAsia="仿宋" w:cs="仿宋"/>
          <w:sz w:val="32"/>
          <w:szCs w:val="32"/>
        </w:rPr>
        <w:t>万元减少</w:t>
      </w:r>
      <w:r>
        <w:rPr>
          <w:rFonts w:ascii="仿宋" w:hAnsi="仿宋" w:eastAsia="仿宋" w:cs="仿宋"/>
          <w:sz w:val="32"/>
          <w:szCs w:val="32"/>
        </w:rPr>
        <w:t>476.38</w:t>
      </w:r>
      <w:r>
        <w:rPr>
          <w:rFonts w:hint="eastAsia" w:ascii="仿宋" w:hAnsi="仿宋" w:eastAsia="仿宋" w:cs="仿宋"/>
          <w:sz w:val="32"/>
          <w:szCs w:val="32"/>
        </w:rPr>
        <w:t>万元，减少为</w:t>
      </w:r>
      <w:r>
        <w:rPr>
          <w:rFonts w:ascii="仿宋" w:hAnsi="仿宋" w:eastAsia="仿宋" w:cs="仿宋"/>
          <w:sz w:val="32"/>
          <w:szCs w:val="32"/>
        </w:rPr>
        <w:t>11.5%</w:t>
      </w:r>
      <w:r>
        <w:rPr>
          <w:rFonts w:hint="eastAsia" w:ascii="仿宋" w:hAnsi="仿宋" w:eastAsia="仿宋" w:cs="仿宋"/>
          <w:sz w:val="32"/>
          <w:szCs w:val="32"/>
        </w:rPr>
        <w:t>。</w:t>
      </w:r>
      <w:r>
        <w:rPr>
          <w:rFonts w:hint="eastAsia" w:ascii="仿宋" w:hAnsi="仿宋" w:eastAsia="仿宋" w:cs="仿宋"/>
          <w:color w:val="000000"/>
          <w:sz w:val="32"/>
          <w:szCs w:val="32"/>
        </w:rPr>
        <w:t>决算支出比预算支出减少的主要原因，</w:t>
      </w:r>
      <w:r>
        <w:rPr>
          <w:rFonts w:ascii="仿宋" w:hAnsi="仿宋" w:eastAsia="仿宋" w:cs="仿宋"/>
          <w:color w:val="000000"/>
          <w:sz w:val="32"/>
          <w:szCs w:val="32"/>
        </w:rPr>
        <w:t>2023</w:t>
      </w:r>
      <w:r>
        <w:rPr>
          <w:rFonts w:hint="eastAsia" w:ascii="仿宋" w:hAnsi="仿宋" w:eastAsia="仿宋" w:cs="仿宋"/>
          <w:color w:val="000000"/>
          <w:sz w:val="32"/>
          <w:szCs w:val="32"/>
        </w:rPr>
        <w:t>年安排的基金类项目未拨付包括：（</w:t>
      </w:r>
      <w:r>
        <w:rPr>
          <w:rFonts w:ascii="仿宋" w:hAnsi="仿宋" w:eastAsia="仿宋" w:cs="仿宋"/>
          <w:color w:val="000000"/>
          <w:sz w:val="32"/>
          <w:szCs w:val="32"/>
        </w:rPr>
        <w:t>1</w:t>
      </w:r>
      <w:r>
        <w:rPr>
          <w:rFonts w:hint="eastAsia" w:ascii="仿宋" w:hAnsi="仿宋" w:eastAsia="仿宋" w:cs="仿宋"/>
          <w:color w:val="000000"/>
          <w:sz w:val="32"/>
          <w:szCs w:val="32"/>
        </w:rPr>
        <w:t>）双同路拓宽升级项目；（</w:t>
      </w:r>
      <w:r>
        <w:rPr>
          <w:rFonts w:ascii="仿宋" w:hAnsi="仿宋" w:eastAsia="仿宋" w:cs="仿宋"/>
          <w:color w:val="000000"/>
          <w:sz w:val="32"/>
          <w:szCs w:val="32"/>
        </w:rPr>
        <w:t>2</w:t>
      </w:r>
      <w:r>
        <w:rPr>
          <w:rFonts w:hint="eastAsia" w:ascii="仿宋" w:hAnsi="仿宋" w:eastAsia="仿宋" w:cs="仿宋"/>
          <w:color w:val="000000"/>
          <w:sz w:val="32"/>
          <w:szCs w:val="32"/>
        </w:rPr>
        <w:t>）同阁工业区拆迁补偿款及评估费用；（</w:t>
      </w:r>
      <w:r>
        <w:rPr>
          <w:rFonts w:ascii="仿宋" w:hAnsi="仿宋" w:eastAsia="仿宋" w:cs="仿宋"/>
          <w:color w:val="000000"/>
          <w:sz w:val="32"/>
          <w:szCs w:val="32"/>
        </w:rPr>
        <w:t>3</w:t>
      </w:r>
      <w:r>
        <w:rPr>
          <w:rFonts w:hint="eastAsia" w:ascii="仿宋" w:hAnsi="仿宋" w:eastAsia="仿宋" w:cs="仿宋"/>
          <w:color w:val="000000"/>
          <w:sz w:val="32"/>
          <w:szCs w:val="32"/>
        </w:rPr>
        <w:t>）李村镇智慧物流园区电力迁改项目；（</w:t>
      </w:r>
      <w:r>
        <w:rPr>
          <w:rFonts w:ascii="仿宋" w:hAnsi="仿宋" w:eastAsia="仿宋" w:cs="仿宋"/>
          <w:color w:val="000000"/>
          <w:sz w:val="32"/>
          <w:szCs w:val="32"/>
        </w:rPr>
        <w:t>4</w:t>
      </w:r>
      <w:r>
        <w:rPr>
          <w:rFonts w:hint="eastAsia" w:ascii="仿宋" w:hAnsi="仿宋" w:eastAsia="仿宋" w:cs="仿宋"/>
          <w:color w:val="000000"/>
          <w:sz w:val="32"/>
          <w:szCs w:val="32"/>
        </w:rPr>
        <w:t>）李村镇南白砂村饮水管网升级改造资金；（</w:t>
      </w:r>
      <w:r>
        <w:rPr>
          <w:rFonts w:ascii="仿宋" w:hAnsi="仿宋" w:eastAsia="仿宋" w:cs="仿宋"/>
          <w:color w:val="000000"/>
          <w:sz w:val="32"/>
          <w:szCs w:val="32"/>
        </w:rPr>
        <w:t>5</w:t>
      </w:r>
      <w:r>
        <w:rPr>
          <w:rFonts w:hint="eastAsia" w:ascii="仿宋" w:hAnsi="仿宋" w:eastAsia="仿宋" w:cs="仿宋"/>
          <w:color w:val="000000"/>
          <w:sz w:val="32"/>
          <w:szCs w:val="32"/>
        </w:rPr>
        <w:t>）西柏坡高速道路两侧便道硬化和绿化工程。以上项目涉及资金</w:t>
      </w:r>
      <w:r>
        <w:rPr>
          <w:rFonts w:ascii="仿宋" w:hAnsi="仿宋" w:eastAsia="仿宋" w:cs="仿宋"/>
          <w:color w:val="000000"/>
          <w:sz w:val="32"/>
          <w:szCs w:val="32"/>
        </w:rPr>
        <w:t>679</w:t>
      </w:r>
      <w:r>
        <w:rPr>
          <w:rFonts w:hint="eastAsia" w:ascii="仿宋" w:hAnsi="仿宋" w:eastAsia="仿宋" w:cs="仿宋"/>
          <w:color w:val="000000"/>
          <w:sz w:val="32"/>
          <w:szCs w:val="32"/>
        </w:rPr>
        <w:t>万元。</w:t>
      </w:r>
    </w:p>
    <w:p w14:paraId="779FE2C0">
      <w:pPr>
        <w:snapToGrid w:val="0"/>
        <w:spacing w:line="578" w:lineRule="exact"/>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、本单位整体支出绩效目标实现情况，</w:t>
      </w:r>
      <w:r>
        <w:rPr>
          <w:rFonts w:ascii="仿宋" w:hAnsi="仿宋" w:eastAsia="仿宋" w:cs="仿宋"/>
          <w:sz w:val="32"/>
          <w:szCs w:val="32"/>
        </w:rPr>
        <w:t>2023</w:t>
      </w:r>
      <w:r>
        <w:rPr>
          <w:rFonts w:hint="eastAsia" w:ascii="仿宋" w:hAnsi="仿宋" w:eastAsia="仿宋" w:cs="仿宋"/>
          <w:sz w:val="32"/>
          <w:szCs w:val="32"/>
        </w:rPr>
        <w:t>年项目决算支出</w:t>
      </w:r>
      <w:r>
        <w:rPr>
          <w:rFonts w:ascii="仿宋" w:hAnsi="仿宋" w:eastAsia="仿宋" w:cs="仿宋"/>
          <w:sz w:val="32"/>
          <w:szCs w:val="32"/>
        </w:rPr>
        <w:t>3679.22</w:t>
      </w:r>
      <w:r>
        <w:rPr>
          <w:rFonts w:hint="eastAsia" w:ascii="仿宋" w:hAnsi="仿宋" w:eastAsia="仿宋" w:cs="仿宋"/>
          <w:sz w:val="32"/>
          <w:szCs w:val="32"/>
        </w:rPr>
        <w:t>万元，其中：一般公共服务支出专项公用经费项目；</w:t>
      </w:r>
      <w:r>
        <w:rPr>
          <w:rFonts w:ascii="仿宋" w:hAnsi="仿宋" w:eastAsia="仿宋" w:cs="仿宋"/>
          <w:sz w:val="32"/>
          <w:szCs w:val="32"/>
        </w:rPr>
        <w:t>283.1</w:t>
      </w:r>
      <w:r>
        <w:rPr>
          <w:rFonts w:hint="eastAsia" w:ascii="仿宋" w:hAnsi="仿宋" w:eastAsia="仿宋" w:cs="仿宋"/>
          <w:sz w:val="32"/>
          <w:szCs w:val="32"/>
        </w:rPr>
        <w:t>万元；教育支出</w:t>
      </w:r>
      <w:r>
        <w:rPr>
          <w:rFonts w:ascii="仿宋" w:hAnsi="仿宋" w:eastAsia="仿宋" w:cs="仿宋"/>
          <w:sz w:val="32"/>
          <w:szCs w:val="32"/>
        </w:rPr>
        <w:t>227.04</w:t>
      </w:r>
      <w:r>
        <w:rPr>
          <w:rFonts w:hint="eastAsia" w:ascii="仿宋" w:hAnsi="仿宋" w:eastAsia="仿宋" w:cs="仿宋"/>
          <w:sz w:val="32"/>
          <w:szCs w:val="32"/>
        </w:rPr>
        <w:t>万元；文化旅游体育与传媒支出</w:t>
      </w:r>
      <w:r>
        <w:rPr>
          <w:rFonts w:ascii="仿宋" w:hAnsi="仿宋" w:eastAsia="仿宋" w:cs="仿宋"/>
          <w:sz w:val="32"/>
          <w:szCs w:val="32"/>
        </w:rPr>
        <w:t>1.5</w:t>
      </w:r>
      <w:r>
        <w:rPr>
          <w:rFonts w:hint="eastAsia" w:ascii="仿宋" w:hAnsi="仿宋" w:eastAsia="仿宋" w:cs="仿宋"/>
          <w:sz w:val="32"/>
          <w:szCs w:val="32"/>
        </w:rPr>
        <w:t>万元；社会保障和就业支出</w:t>
      </w:r>
      <w:r>
        <w:rPr>
          <w:rFonts w:ascii="仿宋" w:hAnsi="仿宋" w:eastAsia="仿宋" w:cs="仿宋"/>
          <w:sz w:val="32"/>
          <w:szCs w:val="32"/>
        </w:rPr>
        <w:t>127.8</w:t>
      </w:r>
      <w:r>
        <w:rPr>
          <w:rFonts w:hint="eastAsia" w:ascii="仿宋" w:hAnsi="仿宋" w:eastAsia="仿宋" w:cs="仿宋"/>
          <w:sz w:val="32"/>
          <w:szCs w:val="32"/>
        </w:rPr>
        <w:t>万元；节能环保支出</w:t>
      </w:r>
      <w:r>
        <w:rPr>
          <w:rFonts w:ascii="仿宋" w:hAnsi="仿宋" w:eastAsia="仿宋" w:cs="仿宋"/>
          <w:sz w:val="32"/>
          <w:szCs w:val="32"/>
        </w:rPr>
        <w:t>22.35</w:t>
      </w:r>
      <w:r>
        <w:rPr>
          <w:rFonts w:hint="eastAsia" w:ascii="仿宋" w:hAnsi="仿宋" w:eastAsia="仿宋" w:cs="仿宋"/>
          <w:sz w:val="32"/>
          <w:szCs w:val="32"/>
        </w:rPr>
        <w:t>万元；城乡社区支出</w:t>
      </w:r>
      <w:r>
        <w:rPr>
          <w:rFonts w:ascii="仿宋" w:hAnsi="仿宋" w:eastAsia="仿宋" w:cs="仿宋"/>
          <w:sz w:val="32"/>
          <w:szCs w:val="32"/>
        </w:rPr>
        <w:t>2555.93</w:t>
      </w:r>
      <w:r>
        <w:rPr>
          <w:rFonts w:hint="eastAsia" w:ascii="仿宋" w:hAnsi="仿宋" w:eastAsia="仿宋" w:cs="仿宋"/>
          <w:sz w:val="32"/>
          <w:szCs w:val="32"/>
        </w:rPr>
        <w:t>万元；农林水支出</w:t>
      </w:r>
      <w:r>
        <w:rPr>
          <w:rFonts w:ascii="仿宋" w:hAnsi="仿宋" w:eastAsia="仿宋" w:cs="仿宋"/>
          <w:sz w:val="32"/>
          <w:szCs w:val="32"/>
        </w:rPr>
        <w:t>461.5</w:t>
      </w:r>
      <w:r>
        <w:rPr>
          <w:rFonts w:hint="eastAsia" w:ascii="仿宋" w:hAnsi="仿宋" w:eastAsia="仿宋" w:cs="仿宋"/>
          <w:sz w:val="32"/>
          <w:szCs w:val="32"/>
        </w:rPr>
        <w:t>万元。</w:t>
      </w:r>
    </w:p>
    <w:p w14:paraId="551B7C75">
      <w:pPr>
        <w:adjustRightInd w:val="0"/>
        <w:snapToGrid w:val="0"/>
        <w:spacing w:line="578" w:lineRule="exact"/>
        <w:ind w:firstLine="640" w:firstLineChars="200"/>
        <w:rPr>
          <w:rFonts w:ascii="黑体" w:hAnsi="黑体" w:eastAsia="黑体" w:cs="方正黑体简体"/>
          <w:sz w:val="32"/>
          <w:szCs w:val="32"/>
        </w:rPr>
      </w:pPr>
      <w:r>
        <w:rPr>
          <w:rFonts w:hint="eastAsia" w:ascii="黑体" w:hAnsi="黑体" w:eastAsia="黑体" w:cs="方正黑体简体"/>
          <w:sz w:val="32"/>
          <w:szCs w:val="32"/>
        </w:rPr>
        <w:t>二、自评工作开展情况</w:t>
      </w:r>
    </w:p>
    <w:p w14:paraId="28F00D31">
      <w:pPr>
        <w:spacing w:line="578" w:lineRule="exact"/>
        <w:rPr>
          <w:rFonts w:ascii="楷体" w:hAnsi="楷体" w:eastAsia="楷体" w:cs="仿宋"/>
          <w:sz w:val="32"/>
          <w:szCs w:val="32"/>
        </w:rPr>
      </w:pPr>
      <w:r>
        <w:rPr>
          <w:rFonts w:ascii="仿宋" w:hAnsi="仿宋" w:eastAsia="仿宋" w:cs="仿宋"/>
          <w:b/>
          <w:bCs/>
          <w:sz w:val="32"/>
          <w:szCs w:val="32"/>
        </w:rPr>
        <w:t xml:space="preserve">   </w:t>
      </w:r>
      <w:r>
        <w:rPr>
          <w:rFonts w:hint="eastAsia" w:ascii="楷体" w:hAnsi="楷体" w:eastAsia="楷体" w:cs="仿宋"/>
          <w:bCs/>
          <w:sz w:val="32"/>
          <w:szCs w:val="32"/>
        </w:rPr>
        <w:t>（一）自评的组织工作</w:t>
      </w:r>
    </w:p>
    <w:p w14:paraId="56391CE5">
      <w:pPr>
        <w:spacing w:line="578" w:lineRule="exact"/>
        <w:ind w:firstLine="645"/>
        <w:rPr>
          <w:rFonts w:ascii="仿宋" w:hAnsi="仿宋" w:eastAsia="仿宋" w:cs="仿宋"/>
          <w:sz w:val="32"/>
          <w:szCs w:val="32"/>
        </w:rPr>
      </w:pPr>
      <w:r>
        <w:rPr>
          <w:rFonts w:hint="eastAsia" w:ascii="仿宋" w:hAnsi="仿宋" w:eastAsia="仿宋" w:cs="仿宋"/>
          <w:sz w:val="32"/>
          <w:szCs w:val="32"/>
        </w:rPr>
        <w:t>成立绩效自评工作小组，通过翻阅项目账本、原始凭证、询问相关科室确定自评的数据等来收集项目资料，全面了解建设项目管理制度和流程、资金使用情况、受益群体的反馈情况，在收集和审核项目资料的基础上，制定了绩效评价指标体系，并进一步修改和完善，最后根据评价标准和资料依据，进行分析，得出评价结论。</w:t>
      </w:r>
    </w:p>
    <w:p w14:paraId="086D1BD0">
      <w:pPr>
        <w:numPr>
          <w:ilvl w:val="0"/>
          <w:numId w:val="1"/>
        </w:numPr>
        <w:spacing w:line="578" w:lineRule="exact"/>
        <w:rPr>
          <w:rFonts w:ascii="楷体" w:hAnsi="楷体" w:eastAsia="楷体" w:cs="仿宋"/>
          <w:bCs/>
          <w:sz w:val="32"/>
          <w:szCs w:val="32"/>
        </w:rPr>
      </w:pPr>
      <w:r>
        <w:rPr>
          <w:rFonts w:hint="eastAsia" w:ascii="楷体" w:hAnsi="楷体" w:eastAsia="楷体" w:cs="仿宋"/>
          <w:bCs/>
          <w:sz w:val="32"/>
          <w:szCs w:val="32"/>
        </w:rPr>
        <w:t>自评的方法和过程</w:t>
      </w:r>
    </w:p>
    <w:p w14:paraId="4A2C376E">
      <w:pPr>
        <w:spacing w:line="578" w:lineRule="exact"/>
        <w:ind w:firstLine="640" w:firstLineChars="200"/>
        <w:rPr>
          <w:rFonts w:ascii="仿宋" w:hAnsi="仿宋" w:eastAsia="仿宋" w:cs="仿宋"/>
          <w:bCs/>
          <w:sz w:val="32"/>
          <w:szCs w:val="32"/>
        </w:rPr>
      </w:pPr>
      <w:r>
        <w:rPr>
          <w:rFonts w:hint="eastAsia" w:ascii="仿宋" w:hAnsi="仿宋" w:eastAsia="仿宋" w:cs="仿宋"/>
          <w:bCs/>
          <w:sz w:val="32"/>
          <w:szCs w:val="32"/>
        </w:rPr>
        <w:t>根据项目实际情况，选用恰当的标准进行评价，定量评价标准、定性评价标准、隶属度标准、客观标准等相结合，从多角度进行综合评价。</w:t>
      </w:r>
    </w:p>
    <w:p w14:paraId="2BF0E53F">
      <w:pPr>
        <w:spacing w:line="578" w:lineRule="exact"/>
        <w:ind w:left="642"/>
        <w:rPr>
          <w:rFonts w:ascii="仿宋" w:hAnsi="仿宋" w:eastAsia="仿宋" w:cs="仿宋"/>
          <w:bCs/>
          <w:sz w:val="32"/>
          <w:szCs w:val="32"/>
        </w:rPr>
      </w:pPr>
      <w:r>
        <w:rPr>
          <w:rFonts w:hint="eastAsia" w:ascii="仿宋" w:hAnsi="仿宋" w:eastAsia="仿宋" w:cs="仿宋"/>
          <w:bCs/>
          <w:sz w:val="32"/>
          <w:szCs w:val="32"/>
        </w:rPr>
        <w:t>绩效评价实施过程：</w:t>
      </w:r>
    </w:p>
    <w:p w14:paraId="2392A385">
      <w:pPr>
        <w:spacing w:line="578" w:lineRule="exact"/>
        <w:ind w:firstLine="640" w:firstLineChars="200"/>
        <w:rPr>
          <w:rFonts w:ascii="仿宋" w:hAnsi="仿宋" w:eastAsia="仿宋" w:cs="仿宋"/>
          <w:bCs/>
          <w:sz w:val="32"/>
          <w:szCs w:val="32"/>
        </w:rPr>
      </w:pPr>
      <w:r>
        <w:rPr>
          <w:rFonts w:ascii="仿宋" w:hAnsi="仿宋" w:eastAsia="仿宋" w:cs="仿宋"/>
          <w:bCs/>
          <w:sz w:val="32"/>
          <w:szCs w:val="32"/>
        </w:rPr>
        <w:t>1</w:t>
      </w:r>
      <w:r>
        <w:rPr>
          <w:rFonts w:hint="eastAsia" w:ascii="仿宋" w:hAnsi="仿宋" w:eastAsia="仿宋" w:cs="仿宋"/>
          <w:bCs/>
          <w:sz w:val="32"/>
          <w:szCs w:val="32"/>
        </w:rPr>
        <w:t>、前期准备，根据有关规定及要求，认真组织人员对项目自评资料进行收集、整理，针对指标完成情况进行绩效分析。为有效及时的完成项目绩效自评工作打下坚实的基础。</w:t>
      </w:r>
    </w:p>
    <w:p w14:paraId="5B1811F9">
      <w:pPr>
        <w:spacing w:line="578" w:lineRule="exact"/>
        <w:ind w:firstLine="640" w:firstLineChars="200"/>
        <w:rPr>
          <w:rFonts w:ascii="仿宋" w:hAnsi="仿宋" w:eastAsia="仿宋" w:cs="仿宋"/>
          <w:bCs/>
          <w:sz w:val="32"/>
          <w:szCs w:val="32"/>
        </w:rPr>
      </w:pPr>
      <w:r>
        <w:rPr>
          <w:rFonts w:ascii="仿宋" w:hAnsi="仿宋" w:eastAsia="仿宋" w:cs="仿宋"/>
          <w:bCs/>
          <w:sz w:val="32"/>
          <w:szCs w:val="32"/>
        </w:rPr>
        <w:t>2</w:t>
      </w:r>
      <w:r>
        <w:rPr>
          <w:rFonts w:hint="eastAsia" w:ascii="仿宋" w:hAnsi="仿宋" w:eastAsia="仿宋" w:cs="仿宋"/>
          <w:bCs/>
          <w:sz w:val="32"/>
          <w:szCs w:val="32"/>
        </w:rPr>
        <w:t>、组织实施，加强过程控制，认真总结项目实现绩效目标过程中存在的问题和采取的改进措施，对项目的预算编制、工程施工、材料的采购进行认真的分析研究，整个过程严格按照绩效评价管理办法进行。</w:t>
      </w:r>
    </w:p>
    <w:p w14:paraId="7309E1A6">
      <w:pPr>
        <w:spacing w:line="578" w:lineRule="exact"/>
        <w:ind w:firstLine="640" w:firstLineChars="200"/>
        <w:rPr>
          <w:rFonts w:ascii="仿宋" w:hAnsi="仿宋" w:eastAsia="仿宋" w:cs="仿宋"/>
          <w:bCs/>
          <w:sz w:val="32"/>
          <w:szCs w:val="32"/>
        </w:rPr>
      </w:pPr>
      <w:r>
        <w:rPr>
          <w:rFonts w:ascii="仿宋" w:hAnsi="仿宋" w:eastAsia="仿宋" w:cs="仿宋"/>
          <w:bCs/>
          <w:sz w:val="32"/>
          <w:szCs w:val="32"/>
        </w:rPr>
        <w:t>3</w:t>
      </w:r>
      <w:r>
        <w:rPr>
          <w:rFonts w:hint="eastAsia" w:ascii="仿宋" w:hAnsi="仿宋" w:eastAsia="仿宋" w:cs="仿宋"/>
          <w:bCs/>
          <w:sz w:val="32"/>
          <w:szCs w:val="32"/>
        </w:rPr>
        <w:t>、分析评价，根据项目立身特点和已经确定的各项绩效指标，对照项目完成情况，逐一评价，确保评价结论真实、客观、公平、公正。</w:t>
      </w:r>
    </w:p>
    <w:p w14:paraId="542CE427">
      <w:pPr>
        <w:spacing w:line="578" w:lineRule="exact"/>
        <w:rPr>
          <w:rFonts w:ascii="黑体" w:hAnsi="黑体" w:eastAsia="黑体" w:cs="方正黑体简体"/>
          <w:b/>
          <w:bCs/>
          <w:sz w:val="32"/>
          <w:szCs w:val="32"/>
        </w:rPr>
      </w:pPr>
      <w:r>
        <w:rPr>
          <w:rFonts w:ascii="仿宋" w:hAnsi="仿宋" w:eastAsia="仿宋" w:cs="仿宋"/>
          <w:sz w:val="32"/>
          <w:szCs w:val="32"/>
        </w:rPr>
        <w:t xml:space="preserve">  </w:t>
      </w:r>
      <w:r>
        <w:rPr>
          <w:rFonts w:ascii="方正黑体简体" w:hAnsi="方正黑体简体" w:eastAsia="方正黑体简体" w:cs="方正黑体简体"/>
          <w:sz w:val="32"/>
          <w:szCs w:val="32"/>
        </w:rPr>
        <w:t xml:space="preserve"> </w:t>
      </w:r>
      <w:r>
        <w:rPr>
          <w:rFonts w:ascii="黑体" w:hAnsi="黑体" w:eastAsia="黑体" w:cs="方正黑体简体"/>
          <w:sz w:val="32"/>
          <w:szCs w:val="32"/>
        </w:rPr>
        <w:t xml:space="preserve"> </w:t>
      </w:r>
      <w:r>
        <w:rPr>
          <w:rFonts w:hint="eastAsia" w:ascii="黑体" w:hAnsi="黑体" w:eastAsia="黑体" w:cs="方正黑体简体"/>
          <w:sz w:val="32"/>
          <w:szCs w:val="32"/>
        </w:rPr>
        <w:t>三、部门整体支出绩效目标实现情况及指标分析</w:t>
      </w:r>
    </w:p>
    <w:p w14:paraId="3B179750">
      <w:pPr>
        <w:numPr>
          <w:ilvl w:val="0"/>
          <w:numId w:val="2"/>
        </w:numPr>
        <w:spacing w:line="578" w:lineRule="exact"/>
        <w:ind w:firstLine="640"/>
        <w:rPr>
          <w:rFonts w:ascii="楷体" w:hAnsi="楷体" w:eastAsia="楷体" w:cs="仿宋"/>
          <w:sz w:val="32"/>
          <w:szCs w:val="32"/>
        </w:rPr>
      </w:pPr>
      <w:r>
        <w:rPr>
          <w:rFonts w:hint="eastAsia" w:ascii="楷体" w:hAnsi="楷体" w:eastAsia="楷体" w:cs="仿宋"/>
          <w:sz w:val="32"/>
          <w:szCs w:val="32"/>
        </w:rPr>
        <w:t>总体绩效目标实现情况</w:t>
      </w:r>
    </w:p>
    <w:p w14:paraId="0EE96535">
      <w:pPr>
        <w:pStyle w:val="9"/>
        <w:spacing w:line="578" w:lineRule="exact"/>
        <w:ind w:firstLine="0"/>
        <w:rPr>
          <w:rFonts w:ascii="仿宋" w:hAnsi="仿宋" w:eastAsia="仿宋" w:cs="仿宋"/>
          <w:sz w:val="32"/>
          <w:szCs w:val="32"/>
        </w:rPr>
      </w:pPr>
      <w:r>
        <w:rPr>
          <w:rFonts w:ascii="仿宋" w:hAnsi="仿宋" w:eastAsia="仿宋" w:cs="仿宋"/>
          <w:sz w:val="32"/>
          <w:szCs w:val="32"/>
        </w:rPr>
        <w:t xml:space="preserve">    2023</w:t>
      </w:r>
      <w:r>
        <w:rPr>
          <w:rFonts w:hint="eastAsia" w:ascii="仿宋" w:hAnsi="仿宋" w:eastAsia="仿宋" w:cs="仿宋"/>
          <w:sz w:val="32"/>
          <w:szCs w:val="32"/>
        </w:rPr>
        <w:t>年，是全面贯彻落实党的二十大精神的开局之年，是全区全力打造千亿级新一代电子信息产业集群，实现率先突破的冲刺之年，也是我镇实现弯道超车、跨越式发展的关键之年。我们必须顺应时势、抢抓机遇、主动作为，汇聚磅礴力量，撸起袖子加油干，风雨无阻向前行，进一步开创李村各项事业发展新局面。</w:t>
      </w:r>
    </w:p>
    <w:p w14:paraId="0896AB3B">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今年工作的总要求是：坚持以习近平新时代中国特色社会主义思想为指导，深入学习宣传贯彻党的二十大和中央经济工作会议精神，认真落实省委十届三次全会、市委十一届四次全会、区委三届四次全会和省、市、区委经济工作会议部署要求，围绕“抢抓机遇、踔厉奋发，努力实现全区经济社会发展大跃升”工作总基调，以“围绕一个中心、强化三个支撑、实施多点突破”这一工作方向和总体思路为引领，紧紧抓住加快“北部振兴”的战略机遇，完整、准确、全面贯彻新发展理念，更好地统筹疫情防控与经济社会发展，统筹发展和安全，提速项目建设，巩固污染治理成果，保障改善民生，维护社会稳定，以点带面推进全镇工作整体提升，为开创百姓富、生态美的多彩李村新未来努力奋斗。</w:t>
      </w:r>
    </w:p>
    <w:p w14:paraId="72673391">
      <w:pPr>
        <w:pStyle w:val="9"/>
        <w:spacing w:line="578" w:lineRule="exact"/>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、立足培优做强，在动能转换中构建产业新体系</w:t>
      </w:r>
    </w:p>
    <w:p w14:paraId="199E043D">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加大项目招引力度。大力发展园区建设，完善基础设施，多渠道筹措资金，不断加大投入力度，进一步完善水、电、路、讯等公共设施建设，打造项目招引强磁场。充分依托鹿泉区招商引资的广阔平台与资源，做实做好违建拆除后提升工作，有效盘活拆后腾退土地，力争招引</w:t>
      </w:r>
      <w:r>
        <w:rPr>
          <w:rFonts w:ascii="仿宋" w:hAnsi="仿宋" w:eastAsia="仿宋" w:cs="仿宋"/>
          <w:sz w:val="32"/>
          <w:szCs w:val="32"/>
        </w:rPr>
        <w:t>2-3</w:t>
      </w:r>
      <w:r>
        <w:rPr>
          <w:rFonts w:hint="eastAsia" w:ascii="仿宋" w:hAnsi="仿宋" w:eastAsia="仿宋" w:cs="仿宋"/>
          <w:sz w:val="32"/>
          <w:szCs w:val="32"/>
        </w:rPr>
        <w:t>个亿元以上项目，加快产业转型升级，为我镇经济高质量发展助力。</w:t>
      </w:r>
    </w:p>
    <w:p w14:paraId="47839A60">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提速壮大主导产业。深化“二包一”工作机制，充分发扬“店小二”精神，为项目提供优质、高效、直接的“一站式”服务，全力推进河北智慧物流产业园、中农发太行国际一带一路智慧冷链物流园、太行智慧冷链物流园等项目建设，助力构建农副产品、大宗商品、生鲜冷链现代物流体系，打造现代化物流强区。</w:t>
      </w:r>
    </w:p>
    <w:p w14:paraId="2D87D80F">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提质发展特色农业。加速推进耕地流出问题整改工作，坚决遏制耕地“非农化”防止“非粮化”，严守耕地红线，力争粮食增产增收。以国家乡村振兴示范县创建为契机，紧抓上级取消滹沱河地下水水源保护区的利好政策，因地制宜发展现代化农业，探索种养殖一体化、农产品深加工、乡村休闲旅游、团建研学、食宿民宿、农村电商等产业，进一步延伸产业链，建设成为规模化、规范化、品牌化的农业产业基地。</w:t>
      </w:r>
    </w:p>
    <w:p w14:paraId="20C84C61">
      <w:pPr>
        <w:pStyle w:val="9"/>
        <w:spacing w:line="578" w:lineRule="exact"/>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、聚焦乡村振兴，在固强补弱中绘就乡村新画卷</w:t>
      </w:r>
    </w:p>
    <w:p w14:paraId="0E4E78F4">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全面提升城镇形象。持续开展私搭乱建、违章建筑专项整治，改造提升主街主路景观，建设精品小街巷。加快拆后提升工作，坚持拆建结合，对残垣断壁、危旧房屋、主道路干线、公共场所等进一步修缮整理，同时对腾退空间进行高标准提升，继续实施一批基础设施工程，进一步规范李村市集，基本消除占道经营、道路拥堵现象，完善镇、村两级交通网络，加快村庄道路硬化建设，让城镇更有品味、更具颜值。</w:t>
      </w:r>
    </w:p>
    <w:p w14:paraId="23D7C398">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全力建设和美乡村。充分挖掘历史文化元素，整合打造“胡庄品牌”的餐饮、汽修服务区、南白砂特色小巷、屯头烽火台等特色品牌。以“村庄清洁”“爱国卫生运动”等活动为抓手，深入推进农村人居环境整治。加快推进</w:t>
      </w:r>
      <w:r>
        <w:rPr>
          <w:rFonts w:ascii="仿宋" w:hAnsi="仿宋" w:eastAsia="仿宋" w:cs="仿宋"/>
          <w:sz w:val="32"/>
          <w:szCs w:val="32"/>
        </w:rPr>
        <w:t>22</w:t>
      </w:r>
      <w:r>
        <w:rPr>
          <w:rFonts w:hint="eastAsia" w:ascii="仿宋" w:hAnsi="仿宋" w:eastAsia="仿宋" w:cs="仿宋"/>
          <w:sz w:val="32"/>
          <w:szCs w:val="32"/>
        </w:rPr>
        <w:t>个村移民项目施工进度，在增绿、增亮、增功能上下功夫，村庄绿化率达</w:t>
      </w:r>
      <w:r>
        <w:rPr>
          <w:rFonts w:ascii="仿宋" w:hAnsi="仿宋" w:eastAsia="仿宋" w:cs="仿宋"/>
          <w:sz w:val="32"/>
          <w:szCs w:val="32"/>
        </w:rPr>
        <w:t>30%</w:t>
      </w:r>
      <w:r>
        <w:rPr>
          <w:rFonts w:hint="eastAsia" w:ascii="仿宋" w:hAnsi="仿宋" w:eastAsia="仿宋" w:cs="仿宋"/>
          <w:sz w:val="32"/>
          <w:szCs w:val="32"/>
        </w:rPr>
        <w:t>以上。不断巩固改厕成果，建立健全长效管护机制。在现有美丽乡村基础上，新创建</w:t>
      </w:r>
      <w:r>
        <w:rPr>
          <w:rFonts w:ascii="仿宋" w:hAnsi="仿宋" w:eastAsia="仿宋" w:cs="仿宋"/>
          <w:sz w:val="32"/>
          <w:szCs w:val="32"/>
        </w:rPr>
        <w:t>4</w:t>
      </w:r>
      <w:r>
        <w:rPr>
          <w:rFonts w:hint="eastAsia" w:ascii="仿宋" w:hAnsi="仿宋" w:eastAsia="仿宋" w:cs="仿宋"/>
          <w:sz w:val="32"/>
          <w:szCs w:val="32"/>
        </w:rPr>
        <w:t>个省级美丽乡村，加大力度完善各村基础设施，打造具有“城市品质、乡村风情”的现代化和美乡村。</w:t>
      </w:r>
    </w:p>
    <w:p w14:paraId="6AF13172">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奋力推进农民富裕。充分发挥际华农业、张堡现代产业园、润穗丰等特色农业项目“龙头引领”效应，推动支部领办合作社模式实现全域覆盖，实施“村集体经济倍增工程”，确保农民人均收入进一步提升。抓好北部崛起、乡村振兴大好发展机遇，深入推进农村综合改革，加强土地确权成果应用，完善集体建设用地流转制度，强化“三资”管理，争取村集体经济收入再创新高。</w:t>
      </w:r>
    </w:p>
    <w:p w14:paraId="3AAC825A">
      <w:pPr>
        <w:pStyle w:val="9"/>
        <w:spacing w:line="578" w:lineRule="exact"/>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、注重品质提升，在精监细管中塑造农村新形象</w:t>
      </w:r>
    </w:p>
    <w:p w14:paraId="05C5D573">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精准治理大气污染。突出重点区域、重点行业、重点时段，聚焦扬尘、臭氧、氮氧化物等主要污染因素，全力降尘、控车、减排，特别是加快鼎鑫一分公司绿色转型。加强与周边乡镇的联防联控，落实企业减排、车辆远端绕行、南白砂路口大型车辆管控、散煤禁烧等综合治理措施，助力我区空气质量指数增比进位。对点位周边“</w:t>
      </w:r>
      <w:r>
        <w:rPr>
          <w:rFonts w:ascii="仿宋" w:hAnsi="仿宋" w:eastAsia="仿宋" w:cs="仿宋"/>
          <w:sz w:val="32"/>
          <w:szCs w:val="32"/>
        </w:rPr>
        <w:t>5135</w:t>
      </w:r>
      <w:r>
        <w:rPr>
          <w:rFonts w:hint="eastAsia" w:ascii="仿宋" w:hAnsi="仿宋" w:eastAsia="仿宋" w:cs="仿宋"/>
          <w:sz w:val="32"/>
          <w:szCs w:val="32"/>
        </w:rPr>
        <w:t>”范围内精准管控，继续聘请专家技术指导，科学研判污染成因，提前预判污染来源，准确采取措施，及时消除污染隐患和污染高值，力争空气质量跻身全区前列。</w:t>
      </w:r>
    </w:p>
    <w:p w14:paraId="5FDA6987">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加强环保监管力度。加强企业环境保护监管，严厉查处违法排污行为，督促企业切实履行环境保护义务，全面推行横向到边、纵向到底、反应灵敏、处置有力的环境保护专项监督机制。加强对环卫公司监督考核，推动卫生保洁工作再上新台阶。进一步夯实村级巡防机制和奖罚机制，高效科学管控焚烧秸秆、垃圾等行为，进一步打造绿色、安全生产生活环境。</w:t>
      </w:r>
    </w:p>
    <w:p w14:paraId="58A1C633">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强化水土保持建设。严格落实“河长制”，全面加强河流治理，持续推进河道“清四乱”，实施古运河综合治理，让河畅水清、岸绿景美成为常态。实行最严格水资源管理制度，确保完成年度自备井关停、引江水消纳等任务，推动地下水位持续回升。严格落实“林长制”，持续实施人工造林、森林抚育、封山育林工程。加强重点领域和建设用地土壤环境联动监管，建立健全固体废物和新污染物治理体系，牢牢守住生态保护红线，确保土壤环境安全，提升生态系统多样性、稳定性、持续性。</w:t>
      </w:r>
    </w:p>
    <w:p w14:paraId="4113EEE6">
      <w:pPr>
        <w:pStyle w:val="9"/>
        <w:spacing w:line="578" w:lineRule="exact"/>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、聚力共建共享，在风险防范中探索治理新路径</w:t>
      </w:r>
    </w:p>
    <w:p w14:paraId="49FBCDD9">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优化统筹防疫措施。围绕“保健康、防重症”，加强重点人群健康监测，完善网格抽样调查机制，落实好前端防控工作。进一步强化科普宣传，牢固树立“自己是健康第一责任人”理念，倡导健康生活方式。不断提高全镇特别是老年人群加强免疫接种覆盖率，努力做到“应接尽接”。充分发挥镇卫生院与村卫生室医疗机构作用，定期组织村医、网格员专业培训，做好重点人群健康监测和重症患者医疗救治，坚决保障人民群众生命安全和身体健康。</w:t>
      </w:r>
    </w:p>
    <w:p w14:paraId="4189234A">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扎实做好民生保障。严格落实各项惠民和救助政策，普及学前教育，巩固义务教育和控辍保学成果。有序推进城乡居民基本养老和医疗保险征收工作。做好防范防止返贫动态监测和帮扶工作，巩固好拓展脱贫攻坚成果。全力保障低保、特困、优抚等困难群众基本生活，加强妇女儿童、未成年人关心关爱和权益保护，持续提高社会保障水平。发挥好镇村退役军人管理服务站职能，进一步保障军队退役人员合法权益。坚持不懈推进居家养老服务补贴、残疾人家庭无障碍改造等民生实事，改扩建李村镇卫生院，并进行道路提升，完成好完善河滩地路网建设、双同路整治提升、完善秦庄小学建设并交付使用等</w:t>
      </w:r>
      <w:r>
        <w:rPr>
          <w:rFonts w:ascii="仿宋" w:hAnsi="仿宋" w:eastAsia="仿宋" w:cs="仿宋"/>
          <w:sz w:val="32"/>
          <w:szCs w:val="32"/>
        </w:rPr>
        <w:t>8</w:t>
      </w:r>
      <w:r>
        <w:rPr>
          <w:rFonts w:hint="eastAsia" w:ascii="仿宋" w:hAnsi="仿宋" w:eastAsia="仿宋" w:cs="仿宋"/>
          <w:sz w:val="32"/>
          <w:szCs w:val="32"/>
        </w:rPr>
        <w:t>项民生工程。</w:t>
      </w:r>
    </w:p>
    <w:p w14:paraId="2C766347">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有效推进社会治理。加强社会治理创新。坚持和发展新时代“枫桥经验”，建立矛盾纠纷多元化解体系，加强信访、人民调解、行政调解、司法调解工作，拓宽社情民意表达渠道。切实维护全镇和谐稳定。持续深化“平安李村”建设，常态化开展扫黑除恶斗争，严厉打击盗抢骗，黄赌毒，食药环违法犯罪行为，加大预防电信诈骗防范力度，最大限度减少群众损失。深入实施“八五”普法规划，各村培养“法律明白人”</w:t>
      </w:r>
      <w:r>
        <w:rPr>
          <w:rFonts w:ascii="仿宋" w:hAnsi="仿宋" w:eastAsia="仿宋" w:cs="仿宋"/>
          <w:sz w:val="32"/>
          <w:szCs w:val="32"/>
        </w:rPr>
        <w:t>3</w:t>
      </w:r>
      <w:r>
        <w:rPr>
          <w:rFonts w:hint="eastAsia" w:ascii="仿宋" w:hAnsi="仿宋" w:eastAsia="仿宋" w:cs="仿宋"/>
          <w:sz w:val="32"/>
          <w:szCs w:val="32"/>
        </w:rPr>
        <w:t>名以上，建设法治李村。坚持总体国家安全观，深入开展国家安全宣传教育，着力提高防范化解重大风险能力。持续深入开展安全生产大排查、大整治，统筹推进消防安全、森林防火、食品药品安全等重点领域排查整治，完成全域用气户燃气自闭阀安装工作，以高水平安全保障高质量发展。</w:t>
      </w:r>
    </w:p>
    <w:p w14:paraId="19398E4D">
      <w:pPr>
        <w:pStyle w:val="9"/>
        <w:spacing w:line="578" w:lineRule="exact"/>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、打造过硬队伍，在为民服务中彰显政府新作为</w:t>
      </w:r>
    </w:p>
    <w:p w14:paraId="595CE7DA">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坚持政治为先忠诚为政。坚持以党的二十大精神领航定向，坚决捍卫“两个确立”，增强“四个意识”</w:t>
      </w:r>
      <w:r>
        <w:rPr>
          <w:rFonts w:hint="eastAsia" w:ascii="仿宋" w:hAnsi="仿宋" w:eastAsia="仿宋" w:cs="仿宋"/>
          <w:sz w:val="32"/>
          <w:szCs w:val="32"/>
          <w:lang w:eastAsia="zh-CN"/>
        </w:rPr>
        <w:t>、</w:t>
      </w:r>
      <w:r>
        <w:rPr>
          <w:rFonts w:hint="eastAsia" w:ascii="仿宋" w:hAnsi="仿宋" w:eastAsia="仿宋" w:cs="仿宋"/>
          <w:sz w:val="32"/>
          <w:szCs w:val="32"/>
        </w:rPr>
        <w:t>坚定“四个自信”</w:t>
      </w:r>
      <w:r>
        <w:rPr>
          <w:rFonts w:hint="eastAsia" w:ascii="仿宋" w:hAnsi="仿宋" w:eastAsia="仿宋" w:cs="仿宋"/>
          <w:sz w:val="32"/>
          <w:szCs w:val="32"/>
          <w:lang w:eastAsia="zh-CN"/>
        </w:rPr>
        <w:t>、</w:t>
      </w:r>
      <w:bookmarkStart w:id="0" w:name="_GoBack"/>
      <w:bookmarkEnd w:id="0"/>
      <w:r>
        <w:rPr>
          <w:rFonts w:hint="eastAsia" w:ascii="仿宋" w:hAnsi="仿宋" w:eastAsia="仿宋" w:cs="仿宋"/>
          <w:sz w:val="32"/>
          <w:szCs w:val="32"/>
        </w:rPr>
        <w:t>做到“两个维护”，坚持党的全面领导，抓牢发展第一要务，聚焦高质量发展主责主业，以只争朝夕的紧迫感抓项目、抓产业、抓安全、抓发展，推动中央和省市区委的决策部署落地生根、抓实见效。</w:t>
      </w:r>
    </w:p>
    <w:p w14:paraId="13A6C730">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坚持法治为纲依法行政。牢固树立法治观念，促进法治政府、法治社会一体建设，依法执政、依法行政共同推进。坚持领导班子会议学法制度，带头学法守法用法，切实把政府工作纳入法治轨道。自觉接受人大依法监督，高质量办理人大代表建议，深入推进政务公开，及时回应社会关切，全面增强政府工作效能。</w:t>
      </w:r>
    </w:p>
    <w:p w14:paraId="707CA0D5">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坚持清廉为本廉洁从政。不断加强政府系统党风廉政建设和意识形态工作，切实履行“一岗双责”，推动全面从严治党向纵深推进。持之以恒落实中央八项规定及其实施细则精神，驰而不息纠正“四风”。加强对重点领域、重点岗位的监督管理，强化不敢腐的震慑、扎牢不能腐的笼子、增强不想腐的自觉，让清正清廉成为政府工作的鲜明底色。</w:t>
      </w:r>
    </w:p>
    <w:p w14:paraId="32901E91">
      <w:pPr>
        <w:spacing w:line="578" w:lineRule="exact"/>
        <w:rPr>
          <w:rFonts w:ascii="楷体" w:hAnsi="楷体" w:eastAsia="楷体" w:cs="仿宋"/>
          <w:bCs/>
          <w:sz w:val="32"/>
          <w:szCs w:val="32"/>
        </w:rPr>
      </w:pPr>
      <w:r>
        <w:rPr>
          <w:rFonts w:ascii="仿宋" w:hAnsi="仿宋" w:eastAsia="仿宋" w:cs="仿宋"/>
          <w:b/>
          <w:bCs/>
          <w:sz w:val="32"/>
          <w:szCs w:val="32"/>
        </w:rPr>
        <w:t xml:space="preserve">   </w:t>
      </w:r>
      <w:r>
        <w:rPr>
          <w:rFonts w:hint="eastAsia" w:ascii="楷体" w:hAnsi="楷体" w:eastAsia="楷体" w:cs="仿宋"/>
          <w:bCs/>
          <w:sz w:val="32"/>
          <w:szCs w:val="32"/>
        </w:rPr>
        <w:t>（二）分项绩效目标实现情况及指标分析</w:t>
      </w:r>
    </w:p>
    <w:p w14:paraId="5162EE78">
      <w:pPr>
        <w:pStyle w:val="10"/>
        <w:spacing w:line="578" w:lineRule="exact"/>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w:t>
      </w:r>
      <w:r>
        <w:rPr>
          <w:rFonts w:ascii="仿宋" w:hAnsi="仿宋" w:eastAsia="仿宋" w:cs="仿宋"/>
          <w:sz w:val="32"/>
          <w:szCs w:val="32"/>
        </w:rPr>
        <w:t>2023</w:t>
      </w:r>
      <w:r>
        <w:rPr>
          <w:rFonts w:hint="eastAsia" w:ascii="仿宋" w:hAnsi="仿宋" w:eastAsia="仿宋" w:cs="仿宋"/>
          <w:sz w:val="32"/>
          <w:szCs w:val="32"/>
        </w:rPr>
        <w:t>年李村镇镇级代课教师工资</w:t>
      </w:r>
    </w:p>
    <w:p w14:paraId="44DA92CE">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绩效目标：</w:t>
      </w:r>
      <w:r>
        <w:rPr>
          <w:rFonts w:ascii="仿宋" w:hAnsi="仿宋" w:eastAsia="仿宋" w:cs="仿宋"/>
          <w:sz w:val="32"/>
          <w:szCs w:val="32"/>
        </w:rPr>
        <w:t>1.</w:t>
      </w:r>
      <w:r>
        <w:rPr>
          <w:rFonts w:hint="eastAsia" w:ascii="仿宋" w:hAnsi="仿宋" w:eastAsia="仿宋" w:cs="仿宋"/>
          <w:sz w:val="32"/>
          <w:szCs w:val="32"/>
        </w:rPr>
        <w:t>按照区财政局要求，从</w:t>
      </w:r>
      <w:r>
        <w:rPr>
          <w:rFonts w:ascii="仿宋" w:hAnsi="仿宋" w:eastAsia="仿宋" w:cs="仿宋"/>
          <w:sz w:val="32"/>
          <w:szCs w:val="32"/>
        </w:rPr>
        <w:t>2018</w:t>
      </w:r>
      <w:r>
        <w:rPr>
          <w:rFonts w:hint="eastAsia" w:ascii="仿宋" w:hAnsi="仿宋" w:eastAsia="仿宋" w:cs="仿宋"/>
          <w:sz w:val="32"/>
          <w:szCs w:val="32"/>
        </w:rPr>
        <w:t>年度开始，镇级临时代课教师工资由教育局转到镇级财政负担，镇</w:t>
      </w:r>
      <w:r>
        <w:rPr>
          <w:rFonts w:ascii="仿宋" w:hAnsi="仿宋" w:eastAsia="仿宋" w:cs="仿宋"/>
          <w:sz w:val="32"/>
          <w:szCs w:val="32"/>
        </w:rPr>
        <w:t>2022</w:t>
      </w:r>
      <w:r>
        <w:rPr>
          <w:rFonts w:hint="eastAsia" w:ascii="仿宋" w:hAnsi="仿宋" w:eastAsia="仿宋" w:cs="仿宋"/>
          <w:sz w:val="32"/>
          <w:szCs w:val="32"/>
        </w:rPr>
        <w:t>年</w:t>
      </w:r>
      <w:r>
        <w:rPr>
          <w:rFonts w:ascii="仿宋" w:hAnsi="仿宋" w:eastAsia="仿宋" w:cs="仿宋"/>
          <w:sz w:val="32"/>
          <w:szCs w:val="32"/>
        </w:rPr>
        <w:t>12</w:t>
      </w:r>
      <w:r>
        <w:rPr>
          <w:rFonts w:hint="eastAsia" w:ascii="仿宋" w:hAnsi="仿宋" w:eastAsia="仿宋" w:cs="仿宋"/>
          <w:sz w:val="32"/>
          <w:szCs w:val="32"/>
        </w:rPr>
        <w:t>月底公用临时教师</w:t>
      </w:r>
      <w:r>
        <w:rPr>
          <w:rFonts w:ascii="仿宋" w:hAnsi="仿宋" w:eastAsia="仿宋" w:cs="仿宋"/>
          <w:sz w:val="32"/>
          <w:szCs w:val="32"/>
        </w:rPr>
        <w:t>86</w:t>
      </w:r>
      <w:r>
        <w:rPr>
          <w:rFonts w:hint="eastAsia" w:ascii="仿宋" w:hAnsi="仿宋" w:eastAsia="仿宋" w:cs="仿宋"/>
          <w:sz w:val="32"/>
          <w:szCs w:val="32"/>
        </w:rPr>
        <w:t>人，每人每月工资</w:t>
      </w:r>
      <w:r>
        <w:rPr>
          <w:rFonts w:ascii="仿宋" w:hAnsi="仿宋" w:eastAsia="仿宋" w:cs="仿宋"/>
          <w:sz w:val="32"/>
          <w:szCs w:val="32"/>
        </w:rPr>
        <w:t>1900</w:t>
      </w:r>
      <w:r>
        <w:rPr>
          <w:rFonts w:hint="eastAsia" w:ascii="仿宋" w:hAnsi="仿宋" w:eastAsia="仿宋" w:cs="仿宋"/>
          <w:sz w:val="32"/>
          <w:szCs w:val="32"/>
        </w:rPr>
        <w:t>元，根据石家庄市人力资源和社会保障局文件石人社字【</w:t>
      </w:r>
      <w:r>
        <w:rPr>
          <w:rFonts w:ascii="仿宋" w:hAnsi="仿宋" w:eastAsia="仿宋" w:cs="仿宋"/>
          <w:sz w:val="32"/>
          <w:szCs w:val="32"/>
        </w:rPr>
        <w:t>2022</w:t>
      </w:r>
      <w:r>
        <w:rPr>
          <w:rFonts w:hint="eastAsia" w:ascii="仿宋" w:hAnsi="仿宋" w:eastAsia="仿宋" w:cs="仿宋"/>
          <w:sz w:val="32"/>
          <w:szCs w:val="32"/>
        </w:rPr>
        <w:t>】</w:t>
      </w:r>
      <w:r>
        <w:rPr>
          <w:rFonts w:ascii="仿宋" w:hAnsi="仿宋" w:eastAsia="仿宋" w:cs="仿宋"/>
          <w:sz w:val="32"/>
          <w:szCs w:val="32"/>
        </w:rPr>
        <w:t>125</w:t>
      </w:r>
      <w:r>
        <w:rPr>
          <w:rFonts w:hint="eastAsia" w:ascii="仿宋" w:hAnsi="仿宋" w:eastAsia="仿宋" w:cs="仿宋"/>
          <w:sz w:val="32"/>
          <w:szCs w:val="32"/>
        </w:rPr>
        <w:t>号文，《石家庄市人力资源和社会保障局关于贯彻落实最低工资标准有关工作的通知》，自</w:t>
      </w:r>
      <w:r>
        <w:rPr>
          <w:rFonts w:ascii="仿宋" w:hAnsi="仿宋" w:eastAsia="仿宋" w:cs="仿宋"/>
          <w:sz w:val="32"/>
          <w:szCs w:val="32"/>
        </w:rPr>
        <w:t>2023</w:t>
      </w:r>
      <w:r>
        <w:rPr>
          <w:rFonts w:hint="eastAsia" w:ascii="仿宋" w:hAnsi="仿宋" w:eastAsia="仿宋" w:cs="仿宋"/>
          <w:sz w:val="32"/>
          <w:szCs w:val="32"/>
        </w:rPr>
        <w:t>年</w:t>
      </w:r>
      <w:r>
        <w:rPr>
          <w:rFonts w:ascii="仿宋" w:hAnsi="仿宋" w:eastAsia="仿宋" w:cs="仿宋"/>
          <w:sz w:val="32"/>
          <w:szCs w:val="32"/>
        </w:rPr>
        <w:t>1</w:t>
      </w:r>
      <w:r>
        <w:rPr>
          <w:rFonts w:hint="eastAsia" w:ascii="仿宋" w:hAnsi="仿宋" w:eastAsia="仿宋" w:cs="仿宋"/>
          <w:sz w:val="32"/>
          <w:szCs w:val="32"/>
        </w:rPr>
        <w:t>月</w:t>
      </w:r>
      <w:r>
        <w:rPr>
          <w:rFonts w:ascii="仿宋" w:hAnsi="仿宋" w:eastAsia="仿宋" w:cs="仿宋"/>
          <w:sz w:val="32"/>
          <w:szCs w:val="32"/>
        </w:rPr>
        <w:t>1</w:t>
      </w:r>
      <w:r>
        <w:rPr>
          <w:rFonts w:hint="eastAsia" w:ascii="仿宋" w:hAnsi="仿宋" w:eastAsia="仿宋" w:cs="仿宋"/>
          <w:sz w:val="32"/>
          <w:szCs w:val="32"/>
        </w:rPr>
        <w:t>日起，最低工资标准执行</w:t>
      </w:r>
      <w:r>
        <w:rPr>
          <w:rFonts w:ascii="仿宋" w:hAnsi="仿宋" w:eastAsia="仿宋" w:cs="仿宋"/>
          <w:sz w:val="32"/>
          <w:szCs w:val="32"/>
        </w:rPr>
        <w:t>2200</w:t>
      </w:r>
      <w:r>
        <w:rPr>
          <w:rFonts w:hint="eastAsia" w:ascii="仿宋" w:hAnsi="仿宋" w:eastAsia="仿宋" w:cs="仿宋"/>
          <w:sz w:val="32"/>
          <w:szCs w:val="32"/>
        </w:rPr>
        <w:t>元，共计工资</w:t>
      </w:r>
      <w:r>
        <w:rPr>
          <w:rFonts w:ascii="仿宋" w:hAnsi="仿宋" w:eastAsia="仿宋" w:cs="仿宋"/>
          <w:sz w:val="32"/>
          <w:szCs w:val="32"/>
        </w:rPr>
        <w:t>2270400</w:t>
      </w:r>
      <w:r>
        <w:rPr>
          <w:rFonts w:hint="eastAsia" w:ascii="仿宋" w:hAnsi="仿宋" w:eastAsia="仿宋" w:cs="仿宋"/>
          <w:sz w:val="32"/>
          <w:szCs w:val="32"/>
        </w:rPr>
        <w:t>元。做好教育代课教师工资支出，提高学校教学质量。</w:t>
      </w:r>
    </w:p>
    <w:p w14:paraId="20F4857B">
      <w:pPr>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绩效指标：</w:t>
      </w:r>
      <w:r>
        <w:rPr>
          <w:rFonts w:ascii="仿宋" w:hAnsi="仿宋" w:eastAsia="仿宋" w:cs="仿宋"/>
          <w:sz w:val="32"/>
          <w:szCs w:val="32"/>
        </w:rPr>
        <w:t>2023</w:t>
      </w:r>
      <w:r>
        <w:rPr>
          <w:rFonts w:hint="eastAsia" w:ascii="仿宋" w:hAnsi="仿宋" w:eastAsia="仿宋" w:cs="仿宋"/>
          <w:sz w:val="32"/>
          <w:szCs w:val="32"/>
        </w:rPr>
        <w:t>年，镇级代课教师</w:t>
      </w:r>
      <w:r>
        <w:rPr>
          <w:rFonts w:ascii="仿宋" w:hAnsi="仿宋" w:eastAsia="仿宋" w:cs="仿宋"/>
          <w:sz w:val="32"/>
          <w:szCs w:val="32"/>
        </w:rPr>
        <w:t>86</w:t>
      </w:r>
      <w:r>
        <w:rPr>
          <w:rFonts w:hint="eastAsia" w:ascii="仿宋" w:hAnsi="仿宋" w:eastAsia="仿宋" w:cs="仿宋"/>
          <w:sz w:val="32"/>
          <w:szCs w:val="32"/>
        </w:rPr>
        <w:t>名，每人每月工资</w:t>
      </w:r>
      <w:r>
        <w:rPr>
          <w:rFonts w:ascii="仿宋" w:hAnsi="仿宋" w:eastAsia="仿宋" w:cs="仿宋"/>
          <w:sz w:val="32"/>
          <w:szCs w:val="32"/>
        </w:rPr>
        <w:t>2200</w:t>
      </w:r>
      <w:r>
        <w:rPr>
          <w:rFonts w:hint="eastAsia" w:ascii="仿宋" w:hAnsi="仿宋" w:eastAsia="仿宋" w:cs="仿宋"/>
          <w:sz w:val="32"/>
          <w:szCs w:val="32"/>
        </w:rPr>
        <w:t>万元，安排</w:t>
      </w:r>
      <w:r>
        <w:rPr>
          <w:rFonts w:ascii="仿宋" w:hAnsi="仿宋" w:eastAsia="仿宋" w:cs="仿宋"/>
          <w:sz w:val="32"/>
          <w:szCs w:val="32"/>
        </w:rPr>
        <w:t>2023</w:t>
      </w:r>
      <w:r>
        <w:rPr>
          <w:rFonts w:hint="eastAsia" w:ascii="仿宋" w:hAnsi="仿宋" w:eastAsia="仿宋" w:cs="仿宋"/>
          <w:sz w:val="32"/>
          <w:szCs w:val="32"/>
        </w:rPr>
        <w:t>年预算</w:t>
      </w:r>
      <w:r>
        <w:rPr>
          <w:rFonts w:ascii="仿宋" w:hAnsi="仿宋" w:eastAsia="仿宋" w:cs="仿宋"/>
          <w:sz w:val="32"/>
          <w:szCs w:val="32"/>
        </w:rPr>
        <w:t>227.04</w:t>
      </w:r>
      <w:r>
        <w:rPr>
          <w:rFonts w:hint="eastAsia" w:ascii="仿宋" w:hAnsi="仿宋" w:eastAsia="仿宋" w:cs="仿宋"/>
          <w:sz w:val="32"/>
          <w:szCs w:val="32"/>
        </w:rPr>
        <w:t>万元，拨付</w:t>
      </w:r>
      <w:r>
        <w:rPr>
          <w:rFonts w:ascii="仿宋" w:hAnsi="仿宋" w:eastAsia="仿宋" w:cs="仿宋"/>
          <w:sz w:val="32"/>
          <w:szCs w:val="32"/>
        </w:rPr>
        <w:t>227.04</w:t>
      </w:r>
      <w:r>
        <w:rPr>
          <w:rFonts w:hint="eastAsia" w:ascii="仿宋" w:hAnsi="仿宋" w:eastAsia="仿宋" w:cs="仿宋"/>
          <w:sz w:val="32"/>
          <w:szCs w:val="32"/>
        </w:rPr>
        <w:t>万元，执行率达到</w:t>
      </w:r>
      <w:r>
        <w:rPr>
          <w:rFonts w:ascii="仿宋" w:hAnsi="仿宋" w:eastAsia="仿宋" w:cs="仿宋"/>
          <w:sz w:val="32"/>
          <w:szCs w:val="32"/>
        </w:rPr>
        <w:t>100%</w:t>
      </w:r>
      <w:r>
        <w:rPr>
          <w:rFonts w:hint="eastAsia" w:ascii="仿宋" w:hAnsi="仿宋" w:eastAsia="仿宋" w:cs="仿宋"/>
          <w:sz w:val="32"/>
          <w:szCs w:val="32"/>
        </w:rPr>
        <w:t>。</w:t>
      </w:r>
    </w:p>
    <w:p w14:paraId="64A52825">
      <w:pPr>
        <w:pStyle w:val="10"/>
        <w:spacing w:line="578" w:lineRule="exact"/>
        <w:ind w:firstLine="640" w:firstLineChars="200"/>
        <w:rPr>
          <w:rFonts w:hint="eastAsia" w:ascii="仿宋" w:hAnsi="仿宋" w:eastAsia="仿宋" w:cs="仿宋"/>
          <w:sz w:val="32"/>
          <w:szCs w:val="32"/>
        </w:rPr>
      </w:pPr>
    </w:p>
    <w:p w14:paraId="65043E20">
      <w:pPr>
        <w:pStyle w:val="10"/>
        <w:spacing w:line="578" w:lineRule="exact"/>
        <w:ind w:firstLine="640" w:firstLineChars="200"/>
        <w:rPr>
          <w:rFonts w:hint="eastAsia"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、农村生活垃圾清理费用</w:t>
      </w:r>
    </w:p>
    <w:p w14:paraId="45E036FE">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绩效目标：保障农村生活垃圾清理范围全覆盖。达到23个村垃圾桶表面无污垢、垃圾桶四周无散落垃圾。对李村镇23个村的街道清扫保洁并对产生的垃圾及时清理，日产日清，达到生活垃圾无积存。</w:t>
      </w:r>
    </w:p>
    <w:p w14:paraId="13DF8B1E">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指标：李村镇保洁面积为1636006.84平方米，有138名保洁人员负责日常清扫及垃圾收集、装桶，洒水降尘。此项目用于：保障农村生活垃圾清理范围全覆盖，达到23个村垃圾桶表面无污垢、垃圾桶四周无散落垃圾，日产日清，达到生活垃圾无积存。区财政安排</w:t>
      </w:r>
      <w:r>
        <w:rPr>
          <w:rFonts w:ascii="仿宋" w:hAnsi="仿宋" w:eastAsia="仿宋" w:cs="仿宋"/>
          <w:sz w:val="32"/>
          <w:szCs w:val="32"/>
        </w:rPr>
        <w:t>2023</w:t>
      </w:r>
      <w:r>
        <w:rPr>
          <w:rFonts w:hint="eastAsia" w:ascii="仿宋" w:hAnsi="仿宋" w:eastAsia="仿宋" w:cs="仿宋"/>
          <w:sz w:val="32"/>
          <w:szCs w:val="32"/>
        </w:rPr>
        <w:t>年预算341.251729万元，拨付341.251729万元，执行率</w:t>
      </w:r>
      <w:r>
        <w:rPr>
          <w:rFonts w:ascii="仿宋" w:hAnsi="仿宋" w:eastAsia="仿宋" w:cs="仿宋"/>
          <w:sz w:val="32"/>
          <w:szCs w:val="32"/>
        </w:rPr>
        <w:t>100%</w:t>
      </w:r>
      <w:r>
        <w:rPr>
          <w:rFonts w:hint="eastAsia" w:ascii="仿宋" w:hAnsi="仿宋" w:eastAsia="仿宋" w:cs="仿宋"/>
          <w:sz w:val="32"/>
          <w:szCs w:val="32"/>
        </w:rPr>
        <w:t>。</w:t>
      </w:r>
    </w:p>
    <w:p w14:paraId="0676C6BC">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w:t>
      </w:r>
      <w:r>
        <w:rPr>
          <w:rFonts w:hint="eastAsia"/>
        </w:rPr>
        <w:t xml:space="preserve"> </w:t>
      </w:r>
      <w:r>
        <w:rPr>
          <w:rFonts w:hint="eastAsia" w:ascii="仿宋" w:hAnsi="仿宋" w:eastAsia="仿宋" w:cs="仿宋"/>
          <w:sz w:val="32"/>
          <w:szCs w:val="32"/>
        </w:rPr>
        <w:t>2023李村镇拆除北胡庄钰鑫便道砖厂有关费用</w:t>
      </w:r>
    </w:p>
    <w:p w14:paraId="6E6D5D8C">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绩效目标：为贯彻落实私搭乱建、违章建筑整治工作，拆除北胡庄钰鑫便道砖厂，腾退土地面积50余亩，建筑12258平方米，为我镇上新项目、产业转型升级打下了基础。</w:t>
      </w:r>
    </w:p>
    <w:p w14:paraId="0A8843FF">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为贯彻落实市委、市政府私搭乱建、违章建筑专项整治工作精神，在区委、区政府的统一领导下，我镇2023年6月拆除北胡庄钰鑫便道砖厂，腾退土地面积50余亩，建筑面积12258平方米，期间共产生使用机械费5.8万元、专业拆迁大棚费17.3万元、建筑垃圾清运费和土地复垦费5.49万元，合计28.59万元。为我镇新上项目，产业转型升级，经济高质量发展打下了基础。区财政安排</w:t>
      </w:r>
      <w:r>
        <w:rPr>
          <w:rFonts w:ascii="仿宋" w:hAnsi="仿宋" w:eastAsia="仿宋" w:cs="仿宋"/>
          <w:sz w:val="32"/>
          <w:szCs w:val="32"/>
        </w:rPr>
        <w:t>2023</w:t>
      </w:r>
      <w:r>
        <w:rPr>
          <w:rFonts w:hint="eastAsia" w:ascii="仿宋" w:hAnsi="仿宋" w:eastAsia="仿宋" w:cs="仿宋"/>
          <w:sz w:val="32"/>
          <w:szCs w:val="32"/>
        </w:rPr>
        <w:t>年预算28.59万元，拨付28.59万元，执行率</w:t>
      </w:r>
      <w:r>
        <w:rPr>
          <w:rFonts w:ascii="仿宋" w:hAnsi="仿宋" w:eastAsia="仿宋" w:cs="仿宋"/>
          <w:sz w:val="32"/>
          <w:szCs w:val="32"/>
        </w:rPr>
        <w:t>100%</w:t>
      </w:r>
      <w:r>
        <w:rPr>
          <w:rFonts w:hint="eastAsia" w:ascii="仿宋" w:hAnsi="仿宋" w:eastAsia="仿宋" w:cs="仿宋"/>
          <w:sz w:val="32"/>
          <w:szCs w:val="32"/>
        </w:rPr>
        <w:t>。</w:t>
      </w:r>
    </w:p>
    <w:p w14:paraId="3A6B0682">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4、李村镇</w:t>
      </w:r>
      <w:r>
        <w:rPr>
          <w:rFonts w:ascii="仿宋" w:hAnsi="仿宋" w:eastAsia="仿宋" w:cs="仿宋"/>
          <w:sz w:val="32"/>
          <w:szCs w:val="32"/>
        </w:rPr>
        <w:t>2023</w:t>
      </w:r>
      <w:r>
        <w:rPr>
          <w:rFonts w:hint="eastAsia" w:ascii="仿宋" w:hAnsi="仿宋" w:eastAsia="仿宋" w:cs="仿宋"/>
          <w:sz w:val="32"/>
          <w:szCs w:val="32"/>
        </w:rPr>
        <w:t>年区级石津干渠截导流工程后续管理资金</w:t>
      </w:r>
    </w:p>
    <w:p w14:paraId="071389BB">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绩效目标：</w:t>
      </w:r>
      <w:r>
        <w:rPr>
          <w:rFonts w:ascii="仿宋" w:hAnsi="仿宋" w:eastAsia="仿宋" w:cs="仿宋"/>
          <w:sz w:val="32"/>
          <w:szCs w:val="32"/>
        </w:rPr>
        <w:t>1.</w:t>
      </w:r>
      <w:r>
        <w:rPr>
          <w:rFonts w:hint="eastAsia" w:ascii="仿宋" w:hAnsi="仿宋" w:eastAsia="仿宋" w:cs="仿宋"/>
          <w:sz w:val="32"/>
          <w:szCs w:val="32"/>
        </w:rPr>
        <w:t>通过外运李村坑塘污水</w:t>
      </w:r>
      <w:r>
        <w:rPr>
          <w:rFonts w:ascii="仿宋" w:hAnsi="仿宋" w:eastAsia="仿宋" w:cs="仿宋"/>
          <w:sz w:val="32"/>
          <w:szCs w:val="32"/>
        </w:rPr>
        <w:t>15000</w:t>
      </w:r>
      <w:r>
        <w:rPr>
          <w:rFonts w:hint="eastAsia" w:ascii="仿宋" w:hAnsi="仿宋" w:eastAsia="仿宋" w:cs="仿宋"/>
          <w:sz w:val="32"/>
          <w:szCs w:val="32"/>
        </w:rPr>
        <w:t>方，闫同坑塘污水</w:t>
      </w:r>
      <w:r>
        <w:rPr>
          <w:rFonts w:ascii="仿宋" w:hAnsi="仿宋" w:eastAsia="仿宋" w:cs="仿宋"/>
          <w:sz w:val="32"/>
          <w:szCs w:val="32"/>
        </w:rPr>
        <w:t>6000</w:t>
      </w:r>
      <w:r>
        <w:rPr>
          <w:rFonts w:hint="eastAsia" w:ascii="仿宋" w:hAnsi="仿宋" w:eastAsia="仿宋" w:cs="仿宋"/>
          <w:sz w:val="32"/>
          <w:szCs w:val="32"/>
        </w:rPr>
        <w:t>方，保障了石津干渠下游水源的安全，杜绝了乡村污水横流，乡村环境得到改善。</w:t>
      </w:r>
    </w:p>
    <w:p w14:paraId="6664A872">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指标：石津干渠鹿泉段截流导流工程是南水北调配套工程石津干渠工程的重要组成部分，肩负着保障南水北调水源通过石津干渠向下游石家庄市、衡水市、沧州市及周边地区和石津干渠沿线县市供水水质安全的重任。石津干渠增加城市供水任务后，实行封闭式管理，沥、污水禁止入渠，因此需对沿岸原有排污（沥）口门实行封堵，将污（沥）水导入新建截流管（渠），经污水处理达到农田灌溉用水标准排入坑塘。该工程的建成，将担负起区域内泄洪排污治污的功能，（六个坑塘日处理污水</w:t>
      </w:r>
      <w:r>
        <w:rPr>
          <w:rFonts w:ascii="仿宋" w:hAnsi="仿宋" w:eastAsia="仿宋" w:cs="仿宋"/>
          <w:sz w:val="32"/>
          <w:szCs w:val="32"/>
        </w:rPr>
        <w:t>350</w:t>
      </w:r>
      <w:r>
        <w:rPr>
          <w:rFonts w:hint="eastAsia" w:ascii="仿宋" w:hAnsi="仿宋" w:eastAsia="仿宋" w:cs="仿宋"/>
          <w:sz w:val="32"/>
          <w:szCs w:val="32"/>
        </w:rPr>
        <w:t>方）既保障了石津干渠下游水源的安全，又杜绝污水横流，乡村环境得到改善，并且还可以将收集的雨、污水资源再利用。</w:t>
      </w:r>
      <w:r>
        <w:rPr>
          <w:rFonts w:ascii="仿宋" w:hAnsi="仿宋" w:eastAsia="仿宋" w:cs="仿宋"/>
          <w:sz w:val="32"/>
          <w:szCs w:val="32"/>
        </w:rPr>
        <w:t>2018</w:t>
      </w:r>
      <w:r>
        <w:rPr>
          <w:rFonts w:hint="eastAsia" w:ascii="仿宋" w:hAnsi="仿宋" w:eastAsia="仿宋" w:cs="仿宋"/>
          <w:sz w:val="32"/>
          <w:szCs w:val="32"/>
        </w:rPr>
        <w:t>年</w:t>
      </w:r>
      <w:r>
        <w:rPr>
          <w:rFonts w:ascii="仿宋" w:hAnsi="仿宋" w:eastAsia="仿宋" w:cs="仿宋"/>
          <w:sz w:val="32"/>
          <w:szCs w:val="32"/>
        </w:rPr>
        <w:t>12</w:t>
      </w:r>
      <w:r>
        <w:rPr>
          <w:rFonts w:hint="eastAsia" w:ascii="仿宋" w:hAnsi="仿宋" w:eastAsia="仿宋" w:cs="仿宋"/>
          <w:sz w:val="32"/>
          <w:szCs w:val="32"/>
        </w:rPr>
        <w:t>月项目完工后，按照河北省南水北调工程建设委员会办公室《关于做好石津干渠村镇截流导流工程移交工作的函》冀调水计（</w:t>
      </w:r>
      <w:r>
        <w:rPr>
          <w:rFonts w:ascii="仿宋" w:hAnsi="仿宋" w:eastAsia="仿宋" w:cs="仿宋"/>
          <w:sz w:val="32"/>
          <w:szCs w:val="32"/>
        </w:rPr>
        <w:t>2016</w:t>
      </w:r>
      <w:r>
        <w:rPr>
          <w:rFonts w:hint="eastAsia" w:ascii="仿宋" w:hAnsi="仿宋" w:eastAsia="仿宋" w:cs="仿宋"/>
          <w:sz w:val="32"/>
          <w:szCs w:val="32"/>
        </w:rPr>
        <w:t>）</w:t>
      </w:r>
      <w:r>
        <w:rPr>
          <w:rFonts w:ascii="仿宋" w:hAnsi="仿宋" w:eastAsia="仿宋" w:cs="仿宋"/>
          <w:sz w:val="32"/>
          <w:szCs w:val="32"/>
        </w:rPr>
        <w:t>52</w:t>
      </w:r>
      <w:r>
        <w:rPr>
          <w:rFonts w:hint="eastAsia" w:ascii="仿宋" w:hAnsi="仿宋" w:eastAsia="仿宋" w:cs="仿宋"/>
          <w:sz w:val="32"/>
          <w:szCs w:val="32"/>
        </w:rPr>
        <w:t>号给市政府的函，为了保证截流导流工程更好地发挥效益，请按照《河北省乡村环境保护和治理条例》（以下简称《条例》）第六条、第三十五条等规定精神，结合本地实际情况，确定工程接收单位，落实运行维护经费，尽快完成移交工作。坑塘建成后日常的管理主要工作是污水处理设备运行、维护，沉淀物清理外运，以及坑区安全管理等。项目《实施方案》只列了工程建设资金，后期运行管理费用按照</w:t>
      </w:r>
      <w:r>
        <w:rPr>
          <w:rFonts w:ascii="仿宋" w:hAnsi="仿宋" w:eastAsia="仿宋" w:cs="仿宋"/>
          <w:sz w:val="32"/>
          <w:szCs w:val="32"/>
        </w:rPr>
        <w:t>"</w:t>
      </w:r>
      <w:r>
        <w:rPr>
          <w:rFonts w:hint="eastAsia" w:ascii="仿宋" w:hAnsi="仿宋" w:eastAsia="仿宋" w:cs="仿宋"/>
          <w:sz w:val="32"/>
          <w:szCs w:val="32"/>
        </w:rPr>
        <w:t>冀调水计（</w:t>
      </w:r>
      <w:r>
        <w:rPr>
          <w:rFonts w:ascii="仿宋" w:hAnsi="仿宋" w:eastAsia="仿宋" w:cs="仿宋"/>
          <w:sz w:val="32"/>
          <w:szCs w:val="32"/>
        </w:rPr>
        <w:t>2016</w:t>
      </w:r>
      <w:r>
        <w:rPr>
          <w:rFonts w:hint="eastAsia" w:ascii="仿宋" w:hAnsi="仿宋" w:eastAsia="仿宋" w:cs="仿宋"/>
          <w:sz w:val="32"/>
          <w:szCs w:val="32"/>
        </w:rPr>
        <w:t>）</w:t>
      </w:r>
      <w:r>
        <w:rPr>
          <w:rFonts w:ascii="仿宋" w:hAnsi="仿宋" w:eastAsia="仿宋" w:cs="仿宋"/>
          <w:sz w:val="32"/>
          <w:szCs w:val="32"/>
        </w:rPr>
        <w:t>52</w:t>
      </w:r>
      <w:r>
        <w:rPr>
          <w:rFonts w:hint="eastAsia" w:ascii="仿宋" w:hAnsi="仿宋" w:eastAsia="仿宋" w:cs="仿宋"/>
          <w:sz w:val="32"/>
          <w:szCs w:val="32"/>
        </w:rPr>
        <w:t>号</w:t>
      </w:r>
      <w:r>
        <w:rPr>
          <w:rFonts w:ascii="仿宋" w:hAnsi="仿宋" w:eastAsia="仿宋" w:cs="仿宋"/>
          <w:sz w:val="32"/>
          <w:szCs w:val="32"/>
        </w:rPr>
        <w:t>"</w:t>
      </w:r>
      <w:r>
        <w:rPr>
          <w:rFonts w:hint="eastAsia" w:ascii="仿宋" w:hAnsi="仿宋" w:eastAsia="仿宋" w:cs="仿宋"/>
          <w:sz w:val="32"/>
          <w:szCs w:val="32"/>
        </w:rPr>
        <w:t>文要求由当地政府落实。因我乡镇为财政统收统支乡镇，经济基础薄弱，特申请鹿泉区政府给予资金支持。鹿泉区财政局农财科根据领导批示的李政字</w:t>
      </w:r>
      <w:r>
        <w:rPr>
          <w:rFonts w:ascii="仿宋" w:hAnsi="仿宋" w:eastAsia="仿宋" w:cs="仿宋"/>
          <w:sz w:val="32"/>
          <w:szCs w:val="32"/>
        </w:rPr>
        <w:t>[2019]6</w:t>
      </w:r>
      <w:r>
        <w:rPr>
          <w:rFonts w:hint="eastAsia" w:ascii="仿宋" w:hAnsi="仿宋" w:eastAsia="仿宋" w:cs="仿宋"/>
          <w:sz w:val="32"/>
          <w:szCs w:val="32"/>
        </w:rPr>
        <w:t>号关于石津干渠截流导流工程护费用的请示（涉及李村、闫同、百尺杆南、百尺杆北、秦庄、郑村六个坑塘），到坑塘现场实地查看，最后提出了建议，一是以乡镇为主体，选择有资质的维养管理公司，并进行公开招标程序，水利局、乡镇政府测算合理的拦标价进行招标，二是水利局移交管护后，以后年度所需资金列入本级财政预算解决。石津灌区截导流工程后续管护工作，水利局要提供技术参数指导，乡镇要抓好坑塘农田灌溉配套设施建设及管护保养工作。</w:t>
      </w:r>
      <w:r>
        <w:rPr>
          <w:rFonts w:ascii="仿宋" w:hAnsi="仿宋" w:eastAsia="仿宋" w:cs="仿宋"/>
          <w:sz w:val="32"/>
          <w:szCs w:val="32"/>
        </w:rPr>
        <w:t>2021</w:t>
      </w:r>
      <w:r>
        <w:rPr>
          <w:rFonts w:hint="eastAsia" w:ascii="仿宋" w:hAnsi="仿宋" w:eastAsia="仿宋" w:cs="仿宋"/>
          <w:sz w:val="32"/>
          <w:szCs w:val="32"/>
        </w:rPr>
        <w:t>年由鹿泉区南水北调工程建设办公室牵头对坑塘工程运行维护项目进行了重新招标，合同中标价为</w:t>
      </w:r>
      <w:r>
        <w:rPr>
          <w:rFonts w:ascii="仿宋" w:hAnsi="仿宋" w:eastAsia="仿宋" w:cs="仿宋"/>
          <w:sz w:val="32"/>
          <w:szCs w:val="32"/>
        </w:rPr>
        <w:t>22.35</w:t>
      </w:r>
      <w:r>
        <w:rPr>
          <w:rFonts w:hint="eastAsia" w:ascii="仿宋" w:hAnsi="仿宋" w:eastAsia="仿宋" w:cs="仿宋"/>
          <w:sz w:val="32"/>
          <w:szCs w:val="32"/>
        </w:rPr>
        <w:t>万元。区财政安排</w:t>
      </w:r>
      <w:r>
        <w:rPr>
          <w:rFonts w:ascii="仿宋" w:hAnsi="仿宋" w:eastAsia="仿宋" w:cs="仿宋"/>
          <w:sz w:val="32"/>
          <w:szCs w:val="32"/>
        </w:rPr>
        <w:t>2023</w:t>
      </w:r>
      <w:r>
        <w:rPr>
          <w:rFonts w:hint="eastAsia" w:ascii="仿宋" w:hAnsi="仿宋" w:eastAsia="仿宋" w:cs="仿宋"/>
          <w:sz w:val="32"/>
          <w:szCs w:val="32"/>
        </w:rPr>
        <w:t>年预算</w:t>
      </w:r>
      <w:r>
        <w:rPr>
          <w:rFonts w:ascii="仿宋" w:hAnsi="仿宋" w:eastAsia="仿宋" w:cs="仿宋"/>
          <w:sz w:val="32"/>
          <w:szCs w:val="32"/>
        </w:rPr>
        <w:t>22.35</w:t>
      </w:r>
      <w:r>
        <w:rPr>
          <w:rFonts w:hint="eastAsia" w:ascii="仿宋" w:hAnsi="仿宋" w:eastAsia="仿宋" w:cs="仿宋"/>
          <w:sz w:val="32"/>
          <w:szCs w:val="32"/>
        </w:rPr>
        <w:t>万元，拨付22.35万元，执行率达到</w:t>
      </w:r>
      <w:r>
        <w:rPr>
          <w:rFonts w:ascii="仿宋" w:hAnsi="仿宋" w:eastAsia="仿宋" w:cs="仿宋"/>
          <w:sz w:val="32"/>
          <w:szCs w:val="32"/>
        </w:rPr>
        <w:t>100%</w:t>
      </w:r>
      <w:r>
        <w:rPr>
          <w:rFonts w:hint="eastAsia" w:ascii="仿宋" w:hAnsi="仿宋" w:eastAsia="仿宋" w:cs="仿宋"/>
          <w:sz w:val="32"/>
          <w:szCs w:val="32"/>
        </w:rPr>
        <w:t>。</w:t>
      </w:r>
    </w:p>
    <w:p w14:paraId="044AEB31">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5、李村镇</w:t>
      </w:r>
      <w:r>
        <w:rPr>
          <w:rFonts w:ascii="仿宋" w:hAnsi="仿宋" w:eastAsia="仿宋" w:cs="仿宋"/>
          <w:sz w:val="32"/>
          <w:szCs w:val="32"/>
        </w:rPr>
        <w:t>2023</w:t>
      </w:r>
      <w:r>
        <w:rPr>
          <w:rFonts w:hint="eastAsia" w:ascii="仿宋" w:hAnsi="仿宋" w:eastAsia="仿宋" w:cs="仿宋"/>
          <w:sz w:val="32"/>
          <w:szCs w:val="32"/>
        </w:rPr>
        <w:t>年区级双同路同阁村铁路段道路提升</w:t>
      </w:r>
    </w:p>
    <w:p w14:paraId="7895EF26">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绩效目标：</w:t>
      </w:r>
      <w:r>
        <w:rPr>
          <w:rFonts w:ascii="仿宋" w:hAnsi="仿宋" w:eastAsia="仿宋" w:cs="仿宋"/>
          <w:sz w:val="32"/>
          <w:szCs w:val="32"/>
        </w:rPr>
        <w:t>1.</w:t>
      </w:r>
      <w:r>
        <w:rPr>
          <w:rFonts w:hint="eastAsia" w:ascii="仿宋" w:hAnsi="仿宋" w:eastAsia="仿宋" w:cs="仿宋"/>
          <w:sz w:val="32"/>
          <w:szCs w:val="32"/>
        </w:rPr>
        <w:t>双同路同阁村铁路段道路提升，新修沥青混凝土工程，铺油</w:t>
      </w:r>
      <w:r>
        <w:rPr>
          <w:rFonts w:ascii="仿宋" w:hAnsi="仿宋" w:eastAsia="仿宋" w:cs="仿宋"/>
          <w:sz w:val="32"/>
          <w:szCs w:val="32"/>
        </w:rPr>
        <w:t>1726.92</w:t>
      </w:r>
      <w:r>
        <w:rPr>
          <w:rFonts w:hint="eastAsia" w:ascii="仿宋" w:hAnsi="仿宋" w:eastAsia="仿宋" w:cs="仿宋"/>
          <w:sz w:val="32"/>
          <w:szCs w:val="32"/>
        </w:rPr>
        <w:t>平方米。（地下</w:t>
      </w:r>
      <w:r>
        <w:rPr>
          <w:rFonts w:ascii="仿宋" w:hAnsi="仿宋" w:eastAsia="仿宋" w:cs="仿宋"/>
          <w:sz w:val="32"/>
          <w:szCs w:val="32"/>
        </w:rPr>
        <w:t>40</w:t>
      </w:r>
      <w:r>
        <w:rPr>
          <w:rFonts w:hint="eastAsia" w:ascii="仿宋" w:hAnsi="仿宋" w:eastAsia="仿宋" w:cs="仿宋"/>
          <w:sz w:val="32"/>
          <w:szCs w:val="32"/>
        </w:rPr>
        <w:t>公分水稳垫层，铺设</w:t>
      </w:r>
      <w:r>
        <w:rPr>
          <w:rFonts w:ascii="仿宋" w:hAnsi="仿宋" w:eastAsia="仿宋" w:cs="仿宋"/>
          <w:sz w:val="32"/>
          <w:szCs w:val="32"/>
        </w:rPr>
        <w:t>15</w:t>
      </w:r>
      <w:r>
        <w:rPr>
          <w:rFonts w:hint="eastAsia" w:ascii="仿宋" w:hAnsi="仿宋" w:eastAsia="仿宋" w:cs="仿宋"/>
          <w:sz w:val="32"/>
          <w:szCs w:val="32"/>
        </w:rPr>
        <w:t>公分见方直径</w:t>
      </w:r>
      <w:r>
        <w:rPr>
          <w:rFonts w:ascii="仿宋" w:hAnsi="仿宋" w:eastAsia="仿宋" w:cs="仿宋"/>
          <w:sz w:val="32"/>
          <w:szCs w:val="32"/>
        </w:rPr>
        <w:t>12</w:t>
      </w:r>
      <w:r>
        <w:rPr>
          <w:rFonts w:hint="eastAsia" w:ascii="仿宋" w:hAnsi="仿宋" w:eastAsia="仿宋" w:cs="仿宋"/>
          <w:sz w:val="32"/>
          <w:szCs w:val="32"/>
        </w:rPr>
        <w:t>公分螺纹钢筋网，沥青铺油厚</w:t>
      </w:r>
      <w:r>
        <w:rPr>
          <w:rFonts w:ascii="仿宋" w:hAnsi="仿宋" w:eastAsia="仿宋" w:cs="仿宋"/>
          <w:sz w:val="32"/>
          <w:szCs w:val="32"/>
        </w:rPr>
        <w:t>10</w:t>
      </w:r>
      <w:r>
        <w:rPr>
          <w:rFonts w:hint="eastAsia" w:ascii="仿宋" w:hAnsi="仿宋" w:eastAsia="仿宋" w:cs="仿宋"/>
          <w:sz w:val="32"/>
          <w:szCs w:val="32"/>
        </w:rPr>
        <w:t>公分），钢筋混凝土建筑面积</w:t>
      </w:r>
      <w:r>
        <w:rPr>
          <w:rFonts w:ascii="仿宋" w:hAnsi="仿宋" w:eastAsia="仿宋" w:cs="仿宋"/>
          <w:sz w:val="32"/>
          <w:szCs w:val="32"/>
        </w:rPr>
        <w:t>66.7</w:t>
      </w:r>
      <w:r>
        <w:rPr>
          <w:rFonts w:hint="eastAsia" w:ascii="仿宋" w:hAnsi="仿宋" w:eastAsia="仿宋" w:cs="仿宋"/>
          <w:sz w:val="32"/>
          <w:szCs w:val="32"/>
        </w:rPr>
        <w:t>平方米（厚度是</w:t>
      </w:r>
      <w:r>
        <w:rPr>
          <w:rFonts w:ascii="仿宋" w:hAnsi="仿宋" w:eastAsia="仿宋" w:cs="仿宋"/>
          <w:sz w:val="32"/>
          <w:szCs w:val="32"/>
        </w:rPr>
        <w:t>50</w:t>
      </w:r>
      <w:r>
        <w:rPr>
          <w:rFonts w:hint="eastAsia" w:ascii="仿宋" w:hAnsi="仿宋" w:eastAsia="仿宋" w:cs="仿宋"/>
          <w:sz w:val="32"/>
          <w:szCs w:val="32"/>
        </w:rPr>
        <w:t>公分）费用是</w:t>
      </w:r>
      <w:r>
        <w:rPr>
          <w:rFonts w:ascii="仿宋" w:hAnsi="仿宋" w:eastAsia="仿宋" w:cs="仿宋"/>
          <w:sz w:val="32"/>
          <w:szCs w:val="32"/>
        </w:rPr>
        <w:t>50</w:t>
      </w:r>
      <w:r>
        <w:rPr>
          <w:rFonts w:hint="eastAsia" w:ascii="仿宋" w:hAnsi="仿宋" w:eastAsia="仿宋" w:cs="仿宋"/>
          <w:sz w:val="32"/>
          <w:szCs w:val="32"/>
        </w:rPr>
        <w:t>万元。，工程建成后将进一步完善提升路网整体服务水平，改善区域交通环境，促进鹿泉区西北物流园区的建设发展。</w:t>
      </w:r>
    </w:p>
    <w:p w14:paraId="6EAD59D4">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绩效指标：</w:t>
      </w:r>
      <w:r>
        <w:rPr>
          <w:rFonts w:ascii="仿宋" w:hAnsi="仿宋" w:eastAsia="仿宋" w:cs="仿宋"/>
          <w:sz w:val="32"/>
          <w:szCs w:val="32"/>
        </w:rPr>
        <w:t>2017</w:t>
      </w:r>
      <w:r>
        <w:rPr>
          <w:rFonts w:hint="eastAsia" w:ascii="仿宋" w:hAnsi="仿宋" w:eastAsia="仿宋" w:cs="仿宋"/>
          <w:sz w:val="32"/>
          <w:szCs w:val="32"/>
        </w:rPr>
        <w:t>年移动双同路拓宽工程，施工方与铁路部门一直未能就同阁村铁路段修建达成一致意见，导致该段未能修建，因该路段大型车辆较多，导致原有旧路基破坏严重，严重影响附近居民通行，为保障道路安全通行，李村镇于</w:t>
      </w:r>
      <w:r>
        <w:rPr>
          <w:rFonts w:ascii="仿宋" w:hAnsi="仿宋" w:eastAsia="仿宋" w:cs="仿宋"/>
          <w:sz w:val="32"/>
          <w:szCs w:val="32"/>
        </w:rPr>
        <w:t>2021</w:t>
      </w:r>
      <w:r>
        <w:rPr>
          <w:rFonts w:hint="eastAsia" w:ascii="仿宋" w:hAnsi="仿宋" w:eastAsia="仿宋" w:cs="仿宋"/>
          <w:sz w:val="32"/>
          <w:szCs w:val="32"/>
        </w:rPr>
        <w:t>年</w:t>
      </w:r>
      <w:r>
        <w:rPr>
          <w:rFonts w:ascii="仿宋" w:hAnsi="仿宋" w:eastAsia="仿宋" w:cs="仿宋"/>
          <w:sz w:val="32"/>
          <w:szCs w:val="32"/>
        </w:rPr>
        <w:t>8</w:t>
      </w:r>
      <w:r>
        <w:rPr>
          <w:rFonts w:hint="eastAsia" w:ascii="仿宋" w:hAnsi="仿宋" w:eastAsia="仿宋" w:cs="仿宋"/>
          <w:sz w:val="32"/>
          <w:szCs w:val="32"/>
        </w:rPr>
        <w:t>月将该路段进行了修复，相关费用</w:t>
      </w:r>
      <w:r>
        <w:rPr>
          <w:rFonts w:ascii="仿宋" w:hAnsi="仿宋" w:eastAsia="仿宋" w:cs="仿宋"/>
          <w:sz w:val="32"/>
          <w:szCs w:val="32"/>
        </w:rPr>
        <w:t>50</w:t>
      </w:r>
      <w:r>
        <w:rPr>
          <w:rFonts w:hint="eastAsia" w:ascii="仿宋" w:hAnsi="仿宋" w:eastAsia="仿宋" w:cs="仿宋"/>
          <w:sz w:val="32"/>
          <w:szCs w:val="32"/>
        </w:rPr>
        <w:t>万元。（包括材料费</w:t>
      </w:r>
      <w:r>
        <w:rPr>
          <w:rFonts w:ascii="仿宋" w:hAnsi="仿宋" w:eastAsia="仿宋" w:cs="仿宋"/>
          <w:sz w:val="32"/>
          <w:szCs w:val="32"/>
        </w:rPr>
        <w:t>32</w:t>
      </w:r>
      <w:r>
        <w:rPr>
          <w:rFonts w:hint="eastAsia" w:ascii="仿宋" w:hAnsi="仿宋" w:eastAsia="仿宋" w:cs="仿宋"/>
          <w:sz w:val="32"/>
          <w:szCs w:val="32"/>
        </w:rPr>
        <w:t>万元，机械费</w:t>
      </w:r>
      <w:r>
        <w:rPr>
          <w:rFonts w:ascii="仿宋" w:hAnsi="仿宋" w:eastAsia="仿宋" w:cs="仿宋"/>
          <w:sz w:val="32"/>
          <w:szCs w:val="32"/>
        </w:rPr>
        <w:t>14</w:t>
      </w:r>
      <w:r>
        <w:rPr>
          <w:rFonts w:hint="eastAsia" w:ascii="仿宋" w:hAnsi="仿宋" w:eastAsia="仿宋" w:cs="仿宋"/>
          <w:sz w:val="32"/>
          <w:szCs w:val="32"/>
        </w:rPr>
        <w:t>万元，人工费</w:t>
      </w:r>
      <w:r>
        <w:rPr>
          <w:rFonts w:ascii="仿宋" w:hAnsi="仿宋" w:eastAsia="仿宋" w:cs="仿宋"/>
          <w:sz w:val="32"/>
          <w:szCs w:val="32"/>
        </w:rPr>
        <w:t>4</w:t>
      </w:r>
      <w:r>
        <w:rPr>
          <w:rFonts w:hint="eastAsia" w:ascii="仿宋" w:hAnsi="仿宋" w:eastAsia="仿宋" w:cs="仿宋"/>
          <w:sz w:val="32"/>
          <w:szCs w:val="32"/>
        </w:rPr>
        <w:t>万元），区财政</w:t>
      </w:r>
      <w:r>
        <w:rPr>
          <w:rFonts w:ascii="仿宋" w:hAnsi="仿宋" w:eastAsia="仿宋" w:cs="仿宋"/>
          <w:sz w:val="32"/>
          <w:szCs w:val="32"/>
        </w:rPr>
        <w:t>2022</w:t>
      </w:r>
      <w:r>
        <w:rPr>
          <w:rFonts w:hint="eastAsia" w:ascii="仿宋" w:hAnsi="仿宋" w:eastAsia="仿宋" w:cs="仿宋"/>
          <w:sz w:val="32"/>
          <w:szCs w:val="32"/>
        </w:rPr>
        <w:t>年支付</w:t>
      </w:r>
      <w:r>
        <w:rPr>
          <w:rFonts w:ascii="仿宋" w:hAnsi="仿宋" w:eastAsia="仿宋" w:cs="仿宋"/>
          <w:sz w:val="32"/>
          <w:szCs w:val="32"/>
        </w:rPr>
        <w:t>20</w:t>
      </w:r>
      <w:r>
        <w:rPr>
          <w:rFonts w:hint="eastAsia" w:ascii="仿宋" w:hAnsi="仿宋" w:eastAsia="仿宋" w:cs="仿宋"/>
          <w:sz w:val="32"/>
          <w:szCs w:val="32"/>
        </w:rPr>
        <w:t>万元，剩余</w:t>
      </w:r>
      <w:r>
        <w:rPr>
          <w:rFonts w:ascii="仿宋" w:hAnsi="仿宋" w:eastAsia="仿宋" w:cs="仿宋"/>
          <w:sz w:val="32"/>
          <w:szCs w:val="32"/>
        </w:rPr>
        <w:t>30</w:t>
      </w:r>
      <w:r>
        <w:rPr>
          <w:rFonts w:hint="eastAsia" w:ascii="仿宋" w:hAnsi="仿宋" w:eastAsia="仿宋" w:cs="仿宋"/>
          <w:sz w:val="32"/>
          <w:szCs w:val="32"/>
        </w:rPr>
        <w:t>万元安排</w:t>
      </w:r>
      <w:r>
        <w:rPr>
          <w:rFonts w:ascii="仿宋" w:hAnsi="仿宋" w:eastAsia="仿宋" w:cs="仿宋"/>
          <w:sz w:val="32"/>
          <w:szCs w:val="32"/>
        </w:rPr>
        <w:t>2023</w:t>
      </w:r>
      <w:r>
        <w:rPr>
          <w:rFonts w:hint="eastAsia" w:ascii="仿宋" w:hAnsi="仿宋" w:eastAsia="仿宋" w:cs="仿宋"/>
          <w:sz w:val="32"/>
          <w:szCs w:val="32"/>
        </w:rPr>
        <w:t>年度预算，拨付</w:t>
      </w:r>
      <w:r>
        <w:rPr>
          <w:rFonts w:ascii="仿宋" w:hAnsi="仿宋" w:eastAsia="仿宋" w:cs="仿宋"/>
          <w:sz w:val="32"/>
          <w:szCs w:val="32"/>
        </w:rPr>
        <w:t>30</w:t>
      </w:r>
      <w:r>
        <w:rPr>
          <w:rFonts w:hint="eastAsia" w:ascii="仿宋" w:hAnsi="仿宋" w:eastAsia="仿宋" w:cs="仿宋"/>
          <w:sz w:val="32"/>
          <w:szCs w:val="32"/>
        </w:rPr>
        <w:t>万元，执行率</w:t>
      </w:r>
      <w:r>
        <w:rPr>
          <w:rFonts w:ascii="仿宋" w:hAnsi="仿宋" w:eastAsia="仿宋" w:cs="仿宋"/>
          <w:sz w:val="32"/>
          <w:szCs w:val="32"/>
        </w:rPr>
        <w:t>100%</w:t>
      </w:r>
      <w:r>
        <w:rPr>
          <w:rFonts w:hint="eastAsia" w:ascii="仿宋" w:hAnsi="仿宋" w:eastAsia="仿宋" w:cs="仿宋"/>
          <w:sz w:val="32"/>
          <w:szCs w:val="32"/>
        </w:rPr>
        <w:t>。</w:t>
      </w:r>
    </w:p>
    <w:p w14:paraId="0D9E15A5">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w:t>
      </w:r>
      <w:r>
        <w:rPr>
          <w:rFonts w:hint="eastAsia"/>
        </w:rPr>
        <w:t xml:space="preserve"> </w:t>
      </w:r>
      <w:r>
        <w:rPr>
          <w:rFonts w:hint="eastAsia" w:ascii="仿宋" w:hAnsi="仿宋" w:eastAsia="仿宋" w:cs="仿宋"/>
          <w:sz w:val="32"/>
          <w:szCs w:val="32"/>
        </w:rPr>
        <w:t>李村镇人民政府智慧物流园社会保险费</w:t>
      </w:r>
    </w:p>
    <w:p w14:paraId="5DA940B3">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绩效目标：在一定程度上保障了被征地农民的基本生活，完善了社会保障体系。保障了智慧物流园项目征地顺利进行。</w:t>
      </w:r>
    </w:p>
    <w:p w14:paraId="2CDFE45C">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我镇智慧物流园区B库项目涉及林地3.4亩，需要根据石家庄市鹿泉区人力资源和社会保障局关于拨付被征地农民社会保险费和风险基金的通知要求，冀政发〔2015〕28号、冀人社传〔2009〕2号、石家庄市鹿泉区人民政府办公室关于印发《石家庄市鹿泉区被征地农民基本养老保险参保补贴实施方案》（〔2020〕-50号）文件规定。社会保险费按征地区片价的40%提取计入征地成本，以出让方式供地的在土地出让金中列支，以划拨方式供地的向土地使用者收缴。风险基数从土地出让纯收益中按土地纯收益的5%提取。在征收农用地报批前，各市、县（市）政府要确定被征地农民的社会保险费和保险基金划入本市、县（市）被征地农民的社会保险专用账户，专款用于被征地农民的社会保险。</w:t>
      </w:r>
    </w:p>
    <w:p w14:paraId="7DB18F65">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由于我镇是统收统支乡镇，为保证企业征地顺利进行，特申请拨付：石家庄市2023年第311批次建设用地社会保险费13.9402万元，风险基金0.5250万元，合计14.4652万元。区财政安排</w:t>
      </w:r>
      <w:r>
        <w:rPr>
          <w:rFonts w:ascii="仿宋" w:hAnsi="仿宋" w:eastAsia="仿宋" w:cs="仿宋"/>
          <w:sz w:val="32"/>
          <w:szCs w:val="32"/>
        </w:rPr>
        <w:t>2023</w:t>
      </w:r>
      <w:r>
        <w:rPr>
          <w:rFonts w:hint="eastAsia" w:ascii="仿宋" w:hAnsi="仿宋" w:eastAsia="仿宋" w:cs="仿宋"/>
          <w:sz w:val="32"/>
          <w:szCs w:val="32"/>
        </w:rPr>
        <w:t>年预算14.4652万元，拨付14.4652万元，执行率达</w:t>
      </w:r>
      <w:r>
        <w:rPr>
          <w:rFonts w:ascii="仿宋" w:hAnsi="仿宋" w:eastAsia="仿宋" w:cs="仿宋"/>
          <w:sz w:val="32"/>
          <w:szCs w:val="32"/>
        </w:rPr>
        <w:t>100%</w:t>
      </w:r>
      <w:r>
        <w:rPr>
          <w:rFonts w:hint="eastAsia" w:ascii="仿宋" w:hAnsi="仿宋" w:eastAsia="仿宋" w:cs="仿宋"/>
          <w:sz w:val="32"/>
          <w:szCs w:val="32"/>
        </w:rPr>
        <w:t>。</w:t>
      </w:r>
    </w:p>
    <w:p w14:paraId="421CD6ED">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7.</w:t>
      </w:r>
      <w:r>
        <w:rPr>
          <w:rFonts w:hint="eastAsia"/>
        </w:rPr>
        <w:t xml:space="preserve"> </w:t>
      </w:r>
      <w:r>
        <w:rPr>
          <w:rFonts w:hint="eastAsia" w:ascii="仿宋" w:hAnsi="仿宋" w:eastAsia="仿宋" w:cs="仿宋"/>
          <w:sz w:val="32"/>
          <w:szCs w:val="32"/>
        </w:rPr>
        <w:t>李村镇太行智慧冷链物流园项目相关费用</w:t>
      </w:r>
    </w:p>
    <w:p w14:paraId="54827668">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绩效目标：李村镇太行智慧冷链物流园项目相关费用，是缴纳石家庄市2023年第348批次建设用地社会保险费580.3949万元，风险基金21.8579万元，合计602.2528万元。</w:t>
      </w:r>
    </w:p>
    <w:p w14:paraId="2C82760A">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根据冀政发〔2015〕28号、冀人社传〔2009〕2号、石家庄市鹿泉区人民政府办公室关于印发《石家庄市鹿泉区被征地农民基本养老保险参保补贴实施方案》（〔2020〕-50号）文件规定。社会保险费按征地区片价的40%提取计入征地成本，以出让方式供地的在土地出让金中列支，以划拨方式供地的向土地使用者收缴。风险基数从土地出让纯收益中按土地纯收益的5%提取。在征收农用地报批前，各市、县（市）政府要确定被征地农民的社会保险费和保险基金划入本市、县（市）被征地农民的社会保险专用账户，专款用于被征地农民的社会保险。</w:t>
      </w:r>
    </w:p>
    <w:p w14:paraId="0DC355E3">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为保证征地顺利进行，特申请拨付：石家庄市2023年第348批次建设用地社会保险费580.3949万元，风险基金21.8579万元，合计602.2528万元。区财政安排</w:t>
      </w:r>
      <w:r>
        <w:rPr>
          <w:rFonts w:ascii="仿宋" w:hAnsi="仿宋" w:eastAsia="仿宋" w:cs="仿宋"/>
          <w:sz w:val="32"/>
          <w:szCs w:val="32"/>
        </w:rPr>
        <w:t>2023</w:t>
      </w:r>
      <w:r>
        <w:rPr>
          <w:rFonts w:hint="eastAsia" w:ascii="仿宋" w:hAnsi="仿宋" w:eastAsia="仿宋" w:cs="仿宋"/>
          <w:sz w:val="32"/>
          <w:szCs w:val="32"/>
        </w:rPr>
        <w:t>年预算602.2528万元，拨付602.2528万元，执行率达</w:t>
      </w:r>
      <w:r>
        <w:rPr>
          <w:rFonts w:ascii="仿宋" w:hAnsi="仿宋" w:eastAsia="仿宋" w:cs="仿宋"/>
          <w:sz w:val="32"/>
          <w:szCs w:val="32"/>
        </w:rPr>
        <w:t>100%</w:t>
      </w:r>
      <w:r>
        <w:rPr>
          <w:rFonts w:hint="eastAsia" w:ascii="仿宋" w:hAnsi="仿宋" w:eastAsia="仿宋" w:cs="仿宋"/>
          <w:sz w:val="32"/>
          <w:szCs w:val="32"/>
        </w:rPr>
        <w:t>。</w:t>
      </w:r>
    </w:p>
    <w:p w14:paraId="1F9AFD18">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8.</w:t>
      </w:r>
      <w:r>
        <w:rPr>
          <w:rFonts w:hint="eastAsia"/>
        </w:rPr>
        <w:t xml:space="preserve"> </w:t>
      </w:r>
      <w:r>
        <w:rPr>
          <w:rFonts w:hint="eastAsia" w:ascii="仿宋" w:hAnsi="仿宋" w:eastAsia="仿宋" w:cs="仿宋"/>
          <w:sz w:val="32"/>
          <w:szCs w:val="32"/>
        </w:rPr>
        <w:t>智慧物流园地块清理平整物料费用</w:t>
      </w:r>
    </w:p>
    <w:p w14:paraId="58BF0CD2">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绩效目标：为加快该项目B库的建设步伐，我镇动用机械设备及人工对该宗地堆放的约2600立方建筑垃圾、渣土和杂物进行了清理，并对场地进行了平整，共产生费用15.17万元</w:t>
      </w:r>
    </w:p>
    <w:p w14:paraId="3A76083D">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河北省智慧物流产业园项目B库拟占地地块面积约58亩，为加快该项目B库的建设步伐，我镇动用机械设备及人工对该宗地堆放的约2600立方建筑垃圾、渣土和杂物进行了清理，并对场地进行了平整，共产生费用15.17万元。因我镇属于统收统支乡镇，财政无力承担该项费用，特申请区政府给予解决。区财政安排</w:t>
      </w:r>
      <w:r>
        <w:rPr>
          <w:rFonts w:ascii="仿宋" w:hAnsi="仿宋" w:eastAsia="仿宋" w:cs="仿宋"/>
          <w:sz w:val="32"/>
          <w:szCs w:val="32"/>
        </w:rPr>
        <w:t>2023</w:t>
      </w:r>
      <w:r>
        <w:rPr>
          <w:rFonts w:hint="eastAsia" w:ascii="仿宋" w:hAnsi="仿宋" w:eastAsia="仿宋" w:cs="仿宋"/>
          <w:sz w:val="32"/>
          <w:szCs w:val="32"/>
        </w:rPr>
        <w:t>年预算15.17万元，拨付15.17万元，执行率达</w:t>
      </w:r>
      <w:r>
        <w:rPr>
          <w:rFonts w:ascii="仿宋" w:hAnsi="仿宋" w:eastAsia="仿宋" w:cs="仿宋"/>
          <w:sz w:val="32"/>
          <w:szCs w:val="32"/>
        </w:rPr>
        <w:t>100%</w:t>
      </w:r>
      <w:r>
        <w:rPr>
          <w:rFonts w:hint="eastAsia" w:ascii="仿宋" w:hAnsi="仿宋" w:eastAsia="仿宋" w:cs="仿宋"/>
          <w:sz w:val="32"/>
          <w:szCs w:val="32"/>
        </w:rPr>
        <w:t>。</w:t>
      </w:r>
    </w:p>
    <w:p w14:paraId="50ADC6AB">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9.</w:t>
      </w:r>
      <w:r>
        <w:rPr>
          <w:rFonts w:hint="eastAsia"/>
        </w:rPr>
        <w:t xml:space="preserve"> </w:t>
      </w:r>
      <w:r>
        <w:rPr>
          <w:rFonts w:hint="eastAsia" w:ascii="仿宋" w:hAnsi="仿宋" w:eastAsia="仿宋" w:cs="仿宋"/>
          <w:sz w:val="32"/>
          <w:szCs w:val="32"/>
        </w:rPr>
        <w:t>2023年区级退役军人工资</w:t>
      </w:r>
    </w:p>
    <w:p w14:paraId="6A48C990">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绩效目标：单位对符合就业困难条件的军队退役人员22名，实行了公益岗位托管安置，帮扶救助到位，加大就业援助工作，实现就业。</w:t>
      </w:r>
    </w:p>
    <w:p w14:paraId="6EB77DE5">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我镇2022年共有退役军人22人，到2023年度全部转为劳务派遣岗位，财政负担工资每月72250元，社会保险每月26348.96元，每月合计98598.96元，全年1183187.52元，加上取暖费22*1900=41800元，共计：1224987.52元，追加预算79200元，拨付1275094.94元，执行率98.57%。</w:t>
      </w:r>
    </w:p>
    <w:p w14:paraId="4C17B20D">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10.李村镇</w:t>
      </w:r>
      <w:r>
        <w:rPr>
          <w:rFonts w:ascii="仿宋" w:hAnsi="仿宋" w:eastAsia="仿宋" w:cs="仿宋"/>
          <w:sz w:val="32"/>
          <w:szCs w:val="32"/>
        </w:rPr>
        <w:t>2023</w:t>
      </w:r>
      <w:r>
        <w:rPr>
          <w:rFonts w:hint="eastAsia" w:ascii="仿宋" w:hAnsi="仿宋" w:eastAsia="仿宋" w:cs="仿宋"/>
          <w:sz w:val="32"/>
          <w:szCs w:val="32"/>
        </w:rPr>
        <w:t>年返还河北省智慧物流园项目拆迁补偿费用</w:t>
      </w:r>
    </w:p>
    <w:p w14:paraId="725D5FC3">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绩效目标：为实施区委、区政府确定的北部振兴战略，加快河北省智慧物流产业园区三期</w:t>
      </w:r>
      <w:r>
        <w:rPr>
          <w:rFonts w:ascii="仿宋" w:hAnsi="仿宋" w:eastAsia="仿宋" w:cs="仿宋"/>
          <w:sz w:val="32"/>
          <w:szCs w:val="32"/>
        </w:rPr>
        <w:t>103</w:t>
      </w:r>
      <w:r>
        <w:rPr>
          <w:rFonts w:hint="eastAsia" w:ascii="仿宋" w:hAnsi="仿宋" w:eastAsia="仿宋" w:cs="仿宋"/>
          <w:sz w:val="32"/>
          <w:szCs w:val="32"/>
        </w:rPr>
        <w:t>号库的施工建设，全力打造全省转型升级示范区。</w:t>
      </w:r>
    </w:p>
    <w:p w14:paraId="2898D867">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绩效指标：河北省智慧物流产业园区是河北省重点项目，位于我镇原同阁工业区范围，该项目总投资</w:t>
      </w:r>
      <w:r>
        <w:rPr>
          <w:rFonts w:ascii="仿宋" w:hAnsi="仿宋" w:eastAsia="仿宋" w:cs="仿宋"/>
          <w:sz w:val="32"/>
          <w:szCs w:val="32"/>
        </w:rPr>
        <w:t>25.2</w:t>
      </w:r>
      <w:r>
        <w:rPr>
          <w:rFonts w:hint="eastAsia" w:ascii="仿宋" w:hAnsi="仿宋" w:eastAsia="仿宋" w:cs="仿宋"/>
          <w:sz w:val="32"/>
          <w:szCs w:val="32"/>
        </w:rPr>
        <w:t>亿元，占地约</w:t>
      </w:r>
      <w:r>
        <w:rPr>
          <w:rFonts w:ascii="仿宋" w:hAnsi="仿宋" w:eastAsia="仿宋" w:cs="仿宋"/>
          <w:sz w:val="32"/>
          <w:szCs w:val="32"/>
        </w:rPr>
        <w:t>800</w:t>
      </w:r>
      <w:r>
        <w:rPr>
          <w:rFonts w:hint="eastAsia" w:ascii="仿宋" w:hAnsi="仿宋" w:eastAsia="仿宋" w:cs="仿宋"/>
          <w:sz w:val="32"/>
          <w:szCs w:val="32"/>
        </w:rPr>
        <w:t>亩，于</w:t>
      </w:r>
      <w:r>
        <w:rPr>
          <w:rFonts w:ascii="仿宋" w:hAnsi="仿宋" w:eastAsia="仿宋" w:cs="仿宋"/>
          <w:sz w:val="32"/>
          <w:szCs w:val="32"/>
        </w:rPr>
        <w:t>2018</w:t>
      </w:r>
      <w:r>
        <w:rPr>
          <w:rFonts w:hint="eastAsia" w:ascii="仿宋" w:hAnsi="仿宋" w:eastAsia="仿宋" w:cs="仿宋"/>
          <w:sz w:val="32"/>
          <w:szCs w:val="32"/>
        </w:rPr>
        <w:t>年启动拆迁，现就拆迁资金有关问题汇报请示如下：</w:t>
      </w:r>
    </w:p>
    <w:p w14:paraId="1DEA36D6">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按照</w:t>
      </w:r>
      <w:r>
        <w:rPr>
          <w:rFonts w:ascii="仿宋" w:hAnsi="仿宋" w:eastAsia="仿宋" w:cs="仿宋"/>
          <w:sz w:val="32"/>
          <w:szCs w:val="32"/>
        </w:rPr>
        <w:t>2020</w:t>
      </w:r>
      <w:r>
        <w:rPr>
          <w:rFonts w:hint="eastAsia" w:ascii="仿宋" w:hAnsi="仿宋" w:eastAsia="仿宋" w:cs="仿宋"/>
          <w:sz w:val="32"/>
          <w:szCs w:val="32"/>
        </w:rPr>
        <w:t>年</w:t>
      </w:r>
      <w:r>
        <w:rPr>
          <w:rFonts w:ascii="仿宋" w:hAnsi="仿宋" w:eastAsia="仿宋" w:cs="仿宋"/>
          <w:sz w:val="32"/>
          <w:szCs w:val="32"/>
        </w:rPr>
        <w:t>6</w:t>
      </w:r>
      <w:r>
        <w:rPr>
          <w:rFonts w:hint="eastAsia" w:ascii="仿宋" w:hAnsi="仿宋" w:eastAsia="仿宋" w:cs="仿宋"/>
          <w:sz w:val="32"/>
          <w:szCs w:val="32"/>
        </w:rPr>
        <w:t>月</w:t>
      </w:r>
      <w:r>
        <w:rPr>
          <w:rFonts w:ascii="仿宋" w:hAnsi="仿宋" w:eastAsia="仿宋" w:cs="仿宋"/>
          <w:sz w:val="32"/>
          <w:szCs w:val="32"/>
        </w:rPr>
        <w:t>27</w:t>
      </w:r>
      <w:r>
        <w:rPr>
          <w:rFonts w:hint="eastAsia" w:ascii="仿宋" w:hAnsi="仿宋" w:eastAsia="仿宋" w:cs="仿宋"/>
          <w:sz w:val="32"/>
          <w:szCs w:val="32"/>
        </w:rPr>
        <w:t>日《石家庄市鹿泉区人民政府专题会议纪要（第</w:t>
      </w:r>
      <w:r>
        <w:rPr>
          <w:rFonts w:ascii="仿宋" w:hAnsi="仿宋" w:eastAsia="仿宋" w:cs="仿宋"/>
          <w:sz w:val="32"/>
          <w:szCs w:val="32"/>
        </w:rPr>
        <w:t>39</w:t>
      </w:r>
      <w:r>
        <w:rPr>
          <w:rFonts w:hint="eastAsia" w:ascii="仿宋" w:hAnsi="仿宋" w:eastAsia="仿宋" w:cs="仿宋"/>
          <w:sz w:val="32"/>
          <w:szCs w:val="32"/>
        </w:rPr>
        <w:t>次）》内容第五条“关于拆迁工作中，拆迁补偿款在明确可计入成本，整体回款的基础上，由项目单位先行垫付”的会议要求，</w:t>
      </w:r>
      <w:r>
        <w:rPr>
          <w:rFonts w:ascii="仿宋" w:hAnsi="仿宋" w:eastAsia="仿宋" w:cs="仿宋"/>
          <w:sz w:val="32"/>
          <w:szCs w:val="32"/>
        </w:rPr>
        <w:t>2018-2021</w:t>
      </w:r>
      <w:r>
        <w:rPr>
          <w:rFonts w:hint="eastAsia" w:ascii="仿宋" w:hAnsi="仿宋" w:eastAsia="仿宋" w:cs="仿宋"/>
          <w:sz w:val="32"/>
          <w:szCs w:val="32"/>
        </w:rPr>
        <w:t>年，我镇共拆迁企业</w:t>
      </w:r>
      <w:r>
        <w:rPr>
          <w:rFonts w:ascii="仿宋" w:hAnsi="仿宋" w:eastAsia="仿宋" w:cs="仿宋"/>
          <w:sz w:val="32"/>
          <w:szCs w:val="32"/>
        </w:rPr>
        <w:t>50</w:t>
      </w:r>
      <w:r>
        <w:rPr>
          <w:rFonts w:hint="eastAsia" w:ascii="仿宋" w:hAnsi="仿宋" w:eastAsia="仿宋" w:cs="仿宋"/>
          <w:sz w:val="32"/>
          <w:szCs w:val="32"/>
        </w:rPr>
        <w:t>家，已支付拆迁资金</w:t>
      </w:r>
      <w:r>
        <w:rPr>
          <w:rFonts w:ascii="仿宋" w:hAnsi="仿宋" w:eastAsia="仿宋" w:cs="仿宋"/>
          <w:sz w:val="32"/>
          <w:szCs w:val="32"/>
        </w:rPr>
        <w:t>6386.46</w:t>
      </w:r>
      <w:r>
        <w:rPr>
          <w:rFonts w:hint="eastAsia" w:ascii="仿宋" w:hAnsi="仿宋" w:eastAsia="仿宋" w:cs="仿宋"/>
          <w:sz w:val="32"/>
          <w:szCs w:val="32"/>
        </w:rPr>
        <w:t>万元，均由我镇以向项目单位借款方式予以垫资支付，加上我镇垫付资金</w:t>
      </w:r>
      <w:r>
        <w:rPr>
          <w:rFonts w:ascii="仿宋" w:hAnsi="仿宋" w:eastAsia="仿宋" w:cs="仿宋"/>
          <w:sz w:val="32"/>
          <w:szCs w:val="32"/>
        </w:rPr>
        <w:t>2434890</w:t>
      </w:r>
      <w:r>
        <w:rPr>
          <w:rFonts w:hint="eastAsia" w:ascii="仿宋" w:hAnsi="仿宋" w:eastAsia="仿宋" w:cs="仿宋"/>
          <w:sz w:val="32"/>
          <w:szCs w:val="32"/>
        </w:rPr>
        <w:t>元、尚未支付的安瑞达企业补偿款</w:t>
      </w:r>
      <w:r>
        <w:rPr>
          <w:rFonts w:ascii="仿宋" w:hAnsi="仿宋" w:eastAsia="仿宋" w:cs="仿宋"/>
          <w:sz w:val="32"/>
          <w:szCs w:val="32"/>
        </w:rPr>
        <w:t>628.75</w:t>
      </w:r>
      <w:r>
        <w:rPr>
          <w:rFonts w:hint="eastAsia" w:ascii="仿宋" w:hAnsi="仿宋" w:eastAsia="仿宋" w:cs="仿宋"/>
          <w:sz w:val="32"/>
          <w:szCs w:val="32"/>
        </w:rPr>
        <w:t>万元、评估费用</w:t>
      </w:r>
      <w:r>
        <w:rPr>
          <w:rFonts w:ascii="仿宋" w:hAnsi="仿宋" w:eastAsia="仿宋" w:cs="仿宋"/>
          <w:sz w:val="32"/>
          <w:szCs w:val="32"/>
        </w:rPr>
        <w:t>98.48</w:t>
      </w:r>
      <w:r>
        <w:rPr>
          <w:rFonts w:hint="eastAsia" w:ascii="仿宋" w:hAnsi="仿宋" w:eastAsia="仿宋" w:cs="仿宋"/>
          <w:sz w:val="32"/>
          <w:szCs w:val="32"/>
        </w:rPr>
        <w:t>万元共计</w:t>
      </w:r>
      <w:r>
        <w:rPr>
          <w:rFonts w:ascii="仿宋" w:hAnsi="仿宋" w:eastAsia="仿宋" w:cs="仿宋"/>
          <w:sz w:val="32"/>
          <w:szCs w:val="32"/>
        </w:rPr>
        <w:t>7357.18</w:t>
      </w:r>
      <w:r>
        <w:rPr>
          <w:rFonts w:hint="eastAsia" w:ascii="仿宋" w:hAnsi="仿宋" w:eastAsia="仿宋" w:cs="仿宋"/>
          <w:sz w:val="32"/>
          <w:szCs w:val="32"/>
        </w:rPr>
        <w:t>万元。目前，园区进入大规模建设阶段，多次致函我镇归还垫付资金，以满足工程建设需要。</w:t>
      </w:r>
      <w:r>
        <w:rPr>
          <w:rFonts w:ascii="仿宋" w:hAnsi="仿宋" w:eastAsia="仿宋" w:cs="仿宋"/>
          <w:sz w:val="32"/>
          <w:szCs w:val="32"/>
        </w:rPr>
        <w:t>2021</w:t>
      </w:r>
      <w:r>
        <w:rPr>
          <w:rFonts w:hint="eastAsia" w:ascii="仿宋" w:hAnsi="仿宋" w:eastAsia="仿宋" w:cs="仿宋"/>
          <w:sz w:val="32"/>
          <w:szCs w:val="32"/>
        </w:rPr>
        <w:t>年</w:t>
      </w:r>
      <w:r>
        <w:rPr>
          <w:rFonts w:ascii="仿宋" w:hAnsi="仿宋" w:eastAsia="仿宋" w:cs="仿宋"/>
          <w:sz w:val="32"/>
          <w:szCs w:val="32"/>
        </w:rPr>
        <w:t>12</w:t>
      </w:r>
      <w:r>
        <w:rPr>
          <w:rFonts w:hint="eastAsia" w:ascii="仿宋" w:hAnsi="仿宋" w:eastAsia="仿宋" w:cs="仿宋"/>
          <w:sz w:val="32"/>
          <w:szCs w:val="32"/>
        </w:rPr>
        <w:t>月，项目单位专门向区委区政府致请示，恳请解决垫付资金事宜；按照领导批示，我镇与自然资源和规划局、财政局深入沟通研究解决方案：一是经测算，仅有</w:t>
      </w:r>
      <w:r>
        <w:rPr>
          <w:rFonts w:ascii="仿宋" w:hAnsi="仿宋" w:eastAsia="仿宋" w:cs="仿宋"/>
          <w:sz w:val="32"/>
          <w:szCs w:val="32"/>
        </w:rPr>
        <w:t>1200</w:t>
      </w:r>
      <w:r>
        <w:rPr>
          <w:rFonts w:hint="eastAsia" w:ascii="仿宋" w:hAnsi="仿宋" w:eastAsia="仿宋" w:cs="仿宋"/>
          <w:sz w:val="32"/>
          <w:szCs w:val="32"/>
        </w:rPr>
        <w:t>万元可纳入土地成本解决；二是考虑到项目单位垫付资金时长、利息等方面压力，针对剩余无法纳入土地成本的</w:t>
      </w:r>
      <w:r>
        <w:rPr>
          <w:rFonts w:ascii="仿宋" w:hAnsi="仿宋" w:eastAsia="仿宋" w:cs="仿宋"/>
          <w:sz w:val="32"/>
          <w:szCs w:val="32"/>
        </w:rPr>
        <w:t>6100</w:t>
      </w:r>
      <w:r>
        <w:rPr>
          <w:rFonts w:hint="eastAsia" w:ascii="仿宋" w:hAnsi="仿宋" w:eastAsia="仿宋" w:cs="仿宋"/>
          <w:sz w:val="32"/>
          <w:szCs w:val="32"/>
        </w:rPr>
        <w:t>余万元的垫付资金，我们经认真研究，河北智慧物流园区拆迁与</w:t>
      </w:r>
      <w:r>
        <w:rPr>
          <w:rFonts w:ascii="仿宋" w:hAnsi="仿宋" w:eastAsia="仿宋" w:cs="仿宋"/>
          <w:sz w:val="32"/>
          <w:szCs w:val="32"/>
        </w:rPr>
        <w:t>2019</w:t>
      </w:r>
      <w:r>
        <w:rPr>
          <w:rFonts w:hint="eastAsia" w:ascii="仿宋" w:hAnsi="仿宋" w:eastAsia="仿宋" w:cs="仿宋"/>
          <w:sz w:val="32"/>
          <w:szCs w:val="32"/>
        </w:rPr>
        <w:t>年鹿泉区政府实施的大河、李村老旧工业片区拆迁属同区域范围，且同时期先后启动，恳请区政府根据实际给予同等支持，结合我区财政承载能力，经评审后纳入财政新增预算，分期分批妥善解决，切实为项目单位减压，全力加快工程建设，早日运营达效。根据</w:t>
      </w:r>
      <w:r>
        <w:rPr>
          <w:rFonts w:ascii="仿宋" w:hAnsi="仿宋" w:eastAsia="仿宋" w:cs="仿宋"/>
          <w:sz w:val="32"/>
          <w:szCs w:val="32"/>
        </w:rPr>
        <w:t>2022</w:t>
      </w:r>
      <w:r>
        <w:rPr>
          <w:rFonts w:hint="eastAsia" w:ascii="仿宋" w:hAnsi="仿宋" w:eastAsia="仿宋" w:cs="仿宋"/>
          <w:sz w:val="32"/>
          <w:szCs w:val="32"/>
        </w:rPr>
        <w:t>年</w:t>
      </w:r>
      <w:r>
        <w:rPr>
          <w:rFonts w:ascii="仿宋" w:hAnsi="仿宋" w:eastAsia="仿宋" w:cs="仿宋"/>
          <w:sz w:val="32"/>
          <w:szCs w:val="32"/>
        </w:rPr>
        <w:t>3</w:t>
      </w:r>
      <w:r>
        <w:rPr>
          <w:rFonts w:hint="eastAsia" w:ascii="仿宋" w:hAnsi="仿宋" w:eastAsia="仿宋" w:cs="仿宋"/>
          <w:sz w:val="32"/>
          <w:szCs w:val="32"/>
        </w:rPr>
        <w:t>月</w:t>
      </w:r>
      <w:r>
        <w:rPr>
          <w:rFonts w:ascii="仿宋" w:hAnsi="仿宋" w:eastAsia="仿宋" w:cs="仿宋"/>
          <w:sz w:val="32"/>
          <w:szCs w:val="32"/>
        </w:rPr>
        <w:t>21</w:t>
      </w:r>
      <w:r>
        <w:rPr>
          <w:rFonts w:hint="eastAsia" w:ascii="仿宋" w:hAnsi="仿宋" w:eastAsia="仿宋" w:cs="仿宋"/>
          <w:sz w:val="32"/>
          <w:szCs w:val="32"/>
        </w:rPr>
        <w:t>日《石家庄市鹿泉区人民政府</w:t>
      </w:r>
      <w:r>
        <w:rPr>
          <w:rFonts w:hint="eastAsia" w:ascii="仿宋" w:hAnsi="仿宋" w:eastAsia="仿宋" w:cs="仿宋"/>
          <w:sz w:val="32"/>
          <w:szCs w:val="32"/>
          <w:lang w:val="en-US" w:eastAsia="zh-CN"/>
        </w:rPr>
        <w:t>常务</w:t>
      </w:r>
      <w:r>
        <w:rPr>
          <w:rFonts w:hint="eastAsia" w:ascii="仿宋" w:hAnsi="仿宋" w:eastAsia="仿宋" w:cs="仿宋"/>
          <w:sz w:val="32"/>
          <w:szCs w:val="32"/>
        </w:rPr>
        <w:t>会议纪要三届十五次会议》内容第十一条，会议原则同意李村镇提交的剩余</w:t>
      </w:r>
      <w:r>
        <w:rPr>
          <w:rFonts w:ascii="仿宋" w:hAnsi="仿宋" w:eastAsia="仿宋" w:cs="仿宋"/>
          <w:sz w:val="32"/>
          <w:szCs w:val="32"/>
        </w:rPr>
        <w:t>5528.43</w:t>
      </w:r>
      <w:r>
        <w:rPr>
          <w:rFonts w:hint="eastAsia" w:ascii="仿宋" w:hAnsi="仿宋" w:eastAsia="仿宋" w:cs="仿宋"/>
          <w:sz w:val="32"/>
          <w:szCs w:val="32"/>
        </w:rPr>
        <w:t>万元成本，由财政分两期（</w:t>
      </w:r>
      <w:r>
        <w:rPr>
          <w:rFonts w:ascii="仿宋" w:hAnsi="仿宋" w:eastAsia="仿宋" w:cs="仿宋"/>
          <w:sz w:val="32"/>
          <w:szCs w:val="32"/>
        </w:rPr>
        <w:t>2022</w:t>
      </w:r>
      <w:r>
        <w:rPr>
          <w:rFonts w:hint="eastAsia" w:ascii="仿宋" w:hAnsi="仿宋" w:eastAsia="仿宋" w:cs="仿宋"/>
          <w:sz w:val="32"/>
          <w:szCs w:val="32"/>
        </w:rPr>
        <w:t>年、</w:t>
      </w:r>
      <w:r>
        <w:rPr>
          <w:rFonts w:ascii="仿宋" w:hAnsi="仿宋" w:eastAsia="仿宋" w:cs="仿宋"/>
          <w:sz w:val="32"/>
          <w:szCs w:val="32"/>
        </w:rPr>
        <w:t>2023</w:t>
      </w:r>
      <w:r>
        <w:rPr>
          <w:rFonts w:hint="eastAsia" w:ascii="仿宋" w:hAnsi="仿宋" w:eastAsia="仿宋" w:cs="仿宋"/>
          <w:sz w:val="32"/>
          <w:szCs w:val="32"/>
        </w:rPr>
        <w:t>年）拨付李村镇，用于偿还单位垫付资金，</w:t>
      </w:r>
      <w:r>
        <w:rPr>
          <w:rFonts w:ascii="仿宋" w:hAnsi="仿宋" w:eastAsia="仿宋" w:cs="仿宋"/>
          <w:sz w:val="32"/>
          <w:szCs w:val="32"/>
        </w:rPr>
        <w:t>2022</w:t>
      </w:r>
      <w:r>
        <w:rPr>
          <w:rFonts w:hint="eastAsia" w:ascii="仿宋" w:hAnsi="仿宋" w:eastAsia="仿宋" w:cs="仿宋"/>
          <w:sz w:val="32"/>
          <w:szCs w:val="32"/>
        </w:rPr>
        <w:t>年已拨付</w:t>
      </w:r>
      <w:r>
        <w:rPr>
          <w:rFonts w:ascii="仿宋" w:hAnsi="仿宋" w:eastAsia="仿宋" w:cs="仿宋"/>
          <w:sz w:val="32"/>
          <w:szCs w:val="32"/>
        </w:rPr>
        <w:t>200</w:t>
      </w:r>
      <w:r>
        <w:rPr>
          <w:rFonts w:hint="eastAsia" w:ascii="仿宋" w:hAnsi="仿宋" w:eastAsia="仿宋" w:cs="仿宋"/>
          <w:sz w:val="32"/>
          <w:szCs w:val="32"/>
        </w:rPr>
        <w:t>万元，剩余</w:t>
      </w:r>
      <w:r>
        <w:rPr>
          <w:rFonts w:ascii="仿宋" w:hAnsi="仿宋" w:eastAsia="仿宋" w:cs="仿宋"/>
          <w:sz w:val="32"/>
          <w:szCs w:val="32"/>
        </w:rPr>
        <w:t>5328.43</w:t>
      </w:r>
      <w:r>
        <w:rPr>
          <w:rFonts w:hint="eastAsia" w:ascii="仿宋" w:hAnsi="仿宋" w:eastAsia="仿宋" w:cs="仿宋"/>
          <w:sz w:val="32"/>
          <w:szCs w:val="32"/>
        </w:rPr>
        <w:t>万元，财政调整预算</w:t>
      </w:r>
      <w:r>
        <w:rPr>
          <w:rFonts w:ascii="仿宋" w:hAnsi="仿宋" w:eastAsia="仿宋" w:cs="仿宋"/>
          <w:sz w:val="32"/>
          <w:szCs w:val="32"/>
        </w:rPr>
        <w:t>1295.43</w:t>
      </w:r>
      <w:r>
        <w:rPr>
          <w:rFonts w:hint="eastAsia" w:ascii="仿宋" w:hAnsi="仿宋" w:eastAsia="仿宋" w:cs="仿宋"/>
          <w:sz w:val="32"/>
          <w:szCs w:val="32"/>
        </w:rPr>
        <w:t>万元，支付</w:t>
      </w:r>
      <w:r>
        <w:rPr>
          <w:rFonts w:ascii="仿宋" w:hAnsi="仿宋" w:eastAsia="仿宋" w:cs="仿宋"/>
          <w:sz w:val="32"/>
          <w:szCs w:val="32"/>
        </w:rPr>
        <w:t>1295</w:t>
      </w:r>
      <w:r>
        <w:rPr>
          <w:rFonts w:hint="eastAsia" w:ascii="仿宋" w:hAnsi="仿宋" w:eastAsia="仿宋" w:cs="仿宋"/>
          <w:sz w:val="32"/>
          <w:szCs w:val="32"/>
        </w:rPr>
        <w:t>万元，执行率</w:t>
      </w:r>
      <w:r>
        <w:rPr>
          <w:rFonts w:ascii="仿宋" w:hAnsi="仿宋" w:eastAsia="仿宋" w:cs="仿宋"/>
          <w:sz w:val="32"/>
          <w:szCs w:val="32"/>
        </w:rPr>
        <w:t>99.97%</w:t>
      </w:r>
      <w:r>
        <w:rPr>
          <w:rFonts w:hint="eastAsia" w:ascii="仿宋" w:hAnsi="仿宋" w:eastAsia="仿宋" w:cs="仿宋"/>
          <w:sz w:val="32"/>
          <w:szCs w:val="32"/>
        </w:rPr>
        <w:t>。</w:t>
      </w:r>
    </w:p>
    <w:p w14:paraId="46025170">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11.李村镇辖区内部队返还土地款</w:t>
      </w:r>
    </w:p>
    <w:p w14:paraId="28EA5FF0">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绩效目标：河滩地土地款</w:t>
      </w:r>
      <w:r>
        <w:rPr>
          <w:rFonts w:ascii="仿宋" w:hAnsi="仿宋" w:eastAsia="仿宋" w:cs="仿宋"/>
          <w:sz w:val="32"/>
          <w:szCs w:val="32"/>
        </w:rPr>
        <w:t>74.51238</w:t>
      </w:r>
      <w:r>
        <w:rPr>
          <w:rFonts w:hint="eastAsia" w:ascii="仿宋" w:hAnsi="仿宋" w:eastAsia="仿宋" w:cs="仿宋"/>
          <w:sz w:val="32"/>
          <w:szCs w:val="32"/>
        </w:rPr>
        <w:t>万元，用于偿还两年部队租金。以维护社会稳定。</w:t>
      </w:r>
    </w:p>
    <w:p w14:paraId="20337224">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绩效指标：第五资产储备管理局石家庄管理站于</w:t>
      </w:r>
      <w:r>
        <w:rPr>
          <w:rFonts w:ascii="仿宋" w:hAnsi="仿宋" w:eastAsia="仿宋" w:cs="仿宋"/>
          <w:sz w:val="32"/>
          <w:szCs w:val="32"/>
        </w:rPr>
        <w:t>2019</w:t>
      </w:r>
      <w:r>
        <w:rPr>
          <w:rFonts w:hint="eastAsia" w:ascii="仿宋" w:hAnsi="仿宋" w:eastAsia="仿宋" w:cs="仿宋"/>
          <w:sz w:val="32"/>
          <w:szCs w:val="32"/>
        </w:rPr>
        <w:t>年</w:t>
      </w:r>
      <w:r>
        <w:rPr>
          <w:rFonts w:ascii="仿宋" w:hAnsi="仿宋" w:eastAsia="仿宋" w:cs="仿宋"/>
          <w:sz w:val="32"/>
          <w:szCs w:val="32"/>
        </w:rPr>
        <w:t>12</w:t>
      </w:r>
      <w:r>
        <w:rPr>
          <w:rFonts w:hint="eastAsia" w:ascii="仿宋" w:hAnsi="仿宋" w:eastAsia="仿宋" w:cs="仿宋"/>
          <w:sz w:val="32"/>
          <w:szCs w:val="32"/>
        </w:rPr>
        <w:t>月将原</w:t>
      </w:r>
      <w:r>
        <w:rPr>
          <w:rFonts w:ascii="仿宋" w:hAnsi="仿宋" w:eastAsia="仿宋" w:cs="仿宋"/>
          <w:sz w:val="32"/>
          <w:szCs w:val="32"/>
        </w:rPr>
        <w:t>38</w:t>
      </w:r>
      <w:r>
        <w:rPr>
          <w:rFonts w:hint="eastAsia" w:ascii="仿宋" w:hAnsi="仿宋" w:eastAsia="仿宋" w:cs="仿宋"/>
          <w:sz w:val="32"/>
          <w:szCs w:val="32"/>
        </w:rPr>
        <w:t>军防空旅农副业基地位于李村镇的军队土地经营管理权移交给融通农业发展（石家庄）有限责任公司，该地块东至：北侧军农场地、南侧东小壁地，西至：西小壁田间路，南至：五七路，北至：西小壁地，应交地块总面积为</w:t>
      </w:r>
      <w:r>
        <w:rPr>
          <w:rFonts w:ascii="仿宋" w:hAnsi="仿宋" w:eastAsia="仿宋" w:cs="仿宋"/>
          <w:sz w:val="32"/>
          <w:szCs w:val="32"/>
        </w:rPr>
        <w:t>558.94</w:t>
      </w:r>
      <w:r>
        <w:rPr>
          <w:rFonts w:hint="eastAsia" w:ascii="仿宋" w:hAnsi="仿宋" w:eastAsia="仿宋" w:cs="仿宋"/>
          <w:sz w:val="32"/>
          <w:szCs w:val="32"/>
        </w:rPr>
        <w:t>亩。</w:t>
      </w:r>
    </w:p>
    <w:p w14:paraId="5AB27246">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ascii="仿宋" w:hAnsi="仿宋" w:eastAsia="仿宋" w:cs="仿宋"/>
          <w:sz w:val="32"/>
          <w:szCs w:val="32"/>
        </w:rPr>
        <w:t>2021</w:t>
      </w:r>
      <w:r>
        <w:rPr>
          <w:rFonts w:hint="eastAsia" w:ascii="仿宋" w:hAnsi="仿宋" w:eastAsia="仿宋" w:cs="仿宋"/>
          <w:sz w:val="32"/>
          <w:szCs w:val="32"/>
        </w:rPr>
        <w:t>年</w:t>
      </w:r>
      <w:r>
        <w:rPr>
          <w:rFonts w:ascii="仿宋" w:hAnsi="仿宋" w:eastAsia="仿宋" w:cs="仿宋"/>
          <w:sz w:val="32"/>
          <w:szCs w:val="32"/>
        </w:rPr>
        <w:t>12</w:t>
      </w:r>
      <w:r>
        <w:rPr>
          <w:rFonts w:hint="eastAsia" w:ascii="仿宋" w:hAnsi="仿宋" w:eastAsia="仿宋" w:cs="仿宋"/>
          <w:sz w:val="32"/>
          <w:szCs w:val="32"/>
        </w:rPr>
        <w:t>月</w:t>
      </w:r>
      <w:r>
        <w:rPr>
          <w:rFonts w:ascii="仿宋" w:hAnsi="仿宋" w:eastAsia="仿宋" w:cs="仿宋"/>
          <w:sz w:val="32"/>
          <w:szCs w:val="32"/>
        </w:rPr>
        <w:t>21</w:t>
      </w:r>
      <w:r>
        <w:rPr>
          <w:rFonts w:hint="eastAsia" w:ascii="仿宋" w:hAnsi="仿宋" w:eastAsia="仿宋" w:cs="仿宋"/>
          <w:sz w:val="32"/>
          <w:szCs w:val="32"/>
        </w:rPr>
        <w:t>日《石家庄市鹿泉区人民政府常务会议纪要（第三届十一次）》内容第十三条“会议原则同意以区政府名义与第五储备资产管理局石家庄管理站、融通农业发展（石家庄）有限责任公司签订协议”的会议要求，签订协议内容如下：区政府于</w:t>
      </w:r>
      <w:r>
        <w:rPr>
          <w:rFonts w:ascii="仿宋" w:hAnsi="仿宋" w:eastAsia="仿宋" w:cs="仿宋"/>
          <w:sz w:val="32"/>
          <w:szCs w:val="32"/>
        </w:rPr>
        <w:t>2021</w:t>
      </w:r>
      <w:r>
        <w:rPr>
          <w:rFonts w:hint="eastAsia" w:ascii="仿宋" w:hAnsi="仿宋" w:eastAsia="仿宋" w:cs="仿宋"/>
          <w:sz w:val="32"/>
          <w:szCs w:val="32"/>
        </w:rPr>
        <w:t>年</w:t>
      </w:r>
      <w:r>
        <w:rPr>
          <w:rFonts w:ascii="仿宋" w:hAnsi="仿宋" w:eastAsia="仿宋" w:cs="仿宋"/>
          <w:sz w:val="32"/>
          <w:szCs w:val="32"/>
        </w:rPr>
        <w:t>12</w:t>
      </w:r>
      <w:r>
        <w:rPr>
          <w:rFonts w:hint="eastAsia" w:ascii="仿宋" w:hAnsi="仿宋" w:eastAsia="仿宋" w:cs="仿宋"/>
          <w:sz w:val="32"/>
          <w:szCs w:val="32"/>
        </w:rPr>
        <w:t>月</w:t>
      </w:r>
      <w:r>
        <w:rPr>
          <w:rFonts w:ascii="仿宋" w:hAnsi="仿宋" w:eastAsia="仿宋" w:cs="仿宋"/>
          <w:sz w:val="32"/>
          <w:szCs w:val="32"/>
        </w:rPr>
        <w:t>31</w:t>
      </w:r>
      <w:r>
        <w:rPr>
          <w:rFonts w:hint="eastAsia" w:ascii="仿宋" w:hAnsi="仿宋" w:eastAsia="仿宋" w:cs="仿宋"/>
          <w:sz w:val="32"/>
          <w:szCs w:val="32"/>
        </w:rPr>
        <w:t>日前负责将地块中巩仓书占用的</w:t>
      </w:r>
      <w:r>
        <w:rPr>
          <w:rFonts w:ascii="仿宋" w:hAnsi="仿宋" w:eastAsia="仿宋" w:cs="仿宋"/>
          <w:sz w:val="32"/>
          <w:szCs w:val="32"/>
        </w:rPr>
        <w:t>14.16</w:t>
      </w:r>
      <w:r>
        <w:rPr>
          <w:rFonts w:hint="eastAsia" w:ascii="仿宋" w:hAnsi="仿宋" w:eastAsia="仿宋" w:cs="仿宋"/>
          <w:sz w:val="32"/>
          <w:szCs w:val="32"/>
        </w:rPr>
        <w:t>亩场部和</w:t>
      </w:r>
      <w:r>
        <w:rPr>
          <w:rFonts w:ascii="仿宋" w:hAnsi="仿宋" w:eastAsia="仿宋" w:cs="仿宋"/>
          <w:sz w:val="32"/>
          <w:szCs w:val="32"/>
        </w:rPr>
        <w:t>20</w:t>
      </w:r>
      <w:r>
        <w:rPr>
          <w:rFonts w:hint="eastAsia" w:ascii="仿宋" w:hAnsi="仿宋" w:eastAsia="仿宋" w:cs="仿宋"/>
          <w:sz w:val="32"/>
          <w:szCs w:val="32"/>
        </w:rPr>
        <w:t>亩耕地，合计</w:t>
      </w:r>
      <w:r>
        <w:rPr>
          <w:rFonts w:ascii="仿宋" w:hAnsi="仿宋" w:eastAsia="仿宋" w:cs="仿宋"/>
          <w:sz w:val="32"/>
          <w:szCs w:val="32"/>
        </w:rPr>
        <w:t>34.16</w:t>
      </w:r>
      <w:r>
        <w:rPr>
          <w:rFonts w:hint="eastAsia" w:ascii="仿宋" w:hAnsi="仿宋" w:eastAsia="仿宋" w:cs="仿宋"/>
          <w:sz w:val="32"/>
          <w:szCs w:val="32"/>
        </w:rPr>
        <w:t>亩地块以及相关资产交还第五资产储备管理局石家庄管理站，剩余</w:t>
      </w:r>
      <w:r>
        <w:rPr>
          <w:rFonts w:ascii="仿宋" w:hAnsi="仿宋" w:eastAsia="仿宋" w:cs="仿宋"/>
          <w:sz w:val="32"/>
          <w:szCs w:val="32"/>
        </w:rPr>
        <w:t>524.78</w:t>
      </w:r>
      <w:r>
        <w:rPr>
          <w:rFonts w:hint="eastAsia" w:ascii="仿宋" w:hAnsi="仿宋" w:eastAsia="仿宋" w:cs="仿宋"/>
          <w:sz w:val="32"/>
          <w:szCs w:val="32"/>
        </w:rPr>
        <w:t>亩土地由区政府指定石家庄润恒农业科技有限公司承租经营，该公司已与融通农业发展（石家庄）有限责任公司签订土地租赁协议，租赁期限为</w:t>
      </w:r>
      <w:r>
        <w:rPr>
          <w:rFonts w:ascii="仿宋" w:hAnsi="仿宋" w:eastAsia="仿宋" w:cs="仿宋"/>
          <w:sz w:val="32"/>
          <w:szCs w:val="32"/>
        </w:rPr>
        <w:t>2020</w:t>
      </w:r>
      <w:r>
        <w:rPr>
          <w:rFonts w:hint="eastAsia" w:ascii="仿宋" w:hAnsi="仿宋" w:eastAsia="仿宋" w:cs="仿宋"/>
          <w:sz w:val="32"/>
          <w:szCs w:val="32"/>
        </w:rPr>
        <w:t>年</w:t>
      </w:r>
      <w:r>
        <w:rPr>
          <w:rFonts w:ascii="仿宋" w:hAnsi="仿宋" w:eastAsia="仿宋" w:cs="仿宋"/>
          <w:sz w:val="32"/>
          <w:szCs w:val="32"/>
        </w:rPr>
        <w:t>6</w:t>
      </w:r>
      <w:r>
        <w:rPr>
          <w:rFonts w:hint="eastAsia" w:ascii="仿宋" w:hAnsi="仿宋" w:eastAsia="仿宋" w:cs="仿宋"/>
          <w:sz w:val="32"/>
          <w:szCs w:val="32"/>
        </w:rPr>
        <w:t>月</w:t>
      </w:r>
      <w:r>
        <w:rPr>
          <w:rFonts w:ascii="仿宋" w:hAnsi="仿宋" w:eastAsia="仿宋" w:cs="仿宋"/>
          <w:sz w:val="32"/>
          <w:szCs w:val="32"/>
        </w:rPr>
        <w:t>30</w:t>
      </w:r>
      <w:r>
        <w:rPr>
          <w:rFonts w:hint="eastAsia" w:ascii="仿宋" w:hAnsi="仿宋" w:eastAsia="仿宋" w:cs="仿宋"/>
          <w:sz w:val="32"/>
          <w:szCs w:val="32"/>
        </w:rPr>
        <w:t>日至</w:t>
      </w:r>
      <w:r>
        <w:rPr>
          <w:rFonts w:ascii="仿宋" w:hAnsi="仿宋" w:eastAsia="仿宋" w:cs="仿宋"/>
          <w:sz w:val="32"/>
          <w:szCs w:val="32"/>
        </w:rPr>
        <w:t>2022</w:t>
      </w:r>
      <w:r>
        <w:rPr>
          <w:rFonts w:hint="eastAsia" w:ascii="仿宋" w:hAnsi="仿宋" w:eastAsia="仿宋" w:cs="仿宋"/>
          <w:sz w:val="32"/>
          <w:szCs w:val="32"/>
        </w:rPr>
        <w:t>年</w:t>
      </w:r>
      <w:r>
        <w:rPr>
          <w:rFonts w:ascii="仿宋" w:hAnsi="仿宋" w:eastAsia="仿宋" w:cs="仿宋"/>
          <w:sz w:val="32"/>
          <w:szCs w:val="32"/>
        </w:rPr>
        <w:t>6</w:t>
      </w:r>
      <w:r>
        <w:rPr>
          <w:rFonts w:hint="eastAsia" w:ascii="仿宋" w:hAnsi="仿宋" w:eastAsia="仿宋" w:cs="仿宋"/>
          <w:sz w:val="32"/>
          <w:szCs w:val="32"/>
        </w:rPr>
        <w:t>月</w:t>
      </w:r>
      <w:r>
        <w:rPr>
          <w:rFonts w:ascii="仿宋" w:hAnsi="仿宋" w:eastAsia="仿宋" w:cs="仿宋"/>
          <w:sz w:val="32"/>
          <w:szCs w:val="32"/>
        </w:rPr>
        <w:t>30</w:t>
      </w:r>
      <w:r>
        <w:rPr>
          <w:rFonts w:hint="eastAsia" w:ascii="仿宋" w:hAnsi="仿宋" w:eastAsia="仿宋" w:cs="仿宋"/>
          <w:sz w:val="32"/>
          <w:szCs w:val="32"/>
        </w:rPr>
        <w:t>日，年租金</w:t>
      </w:r>
      <w:r>
        <w:rPr>
          <w:rFonts w:ascii="仿宋" w:hAnsi="仿宋" w:eastAsia="仿宋" w:cs="仿宋"/>
          <w:sz w:val="32"/>
          <w:szCs w:val="32"/>
        </w:rPr>
        <w:t>700</w:t>
      </w:r>
      <w:r>
        <w:rPr>
          <w:rFonts w:hint="eastAsia" w:ascii="仿宋" w:hAnsi="仿宋" w:eastAsia="仿宋" w:cs="仿宋"/>
          <w:sz w:val="32"/>
          <w:szCs w:val="32"/>
        </w:rPr>
        <w:t>元</w:t>
      </w:r>
      <w:r>
        <w:rPr>
          <w:rFonts w:ascii="仿宋" w:hAnsi="仿宋" w:eastAsia="仿宋" w:cs="仿宋"/>
          <w:sz w:val="32"/>
          <w:szCs w:val="32"/>
        </w:rPr>
        <w:t>/</w:t>
      </w:r>
      <w:r>
        <w:rPr>
          <w:rFonts w:hint="eastAsia" w:ascii="仿宋" w:hAnsi="仿宋" w:eastAsia="仿宋" w:cs="仿宋"/>
          <w:sz w:val="32"/>
          <w:szCs w:val="32"/>
        </w:rPr>
        <w:t>亩，即</w:t>
      </w:r>
      <w:r>
        <w:rPr>
          <w:rFonts w:ascii="仿宋" w:hAnsi="仿宋" w:eastAsia="仿宋" w:cs="仿宋"/>
          <w:sz w:val="32"/>
          <w:szCs w:val="32"/>
        </w:rPr>
        <w:t>2020</w:t>
      </w:r>
      <w:r>
        <w:rPr>
          <w:rFonts w:hint="eastAsia" w:ascii="仿宋" w:hAnsi="仿宋" w:eastAsia="仿宋" w:cs="仿宋"/>
          <w:sz w:val="32"/>
          <w:szCs w:val="32"/>
        </w:rPr>
        <w:t>年</w:t>
      </w:r>
      <w:r>
        <w:rPr>
          <w:rFonts w:ascii="仿宋" w:hAnsi="仿宋" w:eastAsia="仿宋" w:cs="仿宋"/>
          <w:sz w:val="32"/>
          <w:szCs w:val="32"/>
        </w:rPr>
        <w:t>6</w:t>
      </w:r>
      <w:r>
        <w:rPr>
          <w:rFonts w:hint="eastAsia" w:ascii="仿宋" w:hAnsi="仿宋" w:eastAsia="仿宋" w:cs="仿宋"/>
          <w:sz w:val="32"/>
          <w:szCs w:val="32"/>
        </w:rPr>
        <w:t>月</w:t>
      </w:r>
      <w:r>
        <w:rPr>
          <w:rFonts w:ascii="仿宋" w:hAnsi="仿宋" w:eastAsia="仿宋" w:cs="仿宋"/>
          <w:sz w:val="32"/>
          <w:szCs w:val="32"/>
        </w:rPr>
        <w:t>30</w:t>
      </w:r>
      <w:r>
        <w:rPr>
          <w:rFonts w:hint="eastAsia" w:ascii="仿宋" w:hAnsi="仿宋" w:eastAsia="仿宋" w:cs="仿宋"/>
          <w:sz w:val="32"/>
          <w:szCs w:val="32"/>
        </w:rPr>
        <w:t>日至</w:t>
      </w:r>
      <w:r>
        <w:rPr>
          <w:rFonts w:ascii="仿宋" w:hAnsi="仿宋" w:eastAsia="仿宋" w:cs="仿宋"/>
          <w:sz w:val="32"/>
          <w:szCs w:val="32"/>
        </w:rPr>
        <w:t>2021</w:t>
      </w:r>
      <w:r>
        <w:rPr>
          <w:rFonts w:hint="eastAsia" w:ascii="仿宋" w:hAnsi="仿宋" w:eastAsia="仿宋" w:cs="仿宋"/>
          <w:sz w:val="32"/>
          <w:szCs w:val="32"/>
        </w:rPr>
        <w:t>年</w:t>
      </w:r>
      <w:r>
        <w:rPr>
          <w:rFonts w:ascii="仿宋" w:hAnsi="仿宋" w:eastAsia="仿宋" w:cs="仿宋"/>
          <w:sz w:val="32"/>
          <w:szCs w:val="32"/>
        </w:rPr>
        <w:t>6</w:t>
      </w:r>
      <w:r>
        <w:rPr>
          <w:rFonts w:hint="eastAsia" w:ascii="仿宋" w:hAnsi="仿宋" w:eastAsia="仿宋" w:cs="仿宋"/>
          <w:sz w:val="32"/>
          <w:szCs w:val="32"/>
        </w:rPr>
        <w:t>月</w:t>
      </w:r>
      <w:r>
        <w:rPr>
          <w:rFonts w:ascii="仿宋" w:hAnsi="仿宋" w:eastAsia="仿宋" w:cs="仿宋"/>
          <w:sz w:val="32"/>
          <w:szCs w:val="32"/>
        </w:rPr>
        <w:t>29</w:t>
      </w:r>
      <w:r>
        <w:rPr>
          <w:rFonts w:hint="eastAsia" w:ascii="仿宋" w:hAnsi="仿宋" w:eastAsia="仿宋" w:cs="仿宋"/>
          <w:sz w:val="32"/>
          <w:szCs w:val="32"/>
        </w:rPr>
        <w:t>日租金为</w:t>
      </w:r>
      <w:r>
        <w:rPr>
          <w:rFonts w:ascii="仿宋" w:hAnsi="仿宋" w:eastAsia="仿宋" w:cs="仿宋"/>
          <w:sz w:val="32"/>
          <w:szCs w:val="32"/>
        </w:rPr>
        <w:t>367346</w:t>
      </w:r>
      <w:r>
        <w:rPr>
          <w:rFonts w:hint="eastAsia" w:ascii="仿宋" w:hAnsi="仿宋" w:eastAsia="仿宋" w:cs="仿宋"/>
          <w:sz w:val="32"/>
          <w:szCs w:val="32"/>
        </w:rPr>
        <w:t>元，自</w:t>
      </w:r>
      <w:r>
        <w:rPr>
          <w:rFonts w:ascii="仿宋" w:hAnsi="仿宋" w:eastAsia="仿宋" w:cs="仿宋"/>
          <w:sz w:val="32"/>
          <w:szCs w:val="32"/>
        </w:rPr>
        <w:t>2021</w:t>
      </w:r>
      <w:r>
        <w:rPr>
          <w:rFonts w:hint="eastAsia" w:ascii="仿宋" w:hAnsi="仿宋" w:eastAsia="仿宋" w:cs="仿宋"/>
          <w:sz w:val="32"/>
          <w:szCs w:val="32"/>
        </w:rPr>
        <w:t>年</w:t>
      </w:r>
      <w:r>
        <w:rPr>
          <w:rFonts w:ascii="仿宋" w:hAnsi="仿宋" w:eastAsia="仿宋" w:cs="仿宋"/>
          <w:sz w:val="32"/>
          <w:szCs w:val="32"/>
        </w:rPr>
        <w:t>6</w:t>
      </w:r>
      <w:r>
        <w:rPr>
          <w:rFonts w:hint="eastAsia" w:ascii="仿宋" w:hAnsi="仿宋" w:eastAsia="仿宋" w:cs="仿宋"/>
          <w:sz w:val="32"/>
          <w:szCs w:val="32"/>
        </w:rPr>
        <w:t>月</w:t>
      </w:r>
      <w:r>
        <w:rPr>
          <w:rFonts w:ascii="仿宋" w:hAnsi="仿宋" w:eastAsia="仿宋" w:cs="仿宋"/>
          <w:sz w:val="32"/>
          <w:szCs w:val="32"/>
        </w:rPr>
        <w:t>30</w:t>
      </w:r>
      <w:r>
        <w:rPr>
          <w:rFonts w:hint="eastAsia" w:ascii="仿宋" w:hAnsi="仿宋" w:eastAsia="仿宋" w:cs="仿宋"/>
          <w:sz w:val="32"/>
          <w:szCs w:val="32"/>
        </w:rPr>
        <w:t>日起每年租金在上一年租金基础上递增</w:t>
      </w:r>
      <w:r>
        <w:rPr>
          <w:rFonts w:ascii="仿宋" w:hAnsi="仿宋" w:eastAsia="仿宋" w:cs="仿宋"/>
          <w:sz w:val="32"/>
          <w:szCs w:val="32"/>
        </w:rPr>
        <w:t>3%</w:t>
      </w:r>
      <w:r>
        <w:rPr>
          <w:rFonts w:hint="eastAsia" w:ascii="仿宋" w:hAnsi="仿宋" w:eastAsia="仿宋" w:cs="仿宋"/>
          <w:sz w:val="32"/>
          <w:szCs w:val="32"/>
        </w:rPr>
        <w:t>，因此租赁期限内租金合计为</w:t>
      </w:r>
      <w:r>
        <w:rPr>
          <w:rFonts w:ascii="仿宋" w:hAnsi="仿宋" w:eastAsia="仿宋" w:cs="仿宋"/>
          <w:sz w:val="32"/>
          <w:szCs w:val="32"/>
        </w:rPr>
        <w:t>74.57</w:t>
      </w:r>
      <w:r>
        <w:rPr>
          <w:rFonts w:hint="eastAsia" w:ascii="仿宋" w:hAnsi="仿宋" w:eastAsia="仿宋" w:cs="仿宋"/>
          <w:sz w:val="32"/>
          <w:szCs w:val="32"/>
        </w:rPr>
        <w:t>万元，预算</w:t>
      </w:r>
      <w:r>
        <w:rPr>
          <w:rFonts w:ascii="仿宋" w:hAnsi="仿宋" w:eastAsia="仿宋" w:cs="仿宋"/>
          <w:sz w:val="32"/>
          <w:szCs w:val="32"/>
        </w:rPr>
        <w:t>74.57</w:t>
      </w:r>
      <w:r>
        <w:rPr>
          <w:rFonts w:hint="eastAsia" w:ascii="仿宋" w:hAnsi="仿宋" w:eastAsia="仿宋" w:cs="仿宋"/>
          <w:sz w:val="32"/>
          <w:szCs w:val="32"/>
        </w:rPr>
        <w:t>万元，拨付</w:t>
      </w:r>
      <w:r>
        <w:rPr>
          <w:rFonts w:ascii="仿宋" w:hAnsi="仿宋" w:eastAsia="仿宋" w:cs="仿宋"/>
          <w:sz w:val="32"/>
          <w:szCs w:val="32"/>
        </w:rPr>
        <w:t>74.57</w:t>
      </w:r>
      <w:r>
        <w:rPr>
          <w:rFonts w:hint="eastAsia" w:ascii="仿宋" w:hAnsi="仿宋" w:eastAsia="仿宋" w:cs="仿宋"/>
          <w:sz w:val="32"/>
          <w:szCs w:val="32"/>
        </w:rPr>
        <w:t>万元，执行率</w:t>
      </w:r>
      <w:r>
        <w:rPr>
          <w:rFonts w:ascii="仿宋" w:hAnsi="仿宋" w:eastAsia="仿宋" w:cs="仿宋"/>
          <w:sz w:val="32"/>
          <w:szCs w:val="32"/>
        </w:rPr>
        <w:t>100%</w:t>
      </w:r>
      <w:r>
        <w:rPr>
          <w:rFonts w:hint="eastAsia" w:ascii="仿宋" w:hAnsi="仿宋" w:eastAsia="仿宋" w:cs="仿宋"/>
          <w:sz w:val="32"/>
          <w:szCs w:val="32"/>
        </w:rPr>
        <w:t>。</w:t>
      </w:r>
    </w:p>
    <w:p w14:paraId="7AF362D0">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12.李村镇</w:t>
      </w:r>
      <w:r>
        <w:rPr>
          <w:rFonts w:ascii="仿宋" w:hAnsi="仿宋" w:eastAsia="仿宋" w:cs="仿宋"/>
          <w:sz w:val="32"/>
          <w:szCs w:val="32"/>
        </w:rPr>
        <w:t>2023</w:t>
      </w:r>
      <w:r>
        <w:rPr>
          <w:rFonts w:hint="eastAsia" w:ascii="仿宋" w:hAnsi="仿宋" w:eastAsia="仿宋" w:cs="仿宋"/>
          <w:sz w:val="32"/>
          <w:szCs w:val="32"/>
        </w:rPr>
        <w:t>年河滩区域道路保洁管护费</w:t>
      </w:r>
    </w:p>
    <w:p w14:paraId="7594E982">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绩效目标：对河滩区域进行保洁，道路保洁管护资金共计</w:t>
      </w:r>
      <w:r>
        <w:rPr>
          <w:rFonts w:ascii="仿宋" w:hAnsi="仿宋" w:eastAsia="仿宋" w:cs="仿宋"/>
          <w:sz w:val="32"/>
          <w:szCs w:val="32"/>
        </w:rPr>
        <w:t>110.15</w:t>
      </w:r>
      <w:r>
        <w:rPr>
          <w:rFonts w:hint="eastAsia" w:ascii="仿宋" w:hAnsi="仿宋" w:eastAsia="仿宋" w:cs="仿宋"/>
          <w:sz w:val="32"/>
          <w:szCs w:val="32"/>
        </w:rPr>
        <w:t>万元，建设高效、规模、绿色产业化农业，培育农业休闲旅游项目载体，实现乡村振兴。</w:t>
      </w:r>
    </w:p>
    <w:p w14:paraId="2C136BB4">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绩效指标：我镇河滩区域部队退还耕地共计</w:t>
      </w:r>
      <w:r>
        <w:rPr>
          <w:rFonts w:ascii="仿宋" w:hAnsi="仿宋" w:eastAsia="仿宋" w:cs="仿宋"/>
          <w:sz w:val="32"/>
          <w:szCs w:val="32"/>
        </w:rPr>
        <w:t>5456</w:t>
      </w:r>
      <w:r>
        <w:rPr>
          <w:rFonts w:hint="eastAsia" w:ascii="仿宋" w:hAnsi="仿宋" w:eastAsia="仿宋" w:cs="仿宋"/>
          <w:sz w:val="32"/>
          <w:szCs w:val="32"/>
        </w:rPr>
        <w:t>亩，根据区委区政府持续深化农业供给侧结构调整工作要求，推动“一乡一业、一村一品”发展规划，我镇依托资源优势，积极加快一产招商引资项目，建设高效、规模、绿色产业化农业，培育农业休闲旅游项目载体，实现乡村振兴。为进一步提高基础承载能力</w:t>
      </w:r>
      <w:r>
        <w:rPr>
          <w:rFonts w:ascii="仿宋" w:hAnsi="仿宋" w:eastAsia="仿宋" w:cs="仿宋"/>
          <w:sz w:val="32"/>
          <w:szCs w:val="32"/>
        </w:rPr>
        <w:t>,</w:t>
      </w:r>
      <w:r>
        <w:rPr>
          <w:rFonts w:hint="eastAsia" w:ascii="仿宋" w:hAnsi="仿宋" w:eastAsia="仿宋" w:cs="仿宋"/>
          <w:sz w:val="32"/>
          <w:szCs w:val="32"/>
        </w:rPr>
        <w:t>我镇每年对河滩区域部队退还耕地周边的道路、行道树养护、农业秸秆、垃圾、防火、土地资源等进行环境整治、保洁管护及监管。道路保洁管护资金共计</w:t>
      </w:r>
      <w:r>
        <w:rPr>
          <w:rFonts w:ascii="仿宋" w:hAnsi="仿宋" w:eastAsia="仿宋" w:cs="仿宋"/>
          <w:sz w:val="32"/>
          <w:szCs w:val="32"/>
        </w:rPr>
        <w:t>110.15</w:t>
      </w:r>
      <w:r>
        <w:rPr>
          <w:rFonts w:hint="eastAsia" w:ascii="仿宋" w:hAnsi="仿宋" w:eastAsia="仿宋" w:cs="仿宋"/>
          <w:sz w:val="32"/>
          <w:szCs w:val="32"/>
        </w:rPr>
        <w:t>万元，其中：道路维护及绿化</w:t>
      </w:r>
      <w:r>
        <w:rPr>
          <w:rFonts w:ascii="仿宋" w:hAnsi="仿宋" w:eastAsia="仿宋" w:cs="仿宋"/>
          <w:sz w:val="32"/>
          <w:szCs w:val="32"/>
        </w:rPr>
        <w:t>145406</w:t>
      </w:r>
      <w:r>
        <w:rPr>
          <w:rFonts w:hint="eastAsia" w:ascii="仿宋" w:hAnsi="仿宋" w:eastAsia="仿宋" w:cs="仿宋"/>
          <w:sz w:val="32"/>
          <w:szCs w:val="32"/>
        </w:rPr>
        <w:t>㎡、金额</w:t>
      </w:r>
      <w:r>
        <w:rPr>
          <w:rFonts w:ascii="仿宋" w:hAnsi="仿宋" w:eastAsia="仿宋" w:cs="仿宋"/>
          <w:sz w:val="32"/>
          <w:szCs w:val="32"/>
        </w:rPr>
        <w:t>48</w:t>
      </w:r>
      <w:r>
        <w:rPr>
          <w:rFonts w:hint="eastAsia" w:ascii="仿宋" w:hAnsi="仿宋" w:eastAsia="仿宋" w:cs="仿宋"/>
          <w:sz w:val="32"/>
          <w:szCs w:val="32"/>
        </w:rPr>
        <w:t>万元；杂草秸秆清运</w:t>
      </w:r>
      <w:r>
        <w:rPr>
          <w:rFonts w:ascii="仿宋" w:hAnsi="仿宋" w:eastAsia="仿宋" w:cs="仿宋"/>
          <w:sz w:val="32"/>
          <w:szCs w:val="32"/>
        </w:rPr>
        <w:t>5456</w:t>
      </w:r>
      <w:r>
        <w:rPr>
          <w:rFonts w:hint="eastAsia" w:ascii="仿宋" w:hAnsi="仿宋" w:eastAsia="仿宋" w:cs="仿宋"/>
          <w:sz w:val="32"/>
          <w:szCs w:val="32"/>
        </w:rPr>
        <w:t>亩、共计</w:t>
      </w:r>
      <w:r>
        <w:rPr>
          <w:rFonts w:ascii="仿宋" w:hAnsi="仿宋" w:eastAsia="仿宋" w:cs="仿宋"/>
          <w:sz w:val="32"/>
          <w:szCs w:val="32"/>
        </w:rPr>
        <w:t>16500</w:t>
      </w:r>
      <w:r>
        <w:rPr>
          <w:rFonts w:hint="eastAsia" w:ascii="仿宋" w:hAnsi="仿宋" w:eastAsia="仿宋" w:cs="仿宋"/>
          <w:sz w:val="32"/>
          <w:szCs w:val="32"/>
        </w:rPr>
        <w:t>吨、</w:t>
      </w:r>
      <w:r>
        <w:rPr>
          <w:rFonts w:ascii="仿宋" w:hAnsi="仿宋" w:eastAsia="仿宋" w:cs="仿宋"/>
          <w:sz w:val="32"/>
          <w:szCs w:val="32"/>
        </w:rPr>
        <w:t>26</w:t>
      </w:r>
      <w:r>
        <w:rPr>
          <w:rFonts w:hint="eastAsia" w:ascii="仿宋" w:hAnsi="仿宋" w:eastAsia="仿宋" w:cs="仿宋"/>
          <w:sz w:val="32"/>
          <w:szCs w:val="32"/>
        </w:rPr>
        <w:t>元</w:t>
      </w:r>
      <w:r>
        <w:rPr>
          <w:rFonts w:ascii="仿宋" w:hAnsi="仿宋" w:eastAsia="仿宋" w:cs="仿宋"/>
          <w:sz w:val="32"/>
          <w:szCs w:val="32"/>
        </w:rPr>
        <w:t>/</w:t>
      </w:r>
      <w:r>
        <w:rPr>
          <w:rFonts w:hint="eastAsia" w:ascii="仿宋" w:hAnsi="仿宋" w:eastAsia="仿宋" w:cs="仿宋"/>
          <w:sz w:val="32"/>
          <w:szCs w:val="32"/>
        </w:rPr>
        <w:t>吨、金额</w:t>
      </w:r>
      <w:r>
        <w:rPr>
          <w:rFonts w:ascii="仿宋" w:hAnsi="仿宋" w:eastAsia="仿宋" w:cs="仿宋"/>
          <w:sz w:val="32"/>
          <w:szCs w:val="32"/>
        </w:rPr>
        <w:t>42.9</w:t>
      </w:r>
      <w:r>
        <w:rPr>
          <w:rFonts w:hint="eastAsia" w:ascii="仿宋" w:hAnsi="仿宋" w:eastAsia="仿宋" w:cs="仿宋"/>
          <w:sz w:val="32"/>
          <w:szCs w:val="32"/>
        </w:rPr>
        <w:t>万元；垃圾清运</w:t>
      </w:r>
      <w:r>
        <w:rPr>
          <w:rFonts w:ascii="仿宋" w:hAnsi="仿宋" w:eastAsia="仿宋" w:cs="仿宋"/>
          <w:sz w:val="32"/>
          <w:szCs w:val="32"/>
        </w:rPr>
        <w:t>5500</w:t>
      </w:r>
      <w:r>
        <w:rPr>
          <w:rFonts w:hint="eastAsia" w:ascii="仿宋" w:hAnsi="仿宋" w:eastAsia="仿宋" w:cs="仿宋"/>
          <w:sz w:val="32"/>
          <w:szCs w:val="32"/>
        </w:rPr>
        <w:t>吨、</w:t>
      </w:r>
      <w:r>
        <w:rPr>
          <w:rFonts w:ascii="仿宋" w:hAnsi="仿宋" w:eastAsia="仿宋" w:cs="仿宋"/>
          <w:sz w:val="32"/>
          <w:szCs w:val="32"/>
        </w:rPr>
        <w:t>35</w:t>
      </w:r>
      <w:r>
        <w:rPr>
          <w:rFonts w:hint="eastAsia" w:ascii="仿宋" w:hAnsi="仿宋" w:eastAsia="仿宋" w:cs="仿宋"/>
          <w:sz w:val="32"/>
          <w:szCs w:val="32"/>
        </w:rPr>
        <w:t>元</w:t>
      </w:r>
      <w:r>
        <w:rPr>
          <w:rFonts w:ascii="仿宋" w:hAnsi="仿宋" w:eastAsia="仿宋" w:cs="仿宋"/>
          <w:sz w:val="32"/>
          <w:szCs w:val="32"/>
        </w:rPr>
        <w:t>/</w:t>
      </w:r>
      <w:r>
        <w:rPr>
          <w:rFonts w:hint="eastAsia" w:ascii="仿宋" w:hAnsi="仿宋" w:eastAsia="仿宋" w:cs="仿宋"/>
          <w:sz w:val="32"/>
          <w:szCs w:val="32"/>
        </w:rPr>
        <w:t>吨、金额</w:t>
      </w:r>
      <w:r>
        <w:rPr>
          <w:rFonts w:ascii="仿宋" w:hAnsi="仿宋" w:eastAsia="仿宋" w:cs="仿宋"/>
          <w:sz w:val="32"/>
          <w:szCs w:val="32"/>
        </w:rPr>
        <w:t>19.25</w:t>
      </w:r>
      <w:r>
        <w:rPr>
          <w:rFonts w:hint="eastAsia" w:ascii="仿宋" w:hAnsi="仿宋" w:eastAsia="仿宋" w:cs="仿宋"/>
          <w:sz w:val="32"/>
          <w:szCs w:val="32"/>
        </w:rPr>
        <w:t>万元，现申请区财政予以资金支持</w:t>
      </w:r>
      <w:r>
        <w:rPr>
          <w:rFonts w:ascii="仿宋" w:hAnsi="仿宋" w:eastAsia="仿宋" w:cs="仿宋"/>
          <w:sz w:val="32"/>
          <w:szCs w:val="32"/>
        </w:rPr>
        <w:t>110.15</w:t>
      </w:r>
      <w:r>
        <w:rPr>
          <w:rFonts w:hint="eastAsia" w:ascii="仿宋" w:hAnsi="仿宋" w:eastAsia="仿宋" w:cs="仿宋"/>
          <w:sz w:val="32"/>
          <w:szCs w:val="32"/>
        </w:rPr>
        <w:t>万元，区财政安排</w:t>
      </w:r>
      <w:r>
        <w:rPr>
          <w:rFonts w:ascii="仿宋" w:hAnsi="仿宋" w:eastAsia="仿宋" w:cs="仿宋"/>
          <w:sz w:val="32"/>
          <w:szCs w:val="32"/>
        </w:rPr>
        <w:t>2023</w:t>
      </w:r>
      <w:r>
        <w:rPr>
          <w:rFonts w:hint="eastAsia" w:ascii="仿宋" w:hAnsi="仿宋" w:eastAsia="仿宋" w:cs="仿宋"/>
          <w:sz w:val="32"/>
          <w:szCs w:val="32"/>
        </w:rPr>
        <w:t>年预算</w:t>
      </w:r>
      <w:r>
        <w:rPr>
          <w:rFonts w:ascii="仿宋" w:hAnsi="仿宋" w:eastAsia="仿宋" w:cs="仿宋"/>
          <w:sz w:val="32"/>
          <w:szCs w:val="32"/>
        </w:rPr>
        <w:t>70</w:t>
      </w:r>
      <w:r>
        <w:rPr>
          <w:rFonts w:hint="eastAsia" w:ascii="仿宋" w:hAnsi="仿宋" w:eastAsia="仿宋" w:cs="仿宋"/>
          <w:sz w:val="32"/>
          <w:szCs w:val="32"/>
        </w:rPr>
        <w:t>万元，拨付</w:t>
      </w:r>
      <w:r>
        <w:rPr>
          <w:rFonts w:ascii="仿宋" w:hAnsi="仿宋" w:eastAsia="仿宋" w:cs="仿宋"/>
          <w:sz w:val="32"/>
          <w:szCs w:val="32"/>
        </w:rPr>
        <w:t>70</w:t>
      </w:r>
      <w:r>
        <w:rPr>
          <w:rFonts w:hint="eastAsia" w:ascii="仿宋" w:hAnsi="仿宋" w:eastAsia="仿宋" w:cs="仿宋"/>
          <w:sz w:val="32"/>
          <w:szCs w:val="32"/>
        </w:rPr>
        <w:t>万元，执行率</w:t>
      </w:r>
      <w:r>
        <w:rPr>
          <w:rFonts w:ascii="仿宋" w:hAnsi="仿宋" w:eastAsia="仿宋" w:cs="仿宋"/>
          <w:sz w:val="32"/>
          <w:szCs w:val="32"/>
        </w:rPr>
        <w:t>100%</w:t>
      </w:r>
      <w:r>
        <w:rPr>
          <w:rFonts w:hint="eastAsia" w:ascii="仿宋" w:hAnsi="仿宋" w:eastAsia="仿宋" w:cs="仿宋"/>
          <w:sz w:val="32"/>
          <w:szCs w:val="32"/>
        </w:rPr>
        <w:t>。</w:t>
      </w:r>
    </w:p>
    <w:p w14:paraId="0D10E8EF">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13.</w:t>
      </w:r>
      <w:r>
        <w:rPr>
          <w:rFonts w:hint="eastAsia"/>
        </w:rPr>
        <w:t xml:space="preserve"> </w:t>
      </w:r>
      <w:r>
        <w:rPr>
          <w:rFonts w:hint="eastAsia" w:ascii="仿宋" w:hAnsi="仿宋" w:eastAsia="仿宋" w:cs="仿宋"/>
          <w:sz w:val="32"/>
          <w:szCs w:val="32"/>
        </w:rPr>
        <w:t>李村镇石清路沿线环境卫生整治提升项目目</w:t>
      </w:r>
    </w:p>
    <w:p w14:paraId="42BC8308">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绩效目标：进一步改善石清路两侧专项整治活动，以石清路为主线，用时5天对道路两侧进行土地平整、垃圾清理，同时通过植树绿化方式巩固集中治理成果。</w:t>
      </w:r>
    </w:p>
    <w:p w14:paraId="1E0C8DD4">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为积极响应鹿泉区重点路段“迎五一”环境大扫除、大清洗、大整治工作安排，进一步改善石清路两侧专项整治活动，以石清路为主线，用时5天对道路两侧进行土地平整、垃圾清理，同时通过植树绿化方式巩固集中治理成果。期间动用铲车、钩机、清运车、洒水车等机械140台次、人工230余人次，清理垃圾约6500方，平整土地约7300方，栽金叶槐910棵，共计花费257000元。区财政安排2023年预算25.7万元，拨付25.7万元，执行率100%。</w:t>
      </w:r>
    </w:p>
    <w:p w14:paraId="6FDDC22A">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14.</w:t>
      </w:r>
      <w:r>
        <w:rPr>
          <w:rFonts w:hint="eastAsia"/>
        </w:rPr>
        <w:t xml:space="preserve"> </w:t>
      </w:r>
      <w:r>
        <w:rPr>
          <w:rFonts w:hint="eastAsia" w:ascii="仿宋" w:hAnsi="仿宋" w:eastAsia="仿宋" w:cs="仿宋"/>
          <w:sz w:val="32"/>
          <w:szCs w:val="32"/>
        </w:rPr>
        <w:t>李村镇村级聘用人员补贴</w:t>
      </w:r>
    </w:p>
    <w:p w14:paraId="0D6D9F61">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为保障换届选举工作的有力、有效、有序开展，为使农村两委换届平稳过渡，镇党委聘用了一批村级党建顾问等职位人员，共涉及12个村14人，累计应发放基本补贴341611.62元，我镇已发放基本补贴部分136644.62元，财政调剂204967元用于支付剩余的基本补贴部分。</w:t>
      </w:r>
    </w:p>
    <w:p w14:paraId="3C103293">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绩效指标：李村镇人民政府关于村级聘用人员补贴的申请</w:t>
      </w:r>
    </w:p>
    <w:p w14:paraId="4BC0594C">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区政府：我镇高度重视农村两委换届工作，2021年为确保换届选举工作的有力、有效、有序开展，我镇按照区委组织部要求早谋划，早组织，扎扎实实开展农村“两委”换届选举相关工作.为了使农村两委换届平稳过渡，镇党委聘用了一批村级党建顾问等职位人员，共涉及12个村14人，决定于2021年5月开始发放相关补贴，工资按其他“两委”干部基础补贴执行，2021年5月至2022年12月，累计应发放基本补贴341611.62元，我镇已发放基本补贴部分136644.62元，财政调剂204967元用于支付剩余的基本补贴部分。区财政安排2023年预算20.4967万元，拨付20.4967万元，执行率100%。</w:t>
      </w:r>
    </w:p>
    <w:p w14:paraId="35E68360">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15.</w:t>
      </w:r>
      <w:r>
        <w:rPr>
          <w:rFonts w:hint="eastAsia"/>
        </w:rPr>
        <w:t xml:space="preserve"> </w:t>
      </w:r>
      <w:r>
        <w:rPr>
          <w:rFonts w:hint="eastAsia" w:ascii="仿宋" w:hAnsi="仿宋" w:eastAsia="仿宋" w:cs="仿宋"/>
          <w:sz w:val="32"/>
          <w:szCs w:val="32"/>
        </w:rPr>
        <w:t>李村镇拆除私搭乱建专项行动清理建筑垃圾费用</w:t>
      </w:r>
    </w:p>
    <w:p w14:paraId="682FA892">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绩效目标：开展违章建筑整治，共拆除私搭乱建、违章、违法建筑156430平方米，清理建筑垃圾32000立方。</w:t>
      </w:r>
    </w:p>
    <w:p w14:paraId="6314B031">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我镇为贯彻落实区委、区政府拆除私搭乱建、违章、违法建筑专项行动的工作要求，进一步做好人居环境整治工作，镇村干部100余人大力开展违章建筑整治，共拆除私搭乱建、违章、违法建筑156430平方米，产生建筑垃圾67800立方，我镇千方百计克服财力薄弱困难，目前已清理32000余方，还剩余35000余方积存建筑垃圾未清理到位。</w:t>
      </w:r>
    </w:p>
    <w:p w14:paraId="557694B0">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因我镇属于统收统支乡镇，财力薄弱，且随着和美乡村工作及大气污染防治工作的不断推进，剩余积存建筑垃圾急需进行清理，经测算，此项工作预计花费资金38万元，特恳请区政府予以资金支持。区财政安排2023年预算38万元，拨付38万元，执行率100%。</w:t>
      </w:r>
    </w:p>
    <w:p w14:paraId="39BE82DD">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16. 李村镇</w:t>
      </w:r>
      <w:r>
        <w:rPr>
          <w:rFonts w:ascii="仿宋" w:hAnsi="仿宋" w:eastAsia="仿宋" w:cs="仿宋"/>
          <w:sz w:val="32"/>
          <w:szCs w:val="32"/>
        </w:rPr>
        <w:t>2023</w:t>
      </w:r>
      <w:r>
        <w:rPr>
          <w:rFonts w:hint="eastAsia" w:ascii="仿宋" w:hAnsi="仿宋" w:eastAsia="仿宋" w:cs="仿宋"/>
          <w:sz w:val="32"/>
          <w:szCs w:val="32"/>
        </w:rPr>
        <w:t>年镇级公共文化设施免费开放资金</w:t>
      </w:r>
    </w:p>
    <w:p w14:paraId="7BC0E9CF">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绩效目标：申请公共文化设施免费开放</w:t>
      </w:r>
      <w:r>
        <w:rPr>
          <w:rFonts w:ascii="仿宋" w:hAnsi="仿宋" w:eastAsia="仿宋" w:cs="仿宋"/>
          <w:sz w:val="32"/>
          <w:szCs w:val="32"/>
        </w:rPr>
        <w:t>(</w:t>
      </w:r>
      <w:r>
        <w:rPr>
          <w:rFonts w:hint="eastAsia" w:ascii="仿宋" w:hAnsi="仿宋" w:eastAsia="仿宋" w:cs="仿宋"/>
          <w:sz w:val="32"/>
          <w:szCs w:val="32"/>
        </w:rPr>
        <w:t>乡镇文化站</w:t>
      </w:r>
      <w:r>
        <w:rPr>
          <w:rFonts w:ascii="仿宋" w:hAnsi="仿宋" w:eastAsia="仿宋" w:cs="仿宋"/>
          <w:sz w:val="32"/>
          <w:szCs w:val="32"/>
        </w:rPr>
        <w:t>)</w:t>
      </w:r>
      <w:r>
        <w:rPr>
          <w:rFonts w:hint="eastAsia" w:ascii="仿宋" w:hAnsi="仿宋" w:eastAsia="仿宋" w:cs="仿宋"/>
          <w:sz w:val="32"/>
          <w:szCs w:val="32"/>
        </w:rPr>
        <w:t>资金</w:t>
      </w:r>
      <w:r>
        <w:rPr>
          <w:rFonts w:ascii="仿宋" w:hAnsi="仿宋" w:eastAsia="仿宋" w:cs="仿宋"/>
          <w:sz w:val="32"/>
          <w:szCs w:val="32"/>
        </w:rPr>
        <w:t>1.5</w:t>
      </w:r>
      <w:r>
        <w:rPr>
          <w:rFonts w:hint="eastAsia" w:ascii="仿宋" w:hAnsi="仿宋" w:eastAsia="仿宋" w:cs="仿宋"/>
          <w:sz w:val="32"/>
          <w:szCs w:val="32"/>
        </w:rPr>
        <w:t>万元，用于群众文化活动、宣传、节日活动等，丰富人民群众的业余文化生活。</w:t>
      </w:r>
    </w:p>
    <w:p w14:paraId="511E6F09">
      <w:pPr>
        <w:pStyle w:val="10"/>
        <w:spacing w:line="578" w:lineRule="exact"/>
        <w:rPr>
          <w:rFonts w:ascii="仿宋" w:hAnsi="仿宋" w:eastAsia="仿宋" w:cs="仿宋"/>
          <w:sz w:val="32"/>
          <w:szCs w:val="32"/>
        </w:rPr>
      </w:pPr>
      <w:r>
        <w:rPr>
          <w:rFonts w:hint="eastAsia" w:ascii="仿宋" w:hAnsi="仿宋" w:eastAsia="仿宋" w:cs="仿宋"/>
          <w:sz w:val="32"/>
          <w:szCs w:val="32"/>
        </w:rPr>
        <w:t>绩效指标：李村镇公共文化设施免费开放资金，主要用于群众文化活动，节日文艺汇演，文化宣传费用，共计</w:t>
      </w:r>
      <w:r>
        <w:rPr>
          <w:rFonts w:ascii="仿宋" w:hAnsi="仿宋" w:eastAsia="仿宋" w:cs="仿宋"/>
          <w:sz w:val="32"/>
          <w:szCs w:val="32"/>
        </w:rPr>
        <w:t>1.5</w:t>
      </w:r>
      <w:r>
        <w:rPr>
          <w:rFonts w:hint="eastAsia" w:ascii="仿宋" w:hAnsi="仿宋" w:eastAsia="仿宋" w:cs="仿宋"/>
          <w:sz w:val="32"/>
          <w:szCs w:val="32"/>
        </w:rPr>
        <w:t>万元，申请安排</w:t>
      </w:r>
      <w:r>
        <w:rPr>
          <w:rFonts w:ascii="仿宋" w:hAnsi="仿宋" w:eastAsia="仿宋" w:cs="仿宋"/>
          <w:sz w:val="32"/>
          <w:szCs w:val="32"/>
        </w:rPr>
        <w:t>2023</w:t>
      </w:r>
      <w:r>
        <w:rPr>
          <w:rFonts w:hint="eastAsia" w:ascii="仿宋" w:hAnsi="仿宋" w:eastAsia="仿宋" w:cs="仿宋"/>
          <w:sz w:val="32"/>
          <w:szCs w:val="32"/>
        </w:rPr>
        <w:t>年预算1.5万元，拨付</w:t>
      </w:r>
      <w:r>
        <w:rPr>
          <w:rFonts w:ascii="仿宋" w:hAnsi="仿宋" w:eastAsia="仿宋" w:cs="仿宋"/>
          <w:sz w:val="32"/>
          <w:szCs w:val="32"/>
        </w:rPr>
        <w:t>1.5</w:t>
      </w:r>
      <w:r>
        <w:rPr>
          <w:rFonts w:hint="eastAsia" w:ascii="仿宋" w:hAnsi="仿宋" w:eastAsia="仿宋" w:cs="仿宋"/>
          <w:sz w:val="32"/>
          <w:szCs w:val="32"/>
        </w:rPr>
        <w:t>万元，执行率</w:t>
      </w:r>
      <w:r>
        <w:rPr>
          <w:rFonts w:ascii="仿宋" w:hAnsi="仿宋" w:eastAsia="仿宋" w:cs="仿宋"/>
          <w:sz w:val="32"/>
          <w:szCs w:val="32"/>
        </w:rPr>
        <w:t>100%</w:t>
      </w:r>
      <w:r>
        <w:rPr>
          <w:rFonts w:hint="eastAsia" w:ascii="仿宋" w:hAnsi="仿宋" w:eastAsia="仿宋" w:cs="仿宋"/>
          <w:sz w:val="32"/>
          <w:szCs w:val="32"/>
        </w:rPr>
        <w:t>。</w:t>
      </w:r>
    </w:p>
    <w:p w14:paraId="2A50B710">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17.</w:t>
      </w:r>
      <w:r>
        <w:rPr>
          <w:rFonts w:hint="eastAsia"/>
        </w:rPr>
        <w:t xml:space="preserve"> </w:t>
      </w:r>
      <w:r>
        <w:rPr>
          <w:rFonts w:hint="eastAsia" w:ascii="仿宋" w:hAnsi="仿宋" w:eastAsia="仿宋" w:cs="仿宋"/>
          <w:sz w:val="32"/>
          <w:szCs w:val="32"/>
        </w:rPr>
        <w:t>2022年李村镇际华现代农业温室项目（农村综合改革）</w:t>
      </w:r>
    </w:p>
    <w:p w14:paraId="30E1EE02">
      <w:pPr>
        <w:pStyle w:val="10"/>
        <w:spacing w:line="578" w:lineRule="exact"/>
        <w:rPr>
          <w:rFonts w:ascii="仿宋" w:hAnsi="仿宋" w:eastAsia="仿宋"/>
          <w:sz w:val="32"/>
          <w:szCs w:val="32"/>
        </w:rPr>
      </w:pPr>
      <w:r>
        <w:rPr>
          <w:rFonts w:hint="eastAsia" w:ascii="仿宋" w:hAnsi="仿宋" w:eastAsia="仿宋"/>
          <w:sz w:val="32"/>
          <w:szCs w:val="32"/>
        </w:rPr>
        <w:t>绩效目标：通过项目实施，可撬动李村镇现代农业的转型升级，一是“保障军需，服务社会”的央企特色现代农业产业示范园区，对接军需给养以及国家应急保障。二是可为鹿泉、灵寿、平山、行唐等地蔬菜种植专业户提供优质种苗，形成高端农业产业。三是可为李村镇</w:t>
      </w:r>
      <w:r>
        <w:rPr>
          <w:rFonts w:ascii="仿宋" w:hAnsi="仿宋" w:eastAsia="仿宋"/>
          <w:sz w:val="32"/>
          <w:szCs w:val="32"/>
        </w:rPr>
        <w:t>11</w:t>
      </w:r>
      <w:r>
        <w:rPr>
          <w:rFonts w:hint="eastAsia" w:ascii="仿宋" w:hAnsi="仿宋" w:eastAsia="仿宋"/>
          <w:sz w:val="32"/>
          <w:szCs w:val="32"/>
        </w:rPr>
        <w:t>个村增加村集体经济收入。</w:t>
      </w:r>
    </w:p>
    <w:p w14:paraId="7F26CFFA">
      <w:pPr>
        <w:pStyle w:val="10"/>
        <w:spacing w:line="578" w:lineRule="exact"/>
        <w:rPr>
          <w:rFonts w:ascii="仿宋" w:hAnsi="仿宋" w:eastAsia="仿宋"/>
          <w:sz w:val="32"/>
          <w:szCs w:val="32"/>
        </w:rPr>
      </w:pPr>
      <w:r>
        <w:rPr>
          <w:rFonts w:hint="eastAsia" w:ascii="仿宋" w:hAnsi="仿宋" w:eastAsia="仿宋"/>
          <w:sz w:val="32"/>
          <w:szCs w:val="32"/>
        </w:rPr>
        <w:t>绩效指标：项目建设主要为优质果蔬生产项目约</w:t>
      </w:r>
      <w:r>
        <w:rPr>
          <w:rFonts w:ascii="仿宋" w:hAnsi="仿宋" w:eastAsia="仿宋"/>
          <w:sz w:val="32"/>
          <w:szCs w:val="32"/>
        </w:rPr>
        <w:t>2</w:t>
      </w:r>
      <w:r>
        <w:rPr>
          <w:rFonts w:hint="eastAsia" w:ascii="仿宋" w:hAnsi="仿宋" w:eastAsia="仿宋"/>
          <w:sz w:val="32"/>
          <w:szCs w:val="32"/>
        </w:rPr>
        <w:t>万平米，</w:t>
      </w:r>
      <w:r>
        <w:rPr>
          <w:rFonts w:ascii="仿宋" w:hAnsi="仿宋" w:eastAsia="仿宋"/>
          <w:sz w:val="32"/>
          <w:szCs w:val="32"/>
        </w:rPr>
        <w:t>20</w:t>
      </w:r>
      <w:r>
        <w:rPr>
          <w:rFonts w:hint="eastAsia" w:ascii="仿宋" w:hAnsi="仿宋" w:eastAsia="仿宋"/>
          <w:sz w:val="32"/>
          <w:szCs w:val="32"/>
        </w:rPr>
        <w:t>栋日光温室。示范园项目地处滹沱河畔，东距滹沱河</w:t>
      </w:r>
      <w:r>
        <w:rPr>
          <w:rFonts w:ascii="仿宋" w:hAnsi="仿宋" w:eastAsia="仿宋"/>
          <w:sz w:val="32"/>
          <w:szCs w:val="32"/>
        </w:rPr>
        <w:t xml:space="preserve"> 1 </w:t>
      </w:r>
      <w:r>
        <w:rPr>
          <w:rFonts w:hint="eastAsia" w:ascii="仿宋" w:hAnsi="仿宋" w:eastAsia="仿宋"/>
          <w:sz w:val="32"/>
          <w:szCs w:val="32"/>
        </w:rPr>
        <w:t>公里，坐落于李村镇，涉及李村镇</w:t>
      </w:r>
      <w:r>
        <w:rPr>
          <w:rFonts w:ascii="仿宋" w:hAnsi="仿宋" w:eastAsia="仿宋"/>
          <w:sz w:val="32"/>
          <w:szCs w:val="32"/>
        </w:rPr>
        <w:t xml:space="preserve"> 11 </w:t>
      </w:r>
      <w:r>
        <w:rPr>
          <w:rFonts w:hint="eastAsia" w:ascii="仿宋" w:hAnsi="仿宋" w:eastAsia="仿宋"/>
          <w:sz w:val="32"/>
          <w:szCs w:val="32"/>
        </w:rPr>
        <w:t>个村，是石家庄“拥河发展战略”中的重要节点。总投资为</w:t>
      </w:r>
      <w:r>
        <w:rPr>
          <w:rFonts w:ascii="仿宋" w:hAnsi="仿宋" w:eastAsia="仿宋"/>
          <w:sz w:val="32"/>
          <w:szCs w:val="32"/>
        </w:rPr>
        <w:t>684</w:t>
      </w:r>
      <w:r>
        <w:rPr>
          <w:rFonts w:hint="eastAsia" w:ascii="仿宋" w:hAnsi="仿宋" w:eastAsia="仿宋"/>
          <w:sz w:val="32"/>
          <w:szCs w:val="32"/>
        </w:rPr>
        <w:t>万元，其中：财政扶持村级集体经济发展资金</w:t>
      </w:r>
      <w:r>
        <w:rPr>
          <w:rFonts w:ascii="仿宋" w:hAnsi="仿宋" w:eastAsia="仿宋"/>
          <w:sz w:val="32"/>
          <w:szCs w:val="32"/>
        </w:rPr>
        <w:t xml:space="preserve"> 550 </w:t>
      </w:r>
      <w:r>
        <w:rPr>
          <w:rFonts w:hint="eastAsia" w:ascii="仿宋" w:hAnsi="仿宋" w:eastAsia="仿宋"/>
          <w:sz w:val="32"/>
          <w:szCs w:val="32"/>
        </w:rPr>
        <w:t>万元，企业自筹</w:t>
      </w:r>
      <w:r>
        <w:rPr>
          <w:rFonts w:ascii="仿宋" w:hAnsi="仿宋" w:eastAsia="仿宋"/>
          <w:sz w:val="32"/>
          <w:szCs w:val="32"/>
        </w:rPr>
        <w:t>134</w:t>
      </w:r>
      <w:r>
        <w:rPr>
          <w:rFonts w:hint="eastAsia" w:ascii="仿宋" w:hAnsi="仿宋" w:eastAsia="仿宋"/>
          <w:sz w:val="32"/>
          <w:szCs w:val="32"/>
        </w:rPr>
        <w:t>万元</w:t>
      </w:r>
      <w:r>
        <w:rPr>
          <w:rFonts w:ascii="仿宋" w:hAnsi="仿宋" w:eastAsia="仿宋"/>
          <w:sz w:val="32"/>
          <w:szCs w:val="32"/>
        </w:rPr>
        <w:t xml:space="preserve">, </w:t>
      </w:r>
      <w:r>
        <w:rPr>
          <w:rFonts w:hint="eastAsia" w:ascii="仿宋" w:hAnsi="仿宋" w:eastAsia="仿宋"/>
          <w:sz w:val="32"/>
          <w:szCs w:val="32"/>
        </w:rPr>
        <w:t>每个大棚每平方米的预算成本控制在</w:t>
      </w:r>
      <w:r>
        <w:rPr>
          <w:rFonts w:ascii="仿宋" w:hAnsi="仿宋" w:eastAsia="仿宋"/>
          <w:sz w:val="32"/>
          <w:szCs w:val="32"/>
        </w:rPr>
        <w:t>342</w:t>
      </w:r>
      <w:r>
        <w:rPr>
          <w:rFonts w:hint="eastAsia" w:ascii="仿宋" w:hAnsi="仿宋" w:eastAsia="仿宋"/>
          <w:sz w:val="32"/>
          <w:szCs w:val="32"/>
        </w:rPr>
        <w:t>元左右。年初预算安排</w:t>
      </w:r>
      <w:r>
        <w:rPr>
          <w:rFonts w:ascii="仿宋" w:hAnsi="仿宋" w:eastAsia="仿宋"/>
          <w:sz w:val="32"/>
          <w:szCs w:val="32"/>
        </w:rPr>
        <w:t>220</w:t>
      </w:r>
      <w:r>
        <w:rPr>
          <w:rFonts w:hint="eastAsia" w:ascii="仿宋" w:hAnsi="仿宋" w:eastAsia="仿宋"/>
          <w:sz w:val="32"/>
          <w:szCs w:val="32"/>
        </w:rPr>
        <w:t>万元，年度执行预算资金</w:t>
      </w:r>
      <w:r>
        <w:rPr>
          <w:rFonts w:ascii="仿宋" w:hAnsi="仿宋" w:eastAsia="仿宋"/>
          <w:sz w:val="32"/>
          <w:szCs w:val="32"/>
        </w:rPr>
        <w:t>220</w:t>
      </w:r>
      <w:r>
        <w:rPr>
          <w:rFonts w:hint="eastAsia" w:ascii="仿宋" w:hAnsi="仿宋" w:eastAsia="仿宋"/>
          <w:sz w:val="32"/>
          <w:szCs w:val="32"/>
        </w:rPr>
        <w:t>万元，预算执行率为</w:t>
      </w:r>
      <w:r>
        <w:rPr>
          <w:rFonts w:ascii="仿宋" w:hAnsi="仿宋" w:eastAsia="仿宋"/>
          <w:sz w:val="32"/>
          <w:szCs w:val="32"/>
        </w:rPr>
        <w:t>100%</w:t>
      </w:r>
      <w:r>
        <w:rPr>
          <w:rFonts w:hint="eastAsia" w:ascii="仿宋" w:hAnsi="仿宋" w:eastAsia="仿宋"/>
          <w:sz w:val="32"/>
          <w:szCs w:val="32"/>
        </w:rPr>
        <w:t>，合理安排预算支出。</w:t>
      </w:r>
    </w:p>
    <w:p w14:paraId="4EF534D0">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18. 李村镇</w:t>
      </w:r>
      <w:r>
        <w:rPr>
          <w:rFonts w:ascii="仿宋" w:hAnsi="仿宋" w:eastAsia="仿宋" w:cs="仿宋"/>
          <w:sz w:val="32"/>
          <w:szCs w:val="32"/>
        </w:rPr>
        <w:t>2023</w:t>
      </w:r>
      <w:r>
        <w:rPr>
          <w:rFonts w:hint="eastAsia" w:ascii="仿宋" w:hAnsi="仿宋" w:eastAsia="仿宋" w:cs="仿宋"/>
          <w:sz w:val="32"/>
          <w:szCs w:val="32"/>
        </w:rPr>
        <w:t>年镇级专项公用经费</w:t>
      </w:r>
    </w:p>
    <w:p w14:paraId="6F727342">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绩效目标：用于机关公用经费开支，保障机关日常工作正常运转。</w:t>
      </w:r>
    </w:p>
    <w:p w14:paraId="1DCCD264">
      <w:pPr>
        <w:pStyle w:val="10"/>
        <w:spacing w:line="578" w:lineRule="exact"/>
        <w:rPr>
          <w:rFonts w:ascii="仿宋" w:hAnsi="仿宋" w:eastAsia="仿宋" w:cs="仿宋"/>
          <w:sz w:val="32"/>
          <w:szCs w:val="32"/>
        </w:rPr>
      </w:pPr>
      <w:r>
        <w:rPr>
          <w:rFonts w:hint="eastAsia" w:ascii="仿宋" w:hAnsi="仿宋" w:eastAsia="仿宋" w:cs="仿宋"/>
          <w:sz w:val="32"/>
          <w:szCs w:val="32"/>
        </w:rPr>
        <w:t>绩效指标：按照鹿政【</w:t>
      </w:r>
      <w:r>
        <w:rPr>
          <w:rFonts w:ascii="仿宋" w:hAnsi="仿宋" w:eastAsia="仿宋" w:cs="仿宋"/>
          <w:sz w:val="32"/>
          <w:szCs w:val="32"/>
        </w:rPr>
        <w:t>2017</w:t>
      </w:r>
      <w:r>
        <w:rPr>
          <w:rFonts w:hint="eastAsia" w:ascii="仿宋" w:hAnsi="仿宋" w:eastAsia="仿宋" w:cs="仿宋"/>
          <w:sz w:val="32"/>
          <w:szCs w:val="32"/>
        </w:rPr>
        <w:t>】</w:t>
      </w:r>
      <w:r>
        <w:rPr>
          <w:rFonts w:ascii="仿宋" w:hAnsi="仿宋" w:eastAsia="仿宋" w:cs="仿宋"/>
          <w:sz w:val="32"/>
          <w:szCs w:val="32"/>
        </w:rPr>
        <w:t>29</w:t>
      </w:r>
      <w:r>
        <w:rPr>
          <w:rFonts w:hint="eastAsia" w:ascii="仿宋" w:hAnsi="仿宋" w:eastAsia="仿宋" w:cs="仿宋"/>
          <w:sz w:val="32"/>
          <w:szCs w:val="32"/>
        </w:rPr>
        <w:t>号文件精神，李村镇核定为统收统支乡镇，</w:t>
      </w:r>
      <w:r>
        <w:rPr>
          <w:rFonts w:ascii="仿宋" w:hAnsi="仿宋" w:eastAsia="仿宋" w:cs="仿宋"/>
          <w:sz w:val="32"/>
          <w:szCs w:val="32"/>
        </w:rPr>
        <w:t>2023</w:t>
      </w:r>
      <w:r>
        <w:rPr>
          <w:rFonts w:hint="eastAsia" w:ascii="仿宋" w:hAnsi="仿宋" w:eastAsia="仿宋" w:cs="仿宋"/>
          <w:sz w:val="32"/>
          <w:szCs w:val="32"/>
        </w:rPr>
        <w:t>年区财政安排镇级经费</w:t>
      </w:r>
      <w:r>
        <w:rPr>
          <w:rFonts w:ascii="仿宋" w:hAnsi="仿宋" w:eastAsia="仿宋" w:cs="仿宋"/>
          <w:sz w:val="32"/>
          <w:szCs w:val="32"/>
        </w:rPr>
        <w:t>475</w:t>
      </w:r>
      <w:r>
        <w:rPr>
          <w:rFonts w:hint="eastAsia" w:ascii="仿宋" w:hAnsi="仿宋" w:eastAsia="仿宋" w:cs="仿宋"/>
          <w:sz w:val="32"/>
          <w:szCs w:val="32"/>
        </w:rPr>
        <w:t>万元，减去临时教师工资</w:t>
      </w:r>
      <w:r>
        <w:rPr>
          <w:rFonts w:ascii="仿宋" w:hAnsi="仿宋" w:eastAsia="仿宋" w:cs="仿宋"/>
          <w:sz w:val="32"/>
          <w:szCs w:val="32"/>
        </w:rPr>
        <w:t>227.04</w:t>
      </w:r>
      <w:r>
        <w:rPr>
          <w:rFonts w:hint="eastAsia" w:ascii="仿宋" w:hAnsi="仿宋" w:eastAsia="仿宋" w:cs="仿宋"/>
          <w:sz w:val="32"/>
          <w:szCs w:val="32"/>
        </w:rPr>
        <w:t>万元，减去</w:t>
      </w:r>
      <w:r>
        <w:rPr>
          <w:rFonts w:ascii="仿宋" w:hAnsi="仿宋" w:eastAsia="仿宋" w:cs="仿宋"/>
          <w:sz w:val="32"/>
          <w:szCs w:val="32"/>
        </w:rPr>
        <w:t>1.5</w:t>
      </w:r>
      <w:r>
        <w:rPr>
          <w:rFonts w:hint="eastAsia" w:ascii="仿宋" w:hAnsi="仿宋" w:eastAsia="仿宋" w:cs="仿宋"/>
          <w:sz w:val="32"/>
          <w:szCs w:val="32"/>
        </w:rPr>
        <w:t>万元文化支出，共计246.46万元，申请安排2023年专项公用经费。其他收入拨款40.29万元，执行40.29万元，执行率</w:t>
      </w:r>
      <w:r>
        <w:rPr>
          <w:rFonts w:ascii="仿宋" w:hAnsi="仿宋" w:eastAsia="仿宋" w:cs="仿宋"/>
          <w:sz w:val="32"/>
          <w:szCs w:val="32"/>
        </w:rPr>
        <w:t>100%</w:t>
      </w:r>
      <w:r>
        <w:rPr>
          <w:rFonts w:hint="eastAsia" w:ascii="仿宋" w:hAnsi="仿宋" w:eastAsia="仿宋" w:cs="仿宋"/>
          <w:sz w:val="32"/>
          <w:szCs w:val="32"/>
        </w:rPr>
        <w:t>。</w:t>
      </w:r>
    </w:p>
    <w:p w14:paraId="64B9828F">
      <w:pPr>
        <w:pStyle w:val="10"/>
        <w:spacing w:line="578" w:lineRule="exact"/>
        <w:rPr>
          <w:rFonts w:ascii="仿宋" w:hAnsi="仿宋" w:eastAsia="仿宋"/>
          <w:sz w:val="32"/>
          <w:szCs w:val="32"/>
        </w:rPr>
      </w:pPr>
      <w:r>
        <w:rPr>
          <w:rFonts w:hint="eastAsia" w:ascii="仿宋" w:hAnsi="仿宋" w:eastAsia="仿宋" w:cs="仿宋"/>
          <w:sz w:val="32"/>
          <w:szCs w:val="32"/>
        </w:rPr>
        <w:t>19.</w:t>
      </w:r>
      <w:r>
        <w:rPr>
          <w:rFonts w:ascii="仿宋" w:hAnsi="仿宋" w:eastAsia="仿宋"/>
          <w:sz w:val="32"/>
          <w:szCs w:val="32"/>
        </w:rPr>
        <w:t xml:space="preserve"> 2022</w:t>
      </w:r>
      <w:r>
        <w:rPr>
          <w:rFonts w:hint="eastAsia" w:ascii="仿宋" w:hAnsi="仿宋" w:eastAsia="仿宋"/>
          <w:sz w:val="32"/>
          <w:szCs w:val="32"/>
        </w:rPr>
        <w:t>年李村镇一事一议项目（农村综合改革）</w:t>
      </w:r>
    </w:p>
    <w:p w14:paraId="602DC224">
      <w:pPr>
        <w:spacing w:line="540" w:lineRule="exact"/>
        <w:ind w:firstLine="640" w:firstLineChars="200"/>
        <w:rPr>
          <w:rFonts w:ascii="仿宋" w:hAnsi="仿宋" w:eastAsia="仿宋"/>
          <w:sz w:val="32"/>
          <w:szCs w:val="32"/>
        </w:rPr>
      </w:pPr>
      <w:r>
        <w:rPr>
          <w:rFonts w:hint="eastAsia" w:ascii="仿宋" w:hAnsi="仿宋" w:eastAsia="仿宋"/>
          <w:sz w:val="32"/>
          <w:szCs w:val="32"/>
        </w:rPr>
        <w:t>绩效目标：为扎实推进乡村振兴战略实施，更好发挥农村公益事业建设财政奖补机制优势作用，进一步完善李村镇辖内内行政村基础公共设施，改善农民生活条件，使得公路干净整洁，污水雨水排放合规有序，乡村街道晚上灯光通亮，文化娱乐设施安全功能齐全，真正的让村民享受闲暇时光，感受美好生活，实现乡村振兴。</w:t>
      </w:r>
    </w:p>
    <w:p w14:paraId="27D5BEEC">
      <w:pPr>
        <w:pStyle w:val="10"/>
        <w:spacing w:line="578" w:lineRule="exact"/>
        <w:rPr>
          <w:rFonts w:ascii="仿宋" w:hAnsi="仿宋" w:eastAsia="仿宋"/>
          <w:sz w:val="32"/>
          <w:szCs w:val="32"/>
        </w:rPr>
      </w:pPr>
      <w:r>
        <w:rPr>
          <w:rFonts w:hint="eastAsia" w:ascii="仿宋" w:hAnsi="仿宋" w:eastAsia="仿宋"/>
          <w:sz w:val="32"/>
          <w:szCs w:val="32"/>
        </w:rPr>
        <w:t>绩效指标：李村镇</w:t>
      </w:r>
      <w:r>
        <w:rPr>
          <w:rFonts w:ascii="仿宋" w:hAnsi="仿宋" w:eastAsia="仿宋"/>
          <w:sz w:val="32"/>
          <w:szCs w:val="32"/>
        </w:rPr>
        <w:t>2022</w:t>
      </w:r>
      <w:r>
        <w:rPr>
          <w:rFonts w:hint="eastAsia" w:ascii="仿宋" w:hAnsi="仿宋" w:eastAsia="仿宋"/>
          <w:sz w:val="32"/>
          <w:szCs w:val="32"/>
        </w:rPr>
        <w:t>年一事一议项目涉及</w:t>
      </w:r>
      <w:r>
        <w:rPr>
          <w:rFonts w:ascii="仿宋" w:hAnsi="仿宋" w:eastAsia="仿宋"/>
          <w:sz w:val="32"/>
          <w:szCs w:val="32"/>
        </w:rPr>
        <w:t>10</w:t>
      </w:r>
      <w:r>
        <w:rPr>
          <w:rFonts w:hint="eastAsia" w:ascii="仿宋" w:hAnsi="仿宋" w:eastAsia="仿宋"/>
          <w:sz w:val="32"/>
          <w:szCs w:val="32"/>
        </w:rPr>
        <w:t>个村，主要是硬化道路项目</w:t>
      </w:r>
      <w:r>
        <w:rPr>
          <w:rFonts w:ascii="仿宋" w:hAnsi="仿宋" w:eastAsia="仿宋"/>
          <w:sz w:val="32"/>
          <w:szCs w:val="32"/>
        </w:rPr>
        <w:t>2</w:t>
      </w:r>
      <w:r>
        <w:rPr>
          <w:rFonts w:hint="eastAsia" w:ascii="仿宋" w:hAnsi="仿宋" w:eastAsia="仿宋"/>
          <w:sz w:val="32"/>
          <w:szCs w:val="32"/>
        </w:rPr>
        <w:t>个、铺设便道砖项目</w:t>
      </w:r>
      <w:r>
        <w:rPr>
          <w:rFonts w:ascii="仿宋" w:hAnsi="仿宋" w:eastAsia="仿宋"/>
          <w:sz w:val="32"/>
          <w:szCs w:val="32"/>
        </w:rPr>
        <w:t>4</w:t>
      </w:r>
      <w:r>
        <w:rPr>
          <w:rFonts w:hint="eastAsia" w:ascii="仿宋" w:hAnsi="仿宋" w:eastAsia="仿宋"/>
          <w:sz w:val="32"/>
          <w:szCs w:val="32"/>
        </w:rPr>
        <w:t>个、安装村内路灯项目</w:t>
      </w:r>
      <w:r>
        <w:rPr>
          <w:rFonts w:ascii="仿宋" w:hAnsi="仿宋" w:eastAsia="仿宋"/>
          <w:sz w:val="32"/>
          <w:szCs w:val="32"/>
        </w:rPr>
        <w:t>2</w:t>
      </w:r>
      <w:r>
        <w:rPr>
          <w:rFonts w:hint="eastAsia" w:ascii="仿宋" w:hAnsi="仿宋" w:eastAsia="仿宋"/>
          <w:sz w:val="32"/>
          <w:szCs w:val="32"/>
        </w:rPr>
        <w:t>个、修建明渠工程</w:t>
      </w:r>
      <w:r>
        <w:rPr>
          <w:rFonts w:ascii="仿宋" w:hAnsi="仿宋" w:eastAsia="仿宋"/>
          <w:sz w:val="32"/>
          <w:szCs w:val="32"/>
        </w:rPr>
        <w:t>3</w:t>
      </w:r>
      <w:r>
        <w:rPr>
          <w:rFonts w:hint="eastAsia" w:ascii="仿宋" w:hAnsi="仿宋" w:eastAsia="仿宋"/>
          <w:sz w:val="32"/>
          <w:szCs w:val="32"/>
        </w:rPr>
        <w:t>个、文化广场项目</w:t>
      </w:r>
      <w:r>
        <w:rPr>
          <w:rFonts w:ascii="仿宋" w:hAnsi="仿宋" w:eastAsia="仿宋"/>
          <w:sz w:val="32"/>
          <w:szCs w:val="32"/>
        </w:rPr>
        <w:t>1</w:t>
      </w:r>
      <w:r>
        <w:rPr>
          <w:rFonts w:hint="eastAsia" w:ascii="仿宋" w:hAnsi="仿宋" w:eastAsia="仿宋"/>
          <w:sz w:val="32"/>
          <w:szCs w:val="32"/>
        </w:rPr>
        <w:t>个、其他公共设施项目</w:t>
      </w:r>
      <w:r>
        <w:rPr>
          <w:rFonts w:ascii="仿宋" w:hAnsi="仿宋" w:eastAsia="仿宋"/>
          <w:sz w:val="32"/>
          <w:szCs w:val="32"/>
        </w:rPr>
        <w:t>1</w:t>
      </w:r>
      <w:r>
        <w:rPr>
          <w:rFonts w:hint="eastAsia" w:ascii="仿宋" w:hAnsi="仿宋" w:eastAsia="仿宋"/>
          <w:sz w:val="32"/>
          <w:szCs w:val="32"/>
        </w:rPr>
        <w:t>个。项目投资总额</w:t>
      </w:r>
      <w:r>
        <w:rPr>
          <w:rFonts w:ascii="仿宋" w:hAnsi="仿宋" w:eastAsia="仿宋"/>
          <w:sz w:val="32"/>
          <w:szCs w:val="32"/>
        </w:rPr>
        <w:t>180.39</w:t>
      </w:r>
      <w:r>
        <w:rPr>
          <w:rFonts w:hint="eastAsia" w:ascii="仿宋" w:hAnsi="仿宋" w:eastAsia="仿宋"/>
          <w:sz w:val="32"/>
          <w:szCs w:val="32"/>
        </w:rPr>
        <w:t>万元，其中：村民筹资</w:t>
      </w:r>
      <w:r>
        <w:rPr>
          <w:rFonts w:ascii="仿宋" w:hAnsi="仿宋" w:eastAsia="仿宋"/>
          <w:sz w:val="32"/>
          <w:szCs w:val="32"/>
        </w:rPr>
        <w:t>13.59</w:t>
      </w:r>
      <w:r>
        <w:rPr>
          <w:rFonts w:hint="eastAsia" w:ascii="仿宋" w:hAnsi="仿宋" w:eastAsia="仿宋"/>
          <w:sz w:val="32"/>
          <w:szCs w:val="32"/>
        </w:rPr>
        <w:t>万元、村级集体积累</w:t>
      </w:r>
      <w:r>
        <w:rPr>
          <w:rFonts w:ascii="仿宋" w:hAnsi="仿宋" w:eastAsia="仿宋"/>
          <w:sz w:val="32"/>
          <w:szCs w:val="32"/>
        </w:rPr>
        <w:t>3.2</w:t>
      </w:r>
      <w:r>
        <w:rPr>
          <w:rFonts w:hint="eastAsia" w:ascii="仿宋" w:hAnsi="仿宋" w:eastAsia="仿宋"/>
          <w:sz w:val="32"/>
          <w:szCs w:val="32"/>
        </w:rPr>
        <w:t>万元、上级奖补</w:t>
      </w:r>
      <w:r>
        <w:rPr>
          <w:rFonts w:ascii="仿宋" w:hAnsi="仿宋" w:eastAsia="仿宋"/>
          <w:sz w:val="32"/>
          <w:szCs w:val="32"/>
        </w:rPr>
        <w:t>163.6</w:t>
      </w:r>
      <w:r>
        <w:rPr>
          <w:rFonts w:hint="eastAsia" w:ascii="仿宋" w:hAnsi="仿宋" w:eastAsia="仿宋"/>
          <w:sz w:val="32"/>
          <w:szCs w:val="32"/>
        </w:rPr>
        <w:t>万元。项目完工后，新增硬化路面</w:t>
      </w:r>
      <w:r>
        <w:rPr>
          <w:rFonts w:ascii="仿宋" w:hAnsi="仿宋" w:eastAsia="仿宋"/>
          <w:sz w:val="32"/>
          <w:szCs w:val="32"/>
        </w:rPr>
        <w:t>815</w:t>
      </w:r>
      <w:r>
        <w:rPr>
          <w:rFonts w:hint="eastAsia" w:ascii="仿宋" w:hAnsi="仿宋" w:eastAsia="仿宋"/>
          <w:sz w:val="32"/>
          <w:szCs w:val="32"/>
        </w:rPr>
        <w:t>平方米，安装太阳能路灯</w:t>
      </w:r>
      <w:r>
        <w:rPr>
          <w:rFonts w:ascii="仿宋" w:hAnsi="仿宋" w:eastAsia="仿宋"/>
          <w:sz w:val="32"/>
          <w:szCs w:val="32"/>
        </w:rPr>
        <w:t>190</w:t>
      </w:r>
      <w:r>
        <w:rPr>
          <w:rFonts w:hint="eastAsia" w:ascii="仿宋" w:hAnsi="仿宋" w:eastAsia="仿宋"/>
          <w:sz w:val="32"/>
          <w:szCs w:val="32"/>
        </w:rPr>
        <w:t>盏，铺设便道砖</w:t>
      </w:r>
      <w:r>
        <w:rPr>
          <w:rFonts w:ascii="仿宋" w:hAnsi="仿宋" w:eastAsia="仿宋"/>
          <w:sz w:val="32"/>
          <w:szCs w:val="32"/>
        </w:rPr>
        <w:t>4861</w:t>
      </w:r>
      <w:r>
        <w:rPr>
          <w:rFonts w:hint="eastAsia" w:ascii="仿宋" w:hAnsi="仿宋" w:eastAsia="仿宋"/>
          <w:sz w:val="32"/>
          <w:szCs w:val="32"/>
        </w:rPr>
        <w:t>平方米，新增排水渠</w:t>
      </w:r>
      <w:r>
        <w:rPr>
          <w:rFonts w:ascii="仿宋" w:hAnsi="仿宋" w:eastAsia="仿宋"/>
          <w:sz w:val="32"/>
          <w:szCs w:val="32"/>
        </w:rPr>
        <w:t>1035</w:t>
      </w:r>
      <w:r>
        <w:rPr>
          <w:rFonts w:hint="eastAsia" w:ascii="仿宋" w:hAnsi="仿宋" w:eastAsia="仿宋"/>
          <w:sz w:val="32"/>
          <w:szCs w:val="32"/>
        </w:rPr>
        <w:t>米，新增文化广场</w:t>
      </w:r>
      <w:r>
        <w:rPr>
          <w:rFonts w:ascii="仿宋" w:hAnsi="仿宋" w:eastAsia="仿宋"/>
          <w:sz w:val="32"/>
          <w:szCs w:val="32"/>
        </w:rPr>
        <w:t>1967</w:t>
      </w:r>
      <w:r>
        <w:rPr>
          <w:rFonts w:hint="eastAsia" w:ascii="仿宋" w:hAnsi="仿宋" w:eastAsia="仿宋"/>
          <w:sz w:val="32"/>
          <w:szCs w:val="32"/>
        </w:rPr>
        <w:t>平方米，新增其他公共设施</w:t>
      </w:r>
      <w:r>
        <w:rPr>
          <w:rFonts w:ascii="仿宋" w:hAnsi="仿宋" w:eastAsia="仿宋"/>
          <w:sz w:val="32"/>
          <w:szCs w:val="32"/>
        </w:rPr>
        <w:t>225</w:t>
      </w:r>
      <w:r>
        <w:rPr>
          <w:rFonts w:hint="eastAsia" w:ascii="仿宋" w:hAnsi="仿宋" w:eastAsia="仿宋"/>
          <w:sz w:val="32"/>
          <w:szCs w:val="32"/>
        </w:rPr>
        <w:t>平方米。年初预算安排</w:t>
      </w:r>
      <w:r>
        <w:rPr>
          <w:rFonts w:ascii="仿宋" w:hAnsi="仿宋" w:eastAsia="仿宋"/>
          <w:sz w:val="32"/>
          <w:szCs w:val="32"/>
        </w:rPr>
        <w:t>163.6</w:t>
      </w:r>
      <w:r>
        <w:rPr>
          <w:rFonts w:hint="eastAsia" w:ascii="仿宋" w:hAnsi="仿宋" w:eastAsia="仿宋"/>
          <w:sz w:val="32"/>
          <w:szCs w:val="32"/>
        </w:rPr>
        <w:t>万元，年度执行预算资金</w:t>
      </w:r>
      <w:r>
        <w:rPr>
          <w:rFonts w:ascii="仿宋" w:hAnsi="仿宋" w:eastAsia="仿宋"/>
          <w:sz w:val="32"/>
          <w:szCs w:val="32"/>
        </w:rPr>
        <w:t>163.6</w:t>
      </w:r>
      <w:r>
        <w:rPr>
          <w:rFonts w:hint="eastAsia" w:ascii="仿宋" w:hAnsi="仿宋" w:eastAsia="仿宋"/>
          <w:sz w:val="32"/>
          <w:szCs w:val="32"/>
        </w:rPr>
        <w:t>万元，预算执行率为</w:t>
      </w:r>
      <w:r>
        <w:rPr>
          <w:rFonts w:ascii="仿宋" w:hAnsi="仿宋" w:eastAsia="仿宋"/>
          <w:sz w:val="32"/>
          <w:szCs w:val="32"/>
        </w:rPr>
        <w:t>100%</w:t>
      </w:r>
      <w:r>
        <w:rPr>
          <w:rFonts w:hint="eastAsia" w:ascii="仿宋" w:hAnsi="仿宋" w:eastAsia="仿宋"/>
          <w:sz w:val="32"/>
          <w:szCs w:val="32"/>
        </w:rPr>
        <w:t>。</w:t>
      </w:r>
    </w:p>
    <w:p w14:paraId="59E3AD99">
      <w:pPr>
        <w:pStyle w:val="10"/>
        <w:spacing w:line="578" w:lineRule="exact"/>
        <w:ind w:firstLine="640" w:firstLineChars="200"/>
        <w:rPr>
          <w:rFonts w:hint="eastAsia" w:ascii="仿宋" w:hAnsi="仿宋" w:eastAsia="仿宋" w:cs="仿宋"/>
          <w:sz w:val="32"/>
          <w:szCs w:val="32"/>
        </w:rPr>
      </w:pPr>
    </w:p>
    <w:p w14:paraId="5A1187AF">
      <w:pPr>
        <w:spacing w:line="578" w:lineRule="exact"/>
        <w:ind w:firstLine="640" w:firstLineChars="200"/>
        <w:rPr>
          <w:rFonts w:ascii="黑体" w:hAnsi="黑体" w:eastAsia="黑体" w:cs="方正黑体简体"/>
          <w:sz w:val="32"/>
          <w:szCs w:val="32"/>
        </w:rPr>
      </w:pPr>
      <w:r>
        <w:rPr>
          <w:rFonts w:hint="eastAsia" w:ascii="黑体" w:hAnsi="黑体" w:eastAsia="黑体" w:cs="方正黑体简体"/>
          <w:sz w:val="32"/>
          <w:szCs w:val="32"/>
        </w:rPr>
        <w:t>四、评价结论和评价等级</w:t>
      </w:r>
    </w:p>
    <w:p w14:paraId="0352497B">
      <w:pPr>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根据部门职责定位和各项工作履职情况进行综合评价，给出总得分，满分</w:t>
      </w:r>
      <w:r>
        <w:rPr>
          <w:rFonts w:ascii="仿宋" w:hAnsi="仿宋" w:eastAsia="仿宋" w:cs="仿宋"/>
          <w:sz w:val="32"/>
          <w:szCs w:val="32"/>
        </w:rPr>
        <w:t>100</w:t>
      </w:r>
      <w:r>
        <w:rPr>
          <w:rFonts w:hint="eastAsia" w:ascii="仿宋" w:hAnsi="仿宋" w:eastAsia="仿宋" w:cs="仿宋"/>
          <w:sz w:val="32"/>
          <w:szCs w:val="32"/>
        </w:rPr>
        <w:t>分，得出综合绩效评价等级。部门整体支出综合绩效评价分为</w:t>
      </w:r>
      <w:r>
        <w:rPr>
          <w:rFonts w:ascii="仿宋" w:hAnsi="仿宋" w:eastAsia="仿宋" w:cs="仿宋"/>
          <w:sz w:val="32"/>
          <w:szCs w:val="32"/>
        </w:rPr>
        <w:t>4</w:t>
      </w:r>
      <w:r>
        <w:rPr>
          <w:rFonts w:hint="eastAsia" w:ascii="仿宋" w:hAnsi="仿宋" w:eastAsia="仿宋" w:cs="仿宋"/>
          <w:sz w:val="32"/>
          <w:szCs w:val="32"/>
        </w:rPr>
        <w:t>个等级：得分≥</w:t>
      </w:r>
      <w:r>
        <w:rPr>
          <w:rFonts w:ascii="仿宋" w:hAnsi="仿宋" w:eastAsia="仿宋" w:cs="仿宋"/>
          <w:sz w:val="32"/>
          <w:szCs w:val="32"/>
        </w:rPr>
        <w:t>90</w:t>
      </w:r>
      <w:r>
        <w:rPr>
          <w:rFonts w:hint="eastAsia" w:ascii="仿宋" w:hAnsi="仿宋" w:eastAsia="仿宋" w:cs="仿宋"/>
          <w:sz w:val="32"/>
          <w:szCs w:val="32"/>
        </w:rPr>
        <w:t>分为优秀；</w:t>
      </w:r>
      <w:r>
        <w:rPr>
          <w:rFonts w:ascii="仿宋" w:hAnsi="仿宋" w:eastAsia="仿宋" w:cs="仿宋"/>
          <w:sz w:val="32"/>
          <w:szCs w:val="32"/>
        </w:rPr>
        <w:t>75</w:t>
      </w:r>
      <w:r>
        <w:rPr>
          <w:rFonts w:hint="eastAsia" w:ascii="仿宋" w:hAnsi="仿宋" w:eastAsia="仿宋" w:cs="仿宋"/>
          <w:sz w:val="32"/>
          <w:szCs w:val="32"/>
        </w:rPr>
        <w:t>≤得分＜</w:t>
      </w:r>
      <w:r>
        <w:rPr>
          <w:rFonts w:ascii="仿宋" w:hAnsi="仿宋" w:eastAsia="仿宋" w:cs="仿宋"/>
          <w:sz w:val="32"/>
          <w:szCs w:val="32"/>
        </w:rPr>
        <w:t>90</w:t>
      </w:r>
      <w:r>
        <w:rPr>
          <w:rFonts w:hint="eastAsia" w:ascii="仿宋" w:hAnsi="仿宋" w:eastAsia="仿宋" w:cs="仿宋"/>
          <w:sz w:val="32"/>
          <w:szCs w:val="32"/>
        </w:rPr>
        <w:t>分为良好；</w:t>
      </w:r>
      <w:r>
        <w:rPr>
          <w:rFonts w:ascii="仿宋" w:hAnsi="仿宋" w:eastAsia="仿宋" w:cs="仿宋"/>
          <w:sz w:val="32"/>
          <w:szCs w:val="32"/>
        </w:rPr>
        <w:t>60</w:t>
      </w:r>
      <w:r>
        <w:rPr>
          <w:rFonts w:hint="eastAsia" w:ascii="仿宋" w:hAnsi="仿宋" w:eastAsia="仿宋" w:cs="仿宋"/>
          <w:sz w:val="32"/>
          <w:szCs w:val="32"/>
        </w:rPr>
        <w:t>≤得分＜</w:t>
      </w:r>
      <w:r>
        <w:rPr>
          <w:rFonts w:ascii="仿宋" w:hAnsi="仿宋" w:eastAsia="仿宋" w:cs="仿宋"/>
          <w:sz w:val="32"/>
          <w:szCs w:val="32"/>
        </w:rPr>
        <w:t>75</w:t>
      </w:r>
      <w:r>
        <w:rPr>
          <w:rFonts w:hint="eastAsia" w:ascii="仿宋" w:hAnsi="仿宋" w:eastAsia="仿宋" w:cs="仿宋"/>
          <w:sz w:val="32"/>
          <w:szCs w:val="32"/>
        </w:rPr>
        <w:t>分为一般；得分＜</w:t>
      </w:r>
      <w:r>
        <w:rPr>
          <w:rFonts w:ascii="仿宋" w:hAnsi="仿宋" w:eastAsia="仿宋" w:cs="仿宋"/>
          <w:sz w:val="32"/>
          <w:szCs w:val="32"/>
        </w:rPr>
        <w:t>60</w:t>
      </w:r>
      <w:r>
        <w:rPr>
          <w:rFonts w:hint="eastAsia" w:ascii="仿宋" w:hAnsi="仿宋" w:eastAsia="仿宋" w:cs="仿宋"/>
          <w:sz w:val="32"/>
          <w:szCs w:val="32"/>
        </w:rPr>
        <w:t>分为较差。</w:t>
      </w:r>
    </w:p>
    <w:p w14:paraId="7D907E80">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本部门在</w:t>
      </w:r>
      <w:r>
        <w:rPr>
          <w:rFonts w:ascii="仿宋" w:hAnsi="仿宋" w:eastAsia="仿宋" w:cs="仿宋"/>
          <w:sz w:val="32"/>
          <w:szCs w:val="32"/>
        </w:rPr>
        <w:t>2023</w:t>
      </w:r>
      <w:r>
        <w:rPr>
          <w:rFonts w:hint="eastAsia" w:ascii="仿宋" w:hAnsi="仿宋" w:eastAsia="仿宋" w:cs="仿宋"/>
          <w:sz w:val="32"/>
          <w:szCs w:val="32"/>
        </w:rPr>
        <w:t>年部门整体绩效自评中反映了</w:t>
      </w:r>
      <w:r>
        <w:rPr>
          <w:rFonts w:ascii="仿宋" w:hAnsi="仿宋" w:eastAsia="仿宋" w:cs="仿宋"/>
          <w:sz w:val="32"/>
          <w:szCs w:val="32"/>
        </w:rPr>
        <w:t>2023</w:t>
      </w:r>
      <w:r>
        <w:rPr>
          <w:rFonts w:hint="eastAsia" w:ascii="仿宋" w:hAnsi="仿宋" w:eastAsia="仿宋" w:cs="仿宋"/>
          <w:sz w:val="32"/>
          <w:szCs w:val="32"/>
        </w:rPr>
        <w:t>年李村镇镇级代课教师工资、李村镇</w:t>
      </w:r>
      <w:r>
        <w:rPr>
          <w:rFonts w:ascii="仿宋" w:hAnsi="仿宋" w:eastAsia="仿宋" w:cs="仿宋"/>
          <w:sz w:val="32"/>
          <w:szCs w:val="32"/>
        </w:rPr>
        <w:t>2023</w:t>
      </w:r>
      <w:r>
        <w:rPr>
          <w:rFonts w:hint="eastAsia" w:ascii="仿宋" w:hAnsi="仿宋" w:eastAsia="仿宋" w:cs="仿宋"/>
          <w:sz w:val="32"/>
          <w:szCs w:val="32"/>
        </w:rPr>
        <w:t>年区级村庄规划费用、李村镇</w:t>
      </w:r>
      <w:r>
        <w:rPr>
          <w:rFonts w:ascii="仿宋" w:hAnsi="仿宋" w:eastAsia="仿宋" w:cs="仿宋"/>
          <w:sz w:val="32"/>
          <w:szCs w:val="32"/>
        </w:rPr>
        <w:t>2023</w:t>
      </w:r>
      <w:r>
        <w:rPr>
          <w:rFonts w:hint="eastAsia" w:ascii="仿宋" w:hAnsi="仿宋" w:eastAsia="仿宋" w:cs="仿宋"/>
          <w:sz w:val="32"/>
          <w:szCs w:val="32"/>
        </w:rPr>
        <w:t>年综合执法和行政综合服务中心改建工程项目、李村镇</w:t>
      </w:r>
      <w:r>
        <w:rPr>
          <w:rFonts w:ascii="仿宋" w:hAnsi="仿宋" w:eastAsia="仿宋" w:cs="仿宋"/>
          <w:sz w:val="32"/>
          <w:szCs w:val="32"/>
        </w:rPr>
        <w:t>2023</w:t>
      </w:r>
      <w:r>
        <w:rPr>
          <w:rFonts w:hint="eastAsia" w:ascii="仿宋" w:hAnsi="仿宋" w:eastAsia="仿宋" w:cs="仿宋"/>
          <w:sz w:val="32"/>
          <w:szCs w:val="32"/>
        </w:rPr>
        <w:t>年返还河北省智慧物流园项目拆迁补偿费用等</w:t>
      </w:r>
      <w:r>
        <w:rPr>
          <w:rFonts w:ascii="仿宋" w:hAnsi="仿宋" w:eastAsia="仿宋" w:cs="仿宋"/>
          <w:sz w:val="32"/>
          <w:szCs w:val="32"/>
        </w:rPr>
        <w:t>20</w:t>
      </w:r>
      <w:r>
        <w:rPr>
          <w:rFonts w:hint="eastAsia" w:ascii="仿宋" w:hAnsi="仿宋" w:eastAsia="仿宋" w:cs="仿宋"/>
          <w:sz w:val="32"/>
          <w:szCs w:val="32"/>
        </w:rPr>
        <w:t>个项目，其中：评价等级为“优秀”的项目</w:t>
      </w:r>
      <w:r>
        <w:rPr>
          <w:rFonts w:ascii="仿宋" w:hAnsi="仿宋" w:eastAsia="仿宋" w:cs="仿宋"/>
          <w:sz w:val="32"/>
          <w:szCs w:val="32"/>
        </w:rPr>
        <w:t>19</w:t>
      </w:r>
      <w:r>
        <w:rPr>
          <w:rFonts w:hint="eastAsia" w:ascii="仿宋" w:hAnsi="仿宋" w:eastAsia="仿宋" w:cs="仿宋"/>
          <w:sz w:val="32"/>
          <w:szCs w:val="32"/>
        </w:rPr>
        <w:t>个，评优率为</w:t>
      </w:r>
      <w:r>
        <w:rPr>
          <w:rFonts w:ascii="仿宋" w:hAnsi="仿宋" w:eastAsia="仿宋" w:cs="仿宋"/>
          <w:sz w:val="32"/>
          <w:szCs w:val="32"/>
        </w:rPr>
        <w:t>95%</w:t>
      </w:r>
      <w:r>
        <w:rPr>
          <w:rFonts w:hint="eastAsia" w:ascii="仿宋" w:hAnsi="仿宋" w:eastAsia="仿宋" w:cs="仿宋"/>
          <w:sz w:val="32"/>
          <w:szCs w:val="32"/>
        </w:rPr>
        <w:t>以上；评价等级为“良好”的项目</w:t>
      </w:r>
      <w:r>
        <w:rPr>
          <w:rFonts w:ascii="仿宋" w:hAnsi="仿宋" w:eastAsia="仿宋" w:cs="仿宋"/>
          <w:sz w:val="32"/>
          <w:szCs w:val="32"/>
        </w:rPr>
        <w:t>1</w:t>
      </w:r>
      <w:r>
        <w:rPr>
          <w:rFonts w:hint="eastAsia" w:ascii="仿宋" w:hAnsi="仿宋" w:eastAsia="仿宋" w:cs="仿宋"/>
          <w:sz w:val="32"/>
          <w:szCs w:val="32"/>
        </w:rPr>
        <w:t>个，评良好率为</w:t>
      </w:r>
      <w:r>
        <w:rPr>
          <w:rFonts w:ascii="仿宋" w:hAnsi="仿宋" w:eastAsia="仿宋" w:cs="仿宋"/>
          <w:sz w:val="32"/>
          <w:szCs w:val="32"/>
        </w:rPr>
        <w:t>5%</w:t>
      </w:r>
      <w:r>
        <w:rPr>
          <w:rFonts w:hint="eastAsia" w:ascii="仿宋" w:hAnsi="仿宋" w:eastAsia="仿宋" w:cs="仿宋"/>
          <w:sz w:val="32"/>
          <w:szCs w:val="32"/>
        </w:rPr>
        <w:t>，详见下表。</w:t>
      </w:r>
    </w:p>
    <w:p w14:paraId="69DACF8A">
      <w:pPr>
        <w:spacing w:line="578" w:lineRule="exact"/>
        <w:rPr>
          <w:rFonts w:ascii="仿宋" w:hAnsi="仿宋" w:eastAsia="仿宋"/>
          <w:sz w:val="32"/>
          <w:szCs w:val="32"/>
        </w:rPr>
      </w:pPr>
    </w:p>
    <w:p w14:paraId="4CB7CCFE">
      <w:pPr>
        <w:pStyle w:val="4"/>
        <w:widowControl/>
        <w:spacing w:beforeAutospacing="0" w:afterAutospacing="0"/>
        <w:ind w:firstLine="723" w:firstLineChars="200"/>
        <w:jc w:val="center"/>
        <w:rPr>
          <w:rFonts w:ascii="仿宋" w:hAnsi="仿宋" w:eastAsia="仿宋" w:cs="仿宋"/>
          <w:b/>
          <w:bCs/>
          <w:sz w:val="36"/>
          <w:szCs w:val="36"/>
        </w:rPr>
      </w:pPr>
      <w:r>
        <w:rPr>
          <w:rFonts w:hint="eastAsia" w:ascii="仿宋" w:hAnsi="仿宋" w:eastAsia="仿宋" w:cs="仿宋"/>
          <w:b/>
          <w:bCs/>
          <w:sz w:val="36"/>
          <w:szCs w:val="36"/>
        </w:rPr>
        <w:t>2023年专项项目绩效自评汇总表</w:t>
      </w:r>
    </w:p>
    <w:tbl>
      <w:tblPr>
        <w:tblStyle w:val="5"/>
        <w:tblpPr w:leftFromText="180" w:rightFromText="180" w:vertAnchor="text" w:horzAnchor="page" w:tblpX="1295" w:tblpY="683"/>
        <w:tblOverlap w:val="never"/>
        <w:tblW w:w="10185" w:type="dxa"/>
        <w:tblInd w:w="0" w:type="dxa"/>
        <w:tblLayout w:type="fixed"/>
        <w:tblCellMar>
          <w:top w:w="0" w:type="dxa"/>
          <w:left w:w="108" w:type="dxa"/>
          <w:bottom w:w="0" w:type="dxa"/>
          <w:right w:w="108" w:type="dxa"/>
        </w:tblCellMar>
      </w:tblPr>
      <w:tblGrid>
        <w:gridCol w:w="765"/>
        <w:gridCol w:w="1719"/>
        <w:gridCol w:w="1500"/>
        <w:gridCol w:w="531"/>
        <w:gridCol w:w="534"/>
        <w:gridCol w:w="1146"/>
        <w:gridCol w:w="675"/>
        <w:gridCol w:w="1089"/>
        <w:gridCol w:w="765"/>
        <w:gridCol w:w="846"/>
        <w:gridCol w:w="615"/>
      </w:tblGrid>
      <w:tr w14:paraId="1AA0A033">
        <w:tblPrEx>
          <w:tblCellMar>
            <w:top w:w="0" w:type="dxa"/>
            <w:left w:w="108" w:type="dxa"/>
            <w:bottom w:w="0" w:type="dxa"/>
            <w:right w:w="108" w:type="dxa"/>
          </w:tblCellMar>
        </w:tblPrEx>
        <w:trPr>
          <w:trHeight w:val="1260" w:hRule="atLeast"/>
        </w:trPr>
        <w:tc>
          <w:tcPr>
            <w:tcW w:w="765" w:type="dxa"/>
            <w:vMerge w:val="restart"/>
            <w:tcBorders>
              <w:top w:val="single" w:color="auto" w:sz="4" w:space="0"/>
              <w:left w:val="single" w:color="auto" w:sz="4" w:space="0"/>
              <w:bottom w:val="single" w:color="auto" w:sz="4" w:space="0"/>
              <w:right w:val="single" w:color="auto" w:sz="4" w:space="0"/>
            </w:tcBorders>
            <w:vAlign w:val="center"/>
          </w:tcPr>
          <w:p w14:paraId="24B25EA5">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序号</w:t>
            </w:r>
          </w:p>
        </w:tc>
        <w:tc>
          <w:tcPr>
            <w:tcW w:w="1719" w:type="dxa"/>
            <w:vMerge w:val="restart"/>
            <w:tcBorders>
              <w:top w:val="single" w:color="auto" w:sz="4" w:space="0"/>
              <w:left w:val="single" w:color="auto" w:sz="4" w:space="0"/>
              <w:bottom w:val="single" w:color="auto" w:sz="4" w:space="0"/>
              <w:right w:val="single" w:color="auto" w:sz="4" w:space="0"/>
            </w:tcBorders>
            <w:vAlign w:val="center"/>
          </w:tcPr>
          <w:p w14:paraId="79ACE5E2">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项目名称</w:t>
            </w:r>
          </w:p>
        </w:tc>
        <w:tc>
          <w:tcPr>
            <w:tcW w:w="1500" w:type="dxa"/>
            <w:vMerge w:val="restart"/>
            <w:tcBorders>
              <w:top w:val="single" w:color="auto" w:sz="4" w:space="0"/>
              <w:left w:val="single" w:color="auto" w:sz="4" w:space="0"/>
              <w:bottom w:val="single" w:color="auto" w:sz="4" w:space="0"/>
              <w:right w:val="single" w:color="auto" w:sz="4" w:space="0"/>
            </w:tcBorders>
            <w:vAlign w:val="center"/>
          </w:tcPr>
          <w:p w14:paraId="6049CECB">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项目实施单位</w:t>
            </w:r>
          </w:p>
        </w:tc>
        <w:tc>
          <w:tcPr>
            <w:tcW w:w="2211" w:type="dxa"/>
            <w:gridSpan w:val="3"/>
            <w:tcBorders>
              <w:top w:val="single" w:color="auto" w:sz="4" w:space="0"/>
              <w:left w:val="nil"/>
              <w:bottom w:val="single" w:color="auto" w:sz="4" w:space="0"/>
              <w:right w:val="single" w:color="000000" w:sz="4" w:space="0"/>
            </w:tcBorders>
            <w:vAlign w:val="center"/>
          </w:tcPr>
          <w:p w14:paraId="49A844AA">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预算数（调整后）</w:t>
            </w:r>
          </w:p>
        </w:tc>
        <w:tc>
          <w:tcPr>
            <w:tcW w:w="1764" w:type="dxa"/>
            <w:gridSpan w:val="2"/>
            <w:tcBorders>
              <w:top w:val="single" w:color="auto" w:sz="4" w:space="0"/>
              <w:left w:val="nil"/>
              <w:bottom w:val="single" w:color="auto" w:sz="4" w:space="0"/>
              <w:right w:val="single" w:color="000000" w:sz="4" w:space="0"/>
            </w:tcBorders>
            <w:vAlign w:val="center"/>
          </w:tcPr>
          <w:p w14:paraId="71A0A2DF">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执行数（至</w:t>
            </w:r>
            <w:r>
              <w:rPr>
                <w:rFonts w:ascii="仿宋" w:hAnsi="仿宋" w:eastAsia="仿宋" w:cs="宋体"/>
                <w:color w:val="000000"/>
                <w:kern w:val="0"/>
                <w:sz w:val="18"/>
                <w:szCs w:val="18"/>
              </w:rPr>
              <w:t>2023</w:t>
            </w:r>
            <w:r>
              <w:rPr>
                <w:rFonts w:hint="eastAsia" w:ascii="仿宋" w:hAnsi="仿宋" w:eastAsia="仿宋" w:cs="宋体"/>
                <w:color w:val="000000"/>
                <w:kern w:val="0"/>
                <w:sz w:val="18"/>
                <w:szCs w:val="18"/>
              </w:rPr>
              <w:t>年底）</w:t>
            </w:r>
          </w:p>
        </w:tc>
        <w:tc>
          <w:tcPr>
            <w:tcW w:w="765" w:type="dxa"/>
            <w:tcBorders>
              <w:top w:val="single" w:color="auto" w:sz="4" w:space="0"/>
              <w:left w:val="single" w:color="auto" w:sz="4" w:space="0"/>
              <w:bottom w:val="single" w:color="auto" w:sz="4" w:space="0"/>
              <w:right w:val="single" w:color="auto" w:sz="4" w:space="0"/>
            </w:tcBorders>
            <w:vAlign w:val="center"/>
          </w:tcPr>
          <w:p w14:paraId="0450C644">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结余数</w:t>
            </w:r>
          </w:p>
        </w:tc>
        <w:tc>
          <w:tcPr>
            <w:tcW w:w="846" w:type="dxa"/>
            <w:tcBorders>
              <w:top w:val="single" w:color="auto" w:sz="4" w:space="0"/>
              <w:left w:val="single" w:color="auto" w:sz="4" w:space="0"/>
              <w:bottom w:val="single" w:color="auto" w:sz="4" w:space="0"/>
              <w:right w:val="single" w:color="auto" w:sz="4" w:space="0"/>
            </w:tcBorders>
            <w:vAlign w:val="center"/>
          </w:tcPr>
          <w:p w14:paraId="0DFD1225">
            <w:pPr>
              <w:widowControl/>
              <w:ind w:right="197" w:rightChars="94"/>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结余交回财政数</w:t>
            </w:r>
          </w:p>
        </w:tc>
        <w:tc>
          <w:tcPr>
            <w:tcW w:w="615" w:type="dxa"/>
            <w:tcBorders>
              <w:top w:val="single" w:color="auto" w:sz="4" w:space="0"/>
              <w:left w:val="single" w:color="auto" w:sz="4" w:space="0"/>
              <w:bottom w:val="single" w:color="auto" w:sz="4" w:space="0"/>
              <w:right w:val="single" w:color="auto" w:sz="4" w:space="0"/>
            </w:tcBorders>
            <w:vAlign w:val="center"/>
          </w:tcPr>
          <w:p w14:paraId="7731AAF1">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自评得分</w:t>
            </w:r>
          </w:p>
        </w:tc>
      </w:tr>
      <w:tr w14:paraId="083E9A98">
        <w:tblPrEx>
          <w:tblCellMar>
            <w:top w:w="0" w:type="dxa"/>
            <w:left w:w="108" w:type="dxa"/>
            <w:bottom w:w="0" w:type="dxa"/>
            <w:right w:w="108" w:type="dxa"/>
          </w:tblCellMar>
        </w:tblPrEx>
        <w:trPr>
          <w:trHeight w:val="582" w:hRule="atLeast"/>
        </w:trPr>
        <w:tc>
          <w:tcPr>
            <w:tcW w:w="765" w:type="dxa"/>
            <w:vMerge w:val="continue"/>
            <w:tcBorders>
              <w:top w:val="single" w:color="auto" w:sz="4" w:space="0"/>
              <w:left w:val="single" w:color="auto" w:sz="4" w:space="0"/>
              <w:bottom w:val="single" w:color="000000" w:sz="4" w:space="0"/>
              <w:right w:val="single" w:color="auto" w:sz="4" w:space="0"/>
            </w:tcBorders>
            <w:vAlign w:val="center"/>
          </w:tcPr>
          <w:p w14:paraId="508C23E5">
            <w:pPr>
              <w:widowControl/>
              <w:jc w:val="left"/>
              <w:rPr>
                <w:rFonts w:ascii="仿宋" w:hAnsi="仿宋" w:eastAsia="仿宋" w:cs="宋体"/>
                <w:color w:val="000000"/>
                <w:kern w:val="0"/>
                <w:sz w:val="18"/>
                <w:szCs w:val="18"/>
              </w:rPr>
            </w:pPr>
          </w:p>
        </w:tc>
        <w:tc>
          <w:tcPr>
            <w:tcW w:w="1719" w:type="dxa"/>
            <w:vMerge w:val="continue"/>
            <w:tcBorders>
              <w:top w:val="single" w:color="auto" w:sz="4" w:space="0"/>
              <w:left w:val="single" w:color="auto" w:sz="4" w:space="0"/>
              <w:bottom w:val="single" w:color="000000" w:sz="4" w:space="0"/>
              <w:right w:val="single" w:color="auto" w:sz="4" w:space="0"/>
            </w:tcBorders>
            <w:vAlign w:val="center"/>
          </w:tcPr>
          <w:p w14:paraId="79B39FAB">
            <w:pPr>
              <w:widowControl/>
              <w:jc w:val="left"/>
              <w:rPr>
                <w:rFonts w:ascii="仿宋" w:hAnsi="仿宋" w:eastAsia="仿宋" w:cs="宋体"/>
                <w:color w:val="000000"/>
                <w:kern w:val="0"/>
                <w:sz w:val="18"/>
                <w:szCs w:val="18"/>
              </w:rPr>
            </w:pPr>
          </w:p>
        </w:tc>
        <w:tc>
          <w:tcPr>
            <w:tcW w:w="1500" w:type="dxa"/>
            <w:vMerge w:val="continue"/>
            <w:tcBorders>
              <w:top w:val="single" w:color="auto" w:sz="4" w:space="0"/>
              <w:left w:val="single" w:color="auto" w:sz="4" w:space="0"/>
              <w:bottom w:val="single" w:color="000000" w:sz="4" w:space="0"/>
              <w:right w:val="single" w:color="auto" w:sz="4" w:space="0"/>
            </w:tcBorders>
            <w:vAlign w:val="center"/>
          </w:tcPr>
          <w:p w14:paraId="520604E2">
            <w:pPr>
              <w:widowControl/>
              <w:jc w:val="left"/>
              <w:rPr>
                <w:rFonts w:ascii="仿宋" w:hAnsi="仿宋" w:eastAsia="仿宋" w:cs="宋体"/>
                <w:color w:val="000000"/>
                <w:kern w:val="0"/>
                <w:sz w:val="18"/>
                <w:szCs w:val="18"/>
              </w:rPr>
            </w:pPr>
          </w:p>
        </w:tc>
        <w:tc>
          <w:tcPr>
            <w:tcW w:w="531" w:type="dxa"/>
            <w:tcBorders>
              <w:top w:val="single" w:color="auto" w:sz="4" w:space="0"/>
              <w:left w:val="nil"/>
              <w:bottom w:val="single" w:color="auto" w:sz="4" w:space="0"/>
              <w:right w:val="single" w:color="auto" w:sz="4" w:space="0"/>
            </w:tcBorders>
            <w:noWrap/>
            <w:vAlign w:val="center"/>
          </w:tcPr>
          <w:p w14:paraId="736520E9">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中央</w:t>
            </w:r>
          </w:p>
        </w:tc>
        <w:tc>
          <w:tcPr>
            <w:tcW w:w="534" w:type="dxa"/>
            <w:tcBorders>
              <w:top w:val="single" w:color="auto" w:sz="4" w:space="0"/>
              <w:left w:val="nil"/>
              <w:bottom w:val="single" w:color="auto" w:sz="4" w:space="0"/>
              <w:right w:val="single" w:color="auto" w:sz="4" w:space="0"/>
            </w:tcBorders>
            <w:noWrap/>
            <w:vAlign w:val="center"/>
          </w:tcPr>
          <w:p w14:paraId="57CD67D1">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省级</w:t>
            </w:r>
          </w:p>
        </w:tc>
        <w:tc>
          <w:tcPr>
            <w:tcW w:w="1146" w:type="dxa"/>
            <w:tcBorders>
              <w:top w:val="single" w:color="auto" w:sz="4" w:space="0"/>
              <w:left w:val="nil"/>
              <w:bottom w:val="single" w:color="auto" w:sz="4" w:space="0"/>
              <w:right w:val="single" w:color="auto" w:sz="4" w:space="0"/>
            </w:tcBorders>
            <w:noWrap/>
            <w:vAlign w:val="center"/>
          </w:tcPr>
          <w:p w14:paraId="45CCEDB0">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市级</w:t>
            </w:r>
          </w:p>
        </w:tc>
        <w:tc>
          <w:tcPr>
            <w:tcW w:w="675" w:type="dxa"/>
            <w:tcBorders>
              <w:top w:val="single" w:color="auto" w:sz="4" w:space="0"/>
              <w:left w:val="nil"/>
              <w:bottom w:val="single" w:color="auto" w:sz="4" w:space="0"/>
              <w:right w:val="single" w:color="auto" w:sz="4" w:space="0"/>
            </w:tcBorders>
            <w:noWrap/>
            <w:vAlign w:val="center"/>
          </w:tcPr>
          <w:p w14:paraId="5ED81AEA">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市级</w:t>
            </w:r>
          </w:p>
        </w:tc>
        <w:tc>
          <w:tcPr>
            <w:tcW w:w="1089" w:type="dxa"/>
            <w:tcBorders>
              <w:top w:val="single" w:color="auto" w:sz="4" w:space="0"/>
              <w:left w:val="nil"/>
              <w:bottom w:val="single" w:color="auto" w:sz="4" w:space="0"/>
              <w:right w:val="single" w:color="auto" w:sz="4" w:space="0"/>
            </w:tcBorders>
            <w:vAlign w:val="center"/>
          </w:tcPr>
          <w:p w14:paraId="5095E774">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县（市）区级</w:t>
            </w:r>
          </w:p>
        </w:tc>
        <w:tc>
          <w:tcPr>
            <w:tcW w:w="765" w:type="dxa"/>
            <w:tcBorders>
              <w:top w:val="single" w:color="auto" w:sz="4" w:space="0"/>
              <w:left w:val="single" w:color="auto" w:sz="4" w:space="0"/>
              <w:right w:val="single" w:color="auto" w:sz="4" w:space="0"/>
            </w:tcBorders>
            <w:vAlign w:val="center"/>
          </w:tcPr>
          <w:p w14:paraId="45D81882">
            <w:pPr>
              <w:widowControl/>
              <w:jc w:val="left"/>
              <w:rPr>
                <w:rFonts w:ascii="仿宋" w:hAnsi="仿宋" w:eastAsia="仿宋" w:cs="宋体"/>
                <w:color w:val="000000"/>
                <w:kern w:val="0"/>
                <w:sz w:val="18"/>
                <w:szCs w:val="18"/>
              </w:rPr>
            </w:pPr>
          </w:p>
        </w:tc>
        <w:tc>
          <w:tcPr>
            <w:tcW w:w="846" w:type="dxa"/>
            <w:tcBorders>
              <w:top w:val="single" w:color="auto" w:sz="4" w:space="0"/>
              <w:left w:val="single" w:color="auto" w:sz="4" w:space="0"/>
              <w:right w:val="single" w:color="auto" w:sz="4" w:space="0"/>
            </w:tcBorders>
            <w:vAlign w:val="center"/>
          </w:tcPr>
          <w:p w14:paraId="17CFDA9C">
            <w:pPr>
              <w:widowControl/>
              <w:jc w:val="left"/>
              <w:rPr>
                <w:rFonts w:ascii="仿宋" w:hAnsi="仿宋" w:eastAsia="仿宋" w:cs="宋体"/>
                <w:color w:val="000000"/>
                <w:kern w:val="0"/>
                <w:sz w:val="18"/>
                <w:szCs w:val="18"/>
              </w:rPr>
            </w:pPr>
          </w:p>
        </w:tc>
        <w:tc>
          <w:tcPr>
            <w:tcW w:w="615" w:type="dxa"/>
            <w:tcBorders>
              <w:top w:val="single" w:color="auto" w:sz="4" w:space="0"/>
              <w:left w:val="single" w:color="auto" w:sz="4" w:space="0"/>
              <w:right w:val="single" w:color="auto" w:sz="4" w:space="0"/>
            </w:tcBorders>
            <w:vAlign w:val="center"/>
          </w:tcPr>
          <w:p w14:paraId="4E8A6348">
            <w:pPr>
              <w:widowControl/>
              <w:jc w:val="left"/>
              <w:rPr>
                <w:rFonts w:ascii="仿宋" w:hAnsi="仿宋" w:eastAsia="仿宋" w:cs="宋体"/>
                <w:color w:val="000000"/>
                <w:kern w:val="0"/>
                <w:sz w:val="18"/>
                <w:szCs w:val="18"/>
              </w:rPr>
            </w:pPr>
          </w:p>
        </w:tc>
      </w:tr>
      <w:tr w14:paraId="3EE86C3C">
        <w:tblPrEx>
          <w:tblCellMar>
            <w:top w:w="0" w:type="dxa"/>
            <w:left w:w="108" w:type="dxa"/>
            <w:bottom w:w="0" w:type="dxa"/>
            <w:right w:w="108" w:type="dxa"/>
          </w:tblCellMar>
        </w:tblPrEx>
        <w:trPr>
          <w:trHeight w:val="960" w:hRule="atLeast"/>
        </w:trPr>
        <w:tc>
          <w:tcPr>
            <w:tcW w:w="765" w:type="dxa"/>
            <w:tcBorders>
              <w:top w:val="nil"/>
              <w:left w:val="single" w:color="auto" w:sz="4" w:space="0"/>
              <w:bottom w:val="single" w:color="auto" w:sz="4" w:space="0"/>
              <w:right w:val="single" w:color="auto" w:sz="4" w:space="0"/>
            </w:tcBorders>
            <w:noWrap/>
            <w:vAlign w:val="center"/>
          </w:tcPr>
          <w:p w14:paraId="7ADD7D0F">
            <w:pPr>
              <w:widowControl/>
              <w:jc w:val="center"/>
              <w:rPr>
                <w:rFonts w:ascii="宋体" w:cs="宋体"/>
                <w:color w:val="000000"/>
                <w:kern w:val="0"/>
                <w:sz w:val="18"/>
                <w:szCs w:val="18"/>
              </w:rPr>
            </w:pPr>
            <w:r>
              <w:rPr>
                <w:rFonts w:ascii="宋体" w:hAnsi="宋体" w:cs="宋体"/>
                <w:color w:val="000000"/>
                <w:kern w:val="0"/>
                <w:sz w:val="18"/>
                <w:szCs w:val="18"/>
              </w:rPr>
              <w:t>1</w:t>
            </w:r>
          </w:p>
        </w:tc>
        <w:tc>
          <w:tcPr>
            <w:tcW w:w="1719" w:type="dxa"/>
            <w:tcBorders>
              <w:top w:val="nil"/>
              <w:left w:val="nil"/>
              <w:bottom w:val="single" w:color="auto" w:sz="4" w:space="0"/>
              <w:right w:val="single" w:color="auto" w:sz="4" w:space="0"/>
            </w:tcBorders>
            <w:vAlign w:val="center"/>
          </w:tcPr>
          <w:p w14:paraId="480D2987">
            <w:pPr>
              <w:widowControl/>
              <w:jc w:val="left"/>
              <w:rPr>
                <w:rFonts w:ascii="宋体" w:cs="宋体"/>
                <w:color w:val="000000"/>
                <w:kern w:val="0"/>
                <w:sz w:val="18"/>
                <w:szCs w:val="18"/>
              </w:rPr>
            </w:pPr>
            <w:r>
              <w:rPr>
                <w:rFonts w:ascii="宋体" w:hAnsi="宋体" w:cs="宋体"/>
                <w:color w:val="000000"/>
                <w:kern w:val="0"/>
                <w:sz w:val="18"/>
                <w:szCs w:val="18"/>
              </w:rPr>
              <w:t>2023</w:t>
            </w:r>
            <w:r>
              <w:rPr>
                <w:rFonts w:hint="eastAsia" w:ascii="宋体" w:hAnsi="宋体" w:cs="宋体"/>
                <w:color w:val="000000"/>
                <w:kern w:val="0"/>
                <w:sz w:val="18"/>
                <w:szCs w:val="18"/>
              </w:rPr>
              <w:t>年本级临时教师工资</w:t>
            </w:r>
            <w:r>
              <w:rPr>
                <w:rFonts w:ascii="宋体" w:hAnsi="宋体" w:cs="宋体"/>
                <w:color w:val="000000"/>
                <w:kern w:val="0"/>
                <w:sz w:val="18"/>
                <w:szCs w:val="18"/>
              </w:rPr>
              <w:t xml:space="preserve"> </w:t>
            </w:r>
          </w:p>
        </w:tc>
        <w:tc>
          <w:tcPr>
            <w:tcW w:w="1500" w:type="dxa"/>
            <w:tcBorders>
              <w:top w:val="nil"/>
              <w:left w:val="nil"/>
              <w:bottom w:val="single" w:color="auto" w:sz="4" w:space="0"/>
              <w:right w:val="single" w:color="auto" w:sz="4" w:space="0"/>
            </w:tcBorders>
            <w:vAlign w:val="center"/>
          </w:tcPr>
          <w:p w14:paraId="1CCD5C0E">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5FD2CA8B">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7FCC1080">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58A906E9">
            <w:pPr>
              <w:widowControl/>
              <w:jc w:val="right"/>
              <w:rPr>
                <w:rFonts w:ascii="宋体" w:cs="宋体"/>
                <w:color w:val="000000"/>
                <w:kern w:val="0"/>
                <w:sz w:val="18"/>
                <w:szCs w:val="18"/>
              </w:rPr>
            </w:pPr>
            <w:r>
              <w:rPr>
                <w:rFonts w:ascii="宋体" w:hAnsi="宋体" w:cs="宋体"/>
                <w:color w:val="000000"/>
                <w:kern w:val="0"/>
                <w:sz w:val="18"/>
                <w:szCs w:val="18"/>
              </w:rPr>
              <w:t>227.04</w:t>
            </w:r>
          </w:p>
        </w:tc>
        <w:tc>
          <w:tcPr>
            <w:tcW w:w="675" w:type="dxa"/>
            <w:tcBorders>
              <w:top w:val="nil"/>
              <w:left w:val="nil"/>
              <w:bottom w:val="single" w:color="auto" w:sz="4" w:space="0"/>
              <w:right w:val="single" w:color="auto" w:sz="4" w:space="0"/>
            </w:tcBorders>
            <w:noWrap/>
            <w:vAlign w:val="center"/>
          </w:tcPr>
          <w:p w14:paraId="149E1F1E">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42ADBF60">
            <w:pPr>
              <w:widowControl/>
              <w:jc w:val="right"/>
              <w:rPr>
                <w:rFonts w:ascii="宋体" w:cs="宋体"/>
                <w:color w:val="000000"/>
                <w:kern w:val="0"/>
                <w:sz w:val="18"/>
                <w:szCs w:val="18"/>
              </w:rPr>
            </w:pPr>
            <w:r>
              <w:rPr>
                <w:rFonts w:ascii="宋体" w:hAnsi="宋体" w:cs="宋体"/>
                <w:color w:val="000000"/>
                <w:kern w:val="0"/>
                <w:sz w:val="18"/>
                <w:szCs w:val="18"/>
              </w:rPr>
              <w:t>227.04</w:t>
            </w:r>
          </w:p>
        </w:tc>
        <w:tc>
          <w:tcPr>
            <w:tcW w:w="765" w:type="dxa"/>
            <w:tcBorders>
              <w:top w:val="nil"/>
              <w:left w:val="nil"/>
              <w:bottom w:val="single" w:color="auto" w:sz="4" w:space="0"/>
              <w:right w:val="single" w:color="auto" w:sz="4" w:space="0"/>
            </w:tcBorders>
            <w:noWrap/>
            <w:vAlign w:val="center"/>
          </w:tcPr>
          <w:p w14:paraId="44A6EBF9">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6D6222C2">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58FAC489">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5FEED90B">
        <w:tblPrEx>
          <w:tblCellMar>
            <w:top w:w="0" w:type="dxa"/>
            <w:left w:w="108" w:type="dxa"/>
            <w:bottom w:w="0" w:type="dxa"/>
            <w:right w:w="108" w:type="dxa"/>
          </w:tblCellMar>
        </w:tblPrEx>
        <w:trPr>
          <w:trHeight w:val="885" w:hRule="atLeast"/>
        </w:trPr>
        <w:tc>
          <w:tcPr>
            <w:tcW w:w="765" w:type="dxa"/>
            <w:tcBorders>
              <w:top w:val="nil"/>
              <w:left w:val="single" w:color="auto" w:sz="4" w:space="0"/>
              <w:bottom w:val="single" w:color="auto" w:sz="4" w:space="0"/>
              <w:right w:val="single" w:color="auto" w:sz="4" w:space="0"/>
            </w:tcBorders>
            <w:noWrap/>
            <w:vAlign w:val="center"/>
          </w:tcPr>
          <w:p w14:paraId="01FF7F9B">
            <w:pPr>
              <w:widowControl/>
              <w:jc w:val="center"/>
              <w:rPr>
                <w:rFonts w:ascii="宋体" w:cs="宋体"/>
                <w:color w:val="000000"/>
                <w:kern w:val="0"/>
                <w:sz w:val="18"/>
                <w:szCs w:val="18"/>
              </w:rPr>
            </w:pPr>
            <w:r>
              <w:rPr>
                <w:rFonts w:ascii="宋体" w:hAnsi="宋体" w:cs="宋体"/>
                <w:color w:val="000000"/>
                <w:kern w:val="0"/>
                <w:sz w:val="18"/>
                <w:szCs w:val="18"/>
              </w:rPr>
              <w:t>2</w:t>
            </w:r>
          </w:p>
        </w:tc>
        <w:tc>
          <w:tcPr>
            <w:tcW w:w="1719" w:type="dxa"/>
            <w:tcBorders>
              <w:top w:val="nil"/>
              <w:left w:val="nil"/>
              <w:bottom w:val="single" w:color="auto" w:sz="4" w:space="0"/>
              <w:right w:val="single" w:color="auto" w:sz="4" w:space="0"/>
            </w:tcBorders>
            <w:vAlign w:val="center"/>
          </w:tcPr>
          <w:p w14:paraId="212B418B">
            <w:pPr>
              <w:widowControl/>
              <w:jc w:val="left"/>
              <w:rPr>
                <w:rFonts w:ascii="宋体" w:cs="宋体"/>
                <w:color w:val="000000"/>
                <w:kern w:val="0"/>
                <w:sz w:val="18"/>
                <w:szCs w:val="18"/>
              </w:rPr>
            </w:pPr>
            <w:r>
              <w:rPr>
                <w:rFonts w:hint="eastAsia" w:ascii="宋体" w:hAnsi="宋体" w:cs="宋体"/>
                <w:color w:val="000000"/>
                <w:kern w:val="0"/>
                <w:sz w:val="18"/>
                <w:szCs w:val="18"/>
              </w:rPr>
              <w:t>农村生活垃圾清理费用</w:t>
            </w:r>
          </w:p>
        </w:tc>
        <w:tc>
          <w:tcPr>
            <w:tcW w:w="1500" w:type="dxa"/>
            <w:tcBorders>
              <w:top w:val="nil"/>
              <w:left w:val="nil"/>
              <w:bottom w:val="single" w:color="auto" w:sz="4" w:space="0"/>
              <w:right w:val="single" w:color="auto" w:sz="4" w:space="0"/>
            </w:tcBorders>
            <w:vAlign w:val="center"/>
          </w:tcPr>
          <w:p w14:paraId="2FC38BCB">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7E555264">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2EE3A96A">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0C23F230">
            <w:pPr>
              <w:widowControl/>
              <w:jc w:val="right"/>
              <w:rPr>
                <w:rFonts w:ascii="宋体" w:cs="宋体"/>
                <w:color w:val="000000"/>
                <w:kern w:val="0"/>
                <w:sz w:val="18"/>
                <w:szCs w:val="18"/>
              </w:rPr>
            </w:pPr>
            <w:r>
              <w:rPr>
                <w:rFonts w:hint="eastAsia" w:ascii="宋体" w:hAnsi="宋体" w:cs="宋体"/>
                <w:color w:val="000000"/>
                <w:kern w:val="0"/>
                <w:sz w:val="18"/>
                <w:szCs w:val="18"/>
              </w:rPr>
              <w:t>341.25</w:t>
            </w:r>
          </w:p>
        </w:tc>
        <w:tc>
          <w:tcPr>
            <w:tcW w:w="675" w:type="dxa"/>
            <w:tcBorders>
              <w:top w:val="nil"/>
              <w:left w:val="nil"/>
              <w:bottom w:val="single" w:color="auto" w:sz="4" w:space="0"/>
              <w:right w:val="single" w:color="auto" w:sz="4" w:space="0"/>
            </w:tcBorders>
            <w:noWrap/>
            <w:vAlign w:val="center"/>
          </w:tcPr>
          <w:p w14:paraId="4BE1345C">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20828EB1">
            <w:pPr>
              <w:widowControl/>
              <w:jc w:val="right"/>
              <w:rPr>
                <w:rFonts w:ascii="宋体" w:cs="宋体"/>
                <w:color w:val="000000"/>
                <w:kern w:val="0"/>
                <w:sz w:val="18"/>
                <w:szCs w:val="18"/>
              </w:rPr>
            </w:pPr>
            <w:r>
              <w:rPr>
                <w:rFonts w:hint="eastAsia" w:ascii="宋体" w:hAnsi="宋体" w:cs="宋体"/>
                <w:color w:val="000000"/>
                <w:kern w:val="0"/>
                <w:sz w:val="18"/>
                <w:szCs w:val="18"/>
              </w:rPr>
              <w:t>341.25</w:t>
            </w:r>
          </w:p>
        </w:tc>
        <w:tc>
          <w:tcPr>
            <w:tcW w:w="765" w:type="dxa"/>
            <w:tcBorders>
              <w:top w:val="nil"/>
              <w:left w:val="nil"/>
              <w:bottom w:val="single" w:color="auto" w:sz="4" w:space="0"/>
              <w:right w:val="single" w:color="auto" w:sz="4" w:space="0"/>
            </w:tcBorders>
            <w:noWrap/>
            <w:vAlign w:val="center"/>
          </w:tcPr>
          <w:p w14:paraId="1483AA76">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5ED51809">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6724D636">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61F36D03">
        <w:tblPrEx>
          <w:tblCellMar>
            <w:top w:w="0" w:type="dxa"/>
            <w:left w:w="108" w:type="dxa"/>
            <w:bottom w:w="0" w:type="dxa"/>
            <w:right w:w="108" w:type="dxa"/>
          </w:tblCellMar>
        </w:tblPrEx>
        <w:trPr>
          <w:trHeight w:val="1185" w:hRule="atLeast"/>
        </w:trPr>
        <w:tc>
          <w:tcPr>
            <w:tcW w:w="765" w:type="dxa"/>
            <w:tcBorders>
              <w:top w:val="nil"/>
              <w:left w:val="single" w:color="auto" w:sz="4" w:space="0"/>
              <w:bottom w:val="single" w:color="auto" w:sz="4" w:space="0"/>
              <w:right w:val="single" w:color="auto" w:sz="4" w:space="0"/>
            </w:tcBorders>
            <w:noWrap/>
            <w:vAlign w:val="center"/>
          </w:tcPr>
          <w:p w14:paraId="2F64A6DF">
            <w:pPr>
              <w:widowControl/>
              <w:jc w:val="center"/>
              <w:rPr>
                <w:rFonts w:ascii="宋体" w:cs="宋体"/>
                <w:color w:val="000000"/>
                <w:kern w:val="0"/>
                <w:sz w:val="18"/>
                <w:szCs w:val="18"/>
              </w:rPr>
            </w:pPr>
            <w:r>
              <w:rPr>
                <w:rFonts w:ascii="宋体" w:hAnsi="宋体" w:cs="宋体"/>
                <w:color w:val="000000"/>
                <w:kern w:val="0"/>
                <w:sz w:val="18"/>
                <w:szCs w:val="18"/>
              </w:rPr>
              <w:t>3</w:t>
            </w:r>
          </w:p>
        </w:tc>
        <w:tc>
          <w:tcPr>
            <w:tcW w:w="1719" w:type="dxa"/>
            <w:tcBorders>
              <w:top w:val="nil"/>
              <w:left w:val="nil"/>
              <w:bottom w:val="single" w:color="auto" w:sz="4" w:space="0"/>
              <w:right w:val="single" w:color="auto" w:sz="4" w:space="0"/>
            </w:tcBorders>
            <w:vAlign w:val="center"/>
          </w:tcPr>
          <w:p w14:paraId="6F4E0AD7">
            <w:pPr>
              <w:widowControl/>
              <w:jc w:val="left"/>
              <w:rPr>
                <w:rFonts w:ascii="宋体" w:cs="宋体"/>
                <w:color w:val="000000"/>
                <w:kern w:val="0"/>
                <w:sz w:val="18"/>
                <w:szCs w:val="18"/>
              </w:rPr>
            </w:pPr>
            <w:r>
              <w:rPr>
                <w:rFonts w:hint="eastAsia" w:ascii="宋体" w:hAnsi="宋体" w:cs="宋体"/>
                <w:color w:val="000000"/>
                <w:kern w:val="0"/>
                <w:sz w:val="18"/>
                <w:szCs w:val="18"/>
              </w:rPr>
              <w:t>2023李村镇拆除北胡庄钰鑫便道砖厂有关费用</w:t>
            </w:r>
          </w:p>
        </w:tc>
        <w:tc>
          <w:tcPr>
            <w:tcW w:w="1500" w:type="dxa"/>
            <w:tcBorders>
              <w:top w:val="nil"/>
              <w:left w:val="nil"/>
              <w:bottom w:val="single" w:color="auto" w:sz="4" w:space="0"/>
              <w:right w:val="single" w:color="auto" w:sz="4" w:space="0"/>
            </w:tcBorders>
            <w:vAlign w:val="center"/>
          </w:tcPr>
          <w:p w14:paraId="1B7673C6">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65CE46A5">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2D1D2B22">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003CDE8A">
            <w:pPr>
              <w:widowControl/>
              <w:jc w:val="right"/>
              <w:rPr>
                <w:rFonts w:ascii="宋体" w:cs="宋体"/>
                <w:color w:val="000000"/>
                <w:kern w:val="0"/>
                <w:sz w:val="18"/>
                <w:szCs w:val="18"/>
              </w:rPr>
            </w:pPr>
            <w:r>
              <w:rPr>
                <w:rFonts w:hint="eastAsia" w:ascii="宋体" w:hAnsi="宋体" w:cs="宋体"/>
                <w:color w:val="000000"/>
                <w:kern w:val="0"/>
                <w:sz w:val="18"/>
                <w:szCs w:val="18"/>
              </w:rPr>
              <w:t>28.59</w:t>
            </w:r>
          </w:p>
        </w:tc>
        <w:tc>
          <w:tcPr>
            <w:tcW w:w="675" w:type="dxa"/>
            <w:tcBorders>
              <w:top w:val="nil"/>
              <w:left w:val="nil"/>
              <w:bottom w:val="single" w:color="auto" w:sz="4" w:space="0"/>
              <w:right w:val="single" w:color="auto" w:sz="4" w:space="0"/>
            </w:tcBorders>
            <w:noWrap/>
            <w:vAlign w:val="center"/>
          </w:tcPr>
          <w:p w14:paraId="146A02B8">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317575D9">
            <w:pPr>
              <w:widowControl/>
              <w:jc w:val="right"/>
              <w:rPr>
                <w:rFonts w:ascii="宋体" w:cs="宋体"/>
                <w:color w:val="000000"/>
                <w:kern w:val="0"/>
                <w:sz w:val="18"/>
                <w:szCs w:val="18"/>
              </w:rPr>
            </w:pPr>
            <w:r>
              <w:rPr>
                <w:rFonts w:hint="eastAsia" w:ascii="宋体" w:hAnsi="宋体" w:cs="宋体"/>
                <w:color w:val="000000"/>
                <w:kern w:val="0"/>
                <w:sz w:val="18"/>
                <w:szCs w:val="18"/>
              </w:rPr>
              <w:t>28.59</w:t>
            </w:r>
          </w:p>
        </w:tc>
        <w:tc>
          <w:tcPr>
            <w:tcW w:w="765" w:type="dxa"/>
            <w:tcBorders>
              <w:top w:val="nil"/>
              <w:left w:val="nil"/>
              <w:bottom w:val="single" w:color="auto" w:sz="4" w:space="0"/>
              <w:right w:val="single" w:color="auto" w:sz="4" w:space="0"/>
            </w:tcBorders>
            <w:noWrap/>
            <w:vAlign w:val="center"/>
          </w:tcPr>
          <w:p w14:paraId="26B191EA">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003D9819">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13BE2FAF">
            <w:pPr>
              <w:widowControl/>
              <w:jc w:val="right"/>
              <w:rPr>
                <w:rFonts w:ascii="宋体" w:cs="宋体"/>
                <w:color w:val="000000"/>
                <w:kern w:val="0"/>
                <w:sz w:val="18"/>
                <w:szCs w:val="18"/>
              </w:rPr>
            </w:pPr>
            <w:r>
              <w:rPr>
                <w:rFonts w:hint="eastAsia" w:ascii="宋体" w:hAnsi="宋体" w:cs="宋体"/>
                <w:color w:val="000000"/>
                <w:kern w:val="0"/>
                <w:sz w:val="18"/>
                <w:szCs w:val="18"/>
              </w:rPr>
              <w:t>100</w:t>
            </w:r>
          </w:p>
        </w:tc>
      </w:tr>
      <w:tr w14:paraId="041B92B3">
        <w:tblPrEx>
          <w:tblCellMar>
            <w:top w:w="0" w:type="dxa"/>
            <w:left w:w="108" w:type="dxa"/>
            <w:bottom w:w="0" w:type="dxa"/>
            <w:right w:w="108" w:type="dxa"/>
          </w:tblCellMar>
        </w:tblPrEx>
        <w:trPr>
          <w:trHeight w:val="1125" w:hRule="atLeast"/>
        </w:trPr>
        <w:tc>
          <w:tcPr>
            <w:tcW w:w="765" w:type="dxa"/>
            <w:tcBorders>
              <w:top w:val="nil"/>
              <w:left w:val="single" w:color="auto" w:sz="4" w:space="0"/>
              <w:bottom w:val="single" w:color="auto" w:sz="4" w:space="0"/>
              <w:right w:val="single" w:color="auto" w:sz="4" w:space="0"/>
            </w:tcBorders>
            <w:noWrap/>
            <w:vAlign w:val="center"/>
          </w:tcPr>
          <w:p w14:paraId="73BCD71A">
            <w:pPr>
              <w:widowControl/>
              <w:jc w:val="center"/>
              <w:rPr>
                <w:rFonts w:ascii="宋体" w:cs="宋体"/>
                <w:color w:val="000000"/>
                <w:kern w:val="0"/>
                <w:sz w:val="18"/>
                <w:szCs w:val="18"/>
              </w:rPr>
            </w:pPr>
            <w:r>
              <w:rPr>
                <w:rFonts w:ascii="宋体" w:hAnsi="宋体" w:cs="宋体"/>
                <w:color w:val="000000"/>
                <w:kern w:val="0"/>
                <w:sz w:val="18"/>
                <w:szCs w:val="18"/>
              </w:rPr>
              <w:t>4</w:t>
            </w:r>
          </w:p>
        </w:tc>
        <w:tc>
          <w:tcPr>
            <w:tcW w:w="1719" w:type="dxa"/>
            <w:tcBorders>
              <w:top w:val="nil"/>
              <w:left w:val="nil"/>
              <w:bottom w:val="single" w:color="auto" w:sz="4" w:space="0"/>
              <w:right w:val="single" w:color="auto" w:sz="4" w:space="0"/>
            </w:tcBorders>
            <w:vAlign w:val="center"/>
          </w:tcPr>
          <w:p w14:paraId="3F7E1AA6">
            <w:pPr>
              <w:widowControl/>
              <w:jc w:val="left"/>
              <w:rPr>
                <w:rFonts w:ascii="宋体" w:cs="宋体"/>
                <w:color w:val="000000"/>
                <w:kern w:val="0"/>
                <w:sz w:val="18"/>
                <w:szCs w:val="18"/>
              </w:rPr>
            </w:pPr>
            <w:r>
              <w:rPr>
                <w:rFonts w:ascii="宋体" w:hAnsi="宋体" w:cs="宋体"/>
                <w:color w:val="000000"/>
                <w:kern w:val="0"/>
                <w:sz w:val="18"/>
                <w:szCs w:val="18"/>
              </w:rPr>
              <w:t>2023</w:t>
            </w:r>
            <w:r>
              <w:rPr>
                <w:rFonts w:hint="eastAsia" w:ascii="宋体" w:hAnsi="宋体" w:cs="宋体"/>
                <w:color w:val="000000"/>
                <w:kern w:val="0"/>
                <w:sz w:val="18"/>
                <w:szCs w:val="18"/>
              </w:rPr>
              <w:t>年区级石津干渠截导流工程后续管理资金</w:t>
            </w:r>
          </w:p>
        </w:tc>
        <w:tc>
          <w:tcPr>
            <w:tcW w:w="1500" w:type="dxa"/>
            <w:tcBorders>
              <w:top w:val="nil"/>
              <w:left w:val="nil"/>
              <w:bottom w:val="single" w:color="auto" w:sz="4" w:space="0"/>
              <w:right w:val="single" w:color="auto" w:sz="4" w:space="0"/>
            </w:tcBorders>
            <w:vAlign w:val="center"/>
          </w:tcPr>
          <w:p w14:paraId="56C6C8B1">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2AEF576A">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062ACF6D">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1804E689">
            <w:pPr>
              <w:widowControl/>
              <w:jc w:val="right"/>
              <w:rPr>
                <w:rFonts w:ascii="宋体" w:cs="宋体"/>
                <w:color w:val="000000"/>
                <w:kern w:val="0"/>
                <w:sz w:val="18"/>
                <w:szCs w:val="18"/>
              </w:rPr>
            </w:pPr>
            <w:r>
              <w:rPr>
                <w:rFonts w:ascii="宋体" w:hAnsi="宋体" w:cs="宋体"/>
                <w:color w:val="000000"/>
                <w:kern w:val="0"/>
                <w:sz w:val="18"/>
                <w:szCs w:val="18"/>
              </w:rPr>
              <w:t>22.35</w:t>
            </w:r>
          </w:p>
        </w:tc>
        <w:tc>
          <w:tcPr>
            <w:tcW w:w="675" w:type="dxa"/>
            <w:tcBorders>
              <w:top w:val="nil"/>
              <w:left w:val="nil"/>
              <w:bottom w:val="single" w:color="auto" w:sz="4" w:space="0"/>
              <w:right w:val="single" w:color="auto" w:sz="4" w:space="0"/>
            </w:tcBorders>
            <w:noWrap/>
            <w:vAlign w:val="center"/>
          </w:tcPr>
          <w:p w14:paraId="6FE057BB">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038AC4C7">
            <w:pPr>
              <w:widowControl/>
              <w:jc w:val="right"/>
              <w:rPr>
                <w:rFonts w:ascii="宋体" w:cs="宋体"/>
                <w:color w:val="000000"/>
                <w:kern w:val="0"/>
                <w:sz w:val="18"/>
                <w:szCs w:val="18"/>
              </w:rPr>
            </w:pPr>
            <w:r>
              <w:rPr>
                <w:rFonts w:ascii="宋体" w:hAnsi="宋体" w:cs="宋体"/>
                <w:color w:val="000000"/>
                <w:kern w:val="0"/>
                <w:sz w:val="18"/>
                <w:szCs w:val="18"/>
              </w:rPr>
              <w:t>22.35</w:t>
            </w:r>
          </w:p>
        </w:tc>
        <w:tc>
          <w:tcPr>
            <w:tcW w:w="765" w:type="dxa"/>
            <w:tcBorders>
              <w:top w:val="nil"/>
              <w:left w:val="nil"/>
              <w:bottom w:val="single" w:color="auto" w:sz="4" w:space="0"/>
              <w:right w:val="single" w:color="auto" w:sz="4" w:space="0"/>
            </w:tcBorders>
            <w:noWrap/>
            <w:vAlign w:val="center"/>
          </w:tcPr>
          <w:p w14:paraId="7F86EFA0">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3F65272C">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39AED388">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01FF4D03">
        <w:tblPrEx>
          <w:tblCellMar>
            <w:top w:w="0" w:type="dxa"/>
            <w:left w:w="108" w:type="dxa"/>
            <w:bottom w:w="0" w:type="dxa"/>
            <w:right w:w="108" w:type="dxa"/>
          </w:tblCellMar>
        </w:tblPrEx>
        <w:trPr>
          <w:trHeight w:val="1095" w:hRule="atLeast"/>
        </w:trPr>
        <w:tc>
          <w:tcPr>
            <w:tcW w:w="765" w:type="dxa"/>
            <w:tcBorders>
              <w:top w:val="nil"/>
              <w:left w:val="single" w:color="auto" w:sz="4" w:space="0"/>
              <w:bottom w:val="single" w:color="auto" w:sz="4" w:space="0"/>
              <w:right w:val="single" w:color="auto" w:sz="4" w:space="0"/>
            </w:tcBorders>
            <w:noWrap/>
            <w:vAlign w:val="center"/>
          </w:tcPr>
          <w:p w14:paraId="1BCF0718">
            <w:pPr>
              <w:widowControl/>
              <w:jc w:val="center"/>
              <w:rPr>
                <w:rFonts w:ascii="宋体" w:cs="宋体"/>
                <w:color w:val="000000"/>
                <w:kern w:val="0"/>
                <w:sz w:val="18"/>
                <w:szCs w:val="18"/>
              </w:rPr>
            </w:pPr>
            <w:r>
              <w:rPr>
                <w:rFonts w:ascii="宋体" w:hAnsi="宋体" w:cs="宋体"/>
                <w:color w:val="000000"/>
                <w:kern w:val="0"/>
                <w:sz w:val="18"/>
                <w:szCs w:val="18"/>
              </w:rPr>
              <w:t>5</w:t>
            </w:r>
          </w:p>
        </w:tc>
        <w:tc>
          <w:tcPr>
            <w:tcW w:w="1719" w:type="dxa"/>
            <w:tcBorders>
              <w:top w:val="nil"/>
              <w:left w:val="nil"/>
              <w:bottom w:val="single" w:color="auto" w:sz="4" w:space="0"/>
              <w:right w:val="single" w:color="auto" w:sz="4" w:space="0"/>
            </w:tcBorders>
            <w:vAlign w:val="center"/>
          </w:tcPr>
          <w:p w14:paraId="1E957868">
            <w:pPr>
              <w:widowControl/>
              <w:jc w:val="left"/>
              <w:rPr>
                <w:rFonts w:ascii="宋体" w:cs="宋体"/>
                <w:color w:val="000000"/>
                <w:kern w:val="0"/>
                <w:sz w:val="18"/>
                <w:szCs w:val="18"/>
              </w:rPr>
            </w:pPr>
            <w:r>
              <w:rPr>
                <w:rFonts w:ascii="宋体" w:hAnsi="宋体" w:cs="宋体"/>
                <w:color w:val="000000"/>
                <w:kern w:val="0"/>
                <w:sz w:val="18"/>
                <w:szCs w:val="18"/>
              </w:rPr>
              <w:t>2023</w:t>
            </w:r>
            <w:r>
              <w:rPr>
                <w:rFonts w:hint="eastAsia" w:ascii="宋体" w:hAnsi="宋体" w:cs="宋体"/>
                <w:color w:val="000000"/>
                <w:kern w:val="0"/>
                <w:sz w:val="18"/>
                <w:szCs w:val="18"/>
              </w:rPr>
              <w:t>年区级双同路同阁铁路段道路提升资金</w:t>
            </w:r>
          </w:p>
        </w:tc>
        <w:tc>
          <w:tcPr>
            <w:tcW w:w="1500" w:type="dxa"/>
            <w:tcBorders>
              <w:top w:val="nil"/>
              <w:left w:val="nil"/>
              <w:bottom w:val="single" w:color="auto" w:sz="4" w:space="0"/>
              <w:right w:val="single" w:color="auto" w:sz="4" w:space="0"/>
            </w:tcBorders>
            <w:vAlign w:val="center"/>
          </w:tcPr>
          <w:p w14:paraId="08DB09DB">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2AF1B96A">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50ABB400">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510F6502">
            <w:pPr>
              <w:widowControl/>
              <w:jc w:val="right"/>
              <w:rPr>
                <w:rFonts w:ascii="宋体" w:cs="宋体"/>
                <w:color w:val="000000"/>
                <w:kern w:val="0"/>
                <w:sz w:val="18"/>
                <w:szCs w:val="18"/>
              </w:rPr>
            </w:pPr>
            <w:r>
              <w:rPr>
                <w:rFonts w:ascii="宋体" w:hAnsi="宋体" w:cs="宋体"/>
                <w:color w:val="000000"/>
                <w:kern w:val="0"/>
                <w:sz w:val="18"/>
                <w:szCs w:val="18"/>
              </w:rPr>
              <w:t>30</w:t>
            </w:r>
          </w:p>
        </w:tc>
        <w:tc>
          <w:tcPr>
            <w:tcW w:w="675" w:type="dxa"/>
            <w:tcBorders>
              <w:top w:val="nil"/>
              <w:left w:val="nil"/>
              <w:bottom w:val="single" w:color="auto" w:sz="4" w:space="0"/>
              <w:right w:val="single" w:color="auto" w:sz="4" w:space="0"/>
            </w:tcBorders>
            <w:noWrap/>
            <w:vAlign w:val="center"/>
          </w:tcPr>
          <w:p w14:paraId="187B2653">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1A00CEE7">
            <w:pPr>
              <w:widowControl/>
              <w:jc w:val="right"/>
              <w:rPr>
                <w:rFonts w:ascii="宋体" w:cs="宋体"/>
                <w:color w:val="000000"/>
                <w:kern w:val="0"/>
                <w:sz w:val="18"/>
                <w:szCs w:val="18"/>
              </w:rPr>
            </w:pPr>
            <w:r>
              <w:rPr>
                <w:rFonts w:ascii="宋体" w:hAnsi="宋体" w:cs="宋体"/>
                <w:color w:val="000000"/>
                <w:kern w:val="0"/>
                <w:sz w:val="18"/>
                <w:szCs w:val="18"/>
              </w:rPr>
              <w:t>30</w:t>
            </w:r>
          </w:p>
        </w:tc>
        <w:tc>
          <w:tcPr>
            <w:tcW w:w="765" w:type="dxa"/>
            <w:tcBorders>
              <w:top w:val="nil"/>
              <w:left w:val="nil"/>
              <w:bottom w:val="single" w:color="auto" w:sz="4" w:space="0"/>
              <w:right w:val="single" w:color="auto" w:sz="4" w:space="0"/>
            </w:tcBorders>
            <w:noWrap/>
            <w:vAlign w:val="center"/>
          </w:tcPr>
          <w:p w14:paraId="0EAF91A4">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02671408">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768F9177">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77E40635">
        <w:tblPrEx>
          <w:tblCellMar>
            <w:top w:w="0" w:type="dxa"/>
            <w:left w:w="108" w:type="dxa"/>
            <w:bottom w:w="0" w:type="dxa"/>
            <w:right w:w="108" w:type="dxa"/>
          </w:tblCellMar>
        </w:tblPrEx>
        <w:trPr>
          <w:trHeight w:val="1095" w:hRule="atLeast"/>
        </w:trPr>
        <w:tc>
          <w:tcPr>
            <w:tcW w:w="765" w:type="dxa"/>
            <w:tcBorders>
              <w:top w:val="nil"/>
              <w:left w:val="single" w:color="auto" w:sz="4" w:space="0"/>
              <w:bottom w:val="single" w:color="auto" w:sz="4" w:space="0"/>
              <w:right w:val="single" w:color="auto" w:sz="4" w:space="0"/>
            </w:tcBorders>
            <w:noWrap/>
            <w:vAlign w:val="center"/>
          </w:tcPr>
          <w:p w14:paraId="4696205F">
            <w:pPr>
              <w:widowControl/>
              <w:jc w:val="center"/>
              <w:rPr>
                <w:rFonts w:ascii="宋体" w:cs="宋体"/>
                <w:color w:val="000000"/>
                <w:kern w:val="0"/>
                <w:sz w:val="18"/>
                <w:szCs w:val="18"/>
              </w:rPr>
            </w:pPr>
            <w:r>
              <w:rPr>
                <w:rFonts w:ascii="宋体" w:hAnsi="宋体" w:cs="宋体"/>
                <w:color w:val="000000"/>
                <w:kern w:val="0"/>
                <w:sz w:val="18"/>
                <w:szCs w:val="18"/>
              </w:rPr>
              <w:t>6</w:t>
            </w:r>
          </w:p>
        </w:tc>
        <w:tc>
          <w:tcPr>
            <w:tcW w:w="1719" w:type="dxa"/>
            <w:tcBorders>
              <w:top w:val="nil"/>
              <w:left w:val="nil"/>
              <w:bottom w:val="single" w:color="auto" w:sz="4" w:space="0"/>
              <w:right w:val="single" w:color="auto" w:sz="4" w:space="0"/>
            </w:tcBorders>
            <w:vAlign w:val="center"/>
          </w:tcPr>
          <w:p w14:paraId="2E5F229F">
            <w:pPr>
              <w:widowControl/>
              <w:jc w:val="left"/>
              <w:rPr>
                <w:rFonts w:ascii="宋体" w:cs="宋体"/>
                <w:color w:val="000000"/>
                <w:kern w:val="0"/>
                <w:sz w:val="18"/>
                <w:szCs w:val="18"/>
              </w:rPr>
            </w:pPr>
            <w:r>
              <w:rPr>
                <w:rFonts w:hint="eastAsia" w:ascii="宋体" w:hAnsi="宋体" w:cs="宋体"/>
                <w:color w:val="000000"/>
                <w:kern w:val="0"/>
                <w:sz w:val="18"/>
                <w:szCs w:val="18"/>
              </w:rPr>
              <w:t>李村镇人民政府智慧物流园社会保险费</w:t>
            </w:r>
          </w:p>
        </w:tc>
        <w:tc>
          <w:tcPr>
            <w:tcW w:w="1500" w:type="dxa"/>
            <w:tcBorders>
              <w:top w:val="nil"/>
              <w:left w:val="nil"/>
              <w:bottom w:val="single" w:color="auto" w:sz="4" w:space="0"/>
              <w:right w:val="single" w:color="auto" w:sz="4" w:space="0"/>
            </w:tcBorders>
            <w:vAlign w:val="center"/>
          </w:tcPr>
          <w:p w14:paraId="258E18FD">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29425B0B">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1A876DC3">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2565ECF2">
            <w:pPr>
              <w:widowControl/>
              <w:jc w:val="right"/>
              <w:rPr>
                <w:rFonts w:ascii="宋体" w:cs="宋体"/>
                <w:color w:val="000000"/>
                <w:kern w:val="0"/>
                <w:sz w:val="18"/>
                <w:szCs w:val="18"/>
              </w:rPr>
            </w:pPr>
            <w:r>
              <w:rPr>
                <w:rFonts w:hint="eastAsia" w:ascii="宋体" w:hAnsi="宋体" w:cs="宋体"/>
                <w:color w:val="000000"/>
                <w:kern w:val="0"/>
                <w:sz w:val="18"/>
                <w:szCs w:val="18"/>
              </w:rPr>
              <w:t>14.47</w:t>
            </w:r>
          </w:p>
        </w:tc>
        <w:tc>
          <w:tcPr>
            <w:tcW w:w="675" w:type="dxa"/>
            <w:tcBorders>
              <w:top w:val="nil"/>
              <w:left w:val="nil"/>
              <w:bottom w:val="single" w:color="auto" w:sz="4" w:space="0"/>
              <w:right w:val="single" w:color="auto" w:sz="4" w:space="0"/>
            </w:tcBorders>
            <w:noWrap/>
            <w:vAlign w:val="center"/>
          </w:tcPr>
          <w:p w14:paraId="02007EEE">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6820D51D">
            <w:pPr>
              <w:widowControl/>
              <w:jc w:val="right"/>
              <w:rPr>
                <w:rFonts w:ascii="宋体" w:cs="宋体"/>
                <w:color w:val="000000"/>
                <w:kern w:val="0"/>
                <w:sz w:val="18"/>
                <w:szCs w:val="18"/>
              </w:rPr>
            </w:pPr>
            <w:r>
              <w:rPr>
                <w:rFonts w:hint="eastAsia" w:ascii="宋体" w:hAnsi="宋体" w:cs="宋体"/>
                <w:color w:val="000000"/>
                <w:kern w:val="0"/>
                <w:sz w:val="18"/>
                <w:szCs w:val="18"/>
              </w:rPr>
              <w:t>14.47</w:t>
            </w:r>
          </w:p>
        </w:tc>
        <w:tc>
          <w:tcPr>
            <w:tcW w:w="765" w:type="dxa"/>
            <w:tcBorders>
              <w:top w:val="nil"/>
              <w:left w:val="nil"/>
              <w:bottom w:val="single" w:color="auto" w:sz="4" w:space="0"/>
              <w:right w:val="single" w:color="auto" w:sz="4" w:space="0"/>
            </w:tcBorders>
            <w:noWrap/>
            <w:vAlign w:val="center"/>
          </w:tcPr>
          <w:p w14:paraId="497C0883">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31332636">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3232DBCF">
            <w:pPr>
              <w:widowControl/>
              <w:jc w:val="right"/>
              <w:rPr>
                <w:rFonts w:ascii="宋体" w:cs="宋体"/>
                <w:color w:val="000000"/>
                <w:kern w:val="0"/>
                <w:sz w:val="18"/>
                <w:szCs w:val="18"/>
              </w:rPr>
            </w:pPr>
            <w:r>
              <w:rPr>
                <w:rFonts w:hint="eastAsia" w:ascii="宋体" w:hAnsi="宋体" w:cs="宋体"/>
                <w:color w:val="000000"/>
                <w:kern w:val="0"/>
                <w:sz w:val="18"/>
                <w:szCs w:val="18"/>
              </w:rPr>
              <w:t>100</w:t>
            </w:r>
          </w:p>
        </w:tc>
      </w:tr>
      <w:tr w14:paraId="7CF77BA7">
        <w:tblPrEx>
          <w:tblCellMar>
            <w:top w:w="0" w:type="dxa"/>
            <w:left w:w="108" w:type="dxa"/>
            <w:bottom w:w="0" w:type="dxa"/>
            <w:right w:w="108" w:type="dxa"/>
          </w:tblCellMar>
        </w:tblPrEx>
        <w:trPr>
          <w:trHeight w:val="1005" w:hRule="atLeast"/>
        </w:trPr>
        <w:tc>
          <w:tcPr>
            <w:tcW w:w="765" w:type="dxa"/>
            <w:tcBorders>
              <w:top w:val="nil"/>
              <w:left w:val="single" w:color="auto" w:sz="4" w:space="0"/>
              <w:bottom w:val="single" w:color="auto" w:sz="4" w:space="0"/>
              <w:right w:val="single" w:color="auto" w:sz="4" w:space="0"/>
            </w:tcBorders>
            <w:noWrap/>
            <w:vAlign w:val="center"/>
          </w:tcPr>
          <w:p w14:paraId="40B98490">
            <w:pPr>
              <w:widowControl/>
              <w:jc w:val="center"/>
              <w:rPr>
                <w:rFonts w:ascii="宋体" w:cs="宋体"/>
                <w:color w:val="000000"/>
                <w:kern w:val="0"/>
                <w:sz w:val="18"/>
                <w:szCs w:val="18"/>
              </w:rPr>
            </w:pPr>
            <w:r>
              <w:rPr>
                <w:rFonts w:ascii="宋体" w:hAnsi="宋体" w:cs="宋体"/>
                <w:color w:val="000000"/>
                <w:kern w:val="0"/>
                <w:sz w:val="18"/>
                <w:szCs w:val="18"/>
              </w:rPr>
              <w:t>7</w:t>
            </w:r>
          </w:p>
        </w:tc>
        <w:tc>
          <w:tcPr>
            <w:tcW w:w="1719" w:type="dxa"/>
            <w:tcBorders>
              <w:top w:val="nil"/>
              <w:left w:val="nil"/>
              <w:bottom w:val="single" w:color="auto" w:sz="4" w:space="0"/>
              <w:right w:val="single" w:color="auto" w:sz="4" w:space="0"/>
            </w:tcBorders>
            <w:vAlign w:val="center"/>
          </w:tcPr>
          <w:p w14:paraId="589FEC80">
            <w:pPr>
              <w:widowControl/>
              <w:jc w:val="left"/>
              <w:rPr>
                <w:rFonts w:ascii="宋体" w:cs="宋体"/>
                <w:color w:val="000000"/>
                <w:kern w:val="0"/>
                <w:sz w:val="18"/>
                <w:szCs w:val="18"/>
              </w:rPr>
            </w:pPr>
            <w:r>
              <w:rPr>
                <w:rFonts w:hint="eastAsia" w:ascii="宋体" w:hAnsi="宋体" w:cs="宋体"/>
                <w:color w:val="000000"/>
                <w:kern w:val="0"/>
                <w:sz w:val="18"/>
                <w:szCs w:val="18"/>
              </w:rPr>
              <w:t>李村镇太行智慧冷链物流园项目相关费用</w:t>
            </w:r>
          </w:p>
        </w:tc>
        <w:tc>
          <w:tcPr>
            <w:tcW w:w="1500" w:type="dxa"/>
            <w:tcBorders>
              <w:top w:val="nil"/>
              <w:left w:val="nil"/>
              <w:bottom w:val="single" w:color="auto" w:sz="4" w:space="0"/>
              <w:right w:val="single" w:color="auto" w:sz="4" w:space="0"/>
            </w:tcBorders>
            <w:vAlign w:val="center"/>
          </w:tcPr>
          <w:p w14:paraId="361D32CD">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224D89B3">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64908B10">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5E4AFB58">
            <w:pPr>
              <w:widowControl/>
              <w:jc w:val="right"/>
              <w:rPr>
                <w:rFonts w:ascii="宋体" w:cs="宋体"/>
                <w:color w:val="000000"/>
                <w:kern w:val="0"/>
                <w:sz w:val="18"/>
                <w:szCs w:val="18"/>
              </w:rPr>
            </w:pPr>
            <w:r>
              <w:rPr>
                <w:rFonts w:hint="eastAsia" w:ascii="宋体" w:hAnsi="宋体" w:cs="宋体"/>
                <w:color w:val="000000"/>
                <w:kern w:val="0"/>
                <w:sz w:val="18"/>
                <w:szCs w:val="18"/>
              </w:rPr>
              <w:t>602.25</w:t>
            </w:r>
          </w:p>
        </w:tc>
        <w:tc>
          <w:tcPr>
            <w:tcW w:w="675" w:type="dxa"/>
            <w:tcBorders>
              <w:top w:val="nil"/>
              <w:left w:val="nil"/>
              <w:bottom w:val="single" w:color="auto" w:sz="4" w:space="0"/>
              <w:right w:val="single" w:color="auto" w:sz="4" w:space="0"/>
            </w:tcBorders>
            <w:noWrap/>
            <w:vAlign w:val="center"/>
          </w:tcPr>
          <w:p w14:paraId="6A67A318">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3166D5CE">
            <w:pPr>
              <w:widowControl/>
              <w:jc w:val="right"/>
              <w:rPr>
                <w:rFonts w:ascii="宋体" w:cs="宋体"/>
                <w:color w:val="000000"/>
                <w:kern w:val="0"/>
                <w:sz w:val="18"/>
                <w:szCs w:val="18"/>
              </w:rPr>
            </w:pPr>
            <w:r>
              <w:rPr>
                <w:rFonts w:hint="eastAsia" w:ascii="宋体" w:hAnsi="宋体" w:cs="宋体"/>
                <w:color w:val="000000"/>
                <w:kern w:val="0"/>
                <w:sz w:val="18"/>
                <w:szCs w:val="18"/>
              </w:rPr>
              <w:t>602.25</w:t>
            </w:r>
          </w:p>
        </w:tc>
        <w:tc>
          <w:tcPr>
            <w:tcW w:w="765" w:type="dxa"/>
            <w:tcBorders>
              <w:top w:val="nil"/>
              <w:left w:val="nil"/>
              <w:bottom w:val="single" w:color="auto" w:sz="4" w:space="0"/>
              <w:right w:val="single" w:color="auto" w:sz="4" w:space="0"/>
            </w:tcBorders>
            <w:noWrap/>
            <w:vAlign w:val="center"/>
          </w:tcPr>
          <w:p w14:paraId="2E9E22A8">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1ABEB01D">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40AB20C5">
            <w:pPr>
              <w:widowControl/>
              <w:jc w:val="right"/>
              <w:rPr>
                <w:rFonts w:ascii="宋体" w:cs="宋体"/>
                <w:color w:val="000000"/>
                <w:kern w:val="0"/>
                <w:sz w:val="18"/>
                <w:szCs w:val="18"/>
              </w:rPr>
            </w:pPr>
            <w:r>
              <w:rPr>
                <w:rFonts w:hint="eastAsia" w:ascii="宋体" w:hAnsi="宋体" w:cs="宋体"/>
                <w:color w:val="000000"/>
                <w:kern w:val="0"/>
                <w:sz w:val="18"/>
                <w:szCs w:val="18"/>
              </w:rPr>
              <w:t>100</w:t>
            </w:r>
          </w:p>
        </w:tc>
      </w:tr>
      <w:tr w14:paraId="12FDE602">
        <w:tblPrEx>
          <w:tblCellMar>
            <w:top w:w="0" w:type="dxa"/>
            <w:left w:w="108" w:type="dxa"/>
            <w:bottom w:w="0" w:type="dxa"/>
            <w:right w:w="108" w:type="dxa"/>
          </w:tblCellMar>
        </w:tblPrEx>
        <w:trPr>
          <w:trHeight w:val="1005" w:hRule="atLeast"/>
        </w:trPr>
        <w:tc>
          <w:tcPr>
            <w:tcW w:w="765" w:type="dxa"/>
            <w:tcBorders>
              <w:top w:val="nil"/>
              <w:left w:val="single" w:color="auto" w:sz="4" w:space="0"/>
              <w:bottom w:val="single" w:color="auto" w:sz="4" w:space="0"/>
              <w:right w:val="single" w:color="auto" w:sz="4" w:space="0"/>
            </w:tcBorders>
            <w:noWrap/>
            <w:vAlign w:val="center"/>
          </w:tcPr>
          <w:p w14:paraId="392B8A60">
            <w:pPr>
              <w:widowControl/>
              <w:jc w:val="center"/>
              <w:rPr>
                <w:rFonts w:ascii="宋体" w:cs="宋体"/>
                <w:color w:val="000000"/>
                <w:kern w:val="0"/>
                <w:sz w:val="18"/>
                <w:szCs w:val="18"/>
              </w:rPr>
            </w:pPr>
            <w:r>
              <w:rPr>
                <w:rFonts w:ascii="宋体" w:hAnsi="宋体" w:cs="宋体"/>
                <w:color w:val="000000"/>
                <w:kern w:val="0"/>
                <w:sz w:val="18"/>
                <w:szCs w:val="18"/>
              </w:rPr>
              <w:t>8</w:t>
            </w:r>
          </w:p>
        </w:tc>
        <w:tc>
          <w:tcPr>
            <w:tcW w:w="1719" w:type="dxa"/>
            <w:tcBorders>
              <w:top w:val="nil"/>
              <w:left w:val="nil"/>
              <w:bottom w:val="single" w:color="auto" w:sz="4" w:space="0"/>
              <w:right w:val="single" w:color="auto" w:sz="4" w:space="0"/>
            </w:tcBorders>
            <w:vAlign w:val="center"/>
          </w:tcPr>
          <w:p w14:paraId="49324478">
            <w:pPr>
              <w:widowControl/>
              <w:jc w:val="left"/>
              <w:rPr>
                <w:rFonts w:ascii="宋体" w:cs="宋体"/>
                <w:color w:val="000000"/>
                <w:kern w:val="0"/>
                <w:sz w:val="18"/>
                <w:szCs w:val="18"/>
              </w:rPr>
            </w:pPr>
            <w:r>
              <w:rPr>
                <w:rFonts w:hint="eastAsia" w:ascii="宋体" w:hAnsi="宋体" w:cs="宋体"/>
                <w:color w:val="000000"/>
                <w:kern w:val="0"/>
                <w:sz w:val="18"/>
                <w:szCs w:val="18"/>
              </w:rPr>
              <w:t>智慧物流园地块清理平整物料费用</w:t>
            </w:r>
          </w:p>
        </w:tc>
        <w:tc>
          <w:tcPr>
            <w:tcW w:w="1500" w:type="dxa"/>
            <w:tcBorders>
              <w:top w:val="nil"/>
              <w:left w:val="nil"/>
              <w:bottom w:val="single" w:color="auto" w:sz="4" w:space="0"/>
              <w:right w:val="single" w:color="auto" w:sz="4" w:space="0"/>
            </w:tcBorders>
            <w:vAlign w:val="center"/>
          </w:tcPr>
          <w:p w14:paraId="08596208">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7D50B334">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7A7887CE">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21371299">
            <w:pPr>
              <w:widowControl/>
              <w:jc w:val="right"/>
              <w:rPr>
                <w:rFonts w:ascii="宋体" w:cs="宋体"/>
                <w:color w:val="000000"/>
                <w:kern w:val="0"/>
                <w:sz w:val="18"/>
                <w:szCs w:val="18"/>
              </w:rPr>
            </w:pPr>
            <w:r>
              <w:rPr>
                <w:rFonts w:hint="eastAsia" w:ascii="宋体" w:hAnsi="宋体" w:cs="宋体"/>
                <w:color w:val="000000"/>
                <w:kern w:val="0"/>
                <w:sz w:val="18"/>
                <w:szCs w:val="18"/>
              </w:rPr>
              <w:t>15.17</w:t>
            </w:r>
          </w:p>
        </w:tc>
        <w:tc>
          <w:tcPr>
            <w:tcW w:w="675" w:type="dxa"/>
            <w:tcBorders>
              <w:top w:val="nil"/>
              <w:left w:val="nil"/>
              <w:bottom w:val="single" w:color="auto" w:sz="4" w:space="0"/>
              <w:right w:val="single" w:color="auto" w:sz="4" w:space="0"/>
            </w:tcBorders>
            <w:noWrap/>
            <w:vAlign w:val="center"/>
          </w:tcPr>
          <w:p w14:paraId="46BF552A">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4C472697">
            <w:pPr>
              <w:widowControl/>
              <w:jc w:val="right"/>
              <w:rPr>
                <w:rFonts w:ascii="宋体" w:cs="宋体"/>
                <w:color w:val="000000"/>
                <w:kern w:val="0"/>
                <w:sz w:val="18"/>
                <w:szCs w:val="18"/>
              </w:rPr>
            </w:pPr>
            <w:r>
              <w:rPr>
                <w:rFonts w:hint="eastAsia" w:ascii="宋体" w:hAnsi="宋体" w:cs="宋体"/>
                <w:color w:val="000000"/>
                <w:kern w:val="0"/>
                <w:sz w:val="18"/>
                <w:szCs w:val="18"/>
              </w:rPr>
              <w:t>15.17</w:t>
            </w:r>
          </w:p>
        </w:tc>
        <w:tc>
          <w:tcPr>
            <w:tcW w:w="765" w:type="dxa"/>
            <w:tcBorders>
              <w:top w:val="nil"/>
              <w:left w:val="nil"/>
              <w:bottom w:val="single" w:color="auto" w:sz="4" w:space="0"/>
              <w:right w:val="single" w:color="auto" w:sz="4" w:space="0"/>
            </w:tcBorders>
            <w:noWrap/>
            <w:vAlign w:val="center"/>
          </w:tcPr>
          <w:p w14:paraId="700756E0">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27025000">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7984668F">
            <w:pPr>
              <w:widowControl/>
              <w:jc w:val="right"/>
              <w:rPr>
                <w:rFonts w:ascii="宋体" w:cs="宋体"/>
                <w:color w:val="000000"/>
                <w:kern w:val="0"/>
                <w:sz w:val="18"/>
                <w:szCs w:val="18"/>
              </w:rPr>
            </w:pPr>
            <w:r>
              <w:rPr>
                <w:rFonts w:hint="eastAsia" w:ascii="宋体" w:hAnsi="宋体" w:cs="宋体"/>
                <w:color w:val="000000"/>
                <w:kern w:val="0"/>
                <w:sz w:val="18"/>
                <w:szCs w:val="18"/>
              </w:rPr>
              <w:t>100</w:t>
            </w:r>
          </w:p>
        </w:tc>
      </w:tr>
      <w:tr w14:paraId="73B79848">
        <w:tblPrEx>
          <w:tblCellMar>
            <w:top w:w="0" w:type="dxa"/>
            <w:left w:w="108" w:type="dxa"/>
            <w:bottom w:w="0" w:type="dxa"/>
            <w:right w:w="108" w:type="dxa"/>
          </w:tblCellMar>
        </w:tblPrEx>
        <w:trPr>
          <w:trHeight w:val="810" w:hRule="atLeast"/>
        </w:trPr>
        <w:tc>
          <w:tcPr>
            <w:tcW w:w="765" w:type="dxa"/>
            <w:tcBorders>
              <w:top w:val="nil"/>
              <w:left w:val="single" w:color="auto" w:sz="4" w:space="0"/>
              <w:bottom w:val="single" w:color="auto" w:sz="4" w:space="0"/>
              <w:right w:val="single" w:color="auto" w:sz="4" w:space="0"/>
            </w:tcBorders>
            <w:noWrap/>
            <w:vAlign w:val="center"/>
          </w:tcPr>
          <w:p w14:paraId="014634E4">
            <w:pPr>
              <w:widowControl/>
              <w:jc w:val="center"/>
              <w:rPr>
                <w:rFonts w:ascii="宋体" w:cs="宋体"/>
                <w:color w:val="000000"/>
                <w:kern w:val="0"/>
                <w:sz w:val="18"/>
                <w:szCs w:val="18"/>
              </w:rPr>
            </w:pPr>
            <w:r>
              <w:rPr>
                <w:rFonts w:ascii="宋体" w:hAnsi="宋体" w:cs="宋体"/>
                <w:color w:val="000000"/>
                <w:kern w:val="0"/>
                <w:sz w:val="18"/>
                <w:szCs w:val="18"/>
              </w:rPr>
              <w:t>9</w:t>
            </w:r>
          </w:p>
        </w:tc>
        <w:tc>
          <w:tcPr>
            <w:tcW w:w="1719" w:type="dxa"/>
            <w:tcBorders>
              <w:top w:val="nil"/>
              <w:left w:val="nil"/>
              <w:bottom w:val="single" w:color="auto" w:sz="4" w:space="0"/>
              <w:right w:val="single" w:color="auto" w:sz="4" w:space="0"/>
            </w:tcBorders>
            <w:vAlign w:val="center"/>
          </w:tcPr>
          <w:p w14:paraId="66B46134">
            <w:pPr>
              <w:widowControl/>
              <w:jc w:val="left"/>
              <w:rPr>
                <w:rFonts w:ascii="宋体" w:cs="宋体"/>
                <w:color w:val="000000"/>
                <w:kern w:val="0"/>
                <w:sz w:val="18"/>
                <w:szCs w:val="18"/>
              </w:rPr>
            </w:pPr>
            <w:r>
              <w:rPr>
                <w:rFonts w:ascii="宋体" w:hAnsi="宋体" w:cs="宋体"/>
                <w:color w:val="000000"/>
                <w:kern w:val="0"/>
                <w:sz w:val="18"/>
                <w:szCs w:val="18"/>
              </w:rPr>
              <w:t>2023</w:t>
            </w:r>
            <w:r>
              <w:rPr>
                <w:rFonts w:hint="eastAsia" w:ascii="宋体" w:hAnsi="宋体" w:cs="宋体"/>
                <w:color w:val="000000"/>
                <w:kern w:val="0"/>
                <w:sz w:val="18"/>
                <w:szCs w:val="18"/>
              </w:rPr>
              <w:t>年区级退役军人工资</w:t>
            </w:r>
          </w:p>
        </w:tc>
        <w:tc>
          <w:tcPr>
            <w:tcW w:w="1500" w:type="dxa"/>
            <w:tcBorders>
              <w:top w:val="nil"/>
              <w:left w:val="nil"/>
              <w:bottom w:val="single" w:color="auto" w:sz="4" w:space="0"/>
              <w:right w:val="single" w:color="auto" w:sz="4" w:space="0"/>
            </w:tcBorders>
            <w:vAlign w:val="center"/>
          </w:tcPr>
          <w:p w14:paraId="2D3E6298">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70B18DC0">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51D414E3">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5F4F1752">
            <w:pPr>
              <w:widowControl/>
              <w:jc w:val="right"/>
              <w:rPr>
                <w:rFonts w:ascii="宋体" w:cs="宋体"/>
                <w:color w:val="000000"/>
                <w:kern w:val="0"/>
                <w:sz w:val="18"/>
                <w:szCs w:val="18"/>
              </w:rPr>
            </w:pPr>
            <w:r>
              <w:rPr>
                <w:rFonts w:ascii="宋体" w:hAnsi="宋体" w:cs="宋体"/>
                <w:color w:val="000000"/>
                <w:kern w:val="0"/>
                <w:sz w:val="18"/>
                <w:szCs w:val="18"/>
              </w:rPr>
              <w:t>129.2</w:t>
            </w:r>
            <w:r>
              <w:rPr>
                <w:rFonts w:hint="eastAsia" w:ascii="宋体" w:hAnsi="宋体" w:cs="宋体"/>
                <w:color w:val="000000"/>
                <w:kern w:val="0"/>
                <w:sz w:val="18"/>
                <w:szCs w:val="18"/>
              </w:rPr>
              <w:t>5</w:t>
            </w:r>
          </w:p>
        </w:tc>
        <w:tc>
          <w:tcPr>
            <w:tcW w:w="675" w:type="dxa"/>
            <w:tcBorders>
              <w:top w:val="nil"/>
              <w:left w:val="nil"/>
              <w:bottom w:val="single" w:color="auto" w:sz="4" w:space="0"/>
              <w:right w:val="single" w:color="auto" w:sz="4" w:space="0"/>
            </w:tcBorders>
            <w:noWrap/>
            <w:vAlign w:val="center"/>
          </w:tcPr>
          <w:p w14:paraId="520B88F3">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018FD5CA">
            <w:pPr>
              <w:widowControl/>
              <w:jc w:val="right"/>
              <w:rPr>
                <w:rFonts w:ascii="宋体" w:cs="宋体"/>
                <w:color w:val="000000"/>
                <w:kern w:val="0"/>
                <w:sz w:val="18"/>
                <w:szCs w:val="18"/>
              </w:rPr>
            </w:pPr>
            <w:r>
              <w:rPr>
                <w:rFonts w:ascii="宋体" w:hAnsi="宋体" w:cs="宋体"/>
                <w:color w:val="000000"/>
                <w:kern w:val="0"/>
                <w:sz w:val="18"/>
                <w:szCs w:val="18"/>
              </w:rPr>
              <w:t>127.5</w:t>
            </w:r>
          </w:p>
        </w:tc>
        <w:tc>
          <w:tcPr>
            <w:tcW w:w="765" w:type="dxa"/>
            <w:tcBorders>
              <w:top w:val="nil"/>
              <w:left w:val="nil"/>
              <w:bottom w:val="single" w:color="auto" w:sz="4" w:space="0"/>
              <w:right w:val="single" w:color="auto" w:sz="4" w:space="0"/>
            </w:tcBorders>
            <w:noWrap/>
            <w:vAlign w:val="center"/>
          </w:tcPr>
          <w:p w14:paraId="540D1E99">
            <w:pPr>
              <w:widowControl/>
              <w:jc w:val="right"/>
              <w:rPr>
                <w:rFonts w:ascii="宋体" w:cs="宋体"/>
                <w:color w:val="000000"/>
                <w:kern w:val="0"/>
                <w:sz w:val="18"/>
                <w:szCs w:val="18"/>
              </w:rPr>
            </w:pPr>
            <w:r>
              <w:rPr>
                <w:rFonts w:ascii="宋体" w:hAnsi="宋体" w:cs="宋体"/>
                <w:color w:val="000000"/>
                <w:kern w:val="0"/>
                <w:sz w:val="18"/>
                <w:szCs w:val="18"/>
              </w:rPr>
              <w:t>1.7</w:t>
            </w:r>
            <w:r>
              <w:rPr>
                <w:rFonts w:hint="eastAsia" w:ascii="宋体" w:hAnsi="宋体" w:cs="宋体"/>
                <w:color w:val="000000"/>
                <w:kern w:val="0"/>
                <w:sz w:val="18"/>
                <w:szCs w:val="18"/>
              </w:rPr>
              <w:t>5</w:t>
            </w:r>
          </w:p>
        </w:tc>
        <w:tc>
          <w:tcPr>
            <w:tcW w:w="846" w:type="dxa"/>
            <w:tcBorders>
              <w:top w:val="nil"/>
              <w:left w:val="nil"/>
              <w:bottom w:val="single" w:color="auto" w:sz="4" w:space="0"/>
              <w:right w:val="single" w:color="auto" w:sz="4" w:space="0"/>
            </w:tcBorders>
            <w:noWrap/>
            <w:vAlign w:val="center"/>
          </w:tcPr>
          <w:p w14:paraId="7F347DE8">
            <w:pPr>
              <w:widowControl/>
              <w:jc w:val="right"/>
              <w:rPr>
                <w:rFonts w:ascii="宋体" w:cs="宋体"/>
                <w:color w:val="000000"/>
                <w:kern w:val="0"/>
                <w:sz w:val="18"/>
                <w:szCs w:val="18"/>
              </w:rPr>
            </w:pPr>
            <w:r>
              <w:rPr>
                <w:rFonts w:ascii="宋体" w:hAnsi="宋体" w:cs="宋体"/>
                <w:color w:val="000000"/>
                <w:kern w:val="0"/>
                <w:sz w:val="18"/>
                <w:szCs w:val="18"/>
              </w:rPr>
              <w:t>1.7</w:t>
            </w:r>
            <w:r>
              <w:rPr>
                <w:rFonts w:hint="eastAsia" w:ascii="宋体" w:hAnsi="宋体" w:cs="宋体"/>
                <w:color w:val="000000"/>
                <w:kern w:val="0"/>
                <w:sz w:val="18"/>
                <w:szCs w:val="18"/>
              </w:rPr>
              <w:t>5</w:t>
            </w:r>
          </w:p>
        </w:tc>
        <w:tc>
          <w:tcPr>
            <w:tcW w:w="615" w:type="dxa"/>
            <w:tcBorders>
              <w:top w:val="nil"/>
              <w:left w:val="nil"/>
              <w:bottom w:val="single" w:color="auto" w:sz="4" w:space="0"/>
              <w:right w:val="single" w:color="auto" w:sz="4" w:space="0"/>
            </w:tcBorders>
            <w:noWrap/>
            <w:vAlign w:val="center"/>
          </w:tcPr>
          <w:p w14:paraId="1FD93E5B">
            <w:pPr>
              <w:widowControl/>
              <w:jc w:val="right"/>
              <w:rPr>
                <w:rFonts w:ascii="宋体" w:cs="宋体"/>
                <w:color w:val="000000"/>
                <w:kern w:val="0"/>
                <w:sz w:val="18"/>
                <w:szCs w:val="18"/>
              </w:rPr>
            </w:pPr>
            <w:r>
              <w:rPr>
                <w:rFonts w:ascii="宋体" w:hAnsi="宋体" w:cs="宋体"/>
                <w:color w:val="000000"/>
                <w:kern w:val="0"/>
                <w:sz w:val="18"/>
                <w:szCs w:val="18"/>
              </w:rPr>
              <w:t>99</w:t>
            </w:r>
          </w:p>
        </w:tc>
      </w:tr>
      <w:tr w14:paraId="1CECF1FE">
        <w:tblPrEx>
          <w:tblCellMar>
            <w:top w:w="0" w:type="dxa"/>
            <w:left w:w="108" w:type="dxa"/>
            <w:bottom w:w="0" w:type="dxa"/>
            <w:right w:w="108" w:type="dxa"/>
          </w:tblCellMar>
        </w:tblPrEx>
        <w:trPr>
          <w:trHeight w:val="1170" w:hRule="atLeast"/>
        </w:trPr>
        <w:tc>
          <w:tcPr>
            <w:tcW w:w="765" w:type="dxa"/>
            <w:tcBorders>
              <w:top w:val="nil"/>
              <w:left w:val="single" w:color="auto" w:sz="4" w:space="0"/>
              <w:bottom w:val="single" w:color="auto" w:sz="4" w:space="0"/>
              <w:right w:val="single" w:color="auto" w:sz="4" w:space="0"/>
            </w:tcBorders>
            <w:noWrap/>
            <w:vAlign w:val="center"/>
          </w:tcPr>
          <w:p w14:paraId="01AF8445">
            <w:pPr>
              <w:widowControl/>
              <w:jc w:val="center"/>
              <w:rPr>
                <w:rFonts w:ascii="宋体" w:cs="宋体"/>
                <w:color w:val="000000"/>
                <w:kern w:val="0"/>
                <w:sz w:val="18"/>
                <w:szCs w:val="18"/>
              </w:rPr>
            </w:pPr>
            <w:r>
              <w:rPr>
                <w:rFonts w:ascii="宋体" w:hAnsi="宋体" w:cs="宋体"/>
                <w:color w:val="000000"/>
                <w:kern w:val="0"/>
                <w:sz w:val="18"/>
                <w:szCs w:val="18"/>
              </w:rPr>
              <w:t>10</w:t>
            </w:r>
          </w:p>
        </w:tc>
        <w:tc>
          <w:tcPr>
            <w:tcW w:w="1719" w:type="dxa"/>
            <w:tcBorders>
              <w:top w:val="nil"/>
              <w:left w:val="nil"/>
              <w:bottom w:val="single" w:color="auto" w:sz="4" w:space="0"/>
              <w:right w:val="single" w:color="auto" w:sz="4" w:space="0"/>
            </w:tcBorders>
            <w:vAlign w:val="center"/>
          </w:tcPr>
          <w:p w14:paraId="352BF522">
            <w:pPr>
              <w:widowControl/>
              <w:jc w:val="left"/>
              <w:rPr>
                <w:rFonts w:ascii="宋体" w:cs="宋体"/>
                <w:color w:val="000000"/>
                <w:kern w:val="0"/>
                <w:sz w:val="18"/>
                <w:szCs w:val="18"/>
              </w:rPr>
            </w:pPr>
            <w:r>
              <w:rPr>
                <w:rFonts w:ascii="宋体" w:hAnsi="宋体" w:cs="宋体"/>
                <w:color w:val="000000"/>
                <w:kern w:val="0"/>
                <w:sz w:val="18"/>
                <w:szCs w:val="18"/>
              </w:rPr>
              <w:t>2023</w:t>
            </w:r>
            <w:r>
              <w:rPr>
                <w:rFonts w:hint="eastAsia" w:ascii="宋体" w:hAnsi="宋体" w:cs="宋体"/>
                <w:color w:val="000000"/>
                <w:kern w:val="0"/>
                <w:sz w:val="18"/>
                <w:szCs w:val="18"/>
              </w:rPr>
              <w:t>年区级河北省智慧物流园项目拆迁相关费用</w:t>
            </w:r>
          </w:p>
        </w:tc>
        <w:tc>
          <w:tcPr>
            <w:tcW w:w="1500" w:type="dxa"/>
            <w:tcBorders>
              <w:top w:val="nil"/>
              <w:left w:val="nil"/>
              <w:bottom w:val="single" w:color="auto" w:sz="4" w:space="0"/>
              <w:right w:val="single" w:color="auto" w:sz="4" w:space="0"/>
            </w:tcBorders>
            <w:vAlign w:val="center"/>
          </w:tcPr>
          <w:p w14:paraId="117917FF">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39D566AE">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7E099B2F">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03B2E48A">
            <w:pPr>
              <w:widowControl/>
              <w:jc w:val="right"/>
              <w:rPr>
                <w:rFonts w:ascii="宋体" w:cs="宋体"/>
                <w:color w:val="000000"/>
                <w:kern w:val="0"/>
                <w:sz w:val="18"/>
                <w:szCs w:val="18"/>
              </w:rPr>
            </w:pPr>
            <w:r>
              <w:rPr>
                <w:rFonts w:ascii="宋体" w:hAnsi="宋体" w:cs="宋体"/>
                <w:color w:val="000000"/>
                <w:kern w:val="0"/>
                <w:sz w:val="18"/>
                <w:szCs w:val="18"/>
              </w:rPr>
              <w:t>1295.43</w:t>
            </w:r>
          </w:p>
        </w:tc>
        <w:tc>
          <w:tcPr>
            <w:tcW w:w="675" w:type="dxa"/>
            <w:tcBorders>
              <w:top w:val="nil"/>
              <w:left w:val="nil"/>
              <w:bottom w:val="single" w:color="auto" w:sz="4" w:space="0"/>
              <w:right w:val="single" w:color="auto" w:sz="4" w:space="0"/>
            </w:tcBorders>
            <w:noWrap/>
            <w:vAlign w:val="center"/>
          </w:tcPr>
          <w:p w14:paraId="17B23425">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05912F11">
            <w:pPr>
              <w:widowControl/>
              <w:jc w:val="right"/>
              <w:rPr>
                <w:rFonts w:ascii="宋体" w:cs="宋体"/>
                <w:color w:val="000000"/>
                <w:kern w:val="0"/>
                <w:sz w:val="18"/>
                <w:szCs w:val="18"/>
              </w:rPr>
            </w:pPr>
            <w:r>
              <w:rPr>
                <w:rFonts w:ascii="宋体" w:hAnsi="宋体" w:cs="宋体"/>
                <w:color w:val="000000"/>
                <w:kern w:val="0"/>
                <w:sz w:val="18"/>
                <w:szCs w:val="18"/>
              </w:rPr>
              <w:t>1295</w:t>
            </w:r>
          </w:p>
        </w:tc>
        <w:tc>
          <w:tcPr>
            <w:tcW w:w="765" w:type="dxa"/>
            <w:tcBorders>
              <w:top w:val="nil"/>
              <w:left w:val="nil"/>
              <w:bottom w:val="single" w:color="auto" w:sz="4" w:space="0"/>
              <w:right w:val="single" w:color="auto" w:sz="4" w:space="0"/>
            </w:tcBorders>
            <w:noWrap/>
            <w:vAlign w:val="center"/>
          </w:tcPr>
          <w:p w14:paraId="31F851DB">
            <w:pPr>
              <w:widowControl/>
              <w:jc w:val="right"/>
              <w:rPr>
                <w:rFonts w:ascii="宋体" w:cs="宋体"/>
                <w:color w:val="000000"/>
                <w:kern w:val="0"/>
                <w:sz w:val="18"/>
                <w:szCs w:val="18"/>
              </w:rPr>
            </w:pPr>
            <w:r>
              <w:rPr>
                <w:rFonts w:ascii="宋体" w:hAnsi="宋体" w:cs="宋体"/>
                <w:color w:val="000000"/>
                <w:kern w:val="0"/>
                <w:sz w:val="18"/>
                <w:szCs w:val="18"/>
              </w:rPr>
              <w:t>0.43</w:t>
            </w:r>
          </w:p>
        </w:tc>
        <w:tc>
          <w:tcPr>
            <w:tcW w:w="846" w:type="dxa"/>
            <w:tcBorders>
              <w:top w:val="nil"/>
              <w:left w:val="nil"/>
              <w:bottom w:val="single" w:color="auto" w:sz="4" w:space="0"/>
              <w:right w:val="single" w:color="auto" w:sz="4" w:space="0"/>
            </w:tcBorders>
            <w:noWrap/>
            <w:vAlign w:val="center"/>
          </w:tcPr>
          <w:p w14:paraId="43BD0757">
            <w:pPr>
              <w:widowControl/>
              <w:jc w:val="right"/>
              <w:rPr>
                <w:rFonts w:ascii="宋体" w:cs="宋体"/>
                <w:color w:val="000000"/>
                <w:kern w:val="0"/>
                <w:sz w:val="18"/>
                <w:szCs w:val="18"/>
              </w:rPr>
            </w:pPr>
            <w:r>
              <w:rPr>
                <w:rFonts w:ascii="宋体" w:hAnsi="宋体" w:cs="宋体"/>
                <w:color w:val="000000"/>
                <w:kern w:val="0"/>
                <w:sz w:val="18"/>
                <w:szCs w:val="18"/>
              </w:rPr>
              <w:t>0.43</w:t>
            </w:r>
          </w:p>
        </w:tc>
        <w:tc>
          <w:tcPr>
            <w:tcW w:w="615" w:type="dxa"/>
            <w:tcBorders>
              <w:top w:val="nil"/>
              <w:left w:val="nil"/>
              <w:bottom w:val="single" w:color="auto" w:sz="4" w:space="0"/>
              <w:right w:val="single" w:color="auto" w:sz="4" w:space="0"/>
            </w:tcBorders>
            <w:noWrap/>
            <w:vAlign w:val="center"/>
          </w:tcPr>
          <w:p w14:paraId="27353A39">
            <w:pPr>
              <w:widowControl/>
              <w:jc w:val="right"/>
              <w:rPr>
                <w:rFonts w:ascii="宋体" w:cs="宋体"/>
                <w:color w:val="000000"/>
                <w:kern w:val="0"/>
                <w:sz w:val="18"/>
                <w:szCs w:val="18"/>
              </w:rPr>
            </w:pPr>
            <w:r>
              <w:rPr>
                <w:rFonts w:ascii="宋体" w:hAnsi="宋体" w:cs="宋体"/>
                <w:color w:val="000000"/>
                <w:kern w:val="0"/>
                <w:sz w:val="18"/>
                <w:szCs w:val="18"/>
              </w:rPr>
              <w:t>9</w:t>
            </w:r>
            <w:r>
              <w:rPr>
                <w:rFonts w:hint="eastAsia" w:ascii="宋体" w:hAnsi="宋体" w:cs="宋体"/>
                <w:color w:val="000000"/>
                <w:kern w:val="0"/>
                <w:sz w:val="18"/>
                <w:szCs w:val="18"/>
              </w:rPr>
              <w:t>5</w:t>
            </w:r>
          </w:p>
        </w:tc>
      </w:tr>
      <w:tr w14:paraId="35056ECC">
        <w:tblPrEx>
          <w:tblCellMar>
            <w:top w:w="0" w:type="dxa"/>
            <w:left w:w="108" w:type="dxa"/>
            <w:bottom w:w="0" w:type="dxa"/>
            <w:right w:w="108" w:type="dxa"/>
          </w:tblCellMar>
        </w:tblPrEx>
        <w:trPr>
          <w:trHeight w:val="1095" w:hRule="atLeast"/>
        </w:trPr>
        <w:tc>
          <w:tcPr>
            <w:tcW w:w="765" w:type="dxa"/>
            <w:tcBorders>
              <w:top w:val="nil"/>
              <w:left w:val="single" w:color="auto" w:sz="4" w:space="0"/>
              <w:bottom w:val="single" w:color="auto" w:sz="4" w:space="0"/>
              <w:right w:val="single" w:color="auto" w:sz="4" w:space="0"/>
            </w:tcBorders>
            <w:noWrap/>
            <w:vAlign w:val="center"/>
          </w:tcPr>
          <w:p w14:paraId="09C4382E">
            <w:pPr>
              <w:widowControl/>
              <w:jc w:val="center"/>
              <w:rPr>
                <w:rFonts w:ascii="宋体" w:cs="宋体"/>
                <w:color w:val="000000"/>
                <w:kern w:val="0"/>
                <w:sz w:val="18"/>
                <w:szCs w:val="18"/>
              </w:rPr>
            </w:pPr>
            <w:r>
              <w:rPr>
                <w:rFonts w:ascii="宋体" w:hAnsi="宋体" w:cs="宋体"/>
                <w:color w:val="000000"/>
                <w:kern w:val="0"/>
                <w:sz w:val="18"/>
                <w:szCs w:val="18"/>
              </w:rPr>
              <w:t>11</w:t>
            </w:r>
          </w:p>
        </w:tc>
        <w:tc>
          <w:tcPr>
            <w:tcW w:w="1719" w:type="dxa"/>
            <w:tcBorders>
              <w:top w:val="nil"/>
              <w:left w:val="nil"/>
              <w:bottom w:val="single" w:color="auto" w:sz="4" w:space="0"/>
              <w:right w:val="single" w:color="auto" w:sz="4" w:space="0"/>
            </w:tcBorders>
            <w:vAlign w:val="center"/>
          </w:tcPr>
          <w:p w14:paraId="1282DF44">
            <w:pPr>
              <w:widowControl/>
              <w:jc w:val="left"/>
              <w:rPr>
                <w:rFonts w:ascii="宋体" w:cs="宋体"/>
                <w:color w:val="000000"/>
                <w:kern w:val="0"/>
                <w:sz w:val="18"/>
                <w:szCs w:val="18"/>
              </w:rPr>
            </w:pPr>
            <w:r>
              <w:rPr>
                <w:rFonts w:hint="eastAsia" w:ascii="宋体" w:hAnsi="宋体" w:cs="宋体"/>
                <w:color w:val="000000"/>
                <w:kern w:val="0"/>
                <w:sz w:val="18"/>
                <w:szCs w:val="18"/>
              </w:rPr>
              <w:t>区级李村镇辖区内部队退还地土地款</w:t>
            </w:r>
          </w:p>
        </w:tc>
        <w:tc>
          <w:tcPr>
            <w:tcW w:w="1500" w:type="dxa"/>
            <w:tcBorders>
              <w:top w:val="nil"/>
              <w:left w:val="nil"/>
              <w:bottom w:val="single" w:color="auto" w:sz="4" w:space="0"/>
              <w:right w:val="single" w:color="auto" w:sz="4" w:space="0"/>
            </w:tcBorders>
            <w:vAlign w:val="center"/>
          </w:tcPr>
          <w:p w14:paraId="1165B9C5">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1C692141">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6CD4577D">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6A83F03E">
            <w:pPr>
              <w:widowControl/>
              <w:jc w:val="right"/>
              <w:rPr>
                <w:rFonts w:ascii="宋体" w:cs="宋体"/>
                <w:color w:val="000000"/>
                <w:kern w:val="0"/>
                <w:sz w:val="18"/>
                <w:szCs w:val="18"/>
              </w:rPr>
            </w:pPr>
            <w:r>
              <w:rPr>
                <w:rFonts w:hint="eastAsia" w:ascii="宋体" w:hAnsi="宋体" w:cs="宋体"/>
                <w:color w:val="000000"/>
                <w:kern w:val="0"/>
                <w:sz w:val="18"/>
                <w:szCs w:val="18"/>
              </w:rPr>
              <w:t>112.41</w:t>
            </w:r>
          </w:p>
        </w:tc>
        <w:tc>
          <w:tcPr>
            <w:tcW w:w="675" w:type="dxa"/>
            <w:tcBorders>
              <w:top w:val="nil"/>
              <w:left w:val="nil"/>
              <w:bottom w:val="single" w:color="auto" w:sz="4" w:space="0"/>
              <w:right w:val="single" w:color="auto" w:sz="4" w:space="0"/>
            </w:tcBorders>
            <w:noWrap/>
            <w:vAlign w:val="center"/>
          </w:tcPr>
          <w:p w14:paraId="5D709B4D">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5AD2124A">
            <w:pPr>
              <w:widowControl/>
              <w:jc w:val="right"/>
              <w:rPr>
                <w:rFonts w:ascii="宋体" w:cs="宋体"/>
                <w:color w:val="000000"/>
                <w:kern w:val="0"/>
                <w:sz w:val="18"/>
                <w:szCs w:val="18"/>
              </w:rPr>
            </w:pPr>
            <w:r>
              <w:rPr>
                <w:rFonts w:hint="eastAsia" w:ascii="宋体" w:hAnsi="宋体" w:cs="宋体"/>
                <w:color w:val="000000"/>
                <w:kern w:val="0"/>
                <w:sz w:val="18"/>
                <w:szCs w:val="18"/>
              </w:rPr>
              <w:t>112.41</w:t>
            </w:r>
          </w:p>
        </w:tc>
        <w:tc>
          <w:tcPr>
            <w:tcW w:w="765" w:type="dxa"/>
            <w:tcBorders>
              <w:top w:val="nil"/>
              <w:left w:val="nil"/>
              <w:bottom w:val="single" w:color="auto" w:sz="4" w:space="0"/>
              <w:right w:val="single" w:color="auto" w:sz="4" w:space="0"/>
            </w:tcBorders>
            <w:noWrap/>
            <w:vAlign w:val="center"/>
          </w:tcPr>
          <w:p w14:paraId="6F4A5837">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139D3884">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3AB6E2D1">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62322D1B">
        <w:tblPrEx>
          <w:tblCellMar>
            <w:top w:w="0" w:type="dxa"/>
            <w:left w:w="108" w:type="dxa"/>
            <w:bottom w:w="0" w:type="dxa"/>
            <w:right w:w="108" w:type="dxa"/>
          </w:tblCellMar>
        </w:tblPrEx>
        <w:trPr>
          <w:trHeight w:val="1065" w:hRule="atLeast"/>
        </w:trPr>
        <w:tc>
          <w:tcPr>
            <w:tcW w:w="765" w:type="dxa"/>
            <w:tcBorders>
              <w:top w:val="nil"/>
              <w:left w:val="single" w:color="auto" w:sz="4" w:space="0"/>
              <w:bottom w:val="single" w:color="auto" w:sz="4" w:space="0"/>
              <w:right w:val="single" w:color="auto" w:sz="4" w:space="0"/>
            </w:tcBorders>
            <w:noWrap/>
            <w:vAlign w:val="center"/>
          </w:tcPr>
          <w:p w14:paraId="24A0EE8B">
            <w:pPr>
              <w:widowControl/>
              <w:jc w:val="center"/>
              <w:rPr>
                <w:rFonts w:ascii="宋体" w:cs="宋体"/>
                <w:color w:val="000000"/>
                <w:kern w:val="0"/>
                <w:sz w:val="18"/>
                <w:szCs w:val="18"/>
              </w:rPr>
            </w:pPr>
            <w:r>
              <w:rPr>
                <w:rFonts w:ascii="宋体" w:hAnsi="宋体" w:cs="宋体"/>
                <w:color w:val="000000"/>
                <w:kern w:val="0"/>
                <w:sz w:val="18"/>
                <w:szCs w:val="18"/>
              </w:rPr>
              <w:t>12</w:t>
            </w:r>
          </w:p>
        </w:tc>
        <w:tc>
          <w:tcPr>
            <w:tcW w:w="1719" w:type="dxa"/>
            <w:tcBorders>
              <w:top w:val="nil"/>
              <w:left w:val="nil"/>
              <w:bottom w:val="single" w:color="auto" w:sz="4" w:space="0"/>
              <w:right w:val="single" w:color="auto" w:sz="4" w:space="0"/>
            </w:tcBorders>
            <w:vAlign w:val="center"/>
          </w:tcPr>
          <w:p w14:paraId="7162AD3D">
            <w:pPr>
              <w:widowControl/>
              <w:jc w:val="left"/>
              <w:rPr>
                <w:rFonts w:ascii="宋体" w:cs="宋体"/>
                <w:color w:val="000000"/>
                <w:kern w:val="0"/>
                <w:sz w:val="18"/>
                <w:szCs w:val="18"/>
              </w:rPr>
            </w:pPr>
            <w:r>
              <w:rPr>
                <w:rFonts w:hint="eastAsia" w:ascii="宋体" w:hAnsi="宋体" w:cs="宋体"/>
                <w:color w:val="000000"/>
                <w:kern w:val="0"/>
                <w:sz w:val="18"/>
                <w:szCs w:val="18"/>
              </w:rPr>
              <w:t>区级</w:t>
            </w:r>
            <w:r>
              <w:rPr>
                <w:rFonts w:ascii="宋体" w:hAnsi="宋体" w:cs="宋体"/>
                <w:color w:val="000000"/>
                <w:kern w:val="0"/>
                <w:sz w:val="18"/>
                <w:szCs w:val="18"/>
              </w:rPr>
              <w:t>2023</w:t>
            </w:r>
            <w:r>
              <w:rPr>
                <w:rFonts w:hint="eastAsia" w:ascii="宋体" w:hAnsi="宋体" w:cs="宋体"/>
                <w:color w:val="000000"/>
                <w:kern w:val="0"/>
                <w:sz w:val="18"/>
                <w:szCs w:val="18"/>
              </w:rPr>
              <w:t>年度李村镇河滩区域道路保洁管护资金</w:t>
            </w:r>
          </w:p>
        </w:tc>
        <w:tc>
          <w:tcPr>
            <w:tcW w:w="1500" w:type="dxa"/>
            <w:tcBorders>
              <w:top w:val="nil"/>
              <w:left w:val="nil"/>
              <w:bottom w:val="single" w:color="auto" w:sz="4" w:space="0"/>
              <w:right w:val="single" w:color="auto" w:sz="4" w:space="0"/>
            </w:tcBorders>
            <w:vAlign w:val="center"/>
          </w:tcPr>
          <w:p w14:paraId="4EDA5E0E">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77E8B595">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308C6929">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5EF3DAF6">
            <w:pPr>
              <w:widowControl/>
              <w:jc w:val="right"/>
              <w:rPr>
                <w:rFonts w:ascii="宋体" w:cs="宋体"/>
                <w:color w:val="000000"/>
                <w:kern w:val="0"/>
                <w:sz w:val="18"/>
                <w:szCs w:val="18"/>
              </w:rPr>
            </w:pPr>
            <w:r>
              <w:rPr>
                <w:rFonts w:ascii="宋体" w:hAnsi="宋体" w:cs="宋体"/>
                <w:color w:val="000000"/>
                <w:kern w:val="0"/>
                <w:sz w:val="18"/>
                <w:szCs w:val="18"/>
              </w:rPr>
              <w:t>70</w:t>
            </w:r>
          </w:p>
        </w:tc>
        <w:tc>
          <w:tcPr>
            <w:tcW w:w="675" w:type="dxa"/>
            <w:tcBorders>
              <w:top w:val="nil"/>
              <w:left w:val="nil"/>
              <w:bottom w:val="single" w:color="auto" w:sz="4" w:space="0"/>
              <w:right w:val="single" w:color="auto" w:sz="4" w:space="0"/>
            </w:tcBorders>
            <w:noWrap/>
            <w:vAlign w:val="center"/>
          </w:tcPr>
          <w:p w14:paraId="1CCD8DBA">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042BE91E">
            <w:pPr>
              <w:widowControl/>
              <w:jc w:val="right"/>
              <w:rPr>
                <w:rFonts w:ascii="宋体" w:cs="宋体"/>
                <w:color w:val="000000"/>
                <w:kern w:val="0"/>
                <w:sz w:val="18"/>
                <w:szCs w:val="18"/>
              </w:rPr>
            </w:pPr>
            <w:r>
              <w:rPr>
                <w:rFonts w:ascii="宋体" w:hAnsi="宋体" w:cs="宋体"/>
                <w:color w:val="000000"/>
                <w:kern w:val="0"/>
                <w:sz w:val="18"/>
                <w:szCs w:val="18"/>
              </w:rPr>
              <w:t>70</w:t>
            </w:r>
          </w:p>
        </w:tc>
        <w:tc>
          <w:tcPr>
            <w:tcW w:w="765" w:type="dxa"/>
            <w:tcBorders>
              <w:top w:val="nil"/>
              <w:left w:val="nil"/>
              <w:bottom w:val="single" w:color="auto" w:sz="4" w:space="0"/>
              <w:right w:val="single" w:color="auto" w:sz="4" w:space="0"/>
            </w:tcBorders>
            <w:noWrap/>
            <w:vAlign w:val="center"/>
          </w:tcPr>
          <w:p w14:paraId="2CEBC6E7">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0ECC4DEF">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14C770F2">
            <w:pPr>
              <w:widowControl/>
              <w:jc w:val="right"/>
              <w:rPr>
                <w:rFonts w:ascii="宋体" w:cs="宋体"/>
                <w:color w:val="000000"/>
                <w:kern w:val="0"/>
                <w:sz w:val="18"/>
                <w:szCs w:val="18"/>
              </w:rPr>
            </w:pPr>
            <w:r>
              <w:rPr>
                <w:rFonts w:hint="eastAsia" w:ascii="宋体" w:hAnsi="宋体" w:cs="宋体"/>
                <w:color w:val="000000"/>
                <w:kern w:val="0"/>
                <w:sz w:val="18"/>
                <w:szCs w:val="18"/>
              </w:rPr>
              <w:t>100</w:t>
            </w:r>
          </w:p>
        </w:tc>
      </w:tr>
      <w:tr w14:paraId="141BE44F">
        <w:tblPrEx>
          <w:tblCellMar>
            <w:top w:w="0" w:type="dxa"/>
            <w:left w:w="108" w:type="dxa"/>
            <w:bottom w:w="0" w:type="dxa"/>
            <w:right w:w="108" w:type="dxa"/>
          </w:tblCellMar>
        </w:tblPrEx>
        <w:trPr>
          <w:trHeight w:val="1035" w:hRule="atLeast"/>
        </w:trPr>
        <w:tc>
          <w:tcPr>
            <w:tcW w:w="765" w:type="dxa"/>
            <w:tcBorders>
              <w:top w:val="nil"/>
              <w:left w:val="single" w:color="auto" w:sz="4" w:space="0"/>
              <w:bottom w:val="single" w:color="auto" w:sz="4" w:space="0"/>
              <w:right w:val="single" w:color="auto" w:sz="4" w:space="0"/>
            </w:tcBorders>
            <w:noWrap/>
            <w:vAlign w:val="center"/>
          </w:tcPr>
          <w:p w14:paraId="7AEF346F">
            <w:pPr>
              <w:widowControl/>
              <w:jc w:val="center"/>
              <w:rPr>
                <w:rFonts w:ascii="宋体" w:cs="宋体"/>
                <w:color w:val="000000"/>
                <w:kern w:val="0"/>
                <w:sz w:val="18"/>
                <w:szCs w:val="18"/>
              </w:rPr>
            </w:pPr>
            <w:r>
              <w:rPr>
                <w:rFonts w:ascii="宋体" w:hAnsi="宋体" w:cs="宋体"/>
                <w:color w:val="000000"/>
                <w:kern w:val="0"/>
                <w:sz w:val="18"/>
                <w:szCs w:val="18"/>
              </w:rPr>
              <w:t>13</w:t>
            </w:r>
          </w:p>
        </w:tc>
        <w:tc>
          <w:tcPr>
            <w:tcW w:w="1719" w:type="dxa"/>
            <w:tcBorders>
              <w:top w:val="nil"/>
              <w:left w:val="nil"/>
              <w:bottom w:val="single" w:color="auto" w:sz="4" w:space="0"/>
              <w:right w:val="single" w:color="auto" w:sz="4" w:space="0"/>
            </w:tcBorders>
            <w:vAlign w:val="center"/>
          </w:tcPr>
          <w:p w14:paraId="6D532FC3">
            <w:pPr>
              <w:widowControl/>
              <w:jc w:val="left"/>
              <w:rPr>
                <w:rFonts w:ascii="宋体" w:cs="宋体"/>
                <w:color w:val="000000"/>
                <w:kern w:val="0"/>
                <w:sz w:val="18"/>
                <w:szCs w:val="18"/>
              </w:rPr>
            </w:pPr>
            <w:r>
              <w:rPr>
                <w:rFonts w:hint="eastAsia" w:ascii="宋体" w:hAnsi="宋体" w:cs="宋体"/>
                <w:color w:val="000000"/>
                <w:kern w:val="0"/>
                <w:sz w:val="18"/>
                <w:szCs w:val="18"/>
              </w:rPr>
              <w:t>李村镇石清路沿线环境卫生整治提升项目目</w:t>
            </w:r>
          </w:p>
        </w:tc>
        <w:tc>
          <w:tcPr>
            <w:tcW w:w="1500" w:type="dxa"/>
            <w:tcBorders>
              <w:top w:val="nil"/>
              <w:left w:val="nil"/>
              <w:bottom w:val="single" w:color="auto" w:sz="4" w:space="0"/>
              <w:right w:val="single" w:color="auto" w:sz="4" w:space="0"/>
            </w:tcBorders>
            <w:vAlign w:val="center"/>
          </w:tcPr>
          <w:p w14:paraId="20AE38C5">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1DF77252">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6BFA1116">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2C36B50B">
            <w:pPr>
              <w:widowControl/>
              <w:jc w:val="right"/>
              <w:rPr>
                <w:rFonts w:ascii="宋体" w:cs="宋体"/>
                <w:color w:val="000000"/>
                <w:kern w:val="0"/>
                <w:sz w:val="18"/>
                <w:szCs w:val="18"/>
              </w:rPr>
            </w:pPr>
            <w:r>
              <w:rPr>
                <w:rFonts w:hint="eastAsia" w:ascii="宋体" w:hAnsi="宋体" w:cs="宋体"/>
                <w:color w:val="000000"/>
                <w:kern w:val="0"/>
                <w:sz w:val="18"/>
                <w:szCs w:val="18"/>
              </w:rPr>
              <w:t>25.7</w:t>
            </w:r>
          </w:p>
        </w:tc>
        <w:tc>
          <w:tcPr>
            <w:tcW w:w="675" w:type="dxa"/>
            <w:tcBorders>
              <w:top w:val="nil"/>
              <w:left w:val="nil"/>
              <w:bottom w:val="single" w:color="auto" w:sz="4" w:space="0"/>
              <w:right w:val="single" w:color="auto" w:sz="4" w:space="0"/>
            </w:tcBorders>
            <w:noWrap/>
            <w:vAlign w:val="center"/>
          </w:tcPr>
          <w:p w14:paraId="10681682">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285DCC7C">
            <w:pPr>
              <w:widowControl/>
              <w:jc w:val="right"/>
              <w:rPr>
                <w:rFonts w:ascii="宋体" w:cs="宋体"/>
                <w:color w:val="000000"/>
                <w:kern w:val="0"/>
                <w:sz w:val="18"/>
                <w:szCs w:val="18"/>
              </w:rPr>
            </w:pPr>
            <w:r>
              <w:rPr>
                <w:rFonts w:hint="eastAsia" w:ascii="宋体" w:hAnsi="宋体" w:cs="宋体"/>
                <w:color w:val="000000"/>
                <w:kern w:val="0"/>
                <w:sz w:val="18"/>
                <w:szCs w:val="18"/>
              </w:rPr>
              <w:t>25.7</w:t>
            </w:r>
          </w:p>
        </w:tc>
        <w:tc>
          <w:tcPr>
            <w:tcW w:w="765" w:type="dxa"/>
            <w:tcBorders>
              <w:top w:val="nil"/>
              <w:left w:val="nil"/>
              <w:bottom w:val="single" w:color="auto" w:sz="4" w:space="0"/>
              <w:right w:val="single" w:color="auto" w:sz="4" w:space="0"/>
            </w:tcBorders>
            <w:noWrap/>
            <w:vAlign w:val="center"/>
          </w:tcPr>
          <w:p w14:paraId="1AA1636A">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511C3657">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020C93DE">
            <w:pPr>
              <w:widowControl/>
              <w:jc w:val="right"/>
              <w:rPr>
                <w:rFonts w:ascii="宋体" w:cs="宋体"/>
                <w:color w:val="000000"/>
                <w:kern w:val="0"/>
                <w:sz w:val="18"/>
                <w:szCs w:val="18"/>
              </w:rPr>
            </w:pPr>
            <w:r>
              <w:rPr>
                <w:rFonts w:hint="eastAsia" w:ascii="宋体" w:hAnsi="宋体" w:cs="宋体"/>
                <w:color w:val="000000"/>
                <w:kern w:val="0"/>
                <w:sz w:val="18"/>
                <w:szCs w:val="18"/>
              </w:rPr>
              <w:t>100</w:t>
            </w:r>
          </w:p>
        </w:tc>
      </w:tr>
      <w:tr w14:paraId="1D2A9038">
        <w:tblPrEx>
          <w:tblCellMar>
            <w:top w:w="0" w:type="dxa"/>
            <w:left w:w="108" w:type="dxa"/>
            <w:bottom w:w="0" w:type="dxa"/>
            <w:right w:w="108" w:type="dxa"/>
          </w:tblCellMar>
        </w:tblPrEx>
        <w:trPr>
          <w:trHeight w:val="735" w:hRule="atLeast"/>
        </w:trPr>
        <w:tc>
          <w:tcPr>
            <w:tcW w:w="765" w:type="dxa"/>
            <w:tcBorders>
              <w:top w:val="nil"/>
              <w:left w:val="single" w:color="auto" w:sz="4" w:space="0"/>
              <w:bottom w:val="single" w:color="auto" w:sz="4" w:space="0"/>
              <w:right w:val="single" w:color="auto" w:sz="4" w:space="0"/>
            </w:tcBorders>
            <w:noWrap/>
            <w:vAlign w:val="center"/>
          </w:tcPr>
          <w:p w14:paraId="481C56ED">
            <w:pPr>
              <w:widowControl/>
              <w:jc w:val="center"/>
              <w:rPr>
                <w:rFonts w:ascii="宋体" w:cs="宋体"/>
                <w:color w:val="000000"/>
                <w:kern w:val="0"/>
                <w:sz w:val="18"/>
                <w:szCs w:val="18"/>
              </w:rPr>
            </w:pPr>
            <w:r>
              <w:rPr>
                <w:rFonts w:ascii="宋体" w:hAnsi="宋体" w:cs="宋体"/>
                <w:color w:val="000000"/>
                <w:kern w:val="0"/>
                <w:sz w:val="18"/>
                <w:szCs w:val="18"/>
              </w:rPr>
              <w:t>14</w:t>
            </w:r>
          </w:p>
        </w:tc>
        <w:tc>
          <w:tcPr>
            <w:tcW w:w="1719" w:type="dxa"/>
            <w:tcBorders>
              <w:top w:val="nil"/>
              <w:left w:val="nil"/>
              <w:bottom w:val="single" w:color="auto" w:sz="4" w:space="0"/>
              <w:right w:val="single" w:color="auto" w:sz="4" w:space="0"/>
            </w:tcBorders>
            <w:vAlign w:val="center"/>
          </w:tcPr>
          <w:p w14:paraId="2785F7AD">
            <w:pPr>
              <w:widowControl/>
              <w:jc w:val="left"/>
              <w:rPr>
                <w:rFonts w:ascii="宋体" w:cs="宋体"/>
                <w:color w:val="000000"/>
                <w:kern w:val="0"/>
                <w:sz w:val="18"/>
                <w:szCs w:val="18"/>
              </w:rPr>
            </w:pPr>
            <w:r>
              <w:rPr>
                <w:rFonts w:hint="eastAsia" w:ascii="宋体" w:hAnsi="宋体" w:cs="宋体"/>
                <w:color w:val="000000"/>
                <w:kern w:val="0"/>
                <w:sz w:val="18"/>
                <w:szCs w:val="18"/>
              </w:rPr>
              <w:t>李村镇村级聘用人员补贴</w:t>
            </w:r>
          </w:p>
        </w:tc>
        <w:tc>
          <w:tcPr>
            <w:tcW w:w="1500" w:type="dxa"/>
            <w:tcBorders>
              <w:top w:val="nil"/>
              <w:left w:val="nil"/>
              <w:bottom w:val="single" w:color="auto" w:sz="4" w:space="0"/>
              <w:right w:val="single" w:color="auto" w:sz="4" w:space="0"/>
            </w:tcBorders>
            <w:vAlign w:val="center"/>
          </w:tcPr>
          <w:p w14:paraId="17FC40B7">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13948E45">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05238BEC">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679C6985">
            <w:pPr>
              <w:widowControl/>
              <w:jc w:val="right"/>
              <w:rPr>
                <w:rFonts w:ascii="宋体" w:cs="宋体"/>
                <w:color w:val="000000"/>
                <w:kern w:val="0"/>
                <w:sz w:val="18"/>
                <w:szCs w:val="18"/>
              </w:rPr>
            </w:pPr>
            <w:r>
              <w:rPr>
                <w:rFonts w:hint="eastAsia" w:ascii="宋体" w:hAnsi="宋体" w:cs="宋体"/>
                <w:color w:val="000000"/>
                <w:kern w:val="0"/>
                <w:sz w:val="18"/>
                <w:szCs w:val="18"/>
              </w:rPr>
              <w:t>20.5</w:t>
            </w:r>
          </w:p>
        </w:tc>
        <w:tc>
          <w:tcPr>
            <w:tcW w:w="675" w:type="dxa"/>
            <w:tcBorders>
              <w:top w:val="nil"/>
              <w:left w:val="nil"/>
              <w:bottom w:val="single" w:color="auto" w:sz="4" w:space="0"/>
              <w:right w:val="single" w:color="auto" w:sz="4" w:space="0"/>
            </w:tcBorders>
            <w:noWrap/>
            <w:vAlign w:val="center"/>
          </w:tcPr>
          <w:p w14:paraId="5EEB1D65">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3211D752">
            <w:pPr>
              <w:widowControl/>
              <w:jc w:val="right"/>
              <w:rPr>
                <w:rFonts w:ascii="宋体" w:cs="宋体"/>
                <w:color w:val="000000"/>
                <w:kern w:val="0"/>
                <w:sz w:val="18"/>
                <w:szCs w:val="18"/>
              </w:rPr>
            </w:pPr>
            <w:r>
              <w:rPr>
                <w:rFonts w:hint="eastAsia" w:ascii="宋体" w:hAnsi="宋体" w:cs="宋体"/>
                <w:color w:val="000000"/>
                <w:kern w:val="0"/>
                <w:sz w:val="18"/>
                <w:szCs w:val="18"/>
              </w:rPr>
              <w:t>20.5</w:t>
            </w:r>
          </w:p>
        </w:tc>
        <w:tc>
          <w:tcPr>
            <w:tcW w:w="765" w:type="dxa"/>
            <w:tcBorders>
              <w:top w:val="nil"/>
              <w:left w:val="nil"/>
              <w:bottom w:val="single" w:color="auto" w:sz="4" w:space="0"/>
              <w:right w:val="single" w:color="auto" w:sz="4" w:space="0"/>
            </w:tcBorders>
            <w:noWrap/>
            <w:vAlign w:val="center"/>
          </w:tcPr>
          <w:p w14:paraId="24BAEAE4">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7873D9EC">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25F57117">
            <w:pPr>
              <w:widowControl/>
              <w:jc w:val="right"/>
              <w:rPr>
                <w:rFonts w:ascii="宋体" w:cs="宋体"/>
                <w:color w:val="000000"/>
                <w:kern w:val="0"/>
                <w:sz w:val="18"/>
                <w:szCs w:val="18"/>
              </w:rPr>
            </w:pPr>
            <w:r>
              <w:rPr>
                <w:rFonts w:hint="eastAsia" w:ascii="宋体" w:hAnsi="宋体" w:cs="宋体"/>
                <w:color w:val="000000"/>
                <w:kern w:val="0"/>
                <w:sz w:val="18"/>
                <w:szCs w:val="18"/>
              </w:rPr>
              <w:t>100</w:t>
            </w:r>
          </w:p>
        </w:tc>
      </w:tr>
      <w:tr w14:paraId="4390455B">
        <w:tblPrEx>
          <w:tblCellMar>
            <w:top w:w="0" w:type="dxa"/>
            <w:left w:w="108" w:type="dxa"/>
            <w:bottom w:w="0" w:type="dxa"/>
            <w:right w:w="108" w:type="dxa"/>
          </w:tblCellMar>
        </w:tblPrEx>
        <w:trPr>
          <w:trHeight w:val="1050" w:hRule="atLeast"/>
        </w:trPr>
        <w:tc>
          <w:tcPr>
            <w:tcW w:w="765" w:type="dxa"/>
            <w:tcBorders>
              <w:top w:val="nil"/>
              <w:left w:val="single" w:color="auto" w:sz="4" w:space="0"/>
              <w:bottom w:val="single" w:color="auto" w:sz="4" w:space="0"/>
              <w:right w:val="single" w:color="auto" w:sz="4" w:space="0"/>
            </w:tcBorders>
            <w:noWrap/>
            <w:vAlign w:val="center"/>
          </w:tcPr>
          <w:p w14:paraId="771B522D">
            <w:pPr>
              <w:widowControl/>
              <w:jc w:val="center"/>
              <w:rPr>
                <w:rFonts w:ascii="宋体" w:cs="宋体"/>
                <w:color w:val="000000"/>
                <w:kern w:val="0"/>
                <w:sz w:val="18"/>
                <w:szCs w:val="18"/>
              </w:rPr>
            </w:pPr>
            <w:r>
              <w:rPr>
                <w:rFonts w:ascii="宋体" w:hAnsi="宋体" w:cs="宋体"/>
                <w:color w:val="000000"/>
                <w:kern w:val="0"/>
                <w:sz w:val="18"/>
                <w:szCs w:val="18"/>
              </w:rPr>
              <w:t>15</w:t>
            </w:r>
          </w:p>
        </w:tc>
        <w:tc>
          <w:tcPr>
            <w:tcW w:w="1719" w:type="dxa"/>
            <w:tcBorders>
              <w:top w:val="nil"/>
              <w:left w:val="nil"/>
              <w:bottom w:val="single" w:color="auto" w:sz="4" w:space="0"/>
              <w:right w:val="single" w:color="auto" w:sz="4" w:space="0"/>
            </w:tcBorders>
            <w:vAlign w:val="center"/>
          </w:tcPr>
          <w:p w14:paraId="01D596A9">
            <w:pPr>
              <w:widowControl/>
              <w:jc w:val="left"/>
              <w:rPr>
                <w:rFonts w:ascii="宋体" w:cs="宋体"/>
                <w:color w:val="000000"/>
                <w:kern w:val="0"/>
                <w:sz w:val="18"/>
                <w:szCs w:val="18"/>
              </w:rPr>
            </w:pPr>
            <w:r>
              <w:rPr>
                <w:rFonts w:hint="eastAsia" w:ascii="宋体" w:hAnsi="宋体" w:cs="宋体"/>
                <w:color w:val="000000"/>
                <w:kern w:val="0"/>
                <w:sz w:val="18"/>
                <w:szCs w:val="18"/>
              </w:rPr>
              <w:t>李村镇拆除私搭乱建专项行动清理建筑垃圾费用</w:t>
            </w:r>
          </w:p>
        </w:tc>
        <w:tc>
          <w:tcPr>
            <w:tcW w:w="1500" w:type="dxa"/>
            <w:tcBorders>
              <w:top w:val="nil"/>
              <w:left w:val="nil"/>
              <w:bottom w:val="single" w:color="auto" w:sz="4" w:space="0"/>
              <w:right w:val="single" w:color="auto" w:sz="4" w:space="0"/>
            </w:tcBorders>
            <w:vAlign w:val="center"/>
          </w:tcPr>
          <w:p w14:paraId="7853B733">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58A9D2C3">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0F97BD75">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75C65C50">
            <w:pPr>
              <w:widowControl/>
              <w:jc w:val="right"/>
              <w:rPr>
                <w:rFonts w:ascii="宋体" w:cs="宋体"/>
                <w:color w:val="000000"/>
                <w:kern w:val="0"/>
                <w:sz w:val="18"/>
                <w:szCs w:val="18"/>
              </w:rPr>
            </w:pPr>
            <w:r>
              <w:rPr>
                <w:rFonts w:hint="eastAsia" w:ascii="宋体" w:hAnsi="宋体" w:cs="宋体"/>
                <w:color w:val="000000"/>
                <w:kern w:val="0"/>
                <w:sz w:val="18"/>
                <w:szCs w:val="18"/>
              </w:rPr>
              <w:t>38</w:t>
            </w:r>
          </w:p>
        </w:tc>
        <w:tc>
          <w:tcPr>
            <w:tcW w:w="675" w:type="dxa"/>
            <w:tcBorders>
              <w:top w:val="nil"/>
              <w:left w:val="nil"/>
              <w:bottom w:val="single" w:color="auto" w:sz="4" w:space="0"/>
              <w:right w:val="single" w:color="auto" w:sz="4" w:space="0"/>
            </w:tcBorders>
            <w:noWrap/>
            <w:vAlign w:val="center"/>
          </w:tcPr>
          <w:p w14:paraId="6DBBF2C6">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76142AC2">
            <w:pPr>
              <w:widowControl/>
              <w:jc w:val="right"/>
              <w:rPr>
                <w:rFonts w:ascii="宋体" w:cs="宋体"/>
                <w:color w:val="000000"/>
                <w:kern w:val="0"/>
                <w:sz w:val="18"/>
                <w:szCs w:val="18"/>
              </w:rPr>
            </w:pPr>
            <w:r>
              <w:rPr>
                <w:rFonts w:hint="eastAsia" w:ascii="宋体" w:hAnsi="宋体" w:cs="宋体"/>
                <w:color w:val="000000"/>
                <w:kern w:val="0"/>
                <w:sz w:val="18"/>
                <w:szCs w:val="18"/>
              </w:rPr>
              <w:t>38</w:t>
            </w:r>
          </w:p>
        </w:tc>
        <w:tc>
          <w:tcPr>
            <w:tcW w:w="765" w:type="dxa"/>
            <w:tcBorders>
              <w:top w:val="nil"/>
              <w:left w:val="nil"/>
              <w:bottom w:val="single" w:color="auto" w:sz="4" w:space="0"/>
              <w:right w:val="single" w:color="auto" w:sz="4" w:space="0"/>
            </w:tcBorders>
            <w:noWrap/>
            <w:vAlign w:val="center"/>
          </w:tcPr>
          <w:p w14:paraId="1C4ABAFB">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05E1E962">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2C5F9B1F">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3FB8C813">
        <w:tblPrEx>
          <w:tblCellMar>
            <w:top w:w="0" w:type="dxa"/>
            <w:left w:w="108" w:type="dxa"/>
            <w:bottom w:w="0" w:type="dxa"/>
            <w:right w:w="108" w:type="dxa"/>
          </w:tblCellMar>
        </w:tblPrEx>
        <w:trPr>
          <w:trHeight w:val="960" w:hRule="atLeast"/>
        </w:trPr>
        <w:tc>
          <w:tcPr>
            <w:tcW w:w="765" w:type="dxa"/>
            <w:tcBorders>
              <w:top w:val="nil"/>
              <w:left w:val="single" w:color="auto" w:sz="4" w:space="0"/>
              <w:bottom w:val="single" w:color="auto" w:sz="4" w:space="0"/>
              <w:right w:val="single" w:color="auto" w:sz="4" w:space="0"/>
            </w:tcBorders>
            <w:noWrap/>
            <w:vAlign w:val="center"/>
          </w:tcPr>
          <w:p w14:paraId="490A3B05">
            <w:pPr>
              <w:widowControl/>
              <w:jc w:val="center"/>
              <w:rPr>
                <w:rFonts w:ascii="宋体" w:cs="宋体"/>
                <w:color w:val="000000"/>
                <w:kern w:val="0"/>
                <w:sz w:val="18"/>
                <w:szCs w:val="18"/>
              </w:rPr>
            </w:pPr>
            <w:r>
              <w:rPr>
                <w:rFonts w:ascii="宋体" w:hAnsi="宋体" w:cs="宋体"/>
                <w:color w:val="000000"/>
                <w:kern w:val="0"/>
                <w:sz w:val="18"/>
                <w:szCs w:val="18"/>
              </w:rPr>
              <w:t>16</w:t>
            </w:r>
          </w:p>
        </w:tc>
        <w:tc>
          <w:tcPr>
            <w:tcW w:w="1719" w:type="dxa"/>
            <w:tcBorders>
              <w:top w:val="nil"/>
              <w:left w:val="nil"/>
              <w:bottom w:val="single" w:color="auto" w:sz="4" w:space="0"/>
              <w:right w:val="single" w:color="auto" w:sz="4" w:space="0"/>
            </w:tcBorders>
            <w:vAlign w:val="center"/>
          </w:tcPr>
          <w:p w14:paraId="72B711EE">
            <w:pPr>
              <w:widowControl/>
              <w:jc w:val="left"/>
              <w:rPr>
                <w:rFonts w:ascii="宋体" w:cs="宋体"/>
                <w:color w:val="000000"/>
                <w:kern w:val="0"/>
                <w:sz w:val="18"/>
                <w:szCs w:val="18"/>
              </w:rPr>
            </w:pPr>
            <w:r>
              <w:rPr>
                <w:rFonts w:hint="eastAsia" w:ascii="宋体" w:hAnsi="宋体" w:cs="宋体"/>
                <w:color w:val="000000"/>
                <w:kern w:val="0"/>
                <w:sz w:val="18"/>
                <w:szCs w:val="18"/>
              </w:rPr>
              <w:t>公共文化设施免费开放（乡镇文化站</w:t>
            </w:r>
          </w:p>
        </w:tc>
        <w:tc>
          <w:tcPr>
            <w:tcW w:w="1500" w:type="dxa"/>
            <w:tcBorders>
              <w:top w:val="nil"/>
              <w:left w:val="nil"/>
              <w:bottom w:val="single" w:color="auto" w:sz="4" w:space="0"/>
              <w:right w:val="single" w:color="auto" w:sz="4" w:space="0"/>
            </w:tcBorders>
            <w:vAlign w:val="center"/>
          </w:tcPr>
          <w:p w14:paraId="2DE4E1D6">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25F4AB5B">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24DF9A75">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08429AA1">
            <w:pPr>
              <w:widowControl/>
              <w:jc w:val="right"/>
              <w:rPr>
                <w:rFonts w:ascii="宋体" w:cs="宋体"/>
                <w:color w:val="000000"/>
                <w:kern w:val="0"/>
                <w:sz w:val="18"/>
                <w:szCs w:val="18"/>
              </w:rPr>
            </w:pPr>
            <w:r>
              <w:rPr>
                <w:rFonts w:ascii="宋体" w:hAnsi="宋体" w:cs="宋体"/>
                <w:color w:val="000000"/>
                <w:kern w:val="0"/>
                <w:sz w:val="18"/>
                <w:szCs w:val="18"/>
              </w:rPr>
              <w:t>1.5</w:t>
            </w:r>
          </w:p>
        </w:tc>
        <w:tc>
          <w:tcPr>
            <w:tcW w:w="675" w:type="dxa"/>
            <w:tcBorders>
              <w:top w:val="nil"/>
              <w:left w:val="nil"/>
              <w:bottom w:val="single" w:color="auto" w:sz="4" w:space="0"/>
              <w:right w:val="single" w:color="auto" w:sz="4" w:space="0"/>
            </w:tcBorders>
            <w:noWrap/>
            <w:vAlign w:val="center"/>
          </w:tcPr>
          <w:p w14:paraId="76CF87C0">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4CC8B924">
            <w:pPr>
              <w:widowControl/>
              <w:jc w:val="right"/>
              <w:rPr>
                <w:rFonts w:ascii="宋体" w:cs="宋体"/>
                <w:color w:val="000000"/>
                <w:kern w:val="0"/>
                <w:sz w:val="18"/>
                <w:szCs w:val="18"/>
              </w:rPr>
            </w:pPr>
            <w:r>
              <w:rPr>
                <w:rFonts w:ascii="宋体" w:hAnsi="宋体" w:cs="宋体"/>
                <w:color w:val="000000"/>
                <w:kern w:val="0"/>
                <w:sz w:val="18"/>
                <w:szCs w:val="18"/>
              </w:rPr>
              <w:t>1.5</w:t>
            </w:r>
          </w:p>
        </w:tc>
        <w:tc>
          <w:tcPr>
            <w:tcW w:w="765" w:type="dxa"/>
            <w:tcBorders>
              <w:top w:val="nil"/>
              <w:left w:val="nil"/>
              <w:bottom w:val="single" w:color="auto" w:sz="4" w:space="0"/>
              <w:right w:val="single" w:color="auto" w:sz="4" w:space="0"/>
            </w:tcBorders>
            <w:noWrap/>
            <w:vAlign w:val="center"/>
          </w:tcPr>
          <w:p w14:paraId="459961A6">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7FE747DD">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4045226C">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3DA29102">
        <w:tblPrEx>
          <w:tblCellMar>
            <w:top w:w="0" w:type="dxa"/>
            <w:left w:w="108" w:type="dxa"/>
            <w:bottom w:w="0" w:type="dxa"/>
            <w:right w:w="108" w:type="dxa"/>
          </w:tblCellMar>
        </w:tblPrEx>
        <w:trPr>
          <w:trHeight w:val="975" w:hRule="atLeast"/>
        </w:trPr>
        <w:tc>
          <w:tcPr>
            <w:tcW w:w="765" w:type="dxa"/>
            <w:tcBorders>
              <w:top w:val="nil"/>
              <w:left w:val="single" w:color="auto" w:sz="4" w:space="0"/>
              <w:bottom w:val="single" w:color="auto" w:sz="4" w:space="0"/>
              <w:right w:val="single" w:color="auto" w:sz="4" w:space="0"/>
            </w:tcBorders>
            <w:noWrap/>
            <w:vAlign w:val="center"/>
          </w:tcPr>
          <w:p w14:paraId="2ED02968">
            <w:pPr>
              <w:widowControl/>
              <w:jc w:val="center"/>
              <w:rPr>
                <w:rFonts w:ascii="宋体" w:cs="宋体"/>
                <w:color w:val="000000"/>
                <w:kern w:val="0"/>
                <w:sz w:val="18"/>
                <w:szCs w:val="18"/>
              </w:rPr>
            </w:pPr>
            <w:r>
              <w:rPr>
                <w:rFonts w:hint="eastAsia" w:ascii="宋体" w:hAnsi="宋体" w:cs="宋体"/>
                <w:color w:val="000000"/>
                <w:kern w:val="0"/>
                <w:sz w:val="18"/>
                <w:szCs w:val="18"/>
              </w:rPr>
              <w:t>17</w:t>
            </w:r>
          </w:p>
        </w:tc>
        <w:tc>
          <w:tcPr>
            <w:tcW w:w="1719" w:type="dxa"/>
            <w:tcBorders>
              <w:top w:val="nil"/>
              <w:left w:val="nil"/>
              <w:bottom w:val="single" w:color="auto" w:sz="4" w:space="0"/>
              <w:right w:val="single" w:color="auto" w:sz="4" w:space="0"/>
            </w:tcBorders>
            <w:vAlign w:val="center"/>
          </w:tcPr>
          <w:p w14:paraId="1BD47FFB">
            <w:pPr>
              <w:widowControl/>
              <w:jc w:val="left"/>
              <w:rPr>
                <w:rFonts w:ascii="宋体" w:cs="宋体"/>
                <w:color w:val="000000"/>
                <w:kern w:val="0"/>
                <w:sz w:val="18"/>
                <w:szCs w:val="18"/>
              </w:rPr>
            </w:pPr>
            <w:r>
              <w:rPr>
                <w:rFonts w:ascii="宋体" w:hAnsi="宋体" w:cs="宋体"/>
                <w:color w:val="000000"/>
                <w:kern w:val="0"/>
                <w:sz w:val="18"/>
                <w:szCs w:val="18"/>
              </w:rPr>
              <w:t>2022</w:t>
            </w:r>
            <w:r>
              <w:rPr>
                <w:rFonts w:hint="eastAsia" w:ascii="宋体" w:hAnsi="宋体" w:cs="宋体"/>
                <w:color w:val="000000"/>
                <w:kern w:val="0"/>
                <w:sz w:val="18"/>
                <w:szCs w:val="18"/>
              </w:rPr>
              <w:t>年李村镇际华现代农业温室项目（农村综合改革）</w:t>
            </w:r>
          </w:p>
        </w:tc>
        <w:tc>
          <w:tcPr>
            <w:tcW w:w="1500" w:type="dxa"/>
            <w:tcBorders>
              <w:top w:val="nil"/>
              <w:left w:val="nil"/>
              <w:bottom w:val="single" w:color="auto" w:sz="4" w:space="0"/>
              <w:right w:val="single" w:color="auto" w:sz="4" w:space="0"/>
            </w:tcBorders>
            <w:vAlign w:val="center"/>
          </w:tcPr>
          <w:p w14:paraId="7E7ED693">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41BBF9FD">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34617624">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32429DDE">
            <w:pPr>
              <w:widowControl/>
              <w:jc w:val="right"/>
              <w:rPr>
                <w:rFonts w:ascii="宋体" w:cs="宋体"/>
                <w:color w:val="000000"/>
                <w:kern w:val="0"/>
                <w:sz w:val="18"/>
                <w:szCs w:val="18"/>
              </w:rPr>
            </w:pPr>
            <w:r>
              <w:rPr>
                <w:rFonts w:ascii="宋体" w:hAnsi="宋体" w:cs="宋体"/>
                <w:color w:val="000000"/>
                <w:kern w:val="0"/>
                <w:sz w:val="18"/>
                <w:szCs w:val="18"/>
              </w:rPr>
              <w:t>220</w:t>
            </w:r>
          </w:p>
        </w:tc>
        <w:tc>
          <w:tcPr>
            <w:tcW w:w="675" w:type="dxa"/>
            <w:tcBorders>
              <w:top w:val="nil"/>
              <w:left w:val="nil"/>
              <w:bottom w:val="single" w:color="auto" w:sz="4" w:space="0"/>
              <w:right w:val="single" w:color="auto" w:sz="4" w:space="0"/>
            </w:tcBorders>
            <w:noWrap/>
            <w:vAlign w:val="center"/>
          </w:tcPr>
          <w:p w14:paraId="4F533DD4">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73EEF7F5">
            <w:pPr>
              <w:widowControl/>
              <w:jc w:val="right"/>
              <w:rPr>
                <w:rFonts w:ascii="宋体" w:cs="宋体"/>
                <w:color w:val="000000"/>
                <w:kern w:val="0"/>
                <w:sz w:val="18"/>
                <w:szCs w:val="18"/>
              </w:rPr>
            </w:pPr>
            <w:r>
              <w:rPr>
                <w:rFonts w:ascii="宋体" w:hAnsi="宋体" w:cs="宋体"/>
                <w:color w:val="000000"/>
                <w:kern w:val="0"/>
                <w:sz w:val="18"/>
                <w:szCs w:val="18"/>
              </w:rPr>
              <w:t>220</w:t>
            </w:r>
          </w:p>
        </w:tc>
        <w:tc>
          <w:tcPr>
            <w:tcW w:w="765" w:type="dxa"/>
            <w:tcBorders>
              <w:top w:val="nil"/>
              <w:left w:val="nil"/>
              <w:bottom w:val="single" w:color="auto" w:sz="4" w:space="0"/>
              <w:right w:val="single" w:color="auto" w:sz="4" w:space="0"/>
            </w:tcBorders>
            <w:noWrap/>
            <w:vAlign w:val="center"/>
          </w:tcPr>
          <w:p w14:paraId="7F118945">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0B423BE6">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402321EB">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27D8C57A">
        <w:tblPrEx>
          <w:tblCellMar>
            <w:top w:w="0" w:type="dxa"/>
            <w:left w:w="108" w:type="dxa"/>
            <w:bottom w:w="0" w:type="dxa"/>
            <w:right w:w="108" w:type="dxa"/>
          </w:tblCellMar>
        </w:tblPrEx>
        <w:trPr>
          <w:trHeight w:val="990" w:hRule="atLeast"/>
        </w:trPr>
        <w:tc>
          <w:tcPr>
            <w:tcW w:w="765" w:type="dxa"/>
            <w:tcBorders>
              <w:top w:val="nil"/>
              <w:left w:val="single" w:color="auto" w:sz="4" w:space="0"/>
              <w:bottom w:val="single" w:color="auto" w:sz="4" w:space="0"/>
              <w:right w:val="single" w:color="auto" w:sz="4" w:space="0"/>
            </w:tcBorders>
            <w:noWrap/>
            <w:vAlign w:val="center"/>
          </w:tcPr>
          <w:p w14:paraId="61EE59CF">
            <w:pPr>
              <w:widowControl/>
              <w:jc w:val="center"/>
              <w:rPr>
                <w:rFonts w:ascii="宋体" w:hAnsi="宋体" w:cs="宋体"/>
                <w:color w:val="000000"/>
                <w:kern w:val="0"/>
                <w:sz w:val="18"/>
                <w:szCs w:val="18"/>
              </w:rPr>
            </w:pPr>
            <w:r>
              <w:rPr>
                <w:rFonts w:hint="eastAsia" w:ascii="宋体" w:hAnsi="宋体" w:cs="宋体"/>
                <w:color w:val="000000"/>
                <w:kern w:val="0"/>
                <w:sz w:val="18"/>
                <w:szCs w:val="18"/>
              </w:rPr>
              <w:t>18</w:t>
            </w:r>
          </w:p>
        </w:tc>
        <w:tc>
          <w:tcPr>
            <w:tcW w:w="1719" w:type="dxa"/>
            <w:tcBorders>
              <w:top w:val="nil"/>
              <w:left w:val="nil"/>
              <w:bottom w:val="single" w:color="auto" w:sz="4" w:space="0"/>
              <w:right w:val="single" w:color="auto" w:sz="4" w:space="0"/>
            </w:tcBorders>
            <w:vAlign w:val="center"/>
          </w:tcPr>
          <w:p w14:paraId="147D962E">
            <w:pPr>
              <w:widowControl/>
              <w:jc w:val="left"/>
              <w:rPr>
                <w:rFonts w:ascii="宋体" w:hAnsi="宋体" w:cs="宋体"/>
                <w:color w:val="000000"/>
                <w:kern w:val="0"/>
                <w:sz w:val="18"/>
                <w:szCs w:val="18"/>
              </w:rPr>
            </w:pPr>
            <w:r>
              <w:rPr>
                <w:rFonts w:hint="eastAsia" w:ascii="宋体" w:hAnsi="宋体" w:cs="宋体"/>
                <w:color w:val="000000"/>
                <w:kern w:val="0"/>
                <w:sz w:val="18"/>
                <w:szCs w:val="18"/>
              </w:rPr>
              <w:t>2</w:t>
            </w:r>
            <w:r>
              <w:rPr>
                <w:rFonts w:ascii="宋体" w:hAnsi="宋体" w:cs="宋体"/>
                <w:color w:val="000000"/>
                <w:kern w:val="0"/>
                <w:sz w:val="18"/>
                <w:szCs w:val="18"/>
              </w:rPr>
              <w:t>023</w:t>
            </w:r>
            <w:r>
              <w:rPr>
                <w:rFonts w:hint="eastAsia" w:ascii="宋体" w:hAnsi="宋体" w:cs="宋体"/>
                <w:color w:val="000000"/>
                <w:kern w:val="0"/>
                <w:sz w:val="18"/>
                <w:szCs w:val="18"/>
              </w:rPr>
              <w:t>年本级专项公用经费</w:t>
            </w:r>
          </w:p>
        </w:tc>
        <w:tc>
          <w:tcPr>
            <w:tcW w:w="1500" w:type="dxa"/>
            <w:tcBorders>
              <w:top w:val="nil"/>
              <w:left w:val="nil"/>
              <w:bottom w:val="single" w:color="auto" w:sz="4" w:space="0"/>
              <w:right w:val="single" w:color="auto" w:sz="4" w:space="0"/>
            </w:tcBorders>
            <w:vAlign w:val="center"/>
          </w:tcPr>
          <w:p w14:paraId="11DBE8A9">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4D14BE74">
            <w:pPr>
              <w:widowControl/>
              <w:jc w:val="left"/>
              <w:rPr>
                <w:rFonts w:ascii="宋体" w:hAnsi="宋体" w:cs="宋体"/>
                <w:color w:val="000000"/>
                <w:kern w:val="0"/>
                <w:sz w:val="18"/>
                <w:szCs w:val="18"/>
              </w:rPr>
            </w:pPr>
          </w:p>
        </w:tc>
        <w:tc>
          <w:tcPr>
            <w:tcW w:w="534" w:type="dxa"/>
            <w:tcBorders>
              <w:top w:val="nil"/>
              <w:left w:val="nil"/>
              <w:bottom w:val="single" w:color="auto" w:sz="4" w:space="0"/>
              <w:right w:val="single" w:color="auto" w:sz="4" w:space="0"/>
            </w:tcBorders>
            <w:noWrap/>
            <w:vAlign w:val="center"/>
          </w:tcPr>
          <w:p w14:paraId="7A0E9A27">
            <w:pPr>
              <w:widowControl/>
              <w:jc w:val="left"/>
              <w:rPr>
                <w:rFonts w:ascii="宋体" w:hAnsi="宋体" w:cs="宋体"/>
                <w:color w:val="000000"/>
                <w:kern w:val="0"/>
                <w:sz w:val="18"/>
                <w:szCs w:val="18"/>
              </w:rPr>
            </w:pPr>
          </w:p>
        </w:tc>
        <w:tc>
          <w:tcPr>
            <w:tcW w:w="1146" w:type="dxa"/>
            <w:tcBorders>
              <w:top w:val="nil"/>
              <w:left w:val="nil"/>
              <w:bottom w:val="single" w:color="auto" w:sz="4" w:space="0"/>
              <w:right w:val="single" w:color="auto" w:sz="4" w:space="0"/>
            </w:tcBorders>
            <w:noWrap/>
            <w:vAlign w:val="center"/>
          </w:tcPr>
          <w:p w14:paraId="0078A7EF">
            <w:pPr>
              <w:widowControl/>
              <w:jc w:val="right"/>
              <w:rPr>
                <w:rFonts w:ascii="宋体" w:hAnsi="宋体" w:cs="宋体"/>
                <w:color w:val="000000"/>
                <w:kern w:val="0"/>
                <w:sz w:val="18"/>
                <w:szCs w:val="18"/>
              </w:rPr>
            </w:pPr>
            <w:r>
              <w:rPr>
                <w:rFonts w:hint="eastAsia" w:ascii="宋体" w:hAnsi="宋体" w:cs="宋体"/>
                <w:color w:val="000000"/>
                <w:kern w:val="0"/>
                <w:sz w:val="18"/>
                <w:szCs w:val="18"/>
              </w:rPr>
              <w:t>40.29</w:t>
            </w:r>
          </w:p>
        </w:tc>
        <w:tc>
          <w:tcPr>
            <w:tcW w:w="675" w:type="dxa"/>
            <w:tcBorders>
              <w:top w:val="nil"/>
              <w:left w:val="nil"/>
              <w:bottom w:val="single" w:color="auto" w:sz="4" w:space="0"/>
              <w:right w:val="single" w:color="auto" w:sz="4" w:space="0"/>
            </w:tcBorders>
            <w:noWrap/>
            <w:vAlign w:val="center"/>
          </w:tcPr>
          <w:p w14:paraId="0D9177BF">
            <w:pPr>
              <w:widowControl/>
              <w:jc w:val="left"/>
              <w:rPr>
                <w:rFonts w:ascii="宋体" w:hAnsi="宋体" w:cs="宋体"/>
                <w:color w:val="000000"/>
                <w:kern w:val="0"/>
                <w:sz w:val="18"/>
                <w:szCs w:val="18"/>
              </w:rPr>
            </w:pPr>
          </w:p>
        </w:tc>
        <w:tc>
          <w:tcPr>
            <w:tcW w:w="1089" w:type="dxa"/>
            <w:tcBorders>
              <w:top w:val="nil"/>
              <w:left w:val="nil"/>
              <w:bottom w:val="single" w:color="auto" w:sz="4" w:space="0"/>
              <w:right w:val="single" w:color="auto" w:sz="4" w:space="0"/>
            </w:tcBorders>
            <w:noWrap/>
            <w:vAlign w:val="center"/>
          </w:tcPr>
          <w:p w14:paraId="61EFEC84">
            <w:pPr>
              <w:widowControl/>
              <w:jc w:val="right"/>
              <w:rPr>
                <w:rFonts w:ascii="宋体" w:hAnsi="宋体" w:cs="宋体"/>
                <w:color w:val="000000"/>
                <w:kern w:val="0"/>
                <w:sz w:val="18"/>
                <w:szCs w:val="18"/>
              </w:rPr>
            </w:pPr>
            <w:r>
              <w:rPr>
                <w:rFonts w:hint="eastAsia" w:ascii="宋体" w:hAnsi="宋体" w:cs="宋体"/>
                <w:color w:val="000000"/>
                <w:kern w:val="0"/>
                <w:sz w:val="18"/>
                <w:szCs w:val="18"/>
              </w:rPr>
              <w:t>40.29</w:t>
            </w:r>
          </w:p>
        </w:tc>
        <w:tc>
          <w:tcPr>
            <w:tcW w:w="765" w:type="dxa"/>
            <w:tcBorders>
              <w:top w:val="nil"/>
              <w:left w:val="nil"/>
              <w:bottom w:val="single" w:color="auto" w:sz="4" w:space="0"/>
              <w:right w:val="single" w:color="auto" w:sz="4" w:space="0"/>
            </w:tcBorders>
            <w:noWrap/>
            <w:vAlign w:val="center"/>
          </w:tcPr>
          <w:p w14:paraId="37EAD7BD">
            <w:pPr>
              <w:widowControl/>
              <w:jc w:val="right"/>
              <w:rPr>
                <w:rFonts w:ascii="宋体" w:hAnsi="宋体" w:cs="宋体"/>
                <w:color w:val="000000"/>
                <w:kern w:val="0"/>
                <w:sz w:val="18"/>
                <w:szCs w:val="18"/>
              </w:rPr>
            </w:pPr>
            <w:r>
              <w:rPr>
                <w:rFonts w:hint="eastAsia"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317F9BCA">
            <w:pPr>
              <w:widowControl/>
              <w:jc w:val="right"/>
              <w:rPr>
                <w:rFonts w:ascii="宋体" w:hAnsi="宋体" w:cs="宋体"/>
                <w:color w:val="000000"/>
                <w:kern w:val="0"/>
                <w:sz w:val="18"/>
                <w:szCs w:val="18"/>
              </w:rPr>
            </w:pPr>
            <w:r>
              <w:rPr>
                <w:rFonts w:hint="eastAsia"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674F434D">
            <w:pPr>
              <w:widowControl/>
              <w:jc w:val="right"/>
              <w:rPr>
                <w:rFonts w:ascii="宋体" w:hAnsi="宋体" w:cs="宋体"/>
                <w:color w:val="000000"/>
                <w:kern w:val="0"/>
                <w:sz w:val="18"/>
                <w:szCs w:val="18"/>
              </w:rPr>
            </w:pPr>
            <w:r>
              <w:rPr>
                <w:rFonts w:hint="eastAsia" w:ascii="宋体" w:hAnsi="宋体" w:cs="宋体"/>
                <w:color w:val="000000"/>
                <w:kern w:val="0"/>
                <w:sz w:val="18"/>
                <w:szCs w:val="18"/>
              </w:rPr>
              <w:t>100</w:t>
            </w:r>
          </w:p>
        </w:tc>
      </w:tr>
      <w:tr w14:paraId="502CF15C">
        <w:tblPrEx>
          <w:tblCellMar>
            <w:top w:w="0" w:type="dxa"/>
            <w:left w:w="108" w:type="dxa"/>
            <w:bottom w:w="0" w:type="dxa"/>
            <w:right w:w="108" w:type="dxa"/>
          </w:tblCellMar>
        </w:tblPrEx>
        <w:trPr>
          <w:trHeight w:val="1050" w:hRule="atLeast"/>
        </w:trPr>
        <w:tc>
          <w:tcPr>
            <w:tcW w:w="765" w:type="dxa"/>
            <w:tcBorders>
              <w:top w:val="nil"/>
              <w:left w:val="single" w:color="auto" w:sz="4" w:space="0"/>
              <w:bottom w:val="single" w:color="auto" w:sz="4" w:space="0"/>
              <w:right w:val="single" w:color="auto" w:sz="4" w:space="0"/>
            </w:tcBorders>
            <w:noWrap/>
            <w:vAlign w:val="center"/>
          </w:tcPr>
          <w:p w14:paraId="2C43152B">
            <w:pPr>
              <w:widowControl/>
              <w:jc w:val="center"/>
              <w:rPr>
                <w:rFonts w:ascii="宋体" w:cs="宋体"/>
                <w:color w:val="000000"/>
                <w:kern w:val="0"/>
                <w:sz w:val="18"/>
                <w:szCs w:val="18"/>
              </w:rPr>
            </w:pPr>
            <w:r>
              <w:rPr>
                <w:rFonts w:hint="eastAsia" w:ascii="宋体" w:hAnsi="宋体" w:cs="宋体"/>
                <w:color w:val="000000"/>
                <w:kern w:val="0"/>
                <w:sz w:val="18"/>
                <w:szCs w:val="18"/>
              </w:rPr>
              <w:t>19</w:t>
            </w:r>
          </w:p>
        </w:tc>
        <w:tc>
          <w:tcPr>
            <w:tcW w:w="1719" w:type="dxa"/>
            <w:tcBorders>
              <w:top w:val="nil"/>
              <w:left w:val="nil"/>
              <w:bottom w:val="single" w:color="auto" w:sz="4" w:space="0"/>
              <w:right w:val="single" w:color="auto" w:sz="4" w:space="0"/>
            </w:tcBorders>
            <w:vAlign w:val="center"/>
          </w:tcPr>
          <w:p w14:paraId="7382EE50">
            <w:pPr>
              <w:widowControl/>
              <w:jc w:val="left"/>
              <w:rPr>
                <w:rFonts w:ascii="宋体" w:cs="宋体"/>
                <w:color w:val="000000"/>
                <w:kern w:val="0"/>
                <w:sz w:val="18"/>
                <w:szCs w:val="18"/>
              </w:rPr>
            </w:pPr>
            <w:r>
              <w:rPr>
                <w:rFonts w:ascii="宋体" w:hAnsi="宋体" w:cs="宋体"/>
                <w:color w:val="000000"/>
                <w:kern w:val="0"/>
                <w:sz w:val="18"/>
                <w:szCs w:val="18"/>
              </w:rPr>
              <w:t>2022</w:t>
            </w:r>
            <w:r>
              <w:rPr>
                <w:rFonts w:hint="eastAsia" w:ascii="宋体" w:hAnsi="宋体" w:cs="宋体"/>
                <w:color w:val="000000"/>
                <w:kern w:val="0"/>
                <w:sz w:val="18"/>
                <w:szCs w:val="18"/>
              </w:rPr>
              <w:t>年李村镇一事一议项目（农村综合改革）</w:t>
            </w:r>
          </w:p>
        </w:tc>
        <w:tc>
          <w:tcPr>
            <w:tcW w:w="1500" w:type="dxa"/>
            <w:tcBorders>
              <w:top w:val="nil"/>
              <w:left w:val="nil"/>
              <w:bottom w:val="single" w:color="auto" w:sz="4" w:space="0"/>
              <w:right w:val="single" w:color="auto" w:sz="4" w:space="0"/>
            </w:tcBorders>
            <w:vAlign w:val="center"/>
          </w:tcPr>
          <w:p w14:paraId="68780B17">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4799CFD7">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0B46D0E4">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1D79A9C7">
            <w:pPr>
              <w:widowControl/>
              <w:jc w:val="right"/>
              <w:rPr>
                <w:rFonts w:ascii="宋体" w:cs="宋体"/>
                <w:color w:val="000000"/>
                <w:kern w:val="0"/>
                <w:sz w:val="18"/>
                <w:szCs w:val="18"/>
              </w:rPr>
            </w:pPr>
            <w:r>
              <w:rPr>
                <w:rFonts w:ascii="宋体" w:hAnsi="宋体" w:cs="宋体"/>
                <w:color w:val="000000"/>
                <w:kern w:val="0"/>
                <w:sz w:val="18"/>
                <w:szCs w:val="18"/>
              </w:rPr>
              <w:t>16</w:t>
            </w:r>
            <w:r>
              <w:rPr>
                <w:rFonts w:hint="eastAsia" w:ascii="宋体" w:hAnsi="宋体" w:cs="宋体"/>
                <w:color w:val="000000"/>
                <w:kern w:val="0"/>
                <w:sz w:val="18"/>
                <w:szCs w:val="18"/>
              </w:rPr>
              <w:t>4</w:t>
            </w:r>
            <w:r>
              <w:rPr>
                <w:rFonts w:ascii="宋体" w:hAnsi="宋体" w:cs="宋体"/>
                <w:color w:val="000000"/>
                <w:kern w:val="0"/>
                <w:sz w:val="18"/>
                <w:szCs w:val="18"/>
              </w:rPr>
              <w:t>.</w:t>
            </w:r>
            <w:r>
              <w:rPr>
                <w:rFonts w:hint="eastAsia" w:ascii="宋体" w:hAnsi="宋体" w:cs="宋体"/>
                <w:color w:val="000000"/>
                <w:kern w:val="0"/>
                <w:sz w:val="18"/>
                <w:szCs w:val="18"/>
              </w:rPr>
              <w:t>1</w:t>
            </w:r>
          </w:p>
        </w:tc>
        <w:tc>
          <w:tcPr>
            <w:tcW w:w="675" w:type="dxa"/>
            <w:tcBorders>
              <w:top w:val="nil"/>
              <w:left w:val="nil"/>
              <w:bottom w:val="single" w:color="auto" w:sz="4" w:space="0"/>
              <w:right w:val="single" w:color="auto" w:sz="4" w:space="0"/>
            </w:tcBorders>
            <w:noWrap/>
            <w:vAlign w:val="center"/>
          </w:tcPr>
          <w:p w14:paraId="705D8259">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4BA1CF52">
            <w:pPr>
              <w:widowControl/>
              <w:jc w:val="right"/>
              <w:rPr>
                <w:rFonts w:ascii="宋体" w:cs="宋体"/>
                <w:color w:val="000000"/>
                <w:kern w:val="0"/>
                <w:sz w:val="18"/>
                <w:szCs w:val="18"/>
              </w:rPr>
            </w:pPr>
            <w:r>
              <w:rPr>
                <w:rFonts w:hint="eastAsia" w:ascii="宋体" w:hAnsi="宋体" w:cs="宋体"/>
                <w:color w:val="000000"/>
                <w:kern w:val="0"/>
                <w:sz w:val="18"/>
                <w:szCs w:val="18"/>
              </w:rPr>
              <w:t>164.1</w:t>
            </w:r>
          </w:p>
        </w:tc>
        <w:tc>
          <w:tcPr>
            <w:tcW w:w="765" w:type="dxa"/>
            <w:tcBorders>
              <w:top w:val="nil"/>
              <w:left w:val="nil"/>
              <w:bottom w:val="single" w:color="auto" w:sz="4" w:space="0"/>
              <w:right w:val="single" w:color="auto" w:sz="4" w:space="0"/>
            </w:tcBorders>
            <w:noWrap/>
            <w:vAlign w:val="center"/>
          </w:tcPr>
          <w:p w14:paraId="6F5E6D17">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043CC250">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5B5DB389">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074B163B">
        <w:tblPrEx>
          <w:tblCellMar>
            <w:top w:w="0" w:type="dxa"/>
            <w:left w:w="108" w:type="dxa"/>
            <w:bottom w:w="0" w:type="dxa"/>
            <w:right w:w="108" w:type="dxa"/>
          </w:tblCellMar>
        </w:tblPrEx>
        <w:trPr>
          <w:trHeight w:val="595" w:hRule="atLeast"/>
        </w:trPr>
        <w:tc>
          <w:tcPr>
            <w:tcW w:w="765" w:type="dxa"/>
            <w:tcBorders>
              <w:top w:val="single" w:color="auto" w:sz="4" w:space="0"/>
              <w:left w:val="single" w:color="auto" w:sz="4" w:space="0"/>
              <w:bottom w:val="single" w:color="auto" w:sz="4" w:space="0"/>
              <w:right w:val="single" w:color="auto" w:sz="4" w:space="0"/>
            </w:tcBorders>
            <w:noWrap/>
            <w:vAlign w:val="center"/>
          </w:tcPr>
          <w:p w14:paraId="13691908">
            <w:pPr>
              <w:widowControl/>
              <w:jc w:val="center"/>
              <w:rPr>
                <w:rFonts w:ascii="宋体" w:cs="宋体"/>
                <w:color w:val="000000"/>
                <w:kern w:val="0"/>
                <w:sz w:val="18"/>
                <w:szCs w:val="18"/>
              </w:rPr>
            </w:pPr>
            <w:r>
              <w:rPr>
                <w:rFonts w:hint="eastAsia" w:ascii="宋体" w:hAnsi="宋体" w:cs="宋体"/>
                <w:color w:val="000000"/>
                <w:kern w:val="0"/>
                <w:sz w:val="18"/>
                <w:szCs w:val="18"/>
              </w:rPr>
              <w:t>　</w:t>
            </w:r>
          </w:p>
        </w:tc>
        <w:tc>
          <w:tcPr>
            <w:tcW w:w="1719" w:type="dxa"/>
            <w:tcBorders>
              <w:top w:val="single" w:color="auto" w:sz="4" w:space="0"/>
              <w:left w:val="nil"/>
              <w:bottom w:val="single" w:color="auto" w:sz="4" w:space="0"/>
              <w:right w:val="single" w:color="auto" w:sz="4" w:space="0"/>
            </w:tcBorders>
            <w:vAlign w:val="center"/>
          </w:tcPr>
          <w:p w14:paraId="494B6045">
            <w:pPr>
              <w:widowControl/>
              <w:jc w:val="center"/>
              <w:rPr>
                <w:rFonts w:ascii="宋体" w:cs="宋体"/>
                <w:color w:val="000000"/>
                <w:kern w:val="0"/>
                <w:sz w:val="18"/>
                <w:szCs w:val="18"/>
              </w:rPr>
            </w:pPr>
            <w:r>
              <w:rPr>
                <w:rFonts w:hint="eastAsia" w:ascii="宋体" w:hAnsi="宋体" w:cs="宋体"/>
                <w:color w:val="000000"/>
                <w:kern w:val="0"/>
                <w:sz w:val="18"/>
                <w:szCs w:val="18"/>
              </w:rPr>
              <w:t>合</w:t>
            </w:r>
            <w:r>
              <w:rPr>
                <w:rFonts w:ascii="宋体" w:hAnsi="宋体" w:cs="宋体"/>
                <w:color w:val="000000"/>
                <w:kern w:val="0"/>
                <w:sz w:val="18"/>
                <w:szCs w:val="18"/>
              </w:rPr>
              <w:t xml:space="preserve">       </w:t>
            </w:r>
            <w:r>
              <w:rPr>
                <w:rFonts w:hint="eastAsia" w:ascii="宋体" w:hAnsi="宋体" w:cs="宋体"/>
                <w:color w:val="000000"/>
                <w:kern w:val="0"/>
                <w:sz w:val="18"/>
                <w:szCs w:val="18"/>
              </w:rPr>
              <w:t>计</w:t>
            </w:r>
          </w:p>
        </w:tc>
        <w:tc>
          <w:tcPr>
            <w:tcW w:w="1500" w:type="dxa"/>
            <w:tcBorders>
              <w:top w:val="single" w:color="auto" w:sz="4" w:space="0"/>
              <w:left w:val="nil"/>
              <w:bottom w:val="single" w:color="auto" w:sz="4" w:space="0"/>
              <w:right w:val="single" w:color="auto" w:sz="4" w:space="0"/>
            </w:tcBorders>
            <w:noWrap/>
            <w:vAlign w:val="center"/>
          </w:tcPr>
          <w:p w14:paraId="170AA174">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1" w:type="dxa"/>
            <w:tcBorders>
              <w:top w:val="single" w:color="auto" w:sz="4" w:space="0"/>
              <w:left w:val="nil"/>
              <w:bottom w:val="single" w:color="auto" w:sz="4" w:space="0"/>
              <w:right w:val="single" w:color="auto" w:sz="4" w:space="0"/>
            </w:tcBorders>
            <w:noWrap/>
            <w:vAlign w:val="center"/>
          </w:tcPr>
          <w:p w14:paraId="7909FBE9">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single" w:color="auto" w:sz="4" w:space="0"/>
              <w:left w:val="nil"/>
              <w:bottom w:val="single" w:color="auto" w:sz="4" w:space="0"/>
              <w:right w:val="single" w:color="auto" w:sz="4" w:space="0"/>
            </w:tcBorders>
            <w:noWrap/>
            <w:vAlign w:val="center"/>
          </w:tcPr>
          <w:p w14:paraId="549EEF9B">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single" w:color="auto" w:sz="4" w:space="0"/>
              <w:left w:val="nil"/>
              <w:bottom w:val="single" w:color="auto" w:sz="4" w:space="0"/>
              <w:right w:val="single" w:color="auto" w:sz="4" w:space="0"/>
            </w:tcBorders>
            <w:noWrap/>
            <w:vAlign w:val="center"/>
          </w:tcPr>
          <w:p w14:paraId="4B02AC74">
            <w:pPr>
              <w:widowControl/>
              <w:jc w:val="right"/>
              <w:rPr>
                <w:rFonts w:ascii="宋体" w:cs="宋体"/>
                <w:color w:val="000000"/>
                <w:kern w:val="0"/>
                <w:sz w:val="18"/>
                <w:szCs w:val="18"/>
              </w:rPr>
            </w:pPr>
            <w:r>
              <w:rPr>
                <w:rFonts w:hint="eastAsia" w:ascii="宋体" w:hAnsi="宋体" w:cs="宋体"/>
                <w:color w:val="000000"/>
                <w:kern w:val="0"/>
                <w:sz w:val="18"/>
                <w:szCs w:val="18"/>
              </w:rPr>
              <w:t>3398.3</w:t>
            </w:r>
          </w:p>
        </w:tc>
        <w:tc>
          <w:tcPr>
            <w:tcW w:w="675" w:type="dxa"/>
            <w:tcBorders>
              <w:top w:val="single" w:color="auto" w:sz="4" w:space="0"/>
              <w:left w:val="nil"/>
              <w:bottom w:val="single" w:color="auto" w:sz="4" w:space="0"/>
              <w:right w:val="single" w:color="auto" w:sz="4" w:space="0"/>
            </w:tcBorders>
            <w:noWrap/>
            <w:vAlign w:val="center"/>
          </w:tcPr>
          <w:p w14:paraId="031B1A2D">
            <w:pPr>
              <w:widowControl/>
              <w:jc w:val="right"/>
              <w:rPr>
                <w:rFonts w:ascii="宋体" w:cs="宋体"/>
                <w:color w:val="000000"/>
                <w:kern w:val="0"/>
                <w:sz w:val="18"/>
                <w:szCs w:val="18"/>
              </w:rPr>
            </w:pPr>
            <w:r>
              <w:rPr>
                <w:rFonts w:ascii="宋体" w:hAnsi="宋体" w:cs="宋体"/>
                <w:color w:val="000000"/>
                <w:kern w:val="0"/>
                <w:sz w:val="18"/>
                <w:szCs w:val="18"/>
              </w:rPr>
              <w:t>0</w:t>
            </w:r>
          </w:p>
        </w:tc>
        <w:tc>
          <w:tcPr>
            <w:tcW w:w="1089" w:type="dxa"/>
            <w:tcBorders>
              <w:top w:val="single" w:color="auto" w:sz="4" w:space="0"/>
              <w:left w:val="nil"/>
              <w:bottom w:val="single" w:color="auto" w:sz="4" w:space="0"/>
              <w:right w:val="single" w:color="auto" w:sz="4" w:space="0"/>
            </w:tcBorders>
            <w:noWrap/>
            <w:vAlign w:val="center"/>
          </w:tcPr>
          <w:p w14:paraId="3E3A92A4">
            <w:pPr>
              <w:widowControl/>
              <w:jc w:val="right"/>
              <w:rPr>
                <w:rFonts w:ascii="宋体" w:cs="宋体"/>
                <w:color w:val="000000"/>
                <w:kern w:val="0"/>
                <w:sz w:val="18"/>
                <w:szCs w:val="18"/>
              </w:rPr>
            </w:pPr>
            <w:r>
              <w:rPr>
                <w:rFonts w:hint="eastAsia" w:ascii="宋体" w:hAnsi="宋体" w:cs="宋体"/>
                <w:color w:val="000000"/>
                <w:kern w:val="0"/>
                <w:sz w:val="18"/>
                <w:szCs w:val="18"/>
              </w:rPr>
              <w:t>3396.12</w:t>
            </w:r>
          </w:p>
        </w:tc>
        <w:tc>
          <w:tcPr>
            <w:tcW w:w="765" w:type="dxa"/>
            <w:tcBorders>
              <w:top w:val="single" w:color="auto" w:sz="4" w:space="0"/>
              <w:left w:val="nil"/>
              <w:bottom w:val="single" w:color="auto" w:sz="4" w:space="0"/>
              <w:right w:val="single" w:color="auto" w:sz="4" w:space="0"/>
            </w:tcBorders>
            <w:noWrap/>
            <w:vAlign w:val="center"/>
          </w:tcPr>
          <w:p w14:paraId="0D076A05">
            <w:pPr>
              <w:widowControl/>
              <w:jc w:val="right"/>
              <w:rPr>
                <w:rFonts w:ascii="宋体" w:cs="宋体"/>
                <w:color w:val="000000"/>
                <w:kern w:val="0"/>
                <w:sz w:val="18"/>
                <w:szCs w:val="18"/>
              </w:rPr>
            </w:pPr>
            <w:r>
              <w:rPr>
                <w:rFonts w:ascii="宋体" w:hAnsi="宋体" w:cs="宋体"/>
                <w:color w:val="000000"/>
                <w:kern w:val="0"/>
                <w:sz w:val="18"/>
                <w:szCs w:val="18"/>
              </w:rPr>
              <w:t>2.1</w:t>
            </w:r>
            <w:r>
              <w:rPr>
                <w:rFonts w:hint="eastAsia" w:ascii="宋体" w:hAnsi="宋体" w:cs="宋体"/>
                <w:color w:val="000000"/>
                <w:kern w:val="0"/>
                <w:sz w:val="18"/>
                <w:szCs w:val="18"/>
              </w:rPr>
              <w:t>8</w:t>
            </w:r>
          </w:p>
        </w:tc>
        <w:tc>
          <w:tcPr>
            <w:tcW w:w="846" w:type="dxa"/>
            <w:tcBorders>
              <w:top w:val="single" w:color="auto" w:sz="4" w:space="0"/>
              <w:left w:val="nil"/>
              <w:bottom w:val="single" w:color="auto" w:sz="4" w:space="0"/>
              <w:right w:val="single" w:color="auto" w:sz="4" w:space="0"/>
            </w:tcBorders>
            <w:noWrap/>
            <w:vAlign w:val="center"/>
          </w:tcPr>
          <w:p w14:paraId="4DE96058">
            <w:pPr>
              <w:widowControl/>
              <w:jc w:val="right"/>
              <w:rPr>
                <w:rFonts w:ascii="宋体" w:cs="宋体"/>
                <w:color w:val="000000"/>
                <w:kern w:val="0"/>
                <w:sz w:val="18"/>
                <w:szCs w:val="18"/>
              </w:rPr>
            </w:pPr>
            <w:r>
              <w:rPr>
                <w:rFonts w:ascii="宋体" w:hAnsi="宋体" w:cs="宋体"/>
                <w:color w:val="000000"/>
                <w:kern w:val="0"/>
                <w:sz w:val="18"/>
                <w:szCs w:val="18"/>
              </w:rPr>
              <w:t>2.1</w:t>
            </w:r>
            <w:r>
              <w:rPr>
                <w:rFonts w:hint="eastAsia" w:ascii="宋体" w:hAnsi="宋体" w:cs="宋体"/>
                <w:color w:val="000000"/>
                <w:kern w:val="0"/>
                <w:sz w:val="18"/>
                <w:szCs w:val="18"/>
              </w:rPr>
              <w:t>8</w:t>
            </w:r>
          </w:p>
        </w:tc>
        <w:tc>
          <w:tcPr>
            <w:tcW w:w="615" w:type="dxa"/>
            <w:tcBorders>
              <w:top w:val="single" w:color="auto" w:sz="4" w:space="0"/>
              <w:left w:val="nil"/>
              <w:bottom w:val="single" w:color="auto" w:sz="4" w:space="0"/>
              <w:right w:val="single" w:color="auto" w:sz="4" w:space="0"/>
            </w:tcBorders>
            <w:noWrap/>
            <w:vAlign w:val="center"/>
          </w:tcPr>
          <w:p w14:paraId="08D673C1">
            <w:pPr>
              <w:widowControl/>
              <w:jc w:val="left"/>
              <w:rPr>
                <w:rFonts w:ascii="宋体" w:cs="宋体"/>
                <w:color w:val="000000"/>
                <w:kern w:val="0"/>
                <w:sz w:val="18"/>
                <w:szCs w:val="18"/>
              </w:rPr>
            </w:pPr>
            <w:r>
              <w:rPr>
                <w:rFonts w:hint="eastAsia" w:ascii="宋体" w:hAnsi="宋体" w:cs="宋体"/>
                <w:color w:val="000000"/>
                <w:kern w:val="0"/>
                <w:sz w:val="18"/>
                <w:szCs w:val="18"/>
              </w:rPr>
              <w:t>　</w:t>
            </w:r>
          </w:p>
        </w:tc>
      </w:tr>
    </w:tbl>
    <w:p w14:paraId="65CC8D17">
      <w:pPr>
        <w:spacing w:line="578" w:lineRule="exact"/>
        <w:ind w:firstLine="640" w:firstLineChars="200"/>
        <w:rPr>
          <w:rFonts w:ascii="仿宋" w:hAnsi="仿宋" w:eastAsia="仿宋"/>
          <w:sz w:val="32"/>
          <w:szCs w:val="32"/>
        </w:rPr>
      </w:pPr>
      <w:r>
        <w:rPr>
          <w:rFonts w:hint="eastAsia" w:ascii="仿宋" w:hAnsi="仿宋" w:eastAsia="仿宋"/>
          <w:sz w:val="32"/>
          <w:szCs w:val="32"/>
        </w:rPr>
        <w:t>综上所述，</w:t>
      </w:r>
      <w:r>
        <w:rPr>
          <w:rFonts w:hint="eastAsia" w:ascii="仿宋" w:hAnsi="仿宋" w:eastAsia="仿宋" w:cs="仿宋"/>
          <w:sz w:val="32"/>
          <w:szCs w:val="32"/>
        </w:rPr>
        <w:t>本部门在</w:t>
      </w:r>
      <w:r>
        <w:rPr>
          <w:rFonts w:ascii="仿宋" w:hAnsi="仿宋" w:eastAsia="仿宋" w:cs="仿宋"/>
          <w:sz w:val="32"/>
          <w:szCs w:val="32"/>
        </w:rPr>
        <w:t>2023</w:t>
      </w:r>
      <w:r>
        <w:rPr>
          <w:rFonts w:hint="eastAsia" w:ascii="仿宋" w:hAnsi="仿宋" w:eastAsia="仿宋" w:cs="仿宋"/>
          <w:sz w:val="32"/>
          <w:szCs w:val="32"/>
        </w:rPr>
        <w:t>年部门整体绩效自评中反映了</w:t>
      </w:r>
      <w:r>
        <w:rPr>
          <w:rFonts w:ascii="仿宋" w:hAnsi="仿宋" w:eastAsia="仿宋" w:cs="仿宋"/>
          <w:sz w:val="32"/>
          <w:szCs w:val="32"/>
        </w:rPr>
        <w:t>2023</w:t>
      </w:r>
      <w:r>
        <w:rPr>
          <w:rFonts w:hint="eastAsia" w:ascii="仿宋" w:hAnsi="仿宋" w:eastAsia="仿宋" w:cs="仿宋"/>
          <w:sz w:val="32"/>
          <w:szCs w:val="32"/>
        </w:rPr>
        <w:t>年李村镇镇级代课教师工资、李村镇</w:t>
      </w:r>
      <w:r>
        <w:rPr>
          <w:rFonts w:ascii="仿宋" w:hAnsi="仿宋" w:eastAsia="仿宋" w:cs="仿宋"/>
          <w:sz w:val="32"/>
          <w:szCs w:val="32"/>
        </w:rPr>
        <w:t>2023</w:t>
      </w:r>
      <w:r>
        <w:rPr>
          <w:rFonts w:hint="eastAsia" w:ascii="仿宋" w:hAnsi="仿宋" w:eastAsia="仿宋" w:cs="仿宋"/>
          <w:sz w:val="32"/>
          <w:szCs w:val="32"/>
        </w:rPr>
        <w:t>年区级村庄规划费用、李村镇</w:t>
      </w:r>
      <w:r>
        <w:rPr>
          <w:rFonts w:ascii="仿宋" w:hAnsi="仿宋" w:eastAsia="仿宋" w:cs="仿宋"/>
          <w:sz w:val="32"/>
          <w:szCs w:val="32"/>
        </w:rPr>
        <w:t>2023</w:t>
      </w:r>
      <w:r>
        <w:rPr>
          <w:rFonts w:hint="eastAsia" w:ascii="仿宋" w:hAnsi="仿宋" w:eastAsia="仿宋" w:cs="仿宋"/>
          <w:sz w:val="32"/>
          <w:szCs w:val="32"/>
        </w:rPr>
        <w:t>年返还河北省智慧物流园项目拆迁补偿费用等19个项目，评价等级均为“优秀”，</w:t>
      </w:r>
      <w:r>
        <w:rPr>
          <w:rFonts w:hint="eastAsia" w:ascii="仿宋" w:hAnsi="仿宋" w:eastAsia="仿宋"/>
          <w:sz w:val="32"/>
          <w:szCs w:val="32"/>
        </w:rPr>
        <w:t>综合绩效评价等级为优秀。</w:t>
      </w:r>
    </w:p>
    <w:p w14:paraId="688656E9">
      <w:pPr>
        <w:spacing w:line="578"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3EAB1AE">
      <w:pPr>
        <w:spacing w:line="578"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14:paraId="75B0C3EC">
      <w:pPr>
        <w:spacing w:line="578" w:lineRule="exact"/>
        <w:ind w:firstLine="640" w:firstLineChars="200"/>
        <w:rPr>
          <w:rFonts w:ascii="仿宋" w:hAnsi="仿宋" w:eastAsia="仿宋"/>
          <w:bCs/>
          <w:sz w:val="32"/>
          <w:szCs w:val="32"/>
        </w:rPr>
      </w:pPr>
      <w:r>
        <w:rPr>
          <w:rFonts w:ascii="仿宋" w:hAnsi="仿宋" w:eastAsia="仿宋"/>
          <w:bCs/>
          <w:sz w:val="32"/>
          <w:szCs w:val="32"/>
        </w:rPr>
        <w:t>1</w:t>
      </w:r>
      <w:r>
        <w:rPr>
          <w:rFonts w:hint="eastAsia" w:ascii="仿宋" w:hAnsi="仿宋" w:eastAsia="仿宋"/>
          <w:bCs/>
          <w:sz w:val="32"/>
          <w:szCs w:val="32"/>
        </w:rPr>
        <w:t>、绩效目标细化、资产管理等方面有待完善，个别绩效目标不够完善，不能完整清晰体现工作活动的产出和效果。</w:t>
      </w:r>
    </w:p>
    <w:p w14:paraId="033B31ED">
      <w:pPr>
        <w:spacing w:line="578" w:lineRule="exact"/>
        <w:ind w:firstLine="640" w:firstLineChars="200"/>
        <w:rPr>
          <w:rFonts w:ascii="仿宋" w:hAnsi="仿宋" w:eastAsia="仿宋"/>
          <w:bCs/>
          <w:sz w:val="32"/>
          <w:szCs w:val="32"/>
        </w:rPr>
      </w:pPr>
      <w:r>
        <w:rPr>
          <w:rFonts w:ascii="仿宋" w:hAnsi="仿宋" w:eastAsia="仿宋"/>
          <w:bCs/>
          <w:sz w:val="32"/>
          <w:szCs w:val="32"/>
        </w:rPr>
        <w:t>2</w:t>
      </w:r>
      <w:r>
        <w:rPr>
          <w:rFonts w:hint="eastAsia" w:ascii="仿宋" w:hAnsi="仿宋" w:eastAsia="仿宋"/>
          <w:bCs/>
          <w:sz w:val="32"/>
          <w:szCs w:val="32"/>
        </w:rPr>
        <w:t>、依据绩效目标所设置的绩效指标不够细化，不能完整清晰的反映活动目标完成情况。</w:t>
      </w:r>
    </w:p>
    <w:p w14:paraId="0D61F204">
      <w:pPr>
        <w:spacing w:line="578"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4E565371">
      <w:pPr>
        <w:spacing w:line="578" w:lineRule="exact"/>
        <w:ind w:firstLine="640" w:firstLineChars="200"/>
        <w:rPr>
          <w:rFonts w:ascii="仿宋" w:hAnsi="仿宋" w:eastAsia="仿宋"/>
          <w:bCs/>
          <w:sz w:val="32"/>
          <w:szCs w:val="32"/>
        </w:rPr>
      </w:pPr>
      <w:r>
        <w:rPr>
          <w:rFonts w:ascii="仿宋" w:hAnsi="仿宋" w:eastAsia="仿宋"/>
          <w:bCs/>
          <w:sz w:val="32"/>
          <w:szCs w:val="32"/>
        </w:rPr>
        <w:t>1</w:t>
      </w:r>
      <w:r>
        <w:rPr>
          <w:rFonts w:hint="eastAsia" w:ascii="仿宋" w:hAnsi="仿宋" w:eastAsia="仿宋"/>
          <w:bCs/>
          <w:sz w:val="32"/>
          <w:szCs w:val="32"/>
        </w:rPr>
        <w:t>、科学设定绩效目标和指标</w:t>
      </w:r>
    </w:p>
    <w:p w14:paraId="1D0FBBE4">
      <w:pPr>
        <w:spacing w:line="578" w:lineRule="exact"/>
        <w:ind w:firstLine="640" w:firstLineChars="200"/>
        <w:rPr>
          <w:rFonts w:ascii="仿宋" w:hAnsi="仿宋" w:eastAsia="仿宋"/>
          <w:bCs/>
          <w:sz w:val="32"/>
          <w:szCs w:val="32"/>
        </w:rPr>
      </w:pPr>
      <w:r>
        <w:rPr>
          <w:rFonts w:hint="eastAsia" w:ascii="仿宋" w:hAnsi="仿宋" w:eastAsia="仿宋"/>
          <w:bCs/>
          <w:sz w:val="32"/>
          <w:szCs w:val="32"/>
        </w:rPr>
        <w:t>我单位要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14:paraId="0FF2A94E">
      <w:pPr>
        <w:spacing w:line="578" w:lineRule="exact"/>
        <w:ind w:firstLine="640" w:firstLineChars="200"/>
        <w:rPr>
          <w:rFonts w:ascii="仿宋" w:hAnsi="仿宋" w:eastAsia="仿宋"/>
          <w:bCs/>
          <w:sz w:val="32"/>
          <w:szCs w:val="32"/>
        </w:rPr>
      </w:pPr>
      <w:r>
        <w:rPr>
          <w:rFonts w:ascii="仿宋" w:hAnsi="仿宋" w:eastAsia="仿宋"/>
          <w:bCs/>
          <w:sz w:val="32"/>
          <w:szCs w:val="32"/>
        </w:rPr>
        <w:t>2</w:t>
      </w:r>
      <w:r>
        <w:rPr>
          <w:rFonts w:hint="eastAsia" w:ascii="仿宋" w:hAnsi="仿宋" w:eastAsia="仿宋"/>
          <w:bCs/>
          <w:sz w:val="32"/>
          <w:szCs w:val="32"/>
        </w:rPr>
        <w:t>、加强项目管理，完善项目监督工作</w:t>
      </w:r>
    </w:p>
    <w:p w14:paraId="17C4CF55">
      <w:pPr>
        <w:spacing w:line="578" w:lineRule="exact"/>
        <w:ind w:firstLine="640" w:firstLineChars="200"/>
        <w:rPr>
          <w:rFonts w:ascii="仿宋" w:hAnsi="仿宋" w:eastAsia="仿宋"/>
          <w:bCs/>
          <w:sz w:val="32"/>
          <w:szCs w:val="32"/>
        </w:rPr>
      </w:pPr>
      <w:r>
        <w:rPr>
          <w:rFonts w:hint="eastAsia" w:ascii="仿宋" w:hAnsi="仿宋" w:eastAsia="仿宋"/>
          <w:bCs/>
          <w:sz w:val="32"/>
          <w:szCs w:val="32"/>
        </w:rPr>
        <w:t>部门应进一步加强对项目实施的管理，加强对项目实施全过程的监管，做到事前计划合理、事中执行监管有力、事后评价及时有效反馈。</w:t>
      </w:r>
    </w:p>
    <w:p w14:paraId="280C9F2A">
      <w:pPr>
        <w:spacing w:line="578" w:lineRule="exact"/>
        <w:ind w:firstLine="640" w:firstLineChars="200"/>
        <w:rPr>
          <w:rFonts w:ascii="仿宋" w:hAnsi="仿宋" w:eastAsia="仿宋"/>
          <w:bCs/>
          <w:sz w:val="32"/>
          <w:szCs w:val="32"/>
        </w:rPr>
      </w:pPr>
      <w:r>
        <w:rPr>
          <w:rFonts w:ascii="仿宋" w:hAnsi="仿宋" w:eastAsia="仿宋"/>
          <w:bCs/>
          <w:sz w:val="32"/>
          <w:szCs w:val="32"/>
        </w:rPr>
        <w:t>3</w:t>
      </w:r>
      <w:r>
        <w:rPr>
          <w:rFonts w:hint="eastAsia" w:ascii="仿宋" w:hAnsi="仿宋" w:eastAsia="仿宋"/>
          <w:bCs/>
          <w:sz w:val="32"/>
          <w:szCs w:val="32"/>
        </w:rPr>
        <w:t>、提高部门绩效管理意识</w:t>
      </w:r>
    </w:p>
    <w:p w14:paraId="01AF7CE2">
      <w:pPr>
        <w:spacing w:line="578" w:lineRule="exact"/>
        <w:ind w:firstLine="640" w:firstLineChars="200"/>
        <w:rPr>
          <w:rFonts w:ascii="仿宋" w:hAnsi="仿宋" w:eastAsia="仿宋"/>
          <w:bCs/>
          <w:sz w:val="32"/>
          <w:szCs w:val="32"/>
        </w:rPr>
      </w:pPr>
      <w:r>
        <w:rPr>
          <w:rFonts w:hint="eastAsia" w:ascii="仿宋" w:hAnsi="仿宋" w:eastAsia="仿宋"/>
          <w:bCs/>
          <w:sz w:val="32"/>
          <w:szCs w:val="32"/>
        </w:rPr>
        <w:t>部门在今后的工作中，应加强对预算绩效管理工作的重视，</w:t>
      </w:r>
      <w:r>
        <w:rPr>
          <w:rFonts w:ascii="仿宋" w:hAnsi="仿宋" w:eastAsia="仿宋"/>
          <w:bCs/>
          <w:sz w:val="32"/>
          <w:szCs w:val="32"/>
        </w:rPr>
        <w:t xml:space="preserve"> </w:t>
      </w:r>
      <w:r>
        <w:rPr>
          <w:rFonts w:hint="eastAsia" w:ascii="仿宋" w:hAnsi="仿宋" w:eastAsia="仿宋"/>
          <w:bCs/>
          <w:sz w:val="32"/>
          <w:szCs w:val="32"/>
        </w:rPr>
        <w:t>把绩效理念融入到预算编制、执行、监督管理的全过程，通过制定统一的工作规划、管理制度体系，加强对预算绩效管理的保障支撑性。加强部门工作人员对预算绩效管理的认识，充分理解财政绩效评价指标体系，强化全过程预算绩效管理理念，积极主动的开展绩效管理工作，以提高财政资金使用效益。</w:t>
      </w:r>
    </w:p>
    <w:p w14:paraId="7E6A634A">
      <w:pPr>
        <w:adjustRightInd w:val="0"/>
        <w:snapToGrid w:val="0"/>
        <w:spacing w:line="578" w:lineRule="exact"/>
        <w:ind w:firstLine="640" w:firstLineChars="200"/>
        <w:rPr>
          <w:rFonts w:ascii="黑体" w:hAnsi="黑体" w:eastAsia="黑体"/>
          <w:sz w:val="32"/>
          <w:szCs w:val="32"/>
        </w:rPr>
      </w:pPr>
      <w:r>
        <w:rPr>
          <w:rFonts w:hint="eastAsia" w:ascii="黑体" w:hAnsi="黑体" w:eastAsia="黑体"/>
          <w:sz w:val="32"/>
          <w:szCs w:val="32"/>
        </w:rPr>
        <w:t>六、评价工作组人员名单</w:t>
      </w:r>
    </w:p>
    <w:p w14:paraId="032197DF">
      <w:pPr>
        <w:adjustRightInd w:val="0"/>
        <w:snapToGrid w:val="0"/>
        <w:spacing w:line="578" w:lineRule="exact"/>
        <w:rPr>
          <w:rFonts w:ascii="仿宋" w:hAnsi="仿宋" w:eastAsia="仿宋" w:cs="仿宋"/>
          <w:sz w:val="32"/>
          <w:szCs w:val="32"/>
        </w:rPr>
      </w:pPr>
      <w:r>
        <w:rPr>
          <w:rFonts w:ascii="黑体" w:hAnsi="黑体" w:eastAsia="黑体"/>
          <w:sz w:val="32"/>
          <w:szCs w:val="32"/>
        </w:rPr>
        <w:t xml:space="preserve">    </w:t>
      </w:r>
      <w:r>
        <w:rPr>
          <w:rFonts w:hint="eastAsia" w:ascii="仿宋" w:hAnsi="仿宋" w:eastAsia="仿宋" w:cs="仿宋"/>
          <w:sz w:val="32"/>
          <w:szCs w:val="32"/>
        </w:rPr>
        <w:t>牛东杰</w:t>
      </w:r>
      <w:r>
        <w:rPr>
          <w:rFonts w:ascii="仿宋" w:hAnsi="仿宋" w:eastAsia="仿宋" w:cs="仿宋"/>
          <w:sz w:val="32"/>
          <w:szCs w:val="32"/>
        </w:rPr>
        <w:t xml:space="preserve">   </w:t>
      </w:r>
      <w:r>
        <w:rPr>
          <w:rFonts w:hint="eastAsia" w:ascii="仿宋" w:hAnsi="仿宋" w:eastAsia="仿宋" w:cs="仿宋"/>
          <w:sz w:val="32"/>
          <w:szCs w:val="32"/>
        </w:rPr>
        <w:t>李村镇政府</w:t>
      </w:r>
      <w:r>
        <w:rPr>
          <w:rFonts w:ascii="仿宋" w:hAnsi="仿宋" w:eastAsia="仿宋" w:cs="仿宋"/>
          <w:sz w:val="32"/>
          <w:szCs w:val="32"/>
        </w:rPr>
        <w:t xml:space="preserve">   </w:t>
      </w:r>
      <w:r>
        <w:rPr>
          <w:rFonts w:hint="eastAsia" w:ascii="仿宋" w:hAnsi="仿宋" w:eastAsia="仿宋" w:cs="仿宋"/>
          <w:sz w:val="32"/>
          <w:szCs w:val="32"/>
        </w:rPr>
        <w:t>武装部长</w:t>
      </w:r>
    </w:p>
    <w:p w14:paraId="70402F2F">
      <w:pPr>
        <w:adjustRightInd w:val="0"/>
        <w:snapToGrid w:val="0"/>
        <w:spacing w:line="578" w:lineRule="exact"/>
        <w:rPr>
          <w:rFonts w:ascii="仿宋" w:hAnsi="仿宋" w:eastAsia="仿宋" w:cs="仿宋"/>
          <w:sz w:val="32"/>
          <w:szCs w:val="32"/>
        </w:rPr>
      </w:pPr>
      <w:r>
        <w:rPr>
          <w:rFonts w:ascii="仿宋" w:hAnsi="仿宋" w:eastAsia="仿宋" w:cs="仿宋"/>
          <w:sz w:val="32"/>
          <w:szCs w:val="32"/>
        </w:rPr>
        <w:t xml:space="preserve">    </w:t>
      </w:r>
      <w:r>
        <w:rPr>
          <w:rFonts w:hint="eastAsia" w:ascii="仿宋" w:hAnsi="仿宋" w:eastAsia="仿宋" w:cs="仿宋"/>
          <w:sz w:val="32"/>
          <w:szCs w:val="32"/>
        </w:rPr>
        <w:t>张晓恩</w:t>
      </w:r>
      <w:r>
        <w:rPr>
          <w:rFonts w:ascii="仿宋" w:hAnsi="仿宋" w:eastAsia="仿宋" w:cs="仿宋"/>
          <w:sz w:val="32"/>
          <w:szCs w:val="32"/>
        </w:rPr>
        <w:t xml:space="preserve">   </w:t>
      </w:r>
      <w:r>
        <w:rPr>
          <w:rFonts w:hint="eastAsia" w:ascii="仿宋" w:hAnsi="仿宋" w:eastAsia="仿宋" w:cs="仿宋"/>
          <w:sz w:val="32"/>
          <w:szCs w:val="32"/>
        </w:rPr>
        <w:t>李村镇政府</w:t>
      </w:r>
      <w:r>
        <w:rPr>
          <w:rFonts w:ascii="仿宋" w:hAnsi="仿宋" w:eastAsia="仿宋" w:cs="仿宋"/>
          <w:sz w:val="32"/>
          <w:szCs w:val="32"/>
        </w:rPr>
        <w:t xml:space="preserve">   </w:t>
      </w:r>
      <w:r>
        <w:rPr>
          <w:rFonts w:hint="eastAsia" w:ascii="仿宋" w:hAnsi="仿宋" w:eastAsia="仿宋" w:cs="仿宋"/>
          <w:sz w:val="32"/>
          <w:szCs w:val="32"/>
        </w:rPr>
        <w:t>党政办主任</w:t>
      </w:r>
    </w:p>
    <w:p w14:paraId="4F662767">
      <w:pPr>
        <w:adjustRightInd w:val="0"/>
        <w:snapToGrid w:val="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姜志晖</w:t>
      </w:r>
      <w:r>
        <w:rPr>
          <w:rFonts w:ascii="仿宋" w:hAnsi="仿宋" w:eastAsia="仿宋" w:cs="仿宋"/>
          <w:sz w:val="32"/>
          <w:szCs w:val="32"/>
        </w:rPr>
        <w:t xml:space="preserve">   </w:t>
      </w:r>
      <w:r>
        <w:rPr>
          <w:rFonts w:hint="eastAsia" w:ascii="仿宋" w:hAnsi="仿宋" w:eastAsia="仿宋" w:cs="仿宋"/>
          <w:sz w:val="32"/>
          <w:szCs w:val="32"/>
        </w:rPr>
        <w:t>李村镇政府</w:t>
      </w:r>
      <w:r>
        <w:rPr>
          <w:rFonts w:ascii="仿宋" w:hAnsi="仿宋" w:eastAsia="仿宋" w:cs="仿宋"/>
          <w:sz w:val="32"/>
          <w:szCs w:val="32"/>
        </w:rPr>
        <w:tab/>
      </w:r>
      <w:r>
        <w:rPr>
          <w:rFonts w:ascii="仿宋" w:hAnsi="仿宋" w:eastAsia="仿宋" w:cs="仿宋"/>
          <w:sz w:val="32"/>
          <w:szCs w:val="32"/>
        </w:rPr>
        <w:t xml:space="preserve">   </w:t>
      </w:r>
      <w:r>
        <w:rPr>
          <w:rFonts w:hint="eastAsia" w:ascii="仿宋" w:hAnsi="仿宋" w:eastAsia="仿宋" w:cs="仿宋"/>
          <w:sz w:val="32"/>
          <w:szCs w:val="32"/>
        </w:rPr>
        <w:t>财政所所长</w:t>
      </w:r>
    </w:p>
    <w:p w14:paraId="2FF3B2BB">
      <w:pPr>
        <w:adjustRightInd w:val="0"/>
        <w:snapToGrid w:val="0"/>
        <w:spacing w:line="578" w:lineRule="exact"/>
        <w:rPr>
          <w:rFonts w:ascii="仿宋" w:hAnsi="仿宋" w:eastAsia="仿宋" w:cs="仿宋"/>
          <w:sz w:val="32"/>
          <w:szCs w:val="32"/>
        </w:rPr>
      </w:pPr>
      <w:r>
        <w:rPr>
          <w:rFonts w:ascii="仿宋" w:hAnsi="仿宋" w:eastAsia="仿宋" w:cs="仿宋"/>
          <w:sz w:val="32"/>
          <w:szCs w:val="32"/>
        </w:rPr>
        <w:t xml:space="preserve">    </w:t>
      </w:r>
      <w:r>
        <w:rPr>
          <w:rFonts w:hint="eastAsia" w:ascii="仿宋" w:hAnsi="仿宋" w:eastAsia="仿宋" w:cs="仿宋"/>
          <w:sz w:val="32"/>
          <w:szCs w:val="32"/>
        </w:rPr>
        <w:t>王会霞</w:t>
      </w:r>
      <w:r>
        <w:rPr>
          <w:rFonts w:ascii="仿宋" w:hAnsi="仿宋" w:eastAsia="仿宋" w:cs="仿宋"/>
          <w:sz w:val="32"/>
          <w:szCs w:val="32"/>
        </w:rPr>
        <w:t xml:space="preserve">   </w:t>
      </w:r>
      <w:r>
        <w:rPr>
          <w:rFonts w:hint="eastAsia" w:ascii="仿宋" w:hAnsi="仿宋" w:eastAsia="仿宋" w:cs="仿宋"/>
          <w:sz w:val="32"/>
          <w:szCs w:val="32"/>
        </w:rPr>
        <w:t>李村镇政府</w:t>
      </w:r>
      <w:r>
        <w:rPr>
          <w:rFonts w:ascii="仿宋" w:hAnsi="仿宋" w:eastAsia="仿宋" w:cs="仿宋"/>
          <w:sz w:val="32"/>
          <w:szCs w:val="32"/>
        </w:rPr>
        <w:tab/>
      </w:r>
      <w:r>
        <w:rPr>
          <w:rFonts w:ascii="仿宋" w:hAnsi="仿宋" w:eastAsia="仿宋" w:cs="仿宋"/>
          <w:sz w:val="32"/>
          <w:szCs w:val="32"/>
        </w:rPr>
        <w:t xml:space="preserve">   </w:t>
      </w:r>
      <w:r>
        <w:rPr>
          <w:rFonts w:hint="eastAsia" w:ascii="仿宋" w:hAnsi="仿宋" w:eastAsia="仿宋" w:cs="仿宋"/>
          <w:sz w:val="32"/>
          <w:szCs w:val="32"/>
        </w:rPr>
        <w:t>财政所工作人员</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黑体简体">
    <w:altName w:val="微软雅黑"/>
    <w:panose1 w:val="02000000000000000000"/>
    <w:charset w:val="86"/>
    <w:family w:val="auto"/>
    <w:pitch w:val="default"/>
    <w:sig w:usb0="00000000" w:usb1="00000000" w:usb2="00000012" w:usb3="00000000" w:csb0="00040001"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C52FDD">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ABA3AE4">
                <w:pPr>
                  <w:snapToGrid w:val="0"/>
                  <w:rPr>
                    <w:sz w:val="18"/>
                  </w:rPr>
                </w:pPr>
                <w:r>
                  <w:fldChar w:fldCharType="begin"/>
                </w:r>
                <w:r>
                  <w:instrText xml:space="preserve"> PAGE  \* MERGEFORMAT </w:instrText>
                </w:r>
                <w:r>
                  <w:fldChar w:fldCharType="separate"/>
                </w:r>
                <w:r>
                  <w:t>- 29 -</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pPr>
      <w:rPr>
        <w:rFonts w:hint="eastAsia" w:cs="Times New Roman"/>
      </w:rPr>
    </w:lvl>
  </w:abstractNum>
  <w:abstractNum w:abstractNumId="1">
    <w:nsid w:val="5E68489B"/>
    <w:multiLevelType w:val="singleLevel"/>
    <w:tmpl w:val="5E68489B"/>
    <w:lvl w:ilvl="0" w:tentative="0">
      <w:start w:val="1"/>
      <w:numFmt w:val="chineseCounting"/>
      <w:suff w:val="nothing"/>
      <w:lvlText w:val="（%1）"/>
      <w:lvlJc w:val="left"/>
      <w:pPr>
        <w:ind w:left="-220"/>
      </w:pPr>
      <w:rPr>
        <w:rFonts w:ascii="楷体" w:hAnsi="楷体" w:eastAsia="楷体"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NotTrackMoves/>
  <w:documentProtection w:enforcement="0"/>
  <w:defaultTabStop w:val="420"/>
  <w:drawingGridVerticalSpacing w:val="156"/>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2ZlMzk1MWUxMDI5YjJlNzg5NjE3NWFjMTZjYWI3ZWMifQ=="/>
  </w:docVars>
  <w:rsids>
    <w:rsidRoot w:val="0EBD2122"/>
    <w:rsid w:val="00006536"/>
    <w:rsid w:val="000464EE"/>
    <w:rsid w:val="000513DC"/>
    <w:rsid w:val="00070CC7"/>
    <w:rsid w:val="000A7FA3"/>
    <w:rsid w:val="000B0260"/>
    <w:rsid w:val="000C4651"/>
    <w:rsid w:val="000D35C6"/>
    <w:rsid w:val="00144AA8"/>
    <w:rsid w:val="00166160"/>
    <w:rsid w:val="00173314"/>
    <w:rsid w:val="001B3855"/>
    <w:rsid w:val="001B6EC1"/>
    <w:rsid w:val="001D5153"/>
    <w:rsid w:val="001F3B28"/>
    <w:rsid w:val="001F529C"/>
    <w:rsid w:val="00212153"/>
    <w:rsid w:val="002170AA"/>
    <w:rsid w:val="00221533"/>
    <w:rsid w:val="002258ED"/>
    <w:rsid w:val="00252B1A"/>
    <w:rsid w:val="00253666"/>
    <w:rsid w:val="0026264B"/>
    <w:rsid w:val="00293D18"/>
    <w:rsid w:val="002A497B"/>
    <w:rsid w:val="002A6DD5"/>
    <w:rsid w:val="00327F23"/>
    <w:rsid w:val="0038299F"/>
    <w:rsid w:val="00385E66"/>
    <w:rsid w:val="003D1FEC"/>
    <w:rsid w:val="003D45A2"/>
    <w:rsid w:val="00405F75"/>
    <w:rsid w:val="004A63E7"/>
    <w:rsid w:val="00505302"/>
    <w:rsid w:val="00571FC1"/>
    <w:rsid w:val="00595059"/>
    <w:rsid w:val="0059646A"/>
    <w:rsid w:val="005B2DC4"/>
    <w:rsid w:val="005C4499"/>
    <w:rsid w:val="006126AA"/>
    <w:rsid w:val="00642C38"/>
    <w:rsid w:val="00693E11"/>
    <w:rsid w:val="006A7F8A"/>
    <w:rsid w:val="006D524E"/>
    <w:rsid w:val="006F2EAE"/>
    <w:rsid w:val="007310C5"/>
    <w:rsid w:val="00732182"/>
    <w:rsid w:val="00746820"/>
    <w:rsid w:val="00750622"/>
    <w:rsid w:val="00770A23"/>
    <w:rsid w:val="007D6ECD"/>
    <w:rsid w:val="007E6C1F"/>
    <w:rsid w:val="00841D2D"/>
    <w:rsid w:val="00842187"/>
    <w:rsid w:val="00846E49"/>
    <w:rsid w:val="0089398B"/>
    <w:rsid w:val="008A6B86"/>
    <w:rsid w:val="008B2E67"/>
    <w:rsid w:val="008F0870"/>
    <w:rsid w:val="008F14CC"/>
    <w:rsid w:val="008F610E"/>
    <w:rsid w:val="00900B62"/>
    <w:rsid w:val="0091199E"/>
    <w:rsid w:val="00926695"/>
    <w:rsid w:val="00956A93"/>
    <w:rsid w:val="009611D2"/>
    <w:rsid w:val="00987825"/>
    <w:rsid w:val="009B4D8E"/>
    <w:rsid w:val="009B7A91"/>
    <w:rsid w:val="009C1211"/>
    <w:rsid w:val="009E575C"/>
    <w:rsid w:val="009F5B6D"/>
    <w:rsid w:val="009F6EF1"/>
    <w:rsid w:val="00A31E7F"/>
    <w:rsid w:val="00A50997"/>
    <w:rsid w:val="00A9193D"/>
    <w:rsid w:val="00AF167E"/>
    <w:rsid w:val="00AF566A"/>
    <w:rsid w:val="00B117B6"/>
    <w:rsid w:val="00B151F1"/>
    <w:rsid w:val="00B262E8"/>
    <w:rsid w:val="00B359FE"/>
    <w:rsid w:val="00B43FCD"/>
    <w:rsid w:val="00B478EA"/>
    <w:rsid w:val="00B6553A"/>
    <w:rsid w:val="00BC2893"/>
    <w:rsid w:val="00BC2C0E"/>
    <w:rsid w:val="00BC6576"/>
    <w:rsid w:val="00BF7006"/>
    <w:rsid w:val="00BF74FB"/>
    <w:rsid w:val="00C05D74"/>
    <w:rsid w:val="00C367D0"/>
    <w:rsid w:val="00C632D2"/>
    <w:rsid w:val="00CB5909"/>
    <w:rsid w:val="00CE06BA"/>
    <w:rsid w:val="00D30D98"/>
    <w:rsid w:val="00D65B7D"/>
    <w:rsid w:val="00DB3BE7"/>
    <w:rsid w:val="00DE380A"/>
    <w:rsid w:val="00DF11DD"/>
    <w:rsid w:val="00E66564"/>
    <w:rsid w:val="00E93ECD"/>
    <w:rsid w:val="00F04A19"/>
    <w:rsid w:val="00F1770B"/>
    <w:rsid w:val="00F41B1F"/>
    <w:rsid w:val="00F441CC"/>
    <w:rsid w:val="00FC2E04"/>
    <w:rsid w:val="016B3DE1"/>
    <w:rsid w:val="01B104CA"/>
    <w:rsid w:val="02106AB0"/>
    <w:rsid w:val="02480376"/>
    <w:rsid w:val="026818F8"/>
    <w:rsid w:val="02B43A28"/>
    <w:rsid w:val="02C4083D"/>
    <w:rsid w:val="046F331E"/>
    <w:rsid w:val="051922E9"/>
    <w:rsid w:val="07956271"/>
    <w:rsid w:val="088025FB"/>
    <w:rsid w:val="09721397"/>
    <w:rsid w:val="09F27D31"/>
    <w:rsid w:val="0B1835C3"/>
    <w:rsid w:val="0B272559"/>
    <w:rsid w:val="0B3A32A1"/>
    <w:rsid w:val="0BB63BED"/>
    <w:rsid w:val="0BEF7EA0"/>
    <w:rsid w:val="0C415F77"/>
    <w:rsid w:val="0D1124F6"/>
    <w:rsid w:val="0EB97A43"/>
    <w:rsid w:val="0EBD2122"/>
    <w:rsid w:val="0F214EAE"/>
    <w:rsid w:val="0F565B36"/>
    <w:rsid w:val="11B71E6A"/>
    <w:rsid w:val="12A45605"/>
    <w:rsid w:val="1375208F"/>
    <w:rsid w:val="149B08DC"/>
    <w:rsid w:val="14D6620F"/>
    <w:rsid w:val="17BE6064"/>
    <w:rsid w:val="1963559F"/>
    <w:rsid w:val="1A1B5DE5"/>
    <w:rsid w:val="1AAF0063"/>
    <w:rsid w:val="1BE140DE"/>
    <w:rsid w:val="1CB66240"/>
    <w:rsid w:val="1D374689"/>
    <w:rsid w:val="1F1C1BC8"/>
    <w:rsid w:val="20477B83"/>
    <w:rsid w:val="20B6656C"/>
    <w:rsid w:val="22B14EDD"/>
    <w:rsid w:val="248C197D"/>
    <w:rsid w:val="24F61130"/>
    <w:rsid w:val="252959AF"/>
    <w:rsid w:val="259D5F67"/>
    <w:rsid w:val="277A6671"/>
    <w:rsid w:val="27CE0C4B"/>
    <w:rsid w:val="28D97B12"/>
    <w:rsid w:val="292D35B7"/>
    <w:rsid w:val="29C27A8F"/>
    <w:rsid w:val="2C08574B"/>
    <w:rsid w:val="2D07695F"/>
    <w:rsid w:val="2D1F12BC"/>
    <w:rsid w:val="2EB23BE8"/>
    <w:rsid w:val="2F3A7B8C"/>
    <w:rsid w:val="30D1212A"/>
    <w:rsid w:val="30E07EBD"/>
    <w:rsid w:val="32817910"/>
    <w:rsid w:val="3347181B"/>
    <w:rsid w:val="33EB6CFF"/>
    <w:rsid w:val="35A12947"/>
    <w:rsid w:val="36263965"/>
    <w:rsid w:val="37387040"/>
    <w:rsid w:val="39336168"/>
    <w:rsid w:val="39497383"/>
    <w:rsid w:val="3B625C0A"/>
    <w:rsid w:val="3CEE1963"/>
    <w:rsid w:val="42E83EE7"/>
    <w:rsid w:val="436B78D3"/>
    <w:rsid w:val="453E5429"/>
    <w:rsid w:val="454644FA"/>
    <w:rsid w:val="457E0411"/>
    <w:rsid w:val="464A7F4E"/>
    <w:rsid w:val="4C9C27FE"/>
    <w:rsid w:val="4F815BF3"/>
    <w:rsid w:val="50633173"/>
    <w:rsid w:val="512260B4"/>
    <w:rsid w:val="52BD6ACB"/>
    <w:rsid w:val="53563145"/>
    <w:rsid w:val="550101FC"/>
    <w:rsid w:val="55537534"/>
    <w:rsid w:val="561A74F1"/>
    <w:rsid w:val="57276C06"/>
    <w:rsid w:val="57497773"/>
    <w:rsid w:val="597244E8"/>
    <w:rsid w:val="5A037DBC"/>
    <w:rsid w:val="5B902A45"/>
    <w:rsid w:val="5EB71C30"/>
    <w:rsid w:val="5F0955FB"/>
    <w:rsid w:val="643716CE"/>
    <w:rsid w:val="6571397B"/>
    <w:rsid w:val="65FC4562"/>
    <w:rsid w:val="66707909"/>
    <w:rsid w:val="66AF0CE5"/>
    <w:rsid w:val="66FD25ED"/>
    <w:rsid w:val="67A91AEF"/>
    <w:rsid w:val="6830405A"/>
    <w:rsid w:val="68A04E37"/>
    <w:rsid w:val="6AAC696A"/>
    <w:rsid w:val="6AC537CF"/>
    <w:rsid w:val="6DAA2E29"/>
    <w:rsid w:val="6DD5301B"/>
    <w:rsid w:val="6E5B14A6"/>
    <w:rsid w:val="6EA42924"/>
    <w:rsid w:val="70681E7A"/>
    <w:rsid w:val="711B255E"/>
    <w:rsid w:val="730B6BCA"/>
    <w:rsid w:val="742703A6"/>
    <w:rsid w:val="77CA0A7C"/>
    <w:rsid w:val="79205672"/>
    <w:rsid w:val="7AF24EBB"/>
    <w:rsid w:val="7BB51E06"/>
    <w:rsid w:val="7C387F7C"/>
    <w:rsid w:val="7D6D3D75"/>
    <w:rsid w:val="7FBC555C"/>
    <w:rsid w:val="7FE8342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qFormat="1"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99"/>
    <w:pPr>
      <w:tabs>
        <w:tab w:val="center" w:pos="4153"/>
        <w:tab w:val="right" w:pos="8306"/>
      </w:tabs>
      <w:snapToGrid w:val="0"/>
      <w:jc w:val="left"/>
    </w:pPr>
    <w:rPr>
      <w:sz w:val="18"/>
    </w:rPr>
  </w:style>
  <w:style w:type="paragraph" w:styleId="3">
    <w:name w:val="header"/>
    <w:basedOn w:val="1"/>
    <w:link w:val="8"/>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semiHidden/>
    <w:unhideWhenUsed/>
    <w:qFormat/>
    <w:locked/>
    <w:uiPriority w:val="99"/>
    <w:pPr>
      <w:spacing w:beforeAutospacing="1" w:afterAutospacing="1"/>
      <w:jc w:val="left"/>
    </w:pPr>
    <w:rPr>
      <w:rFonts w:cs="Times New Roman"/>
    </w:rPr>
  </w:style>
  <w:style w:type="character" w:customStyle="1" w:styleId="7">
    <w:name w:val="页脚 Char"/>
    <w:link w:val="2"/>
    <w:semiHidden/>
    <w:qFormat/>
    <w:locked/>
    <w:uiPriority w:val="99"/>
    <w:rPr>
      <w:rFonts w:ascii="Calibri" w:hAnsi="Calibri" w:cs="黑体"/>
      <w:sz w:val="18"/>
      <w:szCs w:val="18"/>
    </w:rPr>
  </w:style>
  <w:style w:type="character" w:customStyle="1" w:styleId="8">
    <w:name w:val="页眉 Char"/>
    <w:link w:val="3"/>
    <w:semiHidden/>
    <w:qFormat/>
    <w:locked/>
    <w:uiPriority w:val="99"/>
    <w:rPr>
      <w:rFonts w:ascii="Calibri" w:hAnsi="Calibri" w:cs="黑体"/>
      <w:sz w:val="18"/>
      <w:szCs w:val="18"/>
    </w:rPr>
  </w:style>
  <w:style w:type="paragraph" w:customStyle="1" w:styleId="9">
    <w:name w:val="插入文本样式-插入总体目标文件"/>
    <w:basedOn w:val="1"/>
    <w:qFormat/>
    <w:uiPriority w:val="99"/>
    <w:pPr>
      <w:spacing w:line="500" w:lineRule="exact"/>
      <w:ind w:firstLine="560"/>
    </w:pPr>
    <w:rPr>
      <w:rFonts w:eastAsia="方正仿宋_GBK"/>
      <w:sz w:val="28"/>
    </w:rPr>
  </w:style>
  <w:style w:type="paragraph" w:customStyle="1" w:styleId="10">
    <w:name w:val="插入文本样式-插入职责分类绩效目标文件"/>
    <w:basedOn w:val="1"/>
    <w:qFormat/>
    <w:uiPriority w:val="99"/>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29</Pages>
  <Words>16159</Words>
  <Characters>17680</Characters>
  <Lines>129</Lines>
  <Paragraphs>36</Paragraphs>
  <TotalTime>73</TotalTime>
  <ScaleCrop>false</ScaleCrop>
  <LinksUpToDate>false</LinksUpToDate>
  <CharactersWithSpaces>17826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沈。</cp:lastModifiedBy>
  <cp:lastPrinted>2024-03-06T07:40:00Z</cp:lastPrinted>
  <dcterms:modified xsi:type="dcterms:W3CDTF">2025-07-30T09:01:57Z</dcterms:modified>
  <dc:title>附件3：</dc:title>
  <cp:revision>102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96934721B1514D3FBAA28020338CE855_12</vt:lpwstr>
  </property>
  <property fmtid="{D5CDD505-2E9C-101B-9397-08002B2CF9AE}" pid="4" name="KSOTemplateDocerSaveRecord">
    <vt:lpwstr>eyJoZGlkIjoiYzFhN2M5YjRhMGIzYzY3NzJiMGMzOWE0ZDBmMDVmN2YiLCJ1c2VySWQiOiI3Mjk2NjExMjgifQ==</vt:lpwstr>
  </property>
</Properties>
</file>