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1604.19</w:t>
            </w:r>
          </w:p>
        </w:tc>
        <w:tc>
          <w:tcPr>
            <w:tcW w:w="4535" w:type="dxa"/>
            <w:vAlign w:val="center"/>
          </w:tcPr>
          <w:p>
            <w:pPr>
              <w:pStyle w:val="13"/>
            </w:pPr>
            <w:r>
              <w:t>一、一般公共服务支出</w:t>
            </w:r>
          </w:p>
        </w:tc>
        <w:tc>
          <w:tcPr>
            <w:tcW w:w="2126" w:type="dxa"/>
            <w:vAlign w:val="center"/>
          </w:tcPr>
          <w:p>
            <w:pPr>
              <w:pStyle w:val="12"/>
            </w:pPr>
            <w:r>
              <w:t>1376.41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1604.19</w:t>
            </w:r>
          </w:p>
        </w:tc>
        <w:tc>
          <w:tcPr>
            <w:tcW w:w="4535" w:type="dxa"/>
            <w:vAlign w:val="center"/>
          </w:tcPr>
          <w:p>
            <w:pPr>
              <w:pStyle w:val="15"/>
            </w:pPr>
            <w:r>
              <w:t>本年支出合计</w:t>
            </w:r>
          </w:p>
        </w:tc>
        <w:tc>
          <w:tcPr>
            <w:tcW w:w="2126" w:type="dxa"/>
            <w:vAlign w:val="center"/>
          </w:tcPr>
          <w:p>
            <w:pPr>
              <w:pStyle w:val="16"/>
            </w:pPr>
            <w:r>
              <w:t>1604.19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1604.19</w:t>
            </w:r>
          </w:p>
        </w:tc>
        <w:tc>
          <w:tcPr>
            <w:tcW w:w="4535" w:type="dxa"/>
            <w:vAlign w:val="center"/>
          </w:tcPr>
          <w:p>
            <w:pPr>
              <w:pStyle w:val="15"/>
            </w:pPr>
            <w:r>
              <w:t>支出总计</w:t>
            </w:r>
          </w:p>
        </w:tc>
        <w:tc>
          <w:tcPr>
            <w:tcW w:w="2126" w:type="dxa"/>
            <w:vAlign w:val="center"/>
          </w:tcPr>
          <w:p>
            <w:pPr>
              <w:pStyle w:val="16"/>
            </w:pPr>
            <w:r>
              <w:t>1604.19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1604.19</w:t>
            </w:r>
          </w:p>
        </w:tc>
        <w:tc>
          <w:tcPr>
            <w:tcW w:w="1134" w:type="dxa"/>
            <w:vAlign w:val="center"/>
          </w:tcPr>
          <w:p>
            <w:pPr>
              <w:pStyle w:val="16"/>
            </w:pPr>
            <w:r>
              <w:t>1604.19</w:t>
            </w:r>
          </w:p>
        </w:tc>
        <w:tc>
          <w:tcPr>
            <w:tcW w:w="1134" w:type="dxa"/>
            <w:vAlign w:val="center"/>
          </w:tcPr>
          <w:p>
            <w:pPr>
              <w:pStyle w:val="16"/>
            </w:pPr>
            <w:r>
              <w:t>1604.19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1376.41</w:t>
            </w:r>
          </w:p>
        </w:tc>
        <w:tc>
          <w:tcPr>
            <w:tcW w:w="1134" w:type="dxa"/>
            <w:vAlign w:val="center"/>
          </w:tcPr>
          <w:p>
            <w:pPr>
              <w:pStyle w:val="12"/>
            </w:pPr>
            <w:r>
              <w:t>1376.41</w:t>
            </w:r>
          </w:p>
        </w:tc>
        <w:tc>
          <w:tcPr>
            <w:tcW w:w="1134" w:type="dxa"/>
            <w:vAlign w:val="center"/>
          </w:tcPr>
          <w:p>
            <w:pPr>
              <w:pStyle w:val="12"/>
            </w:pPr>
            <w:r>
              <w:t>1376.41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1376.41</w:t>
            </w:r>
          </w:p>
        </w:tc>
        <w:tc>
          <w:tcPr>
            <w:tcW w:w="1134" w:type="dxa"/>
            <w:vAlign w:val="center"/>
          </w:tcPr>
          <w:p>
            <w:pPr>
              <w:pStyle w:val="12"/>
            </w:pPr>
            <w:r>
              <w:t>1376.41</w:t>
            </w:r>
          </w:p>
        </w:tc>
        <w:tc>
          <w:tcPr>
            <w:tcW w:w="1134" w:type="dxa"/>
            <w:vAlign w:val="center"/>
          </w:tcPr>
          <w:p>
            <w:pPr>
              <w:pStyle w:val="12"/>
            </w:pPr>
            <w:r>
              <w:t>1376.41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967.58</w:t>
            </w:r>
          </w:p>
        </w:tc>
        <w:tc>
          <w:tcPr>
            <w:tcW w:w="1134" w:type="dxa"/>
            <w:vAlign w:val="center"/>
          </w:tcPr>
          <w:p>
            <w:pPr>
              <w:pStyle w:val="12"/>
            </w:pPr>
            <w:r>
              <w:t>967.58</w:t>
            </w:r>
          </w:p>
        </w:tc>
        <w:tc>
          <w:tcPr>
            <w:tcW w:w="1134" w:type="dxa"/>
            <w:vAlign w:val="center"/>
          </w:tcPr>
          <w:p>
            <w:pPr>
              <w:pStyle w:val="12"/>
            </w:pPr>
            <w:r>
              <w:t>967.58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2013105</w:t>
            </w:r>
          </w:p>
        </w:tc>
        <w:tc>
          <w:tcPr>
            <w:tcW w:w="1559" w:type="dxa"/>
            <w:vAlign w:val="center"/>
          </w:tcPr>
          <w:p>
            <w:pPr>
              <w:pStyle w:val="13"/>
            </w:pPr>
            <w:r>
              <w:t>专项业务</w:t>
            </w:r>
          </w:p>
        </w:tc>
        <w:tc>
          <w:tcPr>
            <w:tcW w:w="1134" w:type="dxa"/>
            <w:vAlign w:val="center"/>
          </w:tcPr>
          <w:p>
            <w:pPr>
              <w:pStyle w:val="12"/>
            </w:pPr>
            <w:r>
              <w:t>408.83</w:t>
            </w:r>
          </w:p>
        </w:tc>
        <w:tc>
          <w:tcPr>
            <w:tcW w:w="1134" w:type="dxa"/>
            <w:vAlign w:val="center"/>
          </w:tcPr>
          <w:p>
            <w:pPr>
              <w:pStyle w:val="12"/>
            </w:pPr>
            <w:r>
              <w:t>408.83</w:t>
            </w:r>
          </w:p>
        </w:tc>
        <w:tc>
          <w:tcPr>
            <w:tcW w:w="1134" w:type="dxa"/>
            <w:vAlign w:val="center"/>
          </w:tcPr>
          <w:p>
            <w:pPr>
              <w:pStyle w:val="12"/>
            </w:pPr>
            <w:r>
              <w:t>408.83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138.66</w:t>
            </w:r>
          </w:p>
        </w:tc>
        <w:tc>
          <w:tcPr>
            <w:tcW w:w="1134" w:type="dxa"/>
            <w:vAlign w:val="center"/>
          </w:tcPr>
          <w:p>
            <w:pPr>
              <w:pStyle w:val="12"/>
            </w:pPr>
            <w:r>
              <w:t>138.66</w:t>
            </w:r>
          </w:p>
        </w:tc>
        <w:tc>
          <w:tcPr>
            <w:tcW w:w="1134" w:type="dxa"/>
            <w:vAlign w:val="center"/>
          </w:tcPr>
          <w:p>
            <w:pPr>
              <w:pStyle w:val="12"/>
            </w:pPr>
            <w:r>
              <w:t>138.66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121.32</w:t>
            </w:r>
          </w:p>
        </w:tc>
        <w:tc>
          <w:tcPr>
            <w:tcW w:w="1134" w:type="dxa"/>
            <w:vAlign w:val="center"/>
          </w:tcPr>
          <w:p>
            <w:pPr>
              <w:pStyle w:val="12"/>
            </w:pPr>
            <w:r>
              <w:t>121.32</w:t>
            </w:r>
          </w:p>
        </w:tc>
        <w:tc>
          <w:tcPr>
            <w:tcW w:w="1134" w:type="dxa"/>
            <w:vAlign w:val="center"/>
          </w:tcPr>
          <w:p>
            <w:pPr>
              <w:pStyle w:val="12"/>
            </w:pPr>
            <w:r>
              <w:t>121.32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66.04</w:t>
            </w:r>
          </w:p>
        </w:tc>
        <w:tc>
          <w:tcPr>
            <w:tcW w:w="1134" w:type="dxa"/>
            <w:vAlign w:val="center"/>
          </w:tcPr>
          <w:p>
            <w:pPr>
              <w:pStyle w:val="12"/>
            </w:pPr>
            <w:r>
              <w:t>66.04</w:t>
            </w:r>
          </w:p>
        </w:tc>
        <w:tc>
          <w:tcPr>
            <w:tcW w:w="1134" w:type="dxa"/>
            <w:vAlign w:val="center"/>
          </w:tcPr>
          <w:p>
            <w:pPr>
              <w:pStyle w:val="12"/>
            </w:pPr>
            <w:r>
              <w:t>66.04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55.28</w:t>
            </w:r>
          </w:p>
        </w:tc>
        <w:tc>
          <w:tcPr>
            <w:tcW w:w="1134" w:type="dxa"/>
            <w:vAlign w:val="center"/>
          </w:tcPr>
          <w:p>
            <w:pPr>
              <w:pStyle w:val="12"/>
            </w:pPr>
            <w:r>
              <w:t>55.28</w:t>
            </w:r>
          </w:p>
        </w:tc>
        <w:tc>
          <w:tcPr>
            <w:tcW w:w="1134" w:type="dxa"/>
            <w:vAlign w:val="center"/>
          </w:tcPr>
          <w:p>
            <w:pPr>
              <w:pStyle w:val="12"/>
            </w:pPr>
            <w:r>
              <w:t>55.28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17.34</w:t>
            </w:r>
          </w:p>
        </w:tc>
        <w:tc>
          <w:tcPr>
            <w:tcW w:w="1134" w:type="dxa"/>
            <w:vAlign w:val="center"/>
          </w:tcPr>
          <w:p>
            <w:pPr>
              <w:pStyle w:val="12"/>
            </w:pPr>
            <w:r>
              <w:t>17.34</w:t>
            </w:r>
          </w:p>
        </w:tc>
        <w:tc>
          <w:tcPr>
            <w:tcW w:w="1134" w:type="dxa"/>
            <w:vAlign w:val="center"/>
          </w:tcPr>
          <w:p>
            <w:pPr>
              <w:pStyle w:val="12"/>
            </w:pPr>
            <w:r>
              <w:t>17.34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17.34</w:t>
            </w:r>
          </w:p>
        </w:tc>
        <w:tc>
          <w:tcPr>
            <w:tcW w:w="1134" w:type="dxa"/>
            <w:vAlign w:val="center"/>
          </w:tcPr>
          <w:p>
            <w:pPr>
              <w:pStyle w:val="12"/>
            </w:pPr>
            <w:r>
              <w:t>17.34</w:t>
            </w:r>
          </w:p>
        </w:tc>
        <w:tc>
          <w:tcPr>
            <w:tcW w:w="1134" w:type="dxa"/>
            <w:vAlign w:val="center"/>
          </w:tcPr>
          <w:p>
            <w:pPr>
              <w:pStyle w:val="12"/>
            </w:pPr>
            <w:r>
              <w:t>17.34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1604.19</w:t>
            </w:r>
          </w:p>
        </w:tc>
        <w:tc>
          <w:tcPr>
            <w:tcW w:w="1361" w:type="dxa"/>
            <w:vAlign w:val="center"/>
          </w:tcPr>
          <w:p>
            <w:pPr>
              <w:pStyle w:val="16"/>
            </w:pPr>
            <w:r>
              <w:t>1178.02</w:t>
            </w:r>
          </w:p>
        </w:tc>
        <w:tc>
          <w:tcPr>
            <w:tcW w:w="1361" w:type="dxa"/>
            <w:vAlign w:val="center"/>
          </w:tcPr>
          <w:p>
            <w:pPr>
              <w:pStyle w:val="16"/>
            </w:pPr>
            <w:r>
              <w:t>426.17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1376.41</w:t>
            </w:r>
          </w:p>
        </w:tc>
        <w:tc>
          <w:tcPr>
            <w:tcW w:w="1361" w:type="dxa"/>
            <w:vAlign w:val="center"/>
          </w:tcPr>
          <w:p>
            <w:pPr>
              <w:pStyle w:val="12"/>
            </w:pPr>
            <w:r>
              <w:t>967.58</w:t>
            </w:r>
          </w:p>
        </w:tc>
        <w:tc>
          <w:tcPr>
            <w:tcW w:w="1361" w:type="dxa"/>
            <w:vAlign w:val="center"/>
          </w:tcPr>
          <w:p>
            <w:pPr>
              <w:pStyle w:val="12"/>
            </w:pPr>
            <w:r>
              <w:t>408.83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1376.41</w:t>
            </w:r>
          </w:p>
        </w:tc>
        <w:tc>
          <w:tcPr>
            <w:tcW w:w="1361" w:type="dxa"/>
            <w:vAlign w:val="center"/>
          </w:tcPr>
          <w:p>
            <w:pPr>
              <w:pStyle w:val="12"/>
            </w:pPr>
            <w:r>
              <w:t>967.58</w:t>
            </w:r>
          </w:p>
        </w:tc>
        <w:tc>
          <w:tcPr>
            <w:tcW w:w="1361" w:type="dxa"/>
            <w:vAlign w:val="center"/>
          </w:tcPr>
          <w:p>
            <w:pPr>
              <w:pStyle w:val="12"/>
            </w:pPr>
            <w:r>
              <w:t>408.83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967.58</w:t>
            </w:r>
          </w:p>
        </w:tc>
        <w:tc>
          <w:tcPr>
            <w:tcW w:w="1361" w:type="dxa"/>
            <w:vAlign w:val="center"/>
          </w:tcPr>
          <w:p>
            <w:pPr>
              <w:pStyle w:val="12"/>
            </w:pPr>
            <w:r>
              <w:t>967.58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2013105</w:t>
            </w:r>
          </w:p>
        </w:tc>
        <w:tc>
          <w:tcPr>
            <w:tcW w:w="4535" w:type="dxa"/>
            <w:vAlign w:val="center"/>
          </w:tcPr>
          <w:p>
            <w:pPr>
              <w:pStyle w:val="13"/>
            </w:pPr>
            <w:r>
              <w:t>专项业务</w:t>
            </w:r>
          </w:p>
        </w:tc>
        <w:tc>
          <w:tcPr>
            <w:tcW w:w="1361" w:type="dxa"/>
            <w:vAlign w:val="center"/>
          </w:tcPr>
          <w:p>
            <w:pPr>
              <w:pStyle w:val="12"/>
            </w:pPr>
            <w:r>
              <w:t>408.83</w:t>
            </w:r>
          </w:p>
        </w:tc>
        <w:tc>
          <w:tcPr>
            <w:tcW w:w="1361" w:type="dxa"/>
            <w:vAlign w:val="center"/>
          </w:tcPr>
          <w:p>
            <w:pPr>
              <w:pStyle w:val="12"/>
            </w:pPr>
          </w:p>
        </w:tc>
        <w:tc>
          <w:tcPr>
            <w:tcW w:w="1361" w:type="dxa"/>
            <w:vAlign w:val="center"/>
          </w:tcPr>
          <w:p>
            <w:pPr>
              <w:pStyle w:val="12"/>
            </w:pPr>
            <w:r>
              <w:t>408.83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138.66</w:t>
            </w:r>
          </w:p>
        </w:tc>
        <w:tc>
          <w:tcPr>
            <w:tcW w:w="1361" w:type="dxa"/>
            <w:vAlign w:val="center"/>
          </w:tcPr>
          <w:p>
            <w:pPr>
              <w:pStyle w:val="12"/>
            </w:pPr>
            <w:r>
              <w:t>121.32</w:t>
            </w:r>
          </w:p>
        </w:tc>
        <w:tc>
          <w:tcPr>
            <w:tcW w:w="1361" w:type="dxa"/>
            <w:vAlign w:val="center"/>
          </w:tcPr>
          <w:p>
            <w:pPr>
              <w:pStyle w:val="12"/>
            </w:pPr>
            <w:r>
              <w:t>17.34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121.32</w:t>
            </w:r>
          </w:p>
        </w:tc>
        <w:tc>
          <w:tcPr>
            <w:tcW w:w="1361" w:type="dxa"/>
            <w:vAlign w:val="center"/>
          </w:tcPr>
          <w:p>
            <w:pPr>
              <w:pStyle w:val="12"/>
            </w:pPr>
            <w:r>
              <w:t>121.32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66.04</w:t>
            </w:r>
          </w:p>
        </w:tc>
        <w:tc>
          <w:tcPr>
            <w:tcW w:w="1361" w:type="dxa"/>
            <w:vAlign w:val="center"/>
          </w:tcPr>
          <w:p>
            <w:pPr>
              <w:pStyle w:val="12"/>
            </w:pPr>
            <w:r>
              <w:t>66.04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55.28</w:t>
            </w:r>
          </w:p>
        </w:tc>
        <w:tc>
          <w:tcPr>
            <w:tcW w:w="1361" w:type="dxa"/>
            <w:vAlign w:val="center"/>
          </w:tcPr>
          <w:p>
            <w:pPr>
              <w:pStyle w:val="12"/>
            </w:pPr>
            <w:r>
              <w:t>55.28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17.34</w:t>
            </w:r>
          </w:p>
        </w:tc>
        <w:tc>
          <w:tcPr>
            <w:tcW w:w="1361" w:type="dxa"/>
            <w:vAlign w:val="center"/>
          </w:tcPr>
          <w:p>
            <w:pPr>
              <w:pStyle w:val="12"/>
            </w:pPr>
          </w:p>
        </w:tc>
        <w:tc>
          <w:tcPr>
            <w:tcW w:w="1361" w:type="dxa"/>
            <w:vAlign w:val="center"/>
          </w:tcPr>
          <w:p>
            <w:pPr>
              <w:pStyle w:val="12"/>
            </w:pPr>
            <w:r>
              <w:t>17.34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17.34</w:t>
            </w:r>
          </w:p>
        </w:tc>
        <w:tc>
          <w:tcPr>
            <w:tcW w:w="1361" w:type="dxa"/>
            <w:vAlign w:val="center"/>
          </w:tcPr>
          <w:p>
            <w:pPr>
              <w:pStyle w:val="12"/>
            </w:pPr>
          </w:p>
        </w:tc>
        <w:tc>
          <w:tcPr>
            <w:tcW w:w="1361" w:type="dxa"/>
            <w:vAlign w:val="center"/>
          </w:tcPr>
          <w:p>
            <w:pPr>
              <w:pStyle w:val="12"/>
            </w:pPr>
            <w:r>
              <w:t>17.34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36.03</w:t>
            </w:r>
          </w:p>
        </w:tc>
        <w:tc>
          <w:tcPr>
            <w:tcW w:w="1361" w:type="dxa"/>
            <w:vAlign w:val="center"/>
          </w:tcPr>
          <w:p>
            <w:pPr>
              <w:pStyle w:val="12"/>
            </w:pPr>
            <w:r>
              <w:t>36.03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36.03</w:t>
            </w:r>
          </w:p>
        </w:tc>
        <w:tc>
          <w:tcPr>
            <w:tcW w:w="1361" w:type="dxa"/>
            <w:vAlign w:val="center"/>
          </w:tcPr>
          <w:p>
            <w:pPr>
              <w:pStyle w:val="12"/>
            </w:pPr>
            <w:r>
              <w:t>36.03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36.03</w:t>
            </w:r>
          </w:p>
        </w:tc>
        <w:tc>
          <w:tcPr>
            <w:tcW w:w="1361" w:type="dxa"/>
            <w:vAlign w:val="center"/>
          </w:tcPr>
          <w:p>
            <w:pPr>
              <w:pStyle w:val="12"/>
            </w:pPr>
            <w:r>
              <w:t>36.03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53.09</w:t>
            </w:r>
          </w:p>
        </w:tc>
        <w:tc>
          <w:tcPr>
            <w:tcW w:w="1361" w:type="dxa"/>
            <w:vAlign w:val="center"/>
          </w:tcPr>
          <w:p>
            <w:pPr>
              <w:pStyle w:val="12"/>
            </w:pPr>
            <w:r>
              <w:t>53.09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53.09</w:t>
            </w:r>
          </w:p>
        </w:tc>
        <w:tc>
          <w:tcPr>
            <w:tcW w:w="1361" w:type="dxa"/>
            <w:vAlign w:val="center"/>
          </w:tcPr>
          <w:p>
            <w:pPr>
              <w:pStyle w:val="12"/>
            </w:pPr>
            <w:r>
              <w:t>53.09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53.09</w:t>
            </w:r>
          </w:p>
        </w:tc>
        <w:tc>
          <w:tcPr>
            <w:tcW w:w="1361" w:type="dxa"/>
            <w:vAlign w:val="center"/>
          </w:tcPr>
          <w:p>
            <w:pPr>
              <w:pStyle w:val="12"/>
            </w:pPr>
            <w:r>
              <w:t>53.09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1604.19</w:t>
            </w:r>
          </w:p>
        </w:tc>
        <w:tc>
          <w:tcPr>
            <w:tcW w:w="3402" w:type="dxa"/>
            <w:vAlign w:val="center"/>
          </w:tcPr>
          <w:p>
            <w:pPr>
              <w:pStyle w:val="13"/>
            </w:pPr>
            <w:r>
              <w:t>一、一般公共服务支出</w:t>
            </w:r>
          </w:p>
        </w:tc>
        <w:tc>
          <w:tcPr>
            <w:tcW w:w="1474" w:type="dxa"/>
            <w:vAlign w:val="center"/>
          </w:tcPr>
          <w:p>
            <w:pPr>
              <w:pStyle w:val="12"/>
            </w:pPr>
            <w:r>
              <w:t>1376.41</w:t>
            </w:r>
          </w:p>
        </w:tc>
        <w:tc>
          <w:tcPr>
            <w:tcW w:w="1474" w:type="dxa"/>
            <w:vAlign w:val="center"/>
          </w:tcPr>
          <w:p>
            <w:pPr>
              <w:pStyle w:val="12"/>
            </w:pPr>
            <w:r>
              <w:t>1376.41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138.66</w:t>
            </w:r>
          </w:p>
        </w:tc>
        <w:tc>
          <w:tcPr>
            <w:tcW w:w="1474" w:type="dxa"/>
            <w:vAlign w:val="center"/>
          </w:tcPr>
          <w:p>
            <w:pPr>
              <w:pStyle w:val="12"/>
            </w:pPr>
            <w:r>
              <w:t>138.66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36.03</w:t>
            </w:r>
          </w:p>
        </w:tc>
        <w:tc>
          <w:tcPr>
            <w:tcW w:w="1474" w:type="dxa"/>
            <w:vAlign w:val="center"/>
          </w:tcPr>
          <w:p>
            <w:pPr>
              <w:pStyle w:val="12"/>
            </w:pPr>
            <w:r>
              <w:t>36.03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53.09</w:t>
            </w:r>
          </w:p>
        </w:tc>
        <w:tc>
          <w:tcPr>
            <w:tcW w:w="1474" w:type="dxa"/>
            <w:vAlign w:val="center"/>
          </w:tcPr>
          <w:p>
            <w:pPr>
              <w:pStyle w:val="12"/>
            </w:pPr>
            <w:r>
              <w:t>53.09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1604.19</w:t>
            </w:r>
          </w:p>
        </w:tc>
        <w:tc>
          <w:tcPr>
            <w:tcW w:w="3402" w:type="dxa"/>
            <w:vAlign w:val="center"/>
          </w:tcPr>
          <w:p>
            <w:pPr>
              <w:pStyle w:val="15"/>
            </w:pPr>
            <w:r>
              <w:t>本年支出合计</w:t>
            </w:r>
          </w:p>
        </w:tc>
        <w:tc>
          <w:tcPr>
            <w:tcW w:w="1474" w:type="dxa"/>
            <w:vAlign w:val="center"/>
          </w:tcPr>
          <w:p>
            <w:pPr>
              <w:pStyle w:val="16"/>
            </w:pPr>
            <w:r>
              <w:t>1604.19</w:t>
            </w:r>
          </w:p>
        </w:tc>
        <w:tc>
          <w:tcPr>
            <w:tcW w:w="1474" w:type="dxa"/>
            <w:vAlign w:val="center"/>
          </w:tcPr>
          <w:p>
            <w:pPr>
              <w:pStyle w:val="16"/>
            </w:pPr>
            <w:r>
              <w:t>1604.19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1604.19</w:t>
            </w:r>
          </w:p>
        </w:tc>
        <w:tc>
          <w:tcPr>
            <w:tcW w:w="3402" w:type="dxa"/>
            <w:vAlign w:val="center"/>
          </w:tcPr>
          <w:p>
            <w:pPr>
              <w:pStyle w:val="15"/>
            </w:pPr>
            <w:r>
              <w:t>支出总计</w:t>
            </w:r>
          </w:p>
        </w:tc>
        <w:tc>
          <w:tcPr>
            <w:tcW w:w="1474" w:type="dxa"/>
            <w:vAlign w:val="center"/>
          </w:tcPr>
          <w:p>
            <w:pPr>
              <w:pStyle w:val="16"/>
            </w:pPr>
            <w:r>
              <w:t>1604.19</w:t>
            </w:r>
          </w:p>
        </w:tc>
        <w:tc>
          <w:tcPr>
            <w:tcW w:w="1474" w:type="dxa"/>
            <w:vAlign w:val="center"/>
          </w:tcPr>
          <w:p>
            <w:pPr>
              <w:pStyle w:val="16"/>
            </w:pPr>
            <w:r>
              <w:t>1604.19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1604.19</w:t>
            </w:r>
          </w:p>
        </w:tc>
        <w:tc>
          <w:tcPr>
            <w:tcW w:w="2551" w:type="dxa"/>
            <w:vAlign w:val="center"/>
          </w:tcPr>
          <w:p>
            <w:pPr>
              <w:pStyle w:val="16"/>
            </w:pPr>
            <w:r>
              <w:t>1178.02</w:t>
            </w:r>
          </w:p>
        </w:tc>
        <w:tc>
          <w:tcPr>
            <w:tcW w:w="2551" w:type="dxa"/>
            <w:vAlign w:val="center"/>
          </w:tcPr>
          <w:p>
            <w:pPr>
              <w:pStyle w:val="16"/>
            </w:pPr>
            <w:r>
              <w:t>426.17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1376.41</w:t>
            </w:r>
          </w:p>
        </w:tc>
        <w:tc>
          <w:tcPr>
            <w:tcW w:w="2551" w:type="dxa"/>
            <w:vAlign w:val="center"/>
          </w:tcPr>
          <w:p>
            <w:pPr>
              <w:pStyle w:val="12"/>
            </w:pPr>
            <w:r>
              <w:t>967.58</w:t>
            </w:r>
          </w:p>
        </w:tc>
        <w:tc>
          <w:tcPr>
            <w:tcW w:w="2551" w:type="dxa"/>
            <w:vAlign w:val="center"/>
          </w:tcPr>
          <w:p>
            <w:pPr>
              <w:pStyle w:val="12"/>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1376.41</w:t>
            </w:r>
          </w:p>
        </w:tc>
        <w:tc>
          <w:tcPr>
            <w:tcW w:w="2551" w:type="dxa"/>
            <w:vAlign w:val="center"/>
          </w:tcPr>
          <w:p>
            <w:pPr>
              <w:pStyle w:val="12"/>
            </w:pPr>
            <w:r>
              <w:t>967.58</w:t>
            </w:r>
          </w:p>
        </w:tc>
        <w:tc>
          <w:tcPr>
            <w:tcW w:w="2551" w:type="dxa"/>
            <w:vAlign w:val="center"/>
          </w:tcPr>
          <w:p>
            <w:pPr>
              <w:pStyle w:val="12"/>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967.58</w:t>
            </w:r>
          </w:p>
        </w:tc>
        <w:tc>
          <w:tcPr>
            <w:tcW w:w="2551" w:type="dxa"/>
            <w:vAlign w:val="center"/>
          </w:tcPr>
          <w:p>
            <w:pPr>
              <w:pStyle w:val="12"/>
            </w:pPr>
            <w:r>
              <w:t>967.58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2013105</w:t>
            </w:r>
          </w:p>
        </w:tc>
        <w:tc>
          <w:tcPr>
            <w:tcW w:w="4535" w:type="dxa"/>
            <w:vAlign w:val="center"/>
          </w:tcPr>
          <w:p>
            <w:pPr>
              <w:pStyle w:val="13"/>
            </w:pPr>
            <w:r>
              <w:t>专项业务</w:t>
            </w:r>
          </w:p>
        </w:tc>
        <w:tc>
          <w:tcPr>
            <w:tcW w:w="2551" w:type="dxa"/>
            <w:vAlign w:val="center"/>
          </w:tcPr>
          <w:p>
            <w:pPr>
              <w:pStyle w:val="12"/>
            </w:pPr>
            <w:r>
              <w:t>408.83</w:t>
            </w:r>
          </w:p>
        </w:tc>
        <w:tc>
          <w:tcPr>
            <w:tcW w:w="2551" w:type="dxa"/>
            <w:vAlign w:val="center"/>
          </w:tcPr>
          <w:p>
            <w:pPr>
              <w:pStyle w:val="12"/>
            </w:pPr>
          </w:p>
        </w:tc>
        <w:tc>
          <w:tcPr>
            <w:tcW w:w="2551" w:type="dxa"/>
            <w:vAlign w:val="center"/>
          </w:tcPr>
          <w:p>
            <w:pPr>
              <w:pStyle w:val="12"/>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138.66</w:t>
            </w:r>
          </w:p>
        </w:tc>
        <w:tc>
          <w:tcPr>
            <w:tcW w:w="2551" w:type="dxa"/>
            <w:vAlign w:val="center"/>
          </w:tcPr>
          <w:p>
            <w:pPr>
              <w:pStyle w:val="12"/>
            </w:pPr>
            <w:r>
              <w:t>121.32</w:t>
            </w:r>
          </w:p>
        </w:tc>
        <w:tc>
          <w:tcPr>
            <w:tcW w:w="2551" w:type="dxa"/>
            <w:vAlign w:val="center"/>
          </w:tcPr>
          <w:p>
            <w:pPr>
              <w:pStyle w:val="12"/>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121.32</w:t>
            </w:r>
          </w:p>
        </w:tc>
        <w:tc>
          <w:tcPr>
            <w:tcW w:w="2551" w:type="dxa"/>
            <w:vAlign w:val="center"/>
          </w:tcPr>
          <w:p>
            <w:pPr>
              <w:pStyle w:val="12"/>
            </w:pPr>
            <w:r>
              <w:t>121.32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66.04</w:t>
            </w:r>
          </w:p>
        </w:tc>
        <w:tc>
          <w:tcPr>
            <w:tcW w:w="2551" w:type="dxa"/>
            <w:vAlign w:val="center"/>
          </w:tcPr>
          <w:p>
            <w:pPr>
              <w:pStyle w:val="12"/>
            </w:pPr>
            <w:r>
              <w:t>66.04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55.28</w:t>
            </w:r>
          </w:p>
        </w:tc>
        <w:tc>
          <w:tcPr>
            <w:tcW w:w="2551" w:type="dxa"/>
            <w:vAlign w:val="center"/>
          </w:tcPr>
          <w:p>
            <w:pPr>
              <w:pStyle w:val="12"/>
            </w:pPr>
            <w:r>
              <w:t>55.28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17.34</w:t>
            </w:r>
          </w:p>
        </w:tc>
        <w:tc>
          <w:tcPr>
            <w:tcW w:w="2551" w:type="dxa"/>
            <w:vAlign w:val="center"/>
          </w:tcPr>
          <w:p>
            <w:pPr>
              <w:pStyle w:val="12"/>
            </w:pPr>
          </w:p>
        </w:tc>
        <w:tc>
          <w:tcPr>
            <w:tcW w:w="2551" w:type="dxa"/>
            <w:vAlign w:val="center"/>
          </w:tcPr>
          <w:p>
            <w:pPr>
              <w:pStyle w:val="12"/>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17.34</w:t>
            </w:r>
          </w:p>
        </w:tc>
        <w:tc>
          <w:tcPr>
            <w:tcW w:w="2551" w:type="dxa"/>
            <w:vAlign w:val="center"/>
          </w:tcPr>
          <w:p>
            <w:pPr>
              <w:pStyle w:val="12"/>
            </w:pPr>
          </w:p>
        </w:tc>
        <w:tc>
          <w:tcPr>
            <w:tcW w:w="2551" w:type="dxa"/>
            <w:vAlign w:val="center"/>
          </w:tcPr>
          <w:p>
            <w:pPr>
              <w:pStyle w:val="12"/>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36.03</w:t>
            </w:r>
          </w:p>
        </w:tc>
        <w:tc>
          <w:tcPr>
            <w:tcW w:w="2551" w:type="dxa"/>
            <w:vAlign w:val="center"/>
          </w:tcPr>
          <w:p>
            <w:pPr>
              <w:pStyle w:val="12"/>
            </w:pPr>
            <w:r>
              <w:t>36.03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36.03</w:t>
            </w:r>
          </w:p>
        </w:tc>
        <w:tc>
          <w:tcPr>
            <w:tcW w:w="2551" w:type="dxa"/>
            <w:vAlign w:val="center"/>
          </w:tcPr>
          <w:p>
            <w:pPr>
              <w:pStyle w:val="12"/>
            </w:pPr>
            <w:r>
              <w:t>36.03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36.03</w:t>
            </w:r>
          </w:p>
        </w:tc>
        <w:tc>
          <w:tcPr>
            <w:tcW w:w="2551" w:type="dxa"/>
            <w:vAlign w:val="center"/>
          </w:tcPr>
          <w:p>
            <w:pPr>
              <w:pStyle w:val="12"/>
            </w:pPr>
            <w:r>
              <w:t>36.03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53.09</w:t>
            </w:r>
          </w:p>
        </w:tc>
        <w:tc>
          <w:tcPr>
            <w:tcW w:w="2551" w:type="dxa"/>
            <w:vAlign w:val="center"/>
          </w:tcPr>
          <w:p>
            <w:pPr>
              <w:pStyle w:val="12"/>
            </w:pPr>
            <w:r>
              <w:t>53.09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53.09</w:t>
            </w:r>
          </w:p>
        </w:tc>
        <w:tc>
          <w:tcPr>
            <w:tcW w:w="2551" w:type="dxa"/>
            <w:vAlign w:val="center"/>
          </w:tcPr>
          <w:p>
            <w:pPr>
              <w:pStyle w:val="12"/>
            </w:pPr>
            <w:r>
              <w:t>53.09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53.09</w:t>
            </w:r>
          </w:p>
        </w:tc>
        <w:tc>
          <w:tcPr>
            <w:tcW w:w="2551" w:type="dxa"/>
            <w:vAlign w:val="center"/>
          </w:tcPr>
          <w:p>
            <w:pPr>
              <w:pStyle w:val="12"/>
            </w:pPr>
            <w:r>
              <w:t>53.09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1178.02</w:t>
            </w:r>
          </w:p>
        </w:tc>
        <w:tc>
          <w:tcPr>
            <w:tcW w:w="2551" w:type="dxa"/>
            <w:vAlign w:val="center"/>
          </w:tcPr>
          <w:p>
            <w:pPr>
              <w:pStyle w:val="16"/>
            </w:pPr>
            <w:r>
              <w:t>652.97</w:t>
            </w:r>
          </w:p>
        </w:tc>
        <w:tc>
          <w:tcPr>
            <w:tcW w:w="2551" w:type="dxa"/>
            <w:vAlign w:val="center"/>
          </w:tcPr>
          <w:p>
            <w:pPr>
              <w:pStyle w:val="16"/>
            </w:pPr>
            <w:r>
              <w:t>525.06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587.69</w:t>
            </w:r>
          </w:p>
        </w:tc>
        <w:tc>
          <w:tcPr>
            <w:tcW w:w="2551" w:type="dxa"/>
            <w:vAlign w:val="center"/>
          </w:tcPr>
          <w:p>
            <w:pPr>
              <w:pStyle w:val="12"/>
            </w:pPr>
            <w:r>
              <w:t>587.69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161.63</w:t>
            </w:r>
          </w:p>
        </w:tc>
        <w:tc>
          <w:tcPr>
            <w:tcW w:w="2551" w:type="dxa"/>
            <w:vAlign w:val="center"/>
          </w:tcPr>
          <w:p>
            <w:pPr>
              <w:pStyle w:val="12"/>
            </w:pPr>
            <w:r>
              <w:t>161.63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95.42</w:t>
            </w:r>
          </w:p>
        </w:tc>
        <w:tc>
          <w:tcPr>
            <w:tcW w:w="2551" w:type="dxa"/>
            <w:vAlign w:val="center"/>
          </w:tcPr>
          <w:p>
            <w:pPr>
              <w:pStyle w:val="12"/>
            </w:pPr>
            <w:r>
              <w:t>95.42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68.88</w:t>
            </w:r>
          </w:p>
        </w:tc>
        <w:tc>
          <w:tcPr>
            <w:tcW w:w="2551" w:type="dxa"/>
            <w:vAlign w:val="center"/>
          </w:tcPr>
          <w:p>
            <w:pPr>
              <w:pStyle w:val="12"/>
            </w:pPr>
            <w:r>
              <w:t>68.88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115.10</w:t>
            </w:r>
          </w:p>
        </w:tc>
        <w:tc>
          <w:tcPr>
            <w:tcW w:w="2551" w:type="dxa"/>
            <w:vAlign w:val="center"/>
          </w:tcPr>
          <w:p>
            <w:pPr>
              <w:pStyle w:val="12"/>
            </w:pPr>
            <w:r>
              <w:t>115.10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55.28</w:t>
            </w:r>
          </w:p>
        </w:tc>
        <w:tc>
          <w:tcPr>
            <w:tcW w:w="2551" w:type="dxa"/>
            <w:vAlign w:val="center"/>
          </w:tcPr>
          <w:p>
            <w:pPr>
              <w:pStyle w:val="12"/>
            </w:pPr>
            <w:r>
              <w:t>55.28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18.55</w:t>
            </w:r>
          </w:p>
        </w:tc>
        <w:tc>
          <w:tcPr>
            <w:tcW w:w="2551" w:type="dxa"/>
            <w:vAlign w:val="center"/>
          </w:tcPr>
          <w:p>
            <w:pPr>
              <w:pStyle w:val="12"/>
            </w:pPr>
            <w:r>
              <w:t>18.55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17.48</w:t>
            </w:r>
          </w:p>
        </w:tc>
        <w:tc>
          <w:tcPr>
            <w:tcW w:w="2551" w:type="dxa"/>
            <w:vAlign w:val="center"/>
          </w:tcPr>
          <w:p>
            <w:pPr>
              <w:pStyle w:val="12"/>
            </w:pPr>
            <w:r>
              <w:t>17.48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2.25</w:t>
            </w:r>
          </w:p>
        </w:tc>
        <w:tc>
          <w:tcPr>
            <w:tcW w:w="2551" w:type="dxa"/>
            <w:vAlign w:val="center"/>
          </w:tcPr>
          <w:p>
            <w:pPr>
              <w:pStyle w:val="12"/>
            </w:pPr>
            <w:r>
              <w:t>2.25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53.09</w:t>
            </w:r>
          </w:p>
        </w:tc>
        <w:tc>
          <w:tcPr>
            <w:tcW w:w="2551" w:type="dxa"/>
            <w:vAlign w:val="center"/>
          </w:tcPr>
          <w:p>
            <w:pPr>
              <w:pStyle w:val="12"/>
            </w:pPr>
            <w:r>
              <w:t>53.09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524.61</w:t>
            </w:r>
          </w:p>
        </w:tc>
        <w:tc>
          <w:tcPr>
            <w:tcW w:w="2551" w:type="dxa"/>
            <w:vAlign w:val="center"/>
          </w:tcPr>
          <w:p>
            <w:pPr>
              <w:pStyle w:val="12"/>
            </w:pPr>
          </w:p>
        </w:tc>
        <w:tc>
          <w:tcPr>
            <w:tcW w:w="2551" w:type="dxa"/>
            <w:vAlign w:val="center"/>
          </w:tcPr>
          <w:p>
            <w:pPr>
              <w:pStyle w:val="12"/>
            </w:pPr>
            <w:r>
              <w:t>524.61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14.65</w:t>
            </w:r>
          </w:p>
        </w:tc>
        <w:tc>
          <w:tcPr>
            <w:tcW w:w="2551" w:type="dxa"/>
            <w:vAlign w:val="center"/>
          </w:tcPr>
          <w:p>
            <w:pPr>
              <w:pStyle w:val="12"/>
            </w:pPr>
          </w:p>
        </w:tc>
        <w:tc>
          <w:tcPr>
            <w:tcW w:w="2551" w:type="dxa"/>
            <w:vAlign w:val="center"/>
          </w:tcPr>
          <w:p>
            <w:pPr>
              <w:pStyle w:val="12"/>
            </w:pPr>
            <w:r>
              <w:t>14.65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9.72</w:t>
            </w:r>
          </w:p>
        </w:tc>
        <w:tc>
          <w:tcPr>
            <w:tcW w:w="2551" w:type="dxa"/>
            <w:vAlign w:val="center"/>
          </w:tcPr>
          <w:p>
            <w:pPr>
              <w:pStyle w:val="12"/>
            </w:pPr>
          </w:p>
        </w:tc>
        <w:tc>
          <w:tcPr>
            <w:tcW w:w="2551" w:type="dxa"/>
            <w:vAlign w:val="center"/>
          </w:tcPr>
          <w:p>
            <w:pPr>
              <w:pStyle w:val="12"/>
            </w:pPr>
            <w:r>
              <w:t>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469.25</w:t>
            </w:r>
          </w:p>
        </w:tc>
        <w:tc>
          <w:tcPr>
            <w:tcW w:w="2551" w:type="dxa"/>
            <w:vAlign w:val="center"/>
          </w:tcPr>
          <w:p>
            <w:pPr>
              <w:pStyle w:val="12"/>
            </w:pPr>
          </w:p>
        </w:tc>
        <w:tc>
          <w:tcPr>
            <w:tcW w:w="2551" w:type="dxa"/>
            <w:vAlign w:val="center"/>
          </w:tcPr>
          <w:p>
            <w:pPr>
              <w:pStyle w:val="12"/>
            </w:pPr>
            <w:r>
              <w:t>469.25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3.18</w:t>
            </w:r>
          </w:p>
        </w:tc>
        <w:tc>
          <w:tcPr>
            <w:tcW w:w="2551" w:type="dxa"/>
            <w:vAlign w:val="center"/>
          </w:tcPr>
          <w:p>
            <w:pPr>
              <w:pStyle w:val="12"/>
            </w:pPr>
          </w:p>
        </w:tc>
        <w:tc>
          <w:tcPr>
            <w:tcW w:w="2551" w:type="dxa"/>
            <w:vAlign w:val="center"/>
          </w:tcPr>
          <w:p>
            <w:pPr>
              <w:pStyle w:val="12"/>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13.07</w:t>
            </w:r>
          </w:p>
        </w:tc>
        <w:tc>
          <w:tcPr>
            <w:tcW w:w="2551" w:type="dxa"/>
            <w:vAlign w:val="center"/>
          </w:tcPr>
          <w:p>
            <w:pPr>
              <w:pStyle w:val="12"/>
            </w:pPr>
          </w:p>
        </w:tc>
        <w:tc>
          <w:tcPr>
            <w:tcW w:w="2551" w:type="dxa"/>
            <w:vAlign w:val="center"/>
          </w:tcPr>
          <w:p>
            <w:pPr>
              <w:pStyle w:val="12"/>
            </w:pPr>
            <w:r>
              <w:t>13.07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6.83</w:t>
            </w:r>
          </w:p>
        </w:tc>
        <w:tc>
          <w:tcPr>
            <w:tcW w:w="2551" w:type="dxa"/>
            <w:vAlign w:val="center"/>
          </w:tcPr>
          <w:p>
            <w:pPr>
              <w:pStyle w:val="12"/>
            </w:pPr>
          </w:p>
        </w:tc>
        <w:tc>
          <w:tcPr>
            <w:tcW w:w="2551" w:type="dxa"/>
            <w:vAlign w:val="center"/>
          </w:tcPr>
          <w:p>
            <w:pPr>
              <w:pStyle w:val="12"/>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65.28</w:t>
            </w:r>
          </w:p>
        </w:tc>
        <w:tc>
          <w:tcPr>
            <w:tcW w:w="2551" w:type="dxa"/>
            <w:vAlign w:val="center"/>
          </w:tcPr>
          <w:p>
            <w:pPr>
              <w:pStyle w:val="12"/>
            </w:pPr>
            <w:r>
              <w:t>65.28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65.28</w:t>
            </w:r>
          </w:p>
        </w:tc>
        <w:tc>
          <w:tcPr>
            <w:tcW w:w="2551" w:type="dxa"/>
            <w:vAlign w:val="center"/>
          </w:tcPr>
          <w:p>
            <w:pPr>
              <w:pStyle w:val="12"/>
            </w:pPr>
            <w:r>
              <w:t>65.28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8.40</w:t>
            </w:r>
          </w:p>
        </w:tc>
        <w:tc>
          <w:tcPr>
            <w:tcW w:w="2381" w:type="dxa"/>
            <w:vAlign w:val="center"/>
          </w:tcPr>
          <w:p>
            <w:pPr>
              <w:pStyle w:val="16"/>
            </w:pPr>
            <w:r>
              <w:t>8.40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8.40</w:t>
            </w:r>
          </w:p>
        </w:tc>
        <w:tc>
          <w:tcPr>
            <w:tcW w:w="2381" w:type="dxa"/>
            <w:vAlign w:val="center"/>
          </w:tcPr>
          <w:p>
            <w:pPr>
              <w:pStyle w:val="12"/>
            </w:pPr>
            <w:r>
              <w:t>8.40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中共石家庄市鹿泉区委政法委员会2026年部门预算信息公开情况说明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中共石家庄市鹿泉区委政法委员会2026年部门预算信息公开情况说明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按照《中华人民共和国预算法》、《地方预决算公开操作规程》和《关于进一步推进预算公开工作的实施意见》规定，现将中共石家庄市鹿泉区委政法委员会2026年部门预算公开如下：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1、对全区政法工作研究提出全局性部署，推进平安建设、法制建设、加强过硬队伍建设，深化智能化建设，坚决维护国家政治安全、确保社会大局稳定、促进社会公平正义、保障人民安居乐业。</w:t>
      </w:r>
    </w:p>
    <w:p>
      <w:pPr>
        <w:pStyle w:val="18"/>
      </w:pPr>
      <w:r>
        <w:t>2、了解掌握和分析研判政法工作情况动态，分析社会稳定形势，创新完善多部门参与的平安建设工作协调机制，协调推动预防、化解影响稳定的社会矛盾和风险，协调应对和处置重大突发事件。</w:t>
      </w:r>
    </w:p>
    <w:p>
      <w:pPr>
        <w:pStyle w:val="18"/>
      </w:pPr>
      <w:r>
        <w:t>3、加强对政法工作的督查，统筹协调社会治安综合治理、维护社会稳定、反邪教、反暴恐等有关法律法规政策的实施工作。</w:t>
      </w:r>
    </w:p>
    <w:p>
      <w:pPr>
        <w:pStyle w:val="18"/>
      </w:pPr>
      <w:r>
        <w:t>4、组织开展政法领域的调查研究，研究拟订政法工作的重大措施，及时向区委提出建议。</w:t>
      </w:r>
    </w:p>
    <w:p>
      <w:pPr>
        <w:pStyle w:val="18"/>
      </w:pPr>
      <w:r>
        <w:t>5、掌握分析政法舆情动态，指导协调政法单位媒体网络宣传工作，指导政法单位做好涉及政法工作的重大宣传工作。</w:t>
      </w:r>
    </w:p>
    <w:p>
      <w:pPr>
        <w:pStyle w:val="18"/>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中共石家庄市鹿泉区委政法委员会本级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按照预算管理有关规定，目前部门预算的编制实行综合预算管理，即全部收入和支出都反映在预算中。中共石家庄市鹿泉区委政法委员会机关及所属事业单位的收支包含在部门预算中。</w:t>
      </w:r>
    </w:p>
    <w:p>
      <w:pPr>
        <w:pStyle w:val="19"/>
      </w:pPr>
      <w:r>
        <w:t>1、收入说明</w:t>
      </w:r>
    </w:p>
    <w:p>
      <w:pPr>
        <w:pStyle w:val="19"/>
      </w:pPr>
      <w:r>
        <w:t>反映本部门当年全部收入。2026年预算收入1604.19万元，其中：一般公共预算收入1604.19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石家庄市鹿泉区委政法委员会年度部门预算中支出预算的总体情况。2026年支出预算1604.19万元，其中基本支出1178.02万元，包括人员经费652.97万元和日常公用经费525.06万元；项目支出426.17万元，主要为精神障碍患者管理服务、政法四级网扩容设备维保等费用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1604.19万元，较2025年预算减少239.95万元，其中：基本支出增加40.69万元，主要为人员工资增加及保险基数调整。项目支出减少280.65万元，主要为城乡社区网格化管理服务项目及政法四级网扩容设备维保项目资金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年，我部门机关运行经费共计安排5</w:t>
      </w:r>
      <w:r>
        <w:rPr>
          <w:rFonts w:hint="eastAsia"/>
          <w:lang w:val="en-US" w:eastAsia="zh-CN"/>
        </w:rPr>
        <w:t>25.06</w:t>
      </w:r>
      <w:r>
        <w:t>万元，主要用于日常维修、办公用房水电费、办公用房取暖费、办公用房物业管理费等日常运行支出。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2026年，我部门财政拨款“三公”经费预算安排8.40万元，其中因公出国（境）费0.00万元；公务用车购置及运维费5.40万元（其中：公务用车购置费为0.00万元，公务用车运维费5.40万元)</w:t>
      </w:r>
      <w:r>
        <w:rPr>
          <w:rFonts w:hint="eastAsia"/>
          <w:lang w:eastAsia="zh-CN"/>
        </w:rPr>
        <w:t>，</w:t>
      </w:r>
      <w:r>
        <w:t>2025年度相比持平，无增减变化。公务接待费3.00万元</w:t>
      </w:r>
      <w:r>
        <w:rPr>
          <w:rFonts w:hint="eastAsia"/>
          <w:lang w:eastAsia="zh-CN"/>
        </w:rPr>
        <w:t>，</w:t>
      </w:r>
      <w:r>
        <w:t>2025年度相比持平，无增减变化。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w:t>
      </w:r>
      <w:r>
        <w:rPr>
          <w:rFonts w:hint="eastAsia"/>
          <w:lang w:val="en-US" w:eastAsia="zh-CN"/>
        </w:rPr>
        <w:t>26</w:t>
      </w:r>
      <w:r>
        <w:t>年全区政法工作总体思路是:坚持以习近平新时代中国特色社会主义思想为指导，深刻领悟“两个确立”的决定性意义，增强“四个意识”、坚定“四个自信”、做到“两个维护”，全面贯彻党的二十大和二十届</w:t>
      </w:r>
      <w:r>
        <w:rPr>
          <w:rFonts w:hint="eastAsia"/>
          <w:lang w:val="en-US" w:eastAsia="zh-CN"/>
        </w:rPr>
        <w:t>历次</w:t>
      </w:r>
      <w:r>
        <w:t>全会精神,认真落实中央、省委、市委政法工作会议精神和区委三届</w:t>
      </w:r>
      <w:r>
        <w:rPr>
          <w:rFonts w:hint="eastAsia"/>
          <w:lang w:val="en-US" w:eastAsia="zh-CN"/>
        </w:rPr>
        <w:t>十</w:t>
      </w:r>
      <w:r>
        <w:t>次全会部署要求，忠诚履职、担当实干、敢作善为、狠抓落实，以铁的纪律锻造忠诚干净担当的新时代政法铁军，</w:t>
      </w:r>
      <w:r>
        <w:rPr>
          <w:rFonts w:hint="eastAsia"/>
          <w:lang w:val="en-US" w:eastAsia="zh-CN"/>
        </w:rPr>
        <w:t>推动</w:t>
      </w:r>
      <w:r>
        <w:t>平安鹿泉、法治鹿泉</w:t>
      </w:r>
      <w:r>
        <w:rPr>
          <w:rFonts w:hint="eastAsia"/>
          <w:lang w:val="en-US" w:eastAsia="zh-CN"/>
        </w:rPr>
        <w:t>建设再上新台阶，全力护航保障</w:t>
      </w:r>
      <w:r>
        <w:t>鹿泉经济社会高质量发展。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一、组织、协调、指导、检查全区社会管理综合治理工作，推动各项工作落实。社会治安突出问题得以解决，社会矛盾纠纷得以排查和调处，社会治安形势好转。</w:t>
      </w:r>
    </w:p>
    <w:p>
      <w:pPr>
        <w:pStyle w:val="23"/>
      </w:pPr>
      <w:r>
        <w:t>绩效目标：创新社会治理、建设更高水平平安鹿泉，打牢综治工作根基，提升建设成效，更好发挥首都政治护城河作用。</w:t>
      </w:r>
    </w:p>
    <w:p>
      <w:pPr>
        <w:pStyle w:val="23"/>
      </w:pPr>
      <w:r>
        <w:t>绩效指标：1见义勇为表彰率100%；人民调解案件500件以上，立体化社会治安防控体系覆盖率90%以上；2通过购买服务确保铁路护路队员、调解中心调解员、心理咨询师、及综治中心专职人员工资及社保得以保障，及时、足额发放率达到90%以上，使各项工作得以顺利开展；3为精神病监护人购买责任保险及“以奖代补”使治安刑事案件下降率90%以上，公众安全感指数达到90%以上，保障了人民生命、财产安全，有效对冲社会风险；4铁路护路经费保障排查影响治安隐患10次以上，宣传、教育铁路沿线在校学生群众40000人次以上，清理影响运行的安全因素100次以上，确保0次涉路事件的发生。</w:t>
      </w:r>
    </w:p>
    <w:p>
      <w:pPr>
        <w:pStyle w:val="23"/>
      </w:pPr>
      <w:r>
        <w:t>二、指导、协调和督导有关单位、区直政法各部门和各乡镇区排查、化解影响社会稳定的重大隐患、群体性事件和突发事件。</w:t>
      </w:r>
    </w:p>
    <w:p>
      <w:pPr>
        <w:pStyle w:val="23"/>
      </w:pPr>
      <w:r>
        <w:t>绩效目标：主要是用于两会期间及重大安保期间的特情，信息收集，为平安鹿泉创建提供后勤保障。发挥好首都政治护城河的作用。保障老百姓安居乐业。为我区经济发展保驾护航。</w:t>
      </w:r>
    </w:p>
    <w:p>
      <w:pPr>
        <w:pStyle w:val="23"/>
      </w:pPr>
      <w:r>
        <w:t>绩效指标：协调督导事项化解率90%以上；重大安保任务完成率90%以上；涉稳舆情处置率90%以上；重大活动突发事件发生率20%以下。</w:t>
      </w:r>
    </w:p>
    <w:p>
      <w:pPr>
        <w:pStyle w:val="23"/>
      </w:pPr>
      <w:r>
        <w:t>三、加大司法救助，体现司法人文关怀</w:t>
      </w:r>
    </w:p>
    <w:p>
      <w:pPr>
        <w:pStyle w:val="23"/>
      </w:pPr>
      <w:r>
        <w:t>绩效目标：解决符合条件的特定案件当事人生活面临的急迫困难。彰显党和政府的民生关怀，促进社会和谐稳定。</w:t>
      </w:r>
    </w:p>
    <w:p>
      <w:pPr>
        <w:pStyle w:val="23"/>
      </w:pPr>
      <w:r>
        <w:t>绩效指标：每年救助人数不少于10起；资金发放及时率90%以上，息诉罢访率达到90%以上；信访积案化解率90%以上。</w:t>
      </w:r>
    </w:p>
    <w:p>
      <w:pPr>
        <w:pStyle w:val="23"/>
      </w:pPr>
      <w:r>
        <w:t>四、深入开展扫黑除恶专项斗争</w:t>
      </w:r>
    </w:p>
    <w:p>
      <w:pPr>
        <w:pStyle w:val="23"/>
      </w:pPr>
      <w:r>
        <w:t>绩效目标：通过更全面，更深入的扫除黑恶势力，从源头打击犯罪，夯实党的执政根基，巩固党的执政基础，加强基层政权建设，维护国家长治久安。</w:t>
      </w:r>
    </w:p>
    <w:p>
      <w:pPr>
        <w:pStyle w:val="23"/>
      </w:pPr>
      <w:r>
        <w:t>绩效指标：制作宣传品数量80000份，组织宣传活动8次；开办宣传专栏数2个；重大活动突发事件发生率20%以下。</w:t>
      </w:r>
    </w:p>
    <w:p>
      <w:pPr>
        <w:pStyle w:val="23"/>
      </w:pPr>
      <w:r>
        <w:t>五、了解掌握各部门动态，协调督促各部门工作，负责政法网运维和综治中心正常运行管理。保障政法各部门和各内设处室各项工作运转紧张有序、正规高效运行。</w:t>
      </w:r>
    </w:p>
    <w:p>
      <w:pPr>
        <w:pStyle w:val="23"/>
      </w:pPr>
      <w:r>
        <w:t>绩效目标：1.政法网纵向连接省市区乡镇四级网络正常运营。横向维护公安，检察院、法院和司法系统信息共享受；2.综治中心电费得以保障，机器及时得到维护，机器正常运转。</w:t>
      </w:r>
    </w:p>
    <w:p>
      <w:pPr>
        <w:pStyle w:val="23"/>
      </w:pPr>
      <w:r>
        <w:t>绩效指标：保障政法网正常运行，坚持每天维护一次，异常处理能力90%以上，系统故障率10%以下，使用户满意率达到90%以上。综合事务保障率90%以上。</w:t>
      </w:r>
    </w:p>
    <w:p>
      <w:pPr>
        <w:pStyle w:val="23"/>
      </w:pPr>
      <w:r>
        <w:t>六、统筹推动政法系统信息化工作，指导政法智能化建设。</w:t>
      </w:r>
    </w:p>
    <w:p>
      <w:pPr>
        <w:pStyle w:val="23"/>
      </w:pPr>
      <w:r>
        <w:t>绩效目标：保障综治网格员手机终端、四级网、铁路视频监控系统建设快速高效畅通。创新社会治理、建设更高水平平安鹿泉，打牢综治工作根基，更好发挥首都政治护城河作用。</w:t>
      </w:r>
    </w:p>
    <w:p>
      <w:pPr>
        <w:pStyle w:val="23"/>
      </w:pPr>
      <w:r>
        <w:t>绩效指标：1.系统响应速率90%以上，设计功能实现率达到90%以上，综合利用率90%以上。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1、完善了制度建设。制定完善了预算绩效管理制度、资金管理办法、工作保障制度，为全年预算绩效目标的实现奠定制度基础。</w:t>
      </w:r>
    </w:p>
    <w:p>
      <w:pPr>
        <w:pStyle w:val="24"/>
      </w:pPr>
      <w:r>
        <w:t>2、加快支出管理。通过优化支出结构、编细编实预算、加快履行政府采购手续、尽快启动项目、及时支付资金、6月底前细化代编预算，按规定及时下达资金等多种措施，确保支出进度达标。</w:t>
      </w:r>
    </w:p>
    <w:p>
      <w:pPr>
        <w:pStyle w:val="24"/>
      </w:pPr>
      <w:r>
        <w:t>3、加强绩效运行监控。按照要求开展绩效运行监控、发现问题及时采取措施，确保绩效目标如期保质实现。</w:t>
      </w:r>
    </w:p>
    <w:p>
      <w:pPr>
        <w:pStyle w:val="24"/>
      </w:pPr>
      <w:r>
        <w:t>4、做好绩效自评。单位成立绩效自评小组，按照要求开展上年度部门预算绩效自评和重点评价工作，对评价中发现的问题及时整改，调整优化支出结构，提高财政资金使用效益。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6、加强内部监督。加强内部监督制度建设，对绩效运行情况、重大支出决策和资产处置进行督导，对会计资料进行内部审计，并配合做好审计、财政监督等外部监督工作，确保财政资金使用安全有效。</w:t>
      </w:r>
    </w:p>
    <w:p>
      <w:pPr>
        <w:pStyle w:val="24"/>
        <w:sectPr>
          <w:pgSz w:w="16840" w:h="11900" w:orient="landscape"/>
          <w:pgMar w:top="1361" w:right="1020" w:bottom="1361" w:left="1020" w:header="720" w:footer="720" w:gutter="0"/>
          <w:cols w:space="720" w:num="1"/>
        </w:sectPr>
      </w:pPr>
      <w:r>
        <w:t>7、加强宣传培训调研。加强人员培训，提高本部门职工业务素质；加强调研、提出优化财政资金配置、提高资金使用效益的意见；加大宣传力度，强化预算绩效管理意识，促进语段绩效管理水平。</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jc w:val="left"/>
        <w:outlineLvl w:val="2"/>
        <w:rPr>
          <w:rFonts w:hint="eastAsia" w:ascii="方正仿宋_GBK" w:hAnsi="方正仿宋_GBK" w:eastAsia="方正仿宋_GBK" w:cs="方正仿宋_GBK"/>
          <w:b w:val="0"/>
          <w:bCs w:val="0"/>
          <w:color w:val="000000"/>
          <w:sz w:val="28"/>
          <w:szCs w:val="28"/>
          <w:lang w:val="en-US"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b w:val="0"/>
          <w:bCs w:val="0"/>
          <w:color w:val="000000"/>
          <w:sz w:val="28"/>
          <w:szCs w:val="28"/>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1、2026年度“雪亮工程”建设项目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13011026P000038100100</w:t>
            </w:r>
          </w:p>
        </w:tc>
        <w:tc>
          <w:tcPr>
            <w:tcW w:w="2835" w:type="dxa"/>
            <w:vAlign w:val="center"/>
          </w:tcPr>
          <w:p>
            <w:pPr>
              <w:pStyle w:val="11"/>
            </w:pPr>
            <w:r>
              <w:t>项目名称</w:t>
            </w:r>
          </w:p>
        </w:tc>
        <w:tc>
          <w:tcPr>
            <w:tcW w:w="6095" w:type="dxa"/>
            <w:gridSpan w:val="3"/>
            <w:vAlign w:val="center"/>
          </w:tcPr>
          <w:p>
            <w:pPr>
              <w:pStyle w:val="13"/>
            </w:pPr>
            <w:r>
              <w:t>2026年度“雪亮工程”建设项目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于区综治中心社会视频监控200M专网租赁费保障线路畅通及雪亮平台运维费用，保障正常使用。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0</w:t>
            </w: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重点行业领域联网数量</w:t>
            </w:r>
          </w:p>
        </w:tc>
        <w:tc>
          <w:tcPr>
            <w:tcW w:w="5386" w:type="dxa"/>
            <w:vAlign w:val="center"/>
          </w:tcPr>
          <w:p>
            <w:pPr>
              <w:pStyle w:val="13"/>
            </w:pPr>
            <w:r>
              <w:t>重点行业领域联网数量</w:t>
            </w:r>
          </w:p>
        </w:tc>
        <w:tc>
          <w:tcPr>
            <w:tcW w:w="2268" w:type="dxa"/>
            <w:vAlign w:val="center"/>
          </w:tcPr>
          <w:p>
            <w:pPr>
              <w:pStyle w:val="13"/>
            </w:pPr>
            <w:r>
              <w:t>140个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联网覆盖率</w:t>
            </w:r>
          </w:p>
        </w:tc>
        <w:tc>
          <w:tcPr>
            <w:tcW w:w="5386" w:type="dxa"/>
            <w:vAlign w:val="center"/>
          </w:tcPr>
          <w:p>
            <w:pPr>
              <w:pStyle w:val="13"/>
            </w:pPr>
            <w:r>
              <w:t>重点行业、领域及公共区域视频监控联网覆盖率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保障线路畅通</w:t>
            </w:r>
          </w:p>
        </w:tc>
        <w:tc>
          <w:tcPr>
            <w:tcW w:w="5386" w:type="dxa"/>
            <w:vAlign w:val="center"/>
          </w:tcPr>
          <w:p>
            <w:pPr>
              <w:pStyle w:val="13"/>
            </w:pPr>
            <w:r>
              <w:t>可保障综治中心及140个点位线路畅通</w:t>
            </w:r>
          </w:p>
        </w:tc>
        <w:tc>
          <w:tcPr>
            <w:tcW w:w="2268" w:type="dxa"/>
            <w:vAlign w:val="center"/>
          </w:tcPr>
          <w:p>
            <w:pPr>
              <w:pStyle w:val="13"/>
            </w:pPr>
            <w:r>
              <w:t>有效保障线路畅通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设备维修及时率</w:t>
            </w:r>
          </w:p>
        </w:tc>
        <w:tc>
          <w:tcPr>
            <w:tcW w:w="5386" w:type="dxa"/>
            <w:vAlign w:val="center"/>
          </w:tcPr>
          <w:p>
            <w:pPr>
              <w:pStyle w:val="13"/>
            </w:pPr>
            <w:r>
              <w:t>设备维修及时率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区综治中心视频监控专网租赁成本</w:t>
            </w:r>
          </w:p>
        </w:tc>
        <w:tc>
          <w:tcPr>
            <w:tcW w:w="5386" w:type="dxa"/>
            <w:vAlign w:val="center"/>
          </w:tcPr>
          <w:p>
            <w:pPr>
              <w:pStyle w:val="13"/>
            </w:pPr>
            <w:r>
              <w:t>区综治中心视频监控专网租赁成本</w:t>
            </w:r>
          </w:p>
        </w:tc>
        <w:tc>
          <w:tcPr>
            <w:tcW w:w="2268" w:type="dxa"/>
            <w:vAlign w:val="center"/>
          </w:tcPr>
          <w:p>
            <w:pPr>
              <w:pStyle w:val="13"/>
            </w:pPr>
            <w:r>
              <w:t>3.36万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资源共享率</w:t>
            </w:r>
          </w:p>
        </w:tc>
        <w:tc>
          <w:tcPr>
            <w:tcW w:w="5386" w:type="dxa"/>
            <w:vAlign w:val="center"/>
          </w:tcPr>
          <w:p>
            <w:pPr>
              <w:pStyle w:val="13"/>
            </w:pPr>
            <w:r>
              <w:t>140个点位视频监控资源与区综治中心互联互通率100%实现资源共享</w:t>
            </w:r>
          </w:p>
        </w:tc>
        <w:tc>
          <w:tcPr>
            <w:tcW w:w="2268" w:type="dxa"/>
            <w:vAlign w:val="center"/>
          </w:tcPr>
          <w:p>
            <w:pPr>
              <w:pStyle w:val="13"/>
            </w:pPr>
            <w:r>
              <w:t>实现了资源共享</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群众对建设雪亮工程的整体满意度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2、2026年度（社会治安综合治理）平安建设工作经费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13011026P000038100127</w:t>
            </w:r>
          </w:p>
        </w:tc>
        <w:tc>
          <w:tcPr>
            <w:tcW w:w="2835" w:type="dxa"/>
            <w:vAlign w:val="center"/>
          </w:tcPr>
          <w:p>
            <w:pPr>
              <w:pStyle w:val="11"/>
            </w:pPr>
            <w:r>
              <w:t>项目名称</w:t>
            </w:r>
          </w:p>
        </w:tc>
        <w:tc>
          <w:tcPr>
            <w:tcW w:w="6095" w:type="dxa"/>
            <w:gridSpan w:val="3"/>
            <w:vAlign w:val="center"/>
          </w:tcPr>
          <w:p>
            <w:pPr>
              <w:pStyle w:val="13"/>
            </w:pPr>
            <w:r>
              <w:t>2026年度（社会治安综合治理）平安建设工作经费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59.00</w:t>
            </w:r>
          </w:p>
        </w:tc>
        <w:tc>
          <w:tcPr>
            <w:tcW w:w="2835"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为集约高效开展案件评查工作，最大限度避免案件评查过程中的干扰因素，以达到通过发现执法司法中存在的问题，督促整改提高，规范执法司法办案的工作目的。</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为集约高效开展案件评查工作，最大限度避免案件评查过程中的干扰因素，以达到通过发现执法司法中存在的问题，督促整改提高，规范执法司法办案的工作目的。</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挂牌督办整改率</w:t>
            </w:r>
          </w:p>
        </w:tc>
        <w:tc>
          <w:tcPr>
            <w:tcW w:w="5386" w:type="dxa"/>
            <w:vAlign w:val="center"/>
          </w:tcPr>
          <w:p>
            <w:pPr>
              <w:pStyle w:val="13"/>
            </w:pPr>
            <w:r>
              <w:t>挂牌督办的社会治安重点地区整改率（%）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排查整治治安问题和安全隐患率</w:t>
            </w:r>
          </w:p>
        </w:tc>
        <w:tc>
          <w:tcPr>
            <w:tcW w:w="5386" w:type="dxa"/>
            <w:vAlign w:val="center"/>
          </w:tcPr>
          <w:p>
            <w:pPr>
              <w:pStyle w:val="13"/>
            </w:pPr>
            <w:r>
              <w:t>排查整治治安问题和安全隐患率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案件种类数量</w:t>
            </w:r>
          </w:p>
        </w:tc>
        <w:tc>
          <w:tcPr>
            <w:tcW w:w="5386" w:type="dxa"/>
            <w:vAlign w:val="center"/>
          </w:tcPr>
          <w:p>
            <w:pPr>
              <w:pStyle w:val="13"/>
            </w:pPr>
            <w:r>
              <w:t>案件评查重大案件种类</w:t>
            </w:r>
          </w:p>
        </w:tc>
        <w:tc>
          <w:tcPr>
            <w:tcW w:w="2268" w:type="dxa"/>
            <w:vAlign w:val="center"/>
          </w:tcPr>
          <w:p>
            <w:pPr>
              <w:pStyle w:val="13"/>
            </w:pPr>
            <w:r>
              <w:t>6类</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挂牌督办整改及时率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治安、刑事案件处理及时性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开展案件评查次数</w:t>
            </w:r>
          </w:p>
        </w:tc>
        <w:tc>
          <w:tcPr>
            <w:tcW w:w="5386" w:type="dxa"/>
            <w:vAlign w:val="center"/>
          </w:tcPr>
          <w:p>
            <w:pPr>
              <w:pStyle w:val="13"/>
            </w:pPr>
            <w:r>
              <w:t>年度开展案件评查工作次数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大案要案补助覆盖率</w:t>
            </w:r>
          </w:p>
        </w:tc>
        <w:tc>
          <w:tcPr>
            <w:tcW w:w="5386" w:type="dxa"/>
            <w:vAlign w:val="center"/>
          </w:tcPr>
          <w:p>
            <w:pPr>
              <w:pStyle w:val="13"/>
            </w:pPr>
            <w:r>
              <w:t>大案要案补助覆盖率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有效提高社会稳定水平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案件处理效率</w:t>
            </w:r>
          </w:p>
        </w:tc>
        <w:tc>
          <w:tcPr>
            <w:tcW w:w="5386" w:type="dxa"/>
            <w:vAlign w:val="center"/>
          </w:tcPr>
          <w:p>
            <w:pPr>
              <w:pStyle w:val="13"/>
            </w:pPr>
            <w:r>
              <w:t>案件处理效率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规范司法办案</w:t>
            </w:r>
          </w:p>
        </w:tc>
        <w:tc>
          <w:tcPr>
            <w:tcW w:w="5386" w:type="dxa"/>
            <w:vAlign w:val="center"/>
          </w:tcPr>
          <w:p>
            <w:pPr>
              <w:pStyle w:val="13"/>
            </w:pPr>
            <w:r>
              <w:t>能否规范司法办案</w:t>
            </w:r>
          </w:p>
        </w:tc>
        <w:tc>
          <w:tcPr>
            <w:tcW w:w="2268" w:type="dxa"/>
            <w:vAlign w:val="center"/>
          </w:tcPr>
          <w:p>
            <w:pPr>
              <w:pStyle w:val="13"/>
            </w:pPr>
            <w:r>
              <w:t>有效规范司法办案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群众安全感满意度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3、2026年度城乡社区网格化服务管理试点项目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13011026P00003810011K</w:t>
            </w:r>
          </w:p>
        </w:tc>
        <w:tc>
          <w:tcPr>
            <w:tcW w:w="2835" w:type="dxa"/>
            <w:vAlign w:val="center"/>
          </w:tcPr>
          <w:p>
            <w:pPr>
              <w:pStyle w:val="11"/>
            </w:pPr>
            <w:r>
              <w:t>项目名称</w:t>
            </w:r>
          </w:p>
        </w:tc>
        <w:tc>
          <w:tcPr>
            <w:tcW w:w="6095" w:type="dxa"/>
            <w:gridSpan w:val="3"/>
            <w:vAlign w:val="center"/>
          </w:tcPr>
          <w:p>
            <w:pPr>
              <w:pStyle w:val="13"/>
            </w:pPr>
            <w:r>
              <w:t>2026年度城乡社区网格化服务管理试点项目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w:t>
            </w:r>
          </w:p>
        </w:tc>
        <w:tc>
          <w:tcPr>
            <w:tcW w:w="2835" w:type="dxa"/>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1、缴纳兼职网格员手持终端服务费用，保障系统正常运行。2、兼职网格员发放补贴。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1、缴纳兼职网格员手持终端服务费用，保障系统正常运行</w:t>
            </w:r>
            <w:r>
              <w:rPr>
                <w:rFonts w:hint="eastAsia"/>
                <w:lang w:eastAsia="zh-CN"/>
              </w:rPr>
              <w:t>。</w:t>
            </w:r>
            <w:r>
              <w:t>2、兼职网格员覆盖全区各村、各社区。负责本网格的社情民意、矛盾纠纷、事件搜集上报。对区、乡、村三级掌握社情民意，排查化解矛盾纠纷隐患，做到小事不出村，大事不出乡镇提供了支持，兼职网格员按季度发放补贴。3、对取得社区工作证的按照政策发放相应的补贴。4、年度评出“十佳网格员”、“优秀网格员”并对其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兼职网格员数量</w:t>
            </w:r>
          </w:p>
        </w:tc>
        <w:tc>
          <w:tcPr>
            <w:tcW w:w="5386" w:type="dxa"/>
            <w:vAlign w:val="center"/>
          </w:tcPr>
          <w:p>
            <w:pPr>
              <w:pStyle w:val="13"/>
            </w:pPr>
            <w:r>
              <w:t>全区兼职网格员人数</w:t>
            </w:r>
          </w:p>
        </w:tc>
        <w:tc>
          <w:tcPr>
            <w:tcW w:w="2268" w:type="dxa"/>
            <w:vAlign w:val="center"/>
          </w:tcPr>
          <w:p>
            <w:pPr>
              <w:pStyle w:val="13"/>
            </w:pPr>
            <w:r>
              <w:t>465名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开通手持终端账号数量</w:t>
            </w:r>
          </w:p>
        </w:tc>
        <w:tc>
          <w:tcPr>
            <w:tcW w:w="5386" w:type="dxa"/>
            <w:vAlign w:val="center"/>
          </w:tcPr>
          <w:p>
            <w:pPr>
              <w:pStyle w:val="13"/>
            </w:pPr>
            <w:r>
              <w:t>开通手持终端账号服务数量</w:t>
            </w:r>
          </w:p>
        </w:tc>
        <w:tc>
          <w:tcPr>
            <w:tcW w:w="2268" w:type="dxa"/>
            <w:vAlign w:val="center"/>
          </w:tcPr>
          <w:p>
            <w:pPr>
              <w:pStyle w:val="13"/>
            </w:pPr>
            <w:r>
              <w:t>607个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化解率</w:t>
            </w:r>
          </w:p>
        </w:tc>
        <w:tc>
          <w:tcPr>
            <w:tcW w:w="5386" w:type="dxa"/>
            <w:vAlign w:val="center"/>
          </w:tcPr>
          <w:p>
            <w:pPr>
              <w:pStyle w:val="13"/>
            </w:pPr>
            <w:r>
              <w:t>矛盾纠纷、问题隐患化解率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手持终端正常运行率</w:t>
            </w:r>
          </w:p>
        </w:tc>
        <w:tc>
          <w:tcPr>
            <w:tcW w:w="5386" w:type="dxa"/>
            <w:vAlign w:val="center"/>
          </w:tcPr>
          <w:p>
            <w:pPr>
              <w:pStyle w:val="13"/>
            </w:pPr>
            <w:r>
              <w:t>能否保障手持终端正常运行情况</w:t>
            </w:r>
          </w:p>
        </w:tc>
        <w:tc>
          <w:tcPr>
            <w:tcW w:w="2268" w:type="dxa"/>
            <w:vAlign w:val="center"/>
          </w:tcPr>
          <w:p>
            <w:pPr>
              <w:pStyle w:val="13"/>
            </w:pPr>
            <w:r>
              <w:t>100%行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网格员发现问题上报及时率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兼职网格员补贴标准</w:t>
            </w:r>
          </w:p>
        </w:tc>
        <w:tc>
          <w:tcPr>
            <w:tcW w:w="5386" w:type="dxa"/>
            <w:vAlign w:val="center"/>
          </w:tcPr>
          <w:p>
            <w:pPr>
              <w:pStyle w:val="13"/>
            </w:pPr>
            <w:r>
              <w:t>兼职网格员补贴标准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助理社会工作师补贴标准</w:t>
            </w:r>
          </w:p>
        </w:tc>
        <w:tc>
          <w:tcPr>
            <w:tcW w:w="5386" w:type="dxa"/>
            <w:vAlign w:val="center"/>
          </w:tcPr>
          <w:p>
            <w:pPr>
              <w:pStyle w:val="13"/>
            </w:pPr>
            <w:r>
              <w:t>助理社会工作师补贴标准</w:t>
            </w:r>
          </w:p>
        </w:tc>
        <w:tc>
          <w:tcPr>
            <w:tcW w:w="2268" w:type="dxa"/>
            <w:vAlign w:val="center"/>
          </w:tcPr>
          <w:p>
            <w:pPr>
              <w:pStyle w:val="13"/>
            </w:pPr>
            <w:r>
              <w:t>50元/月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社会工作师补贴标准</w:t>
            </w:r>
          </w:p>
        </w:tc>
        <w:tc>
          <w:tcPr>
            <w:tcW w:w="5386" w:type="dxa"/>
            <w:vAlign w:val="center"/>
          </w:tcPr>
          <w:p>
            <w:pPr>
              <w:pStyle w:val="13"/>
            </w:pPr>
            <w:r>
              <w:t>社会工作师补贴标准</w:t>
            </w:r>
          </w:p>
        </w:tc>
        <w:tc>
          <w:tcPr>
            <w:tcW w:w="2268" w:type="dxa"/>
            <w:vAlign w:val="center"/>
          </w:tcPr>
          <w:p>
            <w:pPr>
              <w:pStyle w:val="13"/>
            </w:pPr>
            <w:r>
              <w:t>100元/月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高级社会工作师补贴标准</w:t>
            </w:r>
          </w:p>
        </w:tc>
        <w:tc>
          <w:tcPr>
            <w:tcW w:w="5386" w:type="dxa"/>
            <w:vAlign w:val="center"/>
          </w:tcPr>
          <w:p>
            <w:pPr>
              <w:pStyle w:val="13"/>
            </w:pPr>
            <w:r>
              <w:t>高级社会工作师补贴标准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提高社会治理水平</w:t>
            </w:r>
          </w:p>
        </w:tc>
        <w:tc>
          <w:tcPr>
            <w:tcW w:w="5386" w:type="dxa"/>
            <w:vAlign w:val="center"/>
          </w:tcPr>
          <w:p>
            <w:pPr>
              <w:pStyle w:val="13"/>
            </w:pPr>
            <w:r>
              <w:t>提高社会治理水平</w:t>
            </w:r>
          </w:p>
        </w:tc>
        <w:tc>
          <w:tcPr>
            <w:tcW w:w="2268" w:type="dxa"/>
            <w:vAlign w:val="center"/>
          </w:tcPr>
          <w:p>
            <w:pPr>
              <w:pStyle w:val="13"/>
            </w:pPr>
            <w:r>
              <w:t>提升社会治理水平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群众对专兼职网格员解决社情民意事件的整体满意度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4、2026年度国家司法救助专项资金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13011026P00004110002T</w:t>
            </w:r>
          </w:p>
        </w:tc>
        <w:tc>
          <w:tcPr>
            <w:tcW w:w="2835" w:type="dxa"/>
            <w:vAlign w:val="center"/>
          </w:tcPr>
          <w:p>
            <w:pPr>
              <w:pStyle w:val="11"/>
            </w:pPr>
            <w:r>
              <w:t>项目名称</w:t>
            </w:r>
          </w:p>
        </w:tc>
        <w:tc>
          <w:tcPr>
            <w:tcW w:w="6095" w:type="dxa"/>
            <w:gridSpan w:val="3"/>
            <w:vAlign w:val="center"/>
          </w:tcPr>
          <w:p>
            <w:pPr>
              <w:pStyle w:val="13"/>
            </w:pPr>
            <w:r>
              <w:t>2026年度国家司法救助专项资金</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对我区民事判决无法执行或刑事案件受害人得不到有效赔偿，及生活困难的信访人申请救助的案件进行司法救助。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发放率</w:t>
            </w:r>
          </w:p>
        </w:tc>
        <w:tc>
          <w:tcPr>
            <w:tcW w:w="5386" w:type="dxa"/>
            <w:vAlign w:val="center"/>
          </w:tcPr>
          <w:p>
            <w:pPr>
              <w:pStyle w:val="13"/>
            </w:pPr>
            <w:r>
              <w:t>司法补助金补助金额发放率(%)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及时率</w:t>
            </w:r>
          </w:p>
        </w:tc>
        <w:tc>
          <w:tcPr>
            <w:tcW w:w="5386" w:type="dxa"/>
            <w:vAlign w:val="center"/>
          </w:tcPr>
          <w:p>
            <w:pPr>
              <w:pStyle w:val="13"/>
            </w:pPr>
            <w:r>
              <w:t>司法补助金补助金额发放及时率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涉法涉诉案件结案率(%)</w:t>
            </w:r>
          </w:p>
        </w:tc>
        <w:tc>
          <w:tcPr>
            <w:tcW w:w="5386" w:type="dxa"/>
            <w:vAlign w:val="center"/>
          </w:tcPr>
          <w:p>
            <w:pPr>
              <w:pStyle w:val="13"/>
            </w:pPr>
            <w:r>
              <w:t>涉法涉诉案件结案率(%)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涉法涉诉救助金经费预算数</w:t>
            </w:r>
          </w:p>
        </w:tc>
        <w:tc>
          <w:tcPr>
            <w:tcW w:w="5386" w:type="dxa"/>
            <w:vAlign w:val="center"/>
          </w:tcPr>
          <w:p>
            <w:pPr>
              <w:pStyle w:val="13"/>
            </w:pPr>
            <w:r>
              <w:t>涉法涉诉救助金经费预算数</w:t>
            </w:r>
          </w:p>
        </w:tc>
        <w:tc>
          <w:tcPr>
            <w:tcW w:w="2268" w:type="dxa"/>
            <w:vAlign w:val="center"/>
          </w:tcPr>
          <w:p>
            <w:pPr>
              <w:pStyle w:val="13"/>
            </w:pPr>
            <w:r>
              <w:t>30万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息诉罢访率</w:t>
            </w:r>
          </w:p>
        </w:tc>
        <w:tc>
          <w:tcPr>
            <w:tcW w:w="5386" w:type="dxa"/>
            <w:vAlign w:val="center"/>
          </w:tcPr>
          <w:p>
            <w:pPr>
              <w:pStyle w:val="13"/>
            </w:pPr>
            <w:r>
              <w:t>涉法涉诉补助人员息诉罢访率(%)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涉法涉诉信访积案化解率</w:t>
            </w:r>
          </w:p>
        </w:tc>
        <w:tc>
          <w:tcPr>
            <w:tcW w:w="5386" w:type="dxa"/>
            <w:vAlign w:val="center"/>
          </w:tcPr>
          <w:p>
            <w:pPr>
              <w:pStyle w:val="13"/>
            </w:pPr>
            <w:r>
              <w:t>进行司法救助的信访积案化解率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补助对象满意度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5、2026年度见义勇为专项经费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13011026P00151610003E</w:t>
            </w:r>
          </w:p>
        </w:tc>
        <w:tc>
          <w:tcPr>
            <w:tcW w:w="2835" w:type="dxa"/>
            <w:vAlign w:val="center"/>
          </w:tcPr>
          <w:p>
            <w:pPr>
              <w:pStyle w:val="11"/>
            </w:pPr>
            <w:r>
              <w:t>项目名称</w:t>
            </w:r>
          </w:p>
        </w:tc>
        <w:tc>
          <w:tcPr>
            <w:tcW w:w="6095" w:type="dxa"/>
            <w:gridSpan w:val="3"/>
            <w:vAlign w:val="center"/>
          </w:tcPr>
          <w:p>
            <w:pPr>
              <w:pStyle w:val="13"/>
            </w:pPr>
            <w:r>
              <w:t>2026年度见义勇为专项经费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对见义勇为人员进行奖励。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0</w:t>
            </w:r>
            <w:r>
              <w:t xml:space="preserve"> </w:t>
            </w:r>
          </w:p>
        </w:tc>
        <w:tc>
          <w:tcPr>
            <w:tcW w:w="2835" w:type="dxa"/>
            <w:vAlign w:val="center"/>
          </w:tcPr>
          <w:p>
            <w:pPr>
              <w:pStyle w:val="14"/>
            </w:pPr>
            <w:r>
              <w:rPr>
                <w:rFonts w:hint="eastAsia"/>
                <w:lang w:val="en-US" w:eastAsia="zh-CN"/>
              </w:rPr>
              <w:t>0</w:t>
            </w:r>
            <w:r>
              <w:t xml:space="preserve"> </w:t>
            </w:r>
          </w:p>
        </w:tc>
        <w:tc>
          <w:tcPr>
            <w:tcW w:w="2551" w:type="dxa"/>
            <w:vAlign w:val="center"/>
          </w:tcPr>
          <w:p>
            <w:pPr>
              <w:pStyle w:val="14"/>
            </w:pPr>
            <w:r>
              <w:rPr>
                <w:rFonts w:hint="eastAsia"/>
                <w:lang w:val="en-US" w:eastAsia="zh-CN"/>
              </w:rPr>
              <w:t>0</w:t>
            </w: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1.鼓励见义勇为行为。对保护国家利益、社会公共利益和他人的人F、财产安全，不顾个人安危，挺身而出的行为进行奖励。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见义勇为奖励率</w:t>
            </w:r>
          </w:p>
        </w:tc>
        <w:tc>
          <w:tcPr>
            <w:tcW w:w="5386" w:type="dxa"/>
            <w:vAlign w:val="center"/>
          </w:tcPr>
          <w:p>
            <w:pPr>
              <w:pStyle w:val="13"/>
            </w:pPr>
            <w:r>
              <w:t>见义勇为人员进行奖励率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见义勇为人员资金发放率（%)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见义勇为人员奖励资金发放及时率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见义勇为奖励金成本</w:t>
            </w:r>
          </w:p>
        </w:tc>
        <w:tc>
          <w:tcPr>
            <w:tcW w:w="5386" w:type="dxa"/>
            <w:vAlign w:val="center"/>
          </w:tcPr>
          <w:p>
            <w:pPr>
              <w:pStyle w:val="13"/>
            </w:pPr>
            <w:r>
              <w:t>见义勇为奖励金成本</w:t>
            </w:r>
          </w:p>
        </w:tc>
        <w:tc>
          <w:tcPr>
            <w:tcW w:w="2268" w:type="dxa"/>
            <w:vAlign w:val="center"/>
          </w:tcPr>
          <w:p>
            <w:pPr>
              <w:pStyle w:val="13"/>
            </w:pPr>
            <w:r>
              <w:t>奖励申请表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社会影响力较好弘扬正能量</w:t>
            </w:r>
          </w:p>
        </w:tc>
        <w:tc>
          <w:tcPr>
            <w:tcW w:w="2268" w:type="dxa"/>
            <w:vAlign w:val="center"/>
          </w:tcPr>
          <w:p>
            <w:pPr>
              <w:pStyle w:val="13"/>
            </w:pPr>
            <w:r>
              <w:t>弘扬正能量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传播推广见义勇为事件</w:t>
            </w:r>
          </w:p>
        </w:tc>
        <w:tc>
          <w:tcPr>
            <w:tcW w:w="5386" w:type="dxa"/>
            <w:vAlign w:val="center"/>
          </w:tcPr>
          <w:p>
            <w:pPr>
              <w:pStyle w:val="13"/>
            </w:pPr>
            <w:r>
              <w:t>传播推广见义勇为</w:t>
            </w:r>
          </w:p>
        </w:tc>
        <w:tc>
          <w:tcPr>
            <w:tcW w:w="2268" w:type="dxa"/>
            <w:vAlign w:val="center"/>
          </w:tcPr>
          <w:p>
            <w:pPr>
              <w:pStyle w:val="13"/>
            </w:pPr>
            <w:r>
              <w:t>有效传播见义勇为事件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受奖励的见义勇为人满意度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6、2026年度精神障碍患者管理服务专项经费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13011026P000039100021</w:t>
            </w:r>
          </w:p>
        </w:tc>
        <w:tc>
          <w:tcPr>
            <w:tcW w:w="2835" w:type="dxa"/>
            <w:vAlign w:val="center"/>
          </w:tcPr>
          <w:p>
            <w:pPr>
              <w:pStyle w:val="11"/>
            </w:pPr>
            <w:r>
              <w:t>项目名称</w:t>
            </w:r>
          </w:p>
        </w:tc>
        <w:tc>
          <w:tcPr>
            <w:tcW w:w="6095" w:type="dxa"/>
            <w:gridSpan w:val="3"/>
            <w:vAlign w:val="center"/>
          </w:tcPr>
          <w:p>
            <w:pPr>
              <w:pStyle w:val="13"/>
            </w:pPr>
            <w:r>
              <w:t>2026年度精神障碍患者管理服务专项经费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60.47</w:t>
            </w:r>
          </w:p>
        </w:tc>
        <w:tc>
          <w:tcPr>
            <w:tcW w:w="2835" w:type="dxa"/>
            <w:vAlign w:val="center"/>
          </w:tcPr>
          <w:p>
            <w:pPr>
              <w:pStyle w:val="11"/>
            </w:pPr>
            <w:r>
              <w:t>其中：财政    资金</w:t>
            </w:r>
          </w:p>
        </w:tc>
        <w:tc>
          <w:tcPr>
            <w:tcW w:w="2551" w:type="dxa"/>
            <w:vAlign w:val="center"/>
          </w:tcPr>
          <w:p>
            <w:pPr>
              <w:pStyle w:val="13"/>
            </w:pPr>
            <w:r>
              <w:t>60.47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1、用于缴纳精神障碍患者监护人责任险。2、发放精神障碍患者监护人以奖代补资金。3、对家庭极其困难的严重精神患者进行救助。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1.1、截至2025年10月份，全区共有在册精神障碍患者2939人，监护人责任险每人每年100元，共计29.39万元；</w:t>
            </w:r>
          </w:p>
          <w:p>
            <w:pPr>
              <w:pStyle w:val="13"/>
            </w:pPr>
            <w:r>
              <w:t>2、根据市政法委文件要求，对精神障碍患者试行有奖监护，按照三级以上不低于200元标准，我区三级以上119人，监护人以奖代补每人每月200元，共28.56万元;</w:t>
            </w:r>
          </w:p>
          <w:p>
            <w:pPr>
              <w:pStyle w:val="13"/>
            </w:pPr>
            <w:r>
              <w:t>3、对家庭极其困难的严重精神障碍患者家庭进行救助，救赎基金20万元，确保不发生危害社会安全的案件，有效维护社会稳定。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购买责任险人数</w:t>
            </w:r>
          </w:p>
        </w:tc>
        <w:tc>
          <w:tcPr>
            <w:tcW w:w="5386" w:type="dxa"/>
            <w:vAlign w:val="center"/>
          </w:tcPr>
          <w:p>
            <w:pPr>
              <w:pStyle w:val="13"/>
            </w:pPr>
            <w:r>
              <w:t>精神障碍患者购买责任险人数</w:t>
            </w:r>
          </w:p>
        </w:tc>
        <w:tc>
          <w:tcPr>
            <w:tcW w:w="2268" w:type="dxa"/>
            <w:vAlign w:val="center"/>
          </w:tcPr>
          <w:p>
            <w:pPr>
              <w:pStyle w:val="13"/>
            </w:pPr>
            <w:r>
              <w:t>2939人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责任险标准</w:t>
            </w:r>
          </w:p>
        </w:tc>
        <w:tc>
          <w:tcPr>
            <w:tcW w:w="5386" w:type="dxa"/>
            <w:vAlign w:val="center"/>
          </w:tcPr>
          <w:p>
            <w:pPr>
              <w:pStyle w:val="13"/>
            </w:pPr>
            <w:r>
              <w:t>精神障碍患者购买责任险标准</w:t>
            </w:r>
          </w:p>
        </w:tc>
        <w:tc>
          <w:tcPr>
            <w:tcW w:w="2268" w:type="dxa"/>
            <w:vAlign w:val="center"/>
          </w:tcPr>
          <w:p>
            <w:pPr>
              <w:pStyle w:val="13"/>
            </w:pPr>
            <w:r>
              <w:t>100元/人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以奖代补人数</w:t>
            </w:r>
          </w:p>
        </w:tc>
        <w:tc>
          <w:tcPr>
            <w:tcW w:w="5386" w:type="dxa"/>
            <w:vAlign w:val="center"/>
          </w:tcPr>
          <w:p>
            <w:pPr>
              <w:pStyle w:val="13"/>
            </w:pPr>
            <w:r>
              <w:t>三级以上精神障碍患者监护人以奖代补人数</w:t>
            </w:r>
          </w:p>
        </w:tc>
        <w:tc>
          <w:tcPr>
            <w:tcW w:w="2268" w:type="dxa"/>
            <w:vAlign w:val="center"/>
          </w:tcPr>
          <w:p>
            <w:pPr>
              <w:pStyle w:val="13"/>
            </w:pPr>
            <w:r>
              <w:t>119人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以奖代补标准</w:t>
            </w:r>
          </w:p>
        </w:tc>
        <w:tc>
          <w:tcPr>
            <w:tcW w:w="5386" w:type="dxa"/>
            <w:vAlign w:val="center"/>
          </w:tcPr>
          <w:p>
            <w:pPr>
              <w:pStyle w:val="13"/>
            </w:pPr>
            <w:r>
              <w:t>三级以上精神障碍患者监护人以奖代补标准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以奖代补资金发放及时率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责任险覆盖率</w:t>
            </w:r>
          </w:p>
        </w:tc>
        <w:tc>
          <w:tcPr>
            <w:tcW w:w="5386" w:type="dxa"/>
            <w:vAlign w:val="center"/>
          </w:tcPr>
          <w:p>
            <w:pPr>
              <w:pStyle w:val="13"/>
            </w:pPr>
            <w:r>
              <w:t>精神障碍患者责任险覆盖率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以奖代补人员覆盖率</w:t>
            </w:r>
          </w:p>
        </w:tc>
        <w:tc>
          <w:tcPr>
            <w:tcW w:w="5386" w:type="dxa"/>
            <w:vAlign w:val="center"/>
          </w:tcPr>
          <w:p>
            <w:pPr>
              <w:pStyle w:val="13"/>
            </w:pPr>
            <w:r>
              <w:t>三级以上精神障碍患者监护人以奖代补发放覆盖率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特困精神障碍患者救助覆盖率</w:t>
            </w:r>
          </w:p>
        </w:tc>
        <w:tc>
          <w:tcPr>
            <w:tcW w:w="5386" w:type="dxa"/>
            <w:vAlign w:val="center"/>
          </w:tcPr>
          <w:p>
            <w:pPr>
              <w:pStyle w:val="13"/>
            </w:pPr>
            <w:r>
              <w:t>家庭特困的精神障碍患者进行救助覆盖率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特困精神障碍患者救助及时率</w:t>
            </w:r>
          </w:p>
        </w:tc>
        <w:tc>
          <w:tcPr>
            <w:tcW w:w="5386" w:type="dxa"/>
            <w:vAlign w:val="center"/>
          </w:tcPr>
          <w:p>
            <w:pPr>
              <w:pStyle w:val="13"/>
            </w:pPr>
            <w:r>
              <w:t>家庭特困的精神障碍患者进行救助及时率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发生肇事肇祸案件数量</w:t>
            </w:r>
          </w:p>
        </w:tc>
        <w:tc>
          <w:tcPr>
            <w:tcW w:w="5386" w:type="dxa"/>
            <w:vAlign w:val="center"/>
          </w:tcPr>
          <w:p>
            <w:pPr>
              <w:pStyle w:val="13"/>
            </w:pPr>
            <w:r>
              <w:t>精神障碍患者肇事肇祸发生次数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精神障碍患者救助满意度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7、2026年度农村（社区）综治视联网建设</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13011026P00003810009L</w:t>
            </w:r>
          </w:p>
        </w:tc>
        <w:tc>
          <w:tcPr>
            <w:tcW w:w="2835" w:type="dxa"/>
            <w:vAlign w:val="center"/>
          </w:tcPr>
          <w:p>
            <w:pPr>
              <w:pStyle w:val="11"/>
            </w:pPr>
            <w:r>
              <w:t>项目名称</w:t>
            </w:r>
          </w:p>
        </w:tc>
        <w:tc>
          <w:tcPr>
            <w:tcW w:w="6095" w:type="dxa"/>
            <w:gridSpan w:val="3"/>
            <w:vAlign w:val="center"/>
          </w:tcPr>
          <w:p>
            <w:pPr>
              <w:pStyle w:val="13"/>
            </w:pPr>
            <w:r>
              <w:t>2026年度农村（社区）综治视联网建设</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14.36</w:t>
            </w:r>
          </w:p>
        </w:tc>
        <w:tc>
          <w:tcPr>
            <w:tcW w:w="2835" w:type="dxa"/>
            <w:vAlign w:val="center"/>
          </w:tcPr>
          <w:p>
            <w:pPr>
              <w:pStyle w:val="11"/>
            </w:pPr>
            <w:r>
              <w:t>其中：财政    资金</w:t>
            </w:r>
          </w:p>
        </w:tc>
        <w:tc>
          <w:tcPr>
            <w:tcW w:w="2551" w:type="dxa"/>
            <w:vAlign w:val="center"/>
          </w:tcPr>
          <w:p>
            <w:pPr>
              <w:pStyle w:val="13"/>
            </w:pPr>
            <w:r>
              <w:t>14.36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用于综治视联网光纤租赁及运维费用，保障视联网畅联畅通。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pPr>
              <w:pStyle w:val="14"/>
            </w:pPr>
            <w:r>
              <w:rPr>
                <w:rFonts w:hint="eastAsia"/>
                <w:lang w:val="en-US" w:eastAsia="zh-CN"/>
              </w:rPr>
              <w:t>0</w:t>
            </w:r>
            <w:r>
              <w:t xml:space="preserve"> </w:t>
            </w:r>
          </w:p>
        </w:tc>
        <w:tc>
          <w:tcPr>
            <w:tcW w:w="2551" w:type="dxa"/>
            <w:vAlign w:val="center"/>
          </w:tcPr>
          <w:p>
            <w:pPr>
              <w:pStyle w:val="14"/>
            </w:pPr>
            <w:r>
              <w:rPr>
                <w:rFonts w:hint="eastAsia"/>
                <w:lang w:val="en-US" w:eastAsia="zh-CN"/>
              </w:rPr>
              <w:t>0</w:t>
            </w: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1.综治视联网每村每年链路租赁费2400元，39个村共计：9.36万元；综治视联网运维费用5万元，保障综治视联网畅联畅通。</w:t>
            </w:r>
            <w:r>
              <w:tab/>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综治视联网开通数量</w:t>
            </w:r>
          </w:p>
        </w:tc>
        <w:tc>
          <w:tcPr>
            <w:tcW w:w="5386" w:type="dxa"/>
            <w:vAlign w:val="center"/>
          </w:tcPr>
          <w:p>
            <w:pPr>
              <w:pStyle w:val="13"/>
            </w:pPr>
            <w:r>
              <w:t>区综治视联网开通数量</w:t>
            </w:r>
          </w:p>
        </w:tc>
        <w:tc>
          <w:tcPr>
            <w:tcW w:w="2268" w:type="dxa"/>
            <w:vAlign w:val="center"/>
          </w:tcPr>
          <w:p>
            <w:pPr>
              <w:pStyle w:val="13"/>
            </w:pPr>
            <w:r>
              <w:t>39村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光纤租赁成本</w:t>
            </w:r>
          </w:p>
        </w:tc>
        <w:tc>
          <w:tcPr>
            <w:tcW w:w="5386" w:type="dxa"/>
            <w:vAlign w:val="center"/>
          </w:tcPr>
          <w:p>
            <w:pPr>
              <w:pStyle w:val="13"/>
            </w:pPr>
            <w:r>
              <w:t>光纤租赁成本</w:t>
            </w:r>
          </w:p>
        </w:tc>
        <w:tc>
          <w:tcPr>
            <w:tcW w:w="2268" w:type="dxa"/>
            <w:vAlign w:val="center"/>
          </w:tcPr>
          <w:p>
            <w:pPr>
              <w:pStyle w:val="13"/>
            </w:pPr>
            <w:r>
              <w:t>2400元/年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光纤网络等维护响应时间</w:t>
            </w:r>
          </w:p>
        </w:tc>
        <w:tc>
          <w:tcPr>
            <w:tcW w:w="5386" w:type="dxa"/>
            <w:vAlign w:val="center"/>
          </w:tcPr>
          <w:p>
            <w:pPr>
              <w:pStyle w:val="13"/>
            </w:pPr>
            <w:r>
              <w:t>光纤网络等维护响应时间</w:t>
            </w:r>
          </w:p>
        </w:tc>
        <w:tc>
          <w:tcPr>
            <w:tcW w:w="2268" w:type="dxa"/>
            <w:vAlign w:val="center"/>
          </w:tcPr>
          <w:p>
            <w:pPr>
              <w:pStyle w:val="13"/>
            </w:pPr>
            <w:r>
              <w:t>≤1天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光纤故障率</w:t>
            </w:r>
          </w:p>
        </w:tc>
        <w:tc>
          <w:tcPr>
            <w:tcW w:w="5386" w:type="dxa"/>
            <w:vAlign w:val="center"/>
          </w:tcPr>
          <w:p>
            <w:pPr>
              <w:pStyle w:val="13"/>
            </w:pPr>
            <w:r>
              <w:t>光纤故障率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保障39个村的视联网建设畅通</w:t>
            </w:r>
          </w:p>
        </w:tc>
        <w:tc>
          <w:tcPr>
            <w:tcW w:w="5386" w:type="dxa"/>
            <w:vAlign w:val="center"/>
          </w:tcPr>
          <w:p>
            <w:pPr>
              <w:pStyle w:val="13"/>
            </w:pPr>
            <w:r>
              <w:t>能否保39个村的综治视联网建设线路畅通</w:t>
            </w:r>
          </w:p>
        </w:tc>
        <w:tc>
          <w:tcPr>
            <w:tcW w:w="2268" w:type="dxa"/>
            <w:vAlign w:val="center"/>
          </w:tcPr>
          <w:p>
            <w:pPr>
              <w:pStyle w:val="13"/>
            </w:pPr>
            <w:r>
              <w:t>保障线路畅通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83个村的满意度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8、2026年度区综治中心水电暖等日常运行费用</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13011026P003302100545</w:t>
            </w:r>
          </w:p>
        </w:tc>
        <w:tc>
          <w:tcPr>
            <w:tcW w:w="2835" w:type="dxa"/>
            <w:vAlign w:val="center"/>
          </w:tcPr>
          <w:p>
            <w:pPr>
              <w:pStyle w:val="11"/>
            </w:pPr>
            <w:r>
              <w:t>项目名称</w:t>
            </w:r>
          </w:p>
        </w:tc>
        <w:tc>
          <w:tcPr>
            <w:tcW w:w="6095" w:type="dxa"/>
            <w:gridSpan w:val="3"/>
            <w:vAlign w:val="center"/>
          </w:tcPr>
          <w:p>
            <w:pPr>
              <w:pStyle w:val="13"/>
            </w:pPr>
            <w:r>
              <w:t>2026年度区综治中心水电暖等日常运行费用</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用于综治中心电费，保障区综治中心正常运行。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综治中心运转保障率</w:t>
            </w:r>
          </w:p>
        </w:tc>
        <w:tc>
          <w:tcPr>
            <w:tcW w:w="5386" w:type="dxa"/>
            <w:vAlign w:val="center"/>
          </w:tcPr>
          <w:p>
            <w:pPr>
              <w:pStyle w:val="13"/>
            </w:pPr>
            <w:r>
              <w:t>综治中心运转保障情况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综治中心工作完成率</w:t>
            </w:r>
          </w:p>
        </w:tc>
        <w:tc>
          <w:tcPr>
            <w:tcW w:w="5386" w:type="dxa"/>
            <w:vAlign w:val="center"/>
          </w:tcPr>
          <w:p>
            <w:pPr>
              <w:pStyle w:val="13"/>
            </w:pPr>
            <w:r>
              <w:t>综治中心工作完成情况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综治中心工作按时完成率</w:t>
            </w:r>
          </w:p>
        </w:tc>
        <w:tc>
          <w:tcPr>
            <w:tcW w:w="5386" w:type="dxa"/>
            <w:vAlign w:val="center"/>
          </w:tcPr>
          <w:p>
            <w:pPr>
              <w:pStyle w:val="13"/>
            </w:pPr>
            <w:r>
              <w:t>综治中心工作按时完成情况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能够长期使用，满足工作人员正常的需求。</w:t>
            </w:r>
          </w:p>
        </w:tc>
        <w:tc>
          <w:tcPr>
            <w:tcW w:w="2268" w:type="dxa"/>
            <w:vAlign w:val="center"/>
          </w:tcPr>
          <w:p>
            <w:pPr>
              <w:pStyle w:val="13"/>
            </w:pPr>
            <w:r>
              <w:t>可长期使用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群众对成立综治中心的整体满意度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9、2026年度扫黑除恶</w:t>
      </w:r>
      <w:r>
        <w:rPr>
          <w:rFonts w:hint="eastAsia" w:ascii="方正仿宋_GBK" w:hAnsi="方正仿宋_GBK" w:eastAsia="方正仿宋_GBK" w:cs="方正仿宋_GBK"/>
          <w:color w:val="000000"/>
          <w:sz w:val="28"/>
          <w:lang w:eastAsia="zh-CN"/>
        </w:rPr>
        <w:t>专项斗争</w:t>
      </w:r>
      <w:r>
        <w:rPr>
          <w:rFonts w:ascii="方正仿宋_GBK" w:hAnsi="方正仿宋_GBK" w:eastAsia="方正仿宋_GBK" w:cs="方正仿宋_GBK"/>
          <w:color w:val="000000"/>
          <w:sz w:val="28"/>
        </w:rPr>
        <w:t>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13011026P001516100042</w:t>
            </w:r>
          </w:p>
        </w:tc>
        <w:tc>
          <w:tcPr>
            <w:tcW w:w="2835" w:type="dxa"/>
            <w:vAlign w:val="center"/>
          </w:tcPr>
          <w:p>
            <w:pPr>
              <w:pStyle w:val="11"/>
            </w:pPr>
            <w:r>
              <w:t>项目名称</w:t>
            </w:r>
          </w:p>
        </w:tc>
        <w:tc>
          <w:tcPr>
            <w:tcW w:w="6095" w:type="dxa"/>
            <w:gridSpan w:val="3"/>
            <w:vAlign w:val="center"/>
          </w:tcPr>
          <w:p>
            <w:pPr>
              <w:pStyle w:val="13"/>
            </w:pPr>
            <w:r>
              <w:t>2026年度扫黑除恶</w:t>
            </w:r>
            <w:bookmarkStart w:id="20" w:name="_GoBack"/>
            <w:bookmarkEnd w:id="20"/>
            <w:r>
              <w:rPr>
                <w:rFonts w:hint="eastAsia"/>
                <w:lang w:eastAsia="zh-CN"/>
              </w:rPr>
              <w:t>专项斗争</w:t>
            </w:r>
            <w:r>
              <w:t>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扫黑办集中办公，用于制作条幅、手册、彩页、宣传片等宣传材料和组织各种活动对全区进行扫黑宣传及保障扫黑办正常运转。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扫黑除恶宣传村数</w:t>
            </w:r>
          </w:p>
        </w:tc>
        <w:tc>
          <w:tcPr>
            <w:tcW w:w="5386" w:type="dxa"/>
            <w:vAlign w:val="center"/>
          </w:tcPr>
          <w:p>
            <w:pPr>
              <w:pStyle w:val="13"/>
            </w:pPr>
            <w:r>
              <w:t>全区覆盖</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公作成本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群众安全指数</w:t>
            </w:r>
          </w:p>
        </w:tc>
        <w:tc>
          <w:tcPr>
            <w:tcW w:w="5386" w:type="dxa"/>
            <w:vAlign w:val="center"/>
          </w:tcPr>
          <w:p>
            <w:pPr>
              <w:pStyle w:val="13"/>
            </w:pPr>
            <w:r>
              <w:t>群众安全指数</w:t>
            </w:r>
          </w:p>
        </w:tc>
        <w:tc>
          <w:tcPr>
            <w:tcW w:w="2268" w:type="dxa"/>
            <w:vAlign w:val="center"/>
          </w:tcPr>
          <w:p>
            <w:pPr>
              <w:pStyle w:val="13"/>
            </w:pPr>
            <w:r>
              <w:t>提高群众安全指数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有效维护了社会稳定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群众安全感满意度</w:t>
            </w:r>
          </w:p>
        </w:tc>
        <w:tc>
          <w:tcPr>
            <w:tcW w:w="5386" w:type="dxa"/>
            <w:vAlign w:val="center"/>
          </w:tcPr>
          <w:p>
            <w:pPr>
              <w:pStyle w:val="13"/>
            </w:pPr>
            <w:r>
              <w:t>群众安全感满意度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10、2026年度社会矛盾纠纷多元化解中心工作经费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13011026P00003810016M</w:t>
            </w:r>
          </w:p>
        </w:tc>
        <w:tc>
          <w:tcPr>
            <w:tcW w:w="2835" w:type="dxa"/>
            <w:vAlign w:val="center"/>
          </w:tcPr>
          <w:p>
            <w:pPr>
              <w:pStyle w:val="11"/>
            </w:pPr>
            <w:r>
              <w:t>项目名称</w:t>
            </w:r>
          </w:p>
        </w:tc>
        <w:tc>
          <w:tcPr>
            <w:tcW w:w="6095" w:type="dxa"/>
            <w:gridSpan w:val="3"/>
            <w:vAlign w:val="center"/>
          </w:tcPr>
          <w:p>
            <w:pPr>
              <w:pStyle w:val="13"/>
            </w:pPr>
            <w:r>
              <w:t>2026年度社会矛盾纠纷多元化解中心工作经费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用于调解室建设，培树和支持调解典型，支持行业调委会建设及区调解中心设备购置维修、宣传奖励等日常运行费用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2、保障多元化解中心正常运行，综合协调、指挥调度社会矛盾纠纷化解相关工作，开展“一站式”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调解室数量</w:t>
            </w:r>
          </w:p>
        </w:tc>
        <w:tc>
          <w:tcPr>
            <w:tcW w:w="5386" w:type="dxa"/>
            <w:vAlign w:val="center"/>
          </w:tcPr>
          <w:p>
            <w:pPr>
              <w:pStyle w:val="13"/>
            </w:pPr>
            <w:r>
              <w:t>设立调解室数量</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矛盾隐患化解率（%）</w:t>
            </w:r>
          </w:p>
        </w:tc>
        <w:tc>
          <w:tcPr>
            <w:tcW w:w="5386" w:type="dxa"/>
            <w:vAlign w:val="center"/>
          </w:tcPr>
          <w:p>
            <w:pPr>
              <w:pStyle w:val="13"/>
            </w:pPr>
            <w:r>
              <w:t>矛盾隐患化解率（%）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矛盾纠纷排查及时率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多元化解工作成本</w:t>
            </w:r>
          </w:p>
        </w:tc>
        <w:tc>
          <w:tcPr>
            <w:tcW w:w="5386" w:type="dxa"/>
            <w:vAlign w:val="center"/>
          </w:tcPr>
          <w:p>
            <w:pPr>
              <w:pStyle w:val="13"/>
            </w:pPr>
            <w:r>
              <w:t>多元化解工作成本</w:t>
            </w:r>
          </w:p>
        </w:tc>
        <w:tc>
          <w:tcPr>
            <w:tcW w:w="2268" w:type="dxa"/>
            <w:vAlign w:val="center"/>
          </w:tcPr>
          <w:p>
            <w:pPr>
              <w:pStyle w:val="13"/>
            </w:pPr>
            <w:r>
              <w:t>≤20万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11、2026年度铁路护路联防工作经费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13011026P000038100152</w:t>
            </w:r>
          </w:p>
        </w:tc>
        <w:tc>
          <w:tcPr>
            <w:tcW w:w="2835" w:type="dxa"/>
            <w:vAlign w:val="center"/>
          </w:tcPr>
          <w:p>
            <w:pPr>
              <w:pStyle w:val="11"/>
            </w:pPr>
            <w:r>
              <w:t>项目名称</w:t>
            </w:r>
          </w:p>
        </w:tc>
        <w:tc>
          <w:tcPr>
            <w:tcW w:w="6095" w:type="dxa"/>
            <w:gridSpan w:val="3"/>
            <w:vAlign w:val="center"/>
          </w:tcPr>
          <w:p>
            <w:pPr>
              <w:pStyle w:val="13"/>
            </w:pPr>
            <w:r>
              <w:t>2026年度铁路护路联防工作经费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聘用铁路沿线村民设置49个护路点，做好重要时期护路安保工作。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1.聘用铁路沿线村民设置49个护路点，做好重要时期护路安保工作，保障安全畅通。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护路点的个数</w:t>
            </w:r>
          </w:p>
        </w:tc>
        <w:tc>
          <w:tcPr>
            <w:tcW w:w="5386" w:type="dxa"/>
            <w:vAlign w:val="center"/>
          </w:tcPr>
          <w:p>
            <w:pPr>
              <w:pStyle w:val="13"/>
            </w:pPr>
            <w:r>
              <w:t>全区护路点位个数</w:t>
            </w:r>
          </w:p>
        </w:tc>
        <w:tc>
          <w:tcPr>
            <w:tcW w:w="2268" w:type="dxa"/>
            <w:vAlign w:val="center"/>
          </w:tcPr>
          <w:p>
            <w:pPr>
              <w:pStyle w:val="13"/>
            </w:pPr>
            <w:r>
              <w:t>49个</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及时率</w:t>
            </w:r>
          </w:p>
        </w:tc>
        <w:tc>
          <w:tcPr>
            <w:tcW w:w="5386" w:type="dxa"/>
            <w:vAlign w:val="center"/>
          </w:tcPr>
          <w:p>
            <w:pPr>
              <w:pStyle w:val="13"/>
            </w:pPr>
            <w:r>
              <w:t>护路点看护人员发现问题上报及时率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覆盖率</w:t>
            </w:r>
          </w:p>
        </w:tc>
        <w:tc>
          <w:tcPr>
            <w:tcW w:w="5386" w:type="dxa"/>
            <w:vAlign w:val="center"/>
          </w:tcPr>
          <w:p>
            <w:pPr>
              <w:pStyle w:val="13"/>
            </w:pPr>
            <w:r>
              <w:t>护路点位看护人员覆盖率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控制在预算资金内</w:t>
            </w:r>
          </w:p>
        </w:tc>
        <w:tc>
          <w:tcPr>
            <w:tcW w:w="5386" w:type="dxa"/>
            <w:vAlign w:val="center"/>
          </w:tcPr>
          <w:p>
            <w:pPr>
              <w:pStyle w:val="13"/>
            </w:pPr>
            <w:r>
              <w:t>控制在预算资金内</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涉路矛盾排查化解率</w:t>
            </w:r>
          </w:p>
        </w:tc>
        <w:tc>
          <w:tcPr>
            <w:tcW w:w="5386" w:type="dxa"/>
            <w:vAlign w:val="center"/>
          </w:tcPr>
          <w:p>
            <w:pPr>
              <w:pStyle w:val="13"/>
            </w:pPr>
            <w:r>
              <w:t>涉路矛盾排查化解率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铁路安全情况</w:t>
            </w:r>
          </w:p>
        </w:tc>
        <w:tc>
          <w:tcPr>
            <w:tcW w:w="5386" w:type="dxa"/>
            <w:vAlign w:val="center"/>
          </w:tcPr>
          <w:p>
            <w:pPr>
              <w:pStyle w:val="13"/>
            </w:pPr>
            <w:r>
              <w:t>重要时期铁路安全情况</w:t>
            </w:r>
          </w:p>
        </w:tc>
        <w:tc>
          <w:tcPr>
            <w:tcW w:w="2268" w:type="dxa"/>
            <w:vAlign w:val="center"/>
          </w:tcPr>
          <w:p>
            <w:pPr>
              <w:pStyle w:val="13"/>
            </w:pPr>
            <w:r>
              <w:t>有所提升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群众安全感满意度</w:t>
            </w:r>
          </w:p>
        </w:tc>
        <w:tc>
          <w:tcPr>
            <w:tcW w:w="5386" w:type="dxa"/>
            <w:vAlign w:val="center"/>
          </w:tcPr>
          <w:p>
            <w:pPr>
              <w:pStyle w:val="13"/>
            </w:pPr>
            <w:r>
              <w:t>群众安全感满意度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12、2026年度铁路护路沿线视频监控系统建设项目</w:t>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13011026P000038100081</w:t>
            </w:r>
          </w:p>
        </w:tc>
        <w:tc>
          <w:tcPr>
            <w:tcW w:w="2835" w:type="dxa"/>
            <w:vAlign w:val="center"/>
          </w:tcPr>
          <w:p>
            <w:pPr>
              <w:pStyle w:val="11"/>
            </w:pPr>
            <w:r>
              <w:t>项目名称</w:t>
            </w:r>
          </w:p>
        </w:tc>
        <w:tc>
          <w:tcPr>
            <w:tcW w:w="6095" w:type="dxa"/>
            <w:gridSpan w:val="3"/>
            <w:vAlign w:val="center"/>
          </w:tcPr>
          <w:p>
            <w:pPr>
              <w:pStyle w:val="13"/>
            </w:pPr>
            <w:r>
              <w:t>2026年度铁路护路沿线视频监控系统建设项目</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支付铁路沿线视频监控建设项目合同款。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监控建设数量</w:t>
            </w:r>
          </w:p>
        </w:tc>
        <w:tc>
          <w:tcPr>
            <w:tcW w:w="5386" w:type="dxa"/>
            <w:vAlign w:val="center"/>
          </w:tcPr>
          <w:p>
            <w:pPr>
              <w:pStyle w:val="13"/>
            </w:pPr>
            <w:r>
              <w:t>视频监控系统监控点建设数量</w:t>
            </w:r>
          </w:p>
        </w:tc>
        <w:tc>
          <w:tcPr>
            <w:tcW w:w="2268" w:type="dxa"/>
            <w:vAlign w:val="center"/>
          </w:tcPr>
          <w:p>
            <w:pPr>
              <w:pStyle w:val="13"/>
            </w:pPr>
            <w:r>
              <w:t>89个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视频监控运行点位数量</w:t>
            </w:r>
          </w:p>
        </w:tc>
        <w:tc>
          <w:tcPr>
            <w:tcW w:w="5386" w:type="dxa"/>
            <w:vAlign w:val="center"/>
          </w:tcPr>
          <w:p>
            <w:pPr>
              <w:pStyle w:val="13"/>
            </w:pPr>
            <w:r>
              <w:t>正常运行视频监控点位数量</w:t>
            </w:r>
          </w:p>
        </w:tc>
        <w:tc>
          <w:tcPr>
            <w:tcW w:w="2268" w:type="dxa"/>
            <w:vAlign w:val="center"/>
          </w:tcPr>
          <w:p>
            <w:pPr>
              <w:pStyle w:val="13"/>
            </w:pPr>
            <w:r>
              <w:t>89个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视频监控点位安装合格率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铁路沿线视频监控项目合同成本</w:t>
            </w:r>
          </w:p>
        </w:tc>
        <w:tc>
          <w:tcPr>
            <w:tcW w:w="5386" w:type="dxa"/>
            <w:vAlign w:val="center"/>
          </w:tcPr>
          <w:p>
            <w:pPr>
              <w:pStyle w:val="13"/>
            </w:pPr>
            <w:r>
              <w:t>铁路沿线视频监控项目合同成本</w:t>
            </w:r>
          </w:p>
        </w:tc>
        <w:tc>
          <w:tcPr>
            <w:tcW w:w="2268" w:type="dxa"/>
            <w:vAlign w:val="center"/>
          </w:tcPr>
          <w:p>
            <w:pPr>
              <w:pStyle w:val="13"/>
            </w:pPr>
            <w:r>
              <w:t>370.52万元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保障铁路运营安全</w:t>
            </w:r>
          </w:p>
        </w:tc>
        <w:tc>
          <w:tcPr>
            <w:tcW w:w="5386" w:type="dxa"/>
            <w:vAlign w:val="center"/>
          </w:tcPr>
          <w:p>
            <w:pPr>
              <w:pStyle w:val="13"/>
            </w:pPr>
            <w:r>
              <w:t>保障铁路运营安全</w:t>
            </w:r>
          </w:p>
        </w:tc>
        <w:tc>
          <w:tcPr>
            <w:tcW w:w="2268" w:type="dxa"/>
            <w:vAlign w:val="center"/>
          </w:tcPr>
          <w:p>
            <w:pPr>
              <w:pStyle w:val="13"/>
            </w:pPr>
            <w:r>
              <w:t>有效保障运营安全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铁路沿线秩序</w:t>
            </w:r>
          </w:p>
        </w:tc>
        <w:tc>
          <w:tcPr>
            <w:tcW w:w="5386" w:type="dxa"/>
            <w:vAlign w:val="center"/>
          </w:tcPr>
          <w:p>
            <w:pPr>
              <w:pStyle w:val="13"/>
            </w:pPr>
            <w:r>
              <w:t>本辖区铁路沿线治安秩序</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群众对铁路安全满意度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13、2026年度维稳及反邪教专项经费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13011026P00003810014E</w:t>
            </w:r>
          </w:p>
        </w:tc>
        <w:tc>
          <w:tcPr>
            <w:tcW w:w="2835" w:type="dxa"/>
            <w:vAlign w:val="center"/>
          </w:tcPr>
          <w:p>
            <w:pPr>
              <w:pStyle w:val="11"/>
            </w:pPr>
            <w:r>
              <w:t>项目名称</w:t>
            </w:r>
          </w:p>
        </w:tc>
        <w:tc>
          <w:tcPr>
            <w:tcW w:w="6095" w:type="dxa"/>
            <w:gridSpan w:val="3"/>
            <w:vAlign w:val="center"/>
          </w:tcPr>
          <w:p>
            <w:pPr>
              <w:pStyle w:val="13"/>
            </w:pPr>
            <w:r>
              <w:t>2026年度维稳及反邪教专项经费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重要节点、重点区域维稳任务，用于宣传品印制、差旅费、学习考察等日常经费，以及开展反邪教活动进机关、进校园、进乡村聘用专家讲座、餐饮等费用，在全区营造了良好的反邪教宣传氛围，有效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1、用于宣传品印制、差旅费、学习考察等日常经费。印制反邪教宣传品、展牌展示对全区13乡镇进行反邪教宣传，在全区营造了良好的反邪教宣传氛围。</w:t>
            </w:r>
          </w:p>
          <w:p>
            <w:pPr>
              <w:pStyle w:val="13"/>
            </w:pPr>
            <w:r>
              <w:t>2、重点人员教育转化所需住宿、餐饮、教师专项费用等。</w:t>
            </w:r>
          </w:p>
          <w:p>
            <w:pPr>
              <w:pStyle w:val="13"/>
            </w:pPr>
            <w:r>
              <w:t>3、反邪教活动进机关、进校园、进乡村聘用专家讲座、餐饮等费用。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5386" w:type="dxa"/>
            <w:vAlign w:val="center"/>
          </w:tcPr>
          <w:p>
            <w:pPr>
              <w:pStyle w:val="13"/>
            </w:pPr>
            <w:r>
              <w:t>组织宣传反邪教及维护社会稳定活动次数</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宣传、活动区域覆盖率</w:t>
            </w:r>
          </w:p>
        </w:tc>
        <w:tc>
          <w:tcPr>
            <w:tcW w:w="5386" w:type="dxa"/>
            <w:vAlign w:val="center"/>
          </w:tcPr>
          <w:p>
            <w:pPr>
              <w:pStyle w:val="13"/>
            </w:pPr>
            <w:r>
              <w:t>宣传、活动区域覆盖率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宣传完成率</w:t>
            </w:r>
          </w:p>
        </w:tc>
        <w:tc>
          <w:tcPr>
            <w:tcW w:w="5386" w:type="dxa"/>
            <w:vAlign w:val="center"/>
          </w:tcPr>
          <w:p>
            <w:pPr>
              <w:pStyle w:val="13"/>
            </w:pPr>
            <w:r>
              <w:t>宣传、活动完成率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宣传成本</w:t>
            </w:r>
          </w:p>
        </w:tc>
        <w:tc>
          <w:tcPr>
            <w:tcW w:w="5386" w:type="dxa"/>
            <w:vAlign w:val="center"/>
          </w:tcPr>
          <w:p>
            <w:pPr>
              <w:pStyle w:val="13"/>
            </w:pPr>
            <w:r>
              <w:t>防范反邪教宣传成本</w:t>
            </w:r>
          </w:p>
        </w:tc>
        <w:tc>
          <w:tcPr>
            <w:tcW w:w="2268" w:type="dxa"/>
            <w:vAlign w:val="center"/>
          </w:tcPr>
          <w:p>
            <w:pPr>
              <w:pStyle w:val="13"/>
            </w:pPr>
            <w:r>
              <w:t>≤5万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有效维护社会稳定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宣传氛围</w:t>
            </w:r>
          </w:p>
        </w:tc>
        <w:tc>
          <w:tcPr>
            <w:tcW w:w="5386" w:type="dxa"/>
            <w:vAlign w:val="center"/>
          </w:tcPr>
          <w:p>
            <w:pPr>
              <w:pStyle w:val="13"/>
            </w:pPr>
            <w:r>
              <w:t>全区营造了良好的反邪教宣传氛围</w:t>
            </w:r>
          </w:p>
        </w:tc>
        <w:tc>
          <w:tcPr>
            <w:tcW w:w="2268" w:type="dxa"/>
            <w:vAlign w:val="center"/>
          </w:tcPr>
          <w:p>
            <w:pPr>
              <w:pStyle w:val="13"/>
            </w:pPr>
            <w:r>
              <w:t>提高反邪教意识，营造良好宣传氛围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14、2026年度政法队伍建设工作经费绩效目标表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13011026P00001110001H</w:t>
            </w:r>
          </w:p>
        </w:tc>
        <w:tc>
          <w:tcPr>
            <w:tcW w:w="2835" w:type="dxa"/>
            <w:vAlign w:val="center"/>
          </w:tcPr>
          <w:p>
            <w:pPr>
              <w:pStyle w:val="11"/>
            </w:pPr>
            <w:r>
              <w:t>项目名称</w:t>
            </w:r>
          </w:p>
        </w:tc>
        <w:tc>
          <w:tcPr>
            <w:tcW w:w="6095" w:type="dxa"/>
            <w:gridSpan w:val="3"/>
            <w:vAlign w:val="center"/>
          </w:tcPr>
          <w:p>
            <w:pPr>
              <w:pStyle w:val="13"/>
            </w:pPr>
            <w:r>
              <w:t>2026年度政法队伍建设工作经费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1、用于组织政法干警培训，提高政法干警责任感。2、加强新媒体阵地建设、开展平安建设、法治建设、政法队伍建设等各项宣传，宣传费用 3、为政法干警购买最新理论学习书籍等。  加强全区政法队伍建设，筑牢整治忠诚的思想根基，加强政法队伍宣传，改进政法队伍建设中存在的问题，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1、加强政法干警教育培训，提高政法干警荣誉感责任感。2、开展平安建设、法治建设、政法队伍建设等各项宣传，宣传费用。3、加强新媒体阵地建设，需建设费用。 4、为政法干警购买最新理论学习书籍等。  加强全区政法队伍建设，筑牢整治忠诚的思想根基，加强政法队伍宣传，改进政法队伍建设中存在的问题，更好的服务保障经济社会发展，提高群众安全感和对政法队伍建设的满意度。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培训数量</w:t>
            </w:r>
          </w:p>
        </w:tc>
        <w:tc>
          <w:tcPr>
            <w:tcW w:w="5386" w:type="dxa"/>
            <w:vAlign w:val="center"/>
          </w:tcPr>
          <w:p>
            <w:pPr>
              <w:pStyle w:val="13"/>
            </w:pPr>
            <w:r>
              <w:t>政法队伍轮训数量</w:t>
            </w:r>
          </w:p>
        </w:tc>
        <w:tc>
          <w:tcPr>
            <w:tcW w:w="2268" w:type="dxa"/>
            <w:vAlign w:val="center"/>
          </w:tcPr>
          <w:p>
            <w:pPr>
              <w:pStyle w:val="13"/>
            </w:pPr>
            <w:r>
              <w:t>1次</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平安建设宣传完成率</w:t>
            </w:r>
          </w:p>
        </w:tc>
        <w:tc>
          <w:tcPr>
            <w:tcW w:w="5386" w:type="dxa"/>
            <w:vAlign w:val="center"/>
          </w:tcPr>
          <w:p>
            <w:pPr>
              <w:pStyle w:val="13"/>
            </w:pPr>
            <w:r>
              <w:t>平安建设宣传情况</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安全满意度调查次数</w:t>
            </w:r>
          </w:p>
        </w:tc>
        <w:tc>
          <w:tcPr>
            <w:tcW w:w="5386" w:type="dxa"/>
            <w:vAlign w:val="center"/>
          </w:tcPr>
          <w:p>
            <w:pPr>
              <w:pStyle w:val="13"/>
            </w:pPr>
            <w:r>
              <w:t>安全满意度调查次数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各项工作完成及时情况</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各项工作全部成本</w:t>
            </w:r>
          </w:p>
        </w:tc>
        <w:tc>
          <w:tcPr>
            <w:tcW w:w="2268" w:type="dxa"/>
            <w:vAlign w:val="center"/>
          </w:tcPr>
          <w:p>
            <w:pPr>
              <w:pStyle w:val="13"/>
            </w:pPr>
            <w:r>
              <w:t>≤15万元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对社会经济发展的影响</w:t>
            </w:r>
          </w:p>
        </w:tc>
        <w:tc>
          <w:tcPr>
            <w:tcW w:w="5386" w:type="dxa"/>
            <w:vAlign w:val="center"/>
          </w:tcPr>
          <w:p>
            <w:pPr>
              <w:pStyle w:val="13"/>
            </w:pPr>
            <w:r>
              <w:t>对全区社会经济发展的影响</w:t>
            </w:r>
          </w:p>
        </w:tc>
        <w:tc>
          <w:tcPr>
            <w:tcW w:w="2268" w:type="dxa"/>
            <w:vAlign w:val="center"/>
          </w:tcPr>
          <w:p>
            <w:pPr>
              <w:pStyle w:val="13"/>
            </w:pPr>
            <w:r>
              <w:t>有效保障经济社会的发展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群众安全感</w:t>
            </w:r>
          </w:p>
        </w:tc>
        <w:tc>
          <w:tcPr>
            <w:tcW w:w="5386" w:type="dxa"/>
            <w:vAlign w:val="center"/>
          </w:tcPr>
          <w:p>
            <w:pPr>
              <w:pStyle w:val="13"/>
            </w:pPr>
            <w:r>
              <w:t>群众的安全感</w:t>
            </w:r>
          </w:p>
        </w:tc>
        <w:tc>
          <w:tcPr>
            <w:tcW w:w="2268" w:type="dxa"/>
            <w:vAlign w:val="center"/>
          </w:tcPr>
          <w:p>
            <w:pPr>
              <w:pStyle w:val="13"/>
            </w:pPr>
            <w:r>
              <w:t>提高了群众的安全感</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群众对政法队伍建设的满意度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15、2026年度政法四级网扩容设备维保项目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13011026P001505100097</w:t>
            </w:r>
          </w:p>
        </w:tc>
        <w:tc>
          <w:tcPr>
            <w:tcW w:w="2835" w:type="dxa"/>
            <w:vAlign w:val="center"/>
          </w:tcPr>
          <w:p>
            <w:pPr>
              <w:pStyle w:val="11"/>
            </w:pPr>
            <w:r>
              <w:t>项目名称</w:t>
            </w:r>
          </w:p>
        </w:tc>
        <w:tc>
          <w:tcPr>
            <w:tcW w:w="6095" w:type="dxa"/>
            <w:gridSpan w:val="3"/>
            <w:vAlign w:val="center"/>
          </w:tcPr>
          <w:p>
            <w:pPr>
              <w:pStyle w:val="13"/>
            </w:pPr>
            <w:r>
              <w:t>2026年度政法四级网扩容设备维保项目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用于政法四级网扩容设备维保费用。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1.保障政法网设备正常运行。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业务中断次数</w:t>
            </w:r>
          </w:p>
        </w:tc>
        <w:tc>
          <w:tcPr>
            <w:tcW w:w="5386" w:type="dxa"/>
            <w:vAlign w:val="center"/>
          </w:tcPr>
          <w:p>
            <w:pPr>
              <w:pStyle w:val="13"/>
            </w:pPr>
            <w:r>
              <w:t>全年区级业务中断次数≤2次</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业务中断次数</w:t>
            </w:r>
          </w:p>
        </w:tc>
        <w:tc>
          <w:tcPr>
            <w:tcW w:w="5386" w:type="dxa"/>
            <w:vAlign w:val="center"/>
          </w:tcPr>
          <w:p>
            <w:pPr>
              <w:pStyle w:val="13"/>
            </w:pPr>
            <w:r>
              <w:t>全年单个乡镇业务中断次数≤4次</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保障政法四级网络畅联畅通</w:t>
            </w:r>
          </w:p>
        </w:tc>
        <w:tc>
          <w:tcPr>
            <w:tcW w:w="5386" w:type="dxa"/>
            <w:vAlign w:val="center"/>
          </w:tcPr>
          <w:p>
            <w:pPr>
              <w:pStyle w:val="13"/>
            </w:pPr>
            <w:r>
              <w:t>能否有效保障政法四级网络正常运行</w:t>
            </w:r>
          </w:p>
        </w:tc>
        <w:tc>
          <w:tcPr>
            <w:tcW w:w="2268" w:type="dxa"/>
            <w:vAlign w:val="center"/>
          </w:tcPr>
          <w:p>
            <w:pPr>
              <w:pStyle w:val="13"/>
            </w:pPr>
            <w:r>
              <w:t>有效保障政法四级网络畅联畅通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设备维护及时</w:t>
            </w:r>
          </w:p>
        </w:tc>
        <w:tc>
          <w:tcPr>
            <w:tcW w:w="5386" w:type="dxa"/>
            <w:vAlign w:val="center"/>
          </w:tcPr>
          <w:p>
            <w:pPr>
              <w:pStyle w:val="13"/>
            </w:pPr>
            <w:r>
              <w:t>设备报修到维护完成时间≤3小时</w:t>
            </w:r>
          </w:p>
        </w:tc>
        <w:tc>
          <w:tcPr>
            <w:tcW w:w="2268" w:type="dxa"/>
            <w:vAlign w:val="center"/>
          </w:tcPr>
          <w:p>
            <w:pPr>
              <w:pStyle w:val="13"/>
            </w:pPr>
            <w:r>
              <w:t>≤3小时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每年政法网扩容设备维保成本</w:t>
            </w:r>
          </w:p>
        </w:tc>
        <w:tc>
          <w:tcPr>
            <w:tcW w:w="5386" w:type="dxa"/>
            <w:vAlign w:val="center"/>
          </w:tcPr>
          <w:p>
            <w:pPr>
              <w:pStyle w:val="13"/>
            </w:pPr>
            <w:r>
              <w:t>每年政法网扩容设备维保成本</w:t>
            </w:r>
          </w:p>
        </w:tc>
        <w:tc>
          <w:tcPr>
            <w:tcW w:w="2268" w:type="dxa"/>
            <w:vAlign w:val="center"/>
          </w:tcPr>
          <w:p>
            <w:pPr>
              <w:pStyle w:val="13"/>
            </w:pPr>
            <w:r>
              <w:t>222.7万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网络运行速度</w:t>
            </w:r>
          </w:p>
        </w:tc>
        <w:tc>
          <w:tcPr>
            <w:tcW w:w="5386" w:type="dxa"/>
            <w:vAlign w:val="center"/>
          </w:tcPr>
          <w:p>
            <w:pPr>
              <w:pStyle w:val="13"/>
            </w:pPr>
            <w:r>
              <w:t>网络带宽速政法四级网达到20g,政务外网独享20g</w:t>
            </w:r>
          </w:p>
        </w:tc>
        <w:tc>
          <w:tcPr>
            <w:tcW w:w="2268" w:type="dxa"/>
            <w:vAlign w:val="center"/>
          </w:tcPr>
          <w:p>
            <w:pPr>
              <w:pStyle w:val="13"/>
            </w:pPr>
            <w:r>
              <w:t>20G</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设备正常运行率</w:t>
            </w:r>
          </w:p>
        </w:tc>
        <w:tc>
          <w:tcPr>
            <w:tcW w:w="5386" w:type="dxa"/>
            <w:vAlign w:val="center"/>
          </w:tcPr>
          <w:p>
            <w:pPr>
              <w:pStyle w:val="13"/>
            </w:pPr>
            <w:r>
              <w:t>正常运行设备占总设备比例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群众对政法网运行速度整体满意度≥95%</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16、2026年度政法网运行维护项目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13011026P00150510010J</w:t>
            </w:r>
          </w:p>
        </w:tc>
        <w:tc>
          <w:tcPr>
            <w:tcW w:w="2835" w:type="dxa"/>
            <w:vAlign w:val="center"/>
          </w:tcPr>
          <w:p>
            <w:pPr>
              <w:pStyle w:val="11"/>
            </w:pPr>
            <w:r>
              <w:t>项目名称</w:t>
            </w:r>
          </w:p>
        </w:tc>
        <w:tc>
          <w:tcPr>
            <w:tcW w:w="6095" w:type="dxa"/>
            <w:gridSpan w:val="3"/>
            <w:vAlign w:val="center"/>
          </w:tcPr>
          <w:p>
            <w:pPr>
              <w:pStyle w:val="13"/>
            </w:pPr>
            <w:r>
              <w:t>2026年度政法网运行维护项目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用于政法四级网光纤租赁及维护。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政法四级网运行站点个数</w:t>
            </w:r>
          </w:p>
        </w:tc>
        <w:tc>
          <w:tcPr>
            <w:tcW w:w="5386" w:type="dxa"/>
            <w:vAlign w:val="center"/>
          </w:tcPr>
          <w:p>
            <w:pPr>
              <w:pStyle w:val="13"/>
            </w:pPr>
            <w:r>
              <w:t>政法四级网运行站点62个</w:t>
            </w:r>
          </w:p>
        </w:tc>
        <w:tc>
          <w:tcPr>
            <w:tcW w:w="2268" w:type="dxa"/>
            <w:vAlign w:val="center"/>
          </w:tcPr>
          <w:p>
            <w:pPr>
              <w:pStyle w:val="13"/>
            </w:pPr>
            <w:r>
              <w:t>62个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信息系统建设维护工作完成率</w:t>
            </w:r>
          </w:p>
        </w:tc>
        <w:tc>
          <w:tcPr>
            <w:tcW w:w="5386" w:type="dxa"/>
            <w:vAlign w:val="center"/>
          </w:tcPr>
          <w:p>
            <w:pPr>
              <w:pStyle w:val="13"/>
            </w:pPr>
            <w:r>
              <w:t>信息系统建设维护工作完成率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光纤设备维护及时</w:t>
            </w:r>
          </w:p>
        </w:tc>
        <w:tc>
          <w:tcPr>
            <w:tcW w:w="5386" w:type="dxa"/>
            <w:vAlign w:val="center"/>
          </w:tcPr>
          <w:p>
            <w:pPr>
              <w:pStyle w:val="13"/>
            </w:pPr>
            <w:r>
              <w:t>报修到维护完成时间≤1天</w:t>
            </w:r>
          </w:p>
        </w:tc>
        <w:tc>
          <w:tcPr>
            <w:tcW w:w="2268" w:type="dxa"/>
            <w:vAlign w:val="center"/>
          </w:tcPr>
          <w:p>
            <w:pPr>
              <w:pStyle w:val="13"/>
            </w:pPr>
            <w:r>
              <w:t>≤1天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政法网光纤租赁成本</w:t>
            </w:r>
          </w:p>
        </w:tc>
        <w:tc>
          <w:tcPr>
            <w:tcW w:w="5386" w:type="dxa"/>
            <w:vAlign w:val="center"/>
          </w:tcPr>
          <w:p>
            <w:pPr>
              <w:pStyle w:val="13"/>
            </w:pPr>
            <w:r>
              <w:t>政法网光纤租赁成本</w:t>
            </w:r>
          </w:p>
        </w:tc>
        <w:tc>
          <w:tcPr>
            <w:tcW w:w="2268" w:type="dxa"/>
            <w:vAlign w:val="center"/>
          </w:tcPr>
          <w:p>
            <w:pPr>
              <w:pStyle w:val="13"/>
            </w:pPr>
            <w:r>
              <w:t>17万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政法网运行维护成本</w:t>
            </w:r>
          </w:p>
        </w:tc>
        <w:tc>
          <w:tcPr>
            <w:tcW w:w="5386" w:type="dxa"/>
            <w:vAlign w:val="center"/>
          </w:tcPr>
          <w:p>
            <w:pPr>
              <w:pStyle w:val="13"/>
            </w:pPr>
            <w:r>
              <w:t>政法网运行维护成本</w:t>
            </w:r>
          </w:p>
        </w:tc>
        <w:tc>
          <w:tcPr>
            <w:tcW w:w="2268" w:type="dxa"/>
            <w:vAlign w:val="center"/>
          </w:tcPr>
          <w:p>
            <w:pPr>
              <w:pStyle w:val="13"/>
            </w:pPr>
            <w:r>
              <w:t>8万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设备在线率</w:t>
            </w:r>
          </w:p>
        </w:tc>
        <w:tc>
          <w:tcPr>
            <w:tcW w:w="5386" w:type="dxa"/>
            <w:vAlign w:val="center"/>
          </w:tcPr>
          <w:p>
            <w:pPr>
              <w:pStyle w:val="13"/>
            </w:pPr>
            <w:r>
              <w:t>保持在线率100%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网络正常运行率</w:t>
            </w:r>
          </w:p>
        </w:tc>
        <w:tc>
          <w:tcPr>
            <w:tcW w:w="5386" w:type="dxa"/>
            <w:vAlign w:val="center"/>
          </w:tcPr>
          <w:p>
            <w:pPr>
              <w:pStyle w:val="13"/>
            </w:pPr>
            <w:r>
              <w:t>网络正常运行占总运行时间比率≥95%</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群众对政法网运行速度整体满意度≥95%</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13011026P003250100475</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17.34</w:t>
            </w:r>
          </w:p>
        </w:tc>
        <w:tc>
          <w:tcPr>
            <w:tcW w:w="2835" w:type="dxa"/>
            <w:vAlign w:val="center"/>
          </w:tcPr>
          <w:p>
            <w:pPr>
              <w:pStyle w:val="11"/>
            </w:pPr>
            <w:r>
              <w:t>其中：财政    资金</w:t>
            </w:r>
          </w:p>
        </w:tc>
        <w:tc>
          <w:tcPr>
            <w:tcW w:w="2551" w:type="dxa"/>
            <w:vAlign w:val="center"/>
          </w:tcPr>
          <w:p>
            <w:pPr>
              <w:pStyle w:val="13"/>
            </w:pPr>
            <w:r>
              <w:t>17.34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我单位对符合就业困难条件军队服役人员3名，实行劳务派遣托管安置，帮扶救助到位，保障人员工资保险发放缴纳到位。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1.我单位对符合就业困难条件军队服役人员3名，实行劳务派遣托管安置，帮扶救助到位，保障人员工资保险发放缴纳到位。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人数</w:t>
            </w:r>
          </w:p>
        </w:tc>
        <w:tc>
          <w:tcPr>
            <w:tcW w:w="5386" w:type="dxa"/>
            <w:vAlign w:val="center"/>
          </w:tcPr>
          <w:p>
            <w:pPr>
              <w:pStyle w:val="13"/>
            </w:pPr>
            <w:r>
              <w:t>安置退役军人劳务派遣岗位人数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月工资标准</w:t>
            </w:r>
          </w:p>
        </w:tc>
        <w:tc>
          <w:tcPr>
            <w:tcW w:w="5386" w:type="dxa"/>
            <w:vAlign w:val="center"/>
          </w:tcPr>
          <w:p>
            <w:pPr>
              <w:pStyle w:val="13"/>
            </w:pPr>
            <w:r>
              <w:t>退役军人劳务派遣每月工资标准</w:t>
            </w:r>
          </w:p>
        </w:tc>
        <w:tc>
          <w:tcPr>
            <w:tcW w:w="2268" w:type="dxa"/>
            <w:vAlign w:val="center"/>
          </w:tcPr>
          <w:p>
            <w:pPr>
              <w:pStyle w:val="13"/>
            </w:pPr>
            <w:r>
              <w:t>3400元/月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资助经费及时发放率</w:t>
            </w:r>
          </w:p>
        </w:tc>
        <w:tc>
          <w:tcPr>
            <w:tcW w:w="5386" w:type="dxa"/>
            <w:vAlign w:val="center"/>
          </w:tcPr>
          <w:p>
            <w:pPr>
              <w:pStyle w:val="13"/>
            </w:pPr>
            <w:r>
              <w:t>资金经费能够及时发放占总发放次数比率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托岗安置人数</w:t>
            </w:r>
          </w:p>
        </w:tc>
        <w:tc>
          <w:tcPr>
            <w:tcW w:w="5386" w:type="dxa"/>
            <w:vAlign w:val="center"/>
          </w:tcPr>
          <w:p>
            <w:pPr>
              <w:pStyle w:val="13"/>
            </w:pPr>
            <w:r>
              <w:t>托岗安置劳务派遣人数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保障退役军人工资正常发放及保险正常缴纳</w:t>
            </w:r>
          </w:p>
        </w:tc>
        <w:tc>
          <w:tcPr>
            <w:tcW w:w="5386" w:type="dxa"/>
            <w:vAlign w:val="center"/>
          </w:tcPr>
          <w:p>
            <w:pPr>
              <w:pStyle w:val="13"/>
            </w:pPr>
            <w:r>
              <w:t>有效保障人员工资及保险</w:t>
            </w:r>
          </w:p>
        </w:tc>
        <w:tc>
          <w:tcPr>
            <w:tcW w:w="2268" w:type="dxa"/>
            <w:vAlign w:val="center"/>
          </w:tcPr>
          <w:p>
            <w:pPr>
              <w:pStyle w:val="13"/>
            </w:pPr>
            <w:r>
              <w:t>确保人员工资及保险的缴纳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安置退役军人满意度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6.70</w:t>
            </w:r>
          </w:p>
        </w:tc>
        <w:tc>
          <w:tcPr>
            <w:tcW w:w="964" w:type="dxa"/>
            <w:vAlign w:val="center"/>
          </w:tcPr>
          <w:p>
            <w:pPr>
              <w:pStyle w:val="16"/>
            </w:pPr>
            <w:r>
              <w:t>6.70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中共石家庄市鹿泉区委政法委员会本级小计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6.70</w:t>
            </w:r>
          </w:p>
        </w:tc>
        <w:tc>
          <w:tcPr>
            <w:tcW w:w="964" w:type="dxa"/>
            <w:vAlign w:val="center"/>
          </w:tcPr>
          <w:p>
            <w:pPr>
              <w:pStyle w:val="16"/>
            </w:pPr>
            <w:r>
              <w:t>6.70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506.46</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506.46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506.46</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3</w:t>
            </w:r>
          </w:p>
        </w:tc>
        <w:tc>
          <w:tcPr>
            <w:tcW w:w="850" w:type="dxa"/>
            <w:vAlign w:val="center"/>
          </w:tcPr>
          <w:p>
            <w:pPr>
              <w:pStyle w:val="12"/>
            </w:pPr>
            <w:r>
              <w:t>0.55</w:t>
            </w:r>
          </w:p>
        </w:tc>
        <w:tc>
          <w:tcPr>
            <w:tcW w:w="964" w:type="dxa"/>
            <w:vAlign w:val="center"/>
          </w:tcPr>
          <w:p>
            <w:pPr>
              <w:pStyle w:val="12"/>
            </w:pPr>
            <w:r>
              <w:t>1.65</w:t>
            </w:r>
          </w:p>
        </w:tc>
        <w:tc>
          <w:tcPr>
            <w:tcW w:w="964" w:type="dxa"/>
            <w:vAlign w:val="center"/>
          </w:tcPr>
          <w:p>
            <w:pPr>
              <w:pStyle w:val="12"/>
            </w:pPr>
            <w:r>
              <w:t>1.65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18.60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0.45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0.20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中共石家庄市鹿泉区委政法委员会（含所属单位）上年末固定资产金额为4013.70万元（详见下表）。本年度拟购置固定资产总额为0.50万元，已按要求列入政府采购预算，详见政府采购预算表。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4013.70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9</w:t>
            </w:r>
          </w:p>
        </w:tc>
        <w:tc>
          <w:tcPr>
            <w:tcW w:w="2835" w:type="dxa"/>
            <w:vAlign w:val="center"/>
          </w:tcPr>
          <w:p>
            <w:pPr>
              <w:pStyle w:val="12"/>
            </w:pPr>
            <w:r>
              <w:t>3712.30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1519</w:t>
            </w:r>
          </w:p>
        </w:tc>
        <w:tc>
          <w:tcPr>
            <w:tcW w:w="2835" w:type="dxa"/>
            <w:vAlign w:val="center"/>
          </w:tcPr>
          <w:p>
            <w:pPr>
              <w:pStyle w:val="12"/>
            </w:pPr>
            <w:r>
              <w:t>277.45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25D0EDE"/>
    <w:rsid w:val="3B1E6597"/>
    <w:rsid w:val="43FB0864"/>
    <w:rsid w:val="59EB0A1E"/>
    <w:rsid w:val="5A7F1DD1"/>
    <w:rsid w:val="774935A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TotalTime>17</TotalTime>
  <ScaleCrop>false</ScaleCrop>
  <LinksUpToDate>false</LinksUpToDate>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2026-03-03T14:55:00Z</dcterms:created>
  <dc:creator>Administrator</dc:creator>
  <cp:lastModifiedBy>Administrator</cp:lastModifiedBy>
  <dcterms:modified xsi:type="dcterms:W3CDTF">2026-04-29T07:37:15Z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6E084DD7EBB343C1A023AB9A81427110</vt:lpwstr>
  </property>
</Properties>
</file>