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9"/>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9"/>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9"/>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29"/>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29"/>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29"/>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29"/>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29"/>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29"/>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9"/>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29"/>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29"/>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5</w:t>
      </w:r>
      <w:r>
        <w:fldChar w:fldCharType="end"/>
      </w:r>
      <w:r>
        <w:fldChar w:fldCharType="end"/>
      </w:r>
    </w:p>
    <w:p>
      <w:pPr>
        <w:pStyle w:val="29"/>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5</w:t>
      </w:r>
      <w:r>
        <w:fldChar w:fldCharType="end"/>
      </w:r>
      <w:r>
        <w:fldChar w:fldCharType="end"/>
      </w:r>
    </w:p>
    <w:p>
      <w:pPr>
        <w:pStyle w:val="29"/>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5</w:t>
      </w:r>
    </w:p>
    <w:p>
      <w:pPr>
        <w:pStyle w:val="29"/>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六、部门项目预算安排情况及绩效目标</w:t>
      </w:r>
      <w:r>
        <w:tab/>
      </w:r>
      <w:r>
        <w:rPr>
          <w:rFonts w:hint="eastAsia"/>
          <w:lang w:val="en-US" w:eastAsia="zh-CN"/>
        </w:rPr>
        <w:t>2</w:t>
      </w:r>
      <w:r>
        <w:fldChar w:fldCharType="end"/>
      </w:r>
      <w:r>
        <w:rPr>
          <w:rFonts w:hint="eastAsia"/>
          <w:lang w:val="en-US" w:eastAsia="zh-CN"/>
        </w:rPr>
        <w:t>9</w:t>
      </w:r>
    </w:p>
    <w:p>
      <w:pPr>
        <w:pStyle w:val="29"/>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七、政府采购预算情况</w:t>
      </w:r>
      <w:r>
        <w:tab/>
      </w:r>
      <w:r>
        <w:rPr>
          <w:rFonts w:hint="eastAsia"/>
          <w:lang w:val="en-US" w:eastAsia="zh-CN"/>
        </w:rPr>
        <w:t>1</w:t>
      </w:r>
      <w:r>
        <w:fldChar w:fldCharType="end"/>
      </w:r>
      <w:r>
        <w:rPr>
          <w:rFonts w:hint="eastAsia"/>
          <w:lang w:val="en-US" w:eastAsia="zh-CN"/>
        </w:rPr>
        <w:t>20</w:t>
      </w:r>
    </w:p>
    <w:p>
      <w:pPr>
        <w:pStyle w:val="29"/>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八、国有资产信息</w:t>
      </w:r>
      <w:r>
        <w:tab/>
      </w:r>
      <w:r>
        <w:rPr>
          <w:rFonts w:hint="eastAsia"/>
          <w:lang w:val="en-US" w:eastAsia="zh-CN"/>
        </w:rPr>
        <w:t>1</w:t>
      </w:r>
      <w:r>
        <w:fldChar w:fldCharType="end"/>
      </w:r>
      <w:r>
        <w:rPr>
          <w:rFonts w:hint="eastAsia"/>
          <w:lang w:val="en-US" w:eastAsia="zh-CN"/>
        </w:rPr>
        <w:t>25</w:t>
      </w:r>
    </w:p>
    <w:p>
      <w:pPr>
        <w:pStyle w:val="29"/>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九、名词解释</w:t>
      </w:r>
      <w:r>
        <w:tab/>
      </w:r>
      <w:r>
        <w:rPr>
          <w:rFonts w:hint="eastAsia"/>
          <w:lang w:val="en-US" w:eastAsia="zh-CN"/>
        </w:rPr>
        <w:t>1</w:t>
      </w:r>
      <w:r>
        <w:fldChar w:fldCharType="end"/>
      </w:r>
      <w:r>
        <w:rPr>
          <w:rFonts w:hint="eastAsia"/>
          <w:lang w:val="en-US" w:eastAsia="zh-CN"/>
        </w:rPr>
        <w:t>25</w:t>
      </w:r>
    </w:p>
    <w:p>
      <w:pPr>
        <w:pStyle w:val="29"/>
        <w:tabs>
          <w:tab w:val="right" w:leader="dot" w:pos="14562"/>
        </w:tabs>
      </w:pPr>
      <w:r>
        <w:fldChar w:fldCharType="begin"/>
      </w:r>
      <w:r>
        <w:instrText xml:space="preserve"> HYPERLINK \l "_Toc_3_3_0000000019" </w:instrText>
      </w:r>
      <w:r>
        <w:fldChar w:fldCharType="separate"/>
      </w:r>
      <w:r>
        <w:t>十、其他需要说明的事项</w:t>
      </w:r>
      <w:r>
        <w:tab/>
      </w:r>
      <w:r>
        <w:fldChar w:fldCharType="begin"/>
      </w:r>
      <w:r>
        <w:instrText xml:space="preserve">PAGEREF _Toc_3_3_0000000019 \h</w:instrText>
      </w:r>
      <w:r>
        <w:fldChar w:fldCharType="separate"/>
      </w:r>
      <w:r>
        <w:t>1</w:t>
      </w:r>
      <w:r>
        <w:rPr>
          <w:rFonts w:hint="eastAsia"/>
          <w:lang w:val="en-US" w:eastAsia="zh-CN"/>
        </w:rPr>
        <w:t>2</w:t>
      </w:r>
      <w:r>
        <w:t>7</w:t>
      </w:r>
      <w:r>
        <w:fldChar w:fldCharType="end"/>
      </w:r>
      <w:r>
        <w:fldChar w:fldCharType="end"/>
      </w:r>
    </w:p>
    <w:p>
      <w:pPr>
        <w:pStyle w:val="29"/>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15858.62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2707.00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939.22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163.16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9712.10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10906.78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521.13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18565.62</w:t>
            </w:r>
          </w:p>
        </w:tc>
        <w:tc>
          <w:tcPr>
            <w:tcW w:w="4535" w:type="dxa"/>
            <w:vAlign w:val="center"/>
          </w:tcPr>
          <w:p>
            <w:pPr>
              <w:pStyle w:val="16"/>
            </w:pPr>
            <w:r>
              <w:t>本年支出合计</w:t>
            </w:r>
          </w:p>
        </w:tc>
        <w:tc>
          <w:tcPr>
            <w:tcW w:w="2126" w:type="dxa"/>
            <w:vAlign w:val="center"/>
          </w:tcPr>
          <w:p>
            <w:pPr>
              <w:pStyle w:val="17"/>
            </w:pPr>
            <w:r>
              <w:t>22304.97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3739.36</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22304.97</w:t>
            </w:r>
          </w:p>
        </w:tc>
        <w:tc>
          <w:tcPr>
            <w:tcW w:w="4535" w:type="dxa"/>
            <w:vAlign w:val="center"/>
          </w:tcPr>
          <w:p>
            <w:pPr>
              <w:pStyle w:val="16"/>
            </w:pPr>
            <w:r>
              <w:t>支出总计</w:t>
            </w:r>
          </w:p>
        </w:tc>
        <w:tc>
          <w:tcPr>
            <w:tcW w:w="2126" w:type="dxa"/>
            <w:vAlign w:val="center"/>
          </w:tcPr>
          <w:p>
            <w:pPr>
              <w:pStyle w:val="17"/>
            </w:pPr>
            <w:r>
              <w:t>22304.97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22304.97</w:t>
            </w:r>
          </w:p>
        </w:tc>
        <w:tc>
          <w:tcPr>
            <w:tcW w:w="1134" w:type="dxa"/>
            <w:vAlign w:val="center"/>
          </w:tcPr>
          <w:p>
            <w:pPr>
              <w:pStyle w:val="17"/>
            </w:pPr>
            <w:r>
              <w:t>18565.62</w:t>
            </w:r>
          </w:p>
        </w:tc>
        <w:tc>
          <w:tcPr>
            <w:tcW w:w="1134" w:type="dxa"/>
            <w:vAlign w:val="center"/>
          </w:tcPr>
          <w:p>
            <w:pPr>
              <w:pStyle w:val="17"/>
            </w:pPr>
            <w:r>
              <w:t>18565.62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3739.36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939.22</w:t>
            </w:r>
          </w:p>
        </w:tc>
        <w:tc>
          <w:tcPr>
            <w:tcW w:w="1134" w:type="dxa"/>
            <w:vAlign w:val="center"/>
          </w:tcPr>
          <w:p>
            <w:pPr>
              <w:pStyle w:val="13"/>
            </w:pPr>
            <w:r>
              <w:t>939.22</w:t>
            </w:r>
          </w:p>
        </w:tc>
        <w:tc>
          <w:tcPr>
            <w:tcW w:w="1134" w:type="dxa"/>
            <w:vAlign w:val="center"/>
          </w:tcPr>
          <w:p>
            <w:pPr>
              <w:pStyle w:val="13"/>
            </w:pPr>
            <w:r>
              <w:t>939.22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714.66</w:t>
            </w:r>
          </w:p>
        </w:tc>
        <w:tc>
          <w:tcPr>
            <w:tcW w:w="1134" w:type="dxa"/>
            <w:vAlign w:val="center"/>
          </w:tcPr>
          <w:p>
            <w:pPr>
              <w:pStyle w:val="13"/>
            </w:pPr>
            <w:r>
              <w:t>714.66</w:t>
            </w:r>
          </w:p>
        </w:tc>
        <w:tc>
          <w:tcPr>
            <w:tcW w:w="1134" w:type="dxa"/>
            <w:vAlign w:val="center"/>
          </w:tcPr>
          <w:p>
            <w:pPr>
              <w:pStyle w:val="13"/>
            </w:pPr>
            <w:r>
              <w:t>714.66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111.20</w:t>
            </w:r>
          </w:p>
        </w:tc>
        <w:tc>
          <w:tcPr>
            <w:tcW w:w="1134" w:type="dxa"/>
            <w:vAlign w:val="center"/>
          </w:tcPr>
          <w:p>
            <w:pPr>
              <w:pStyle w:val="13"/>
            </w:pPr>
            <w:r>
              <w:t>111.20</w:t>
            </w:r>
          </w:p>
        </w:tc>
        <w:tc>
          <w:tcPr>
            <w:tcW w:w="1134" w:type="dxa"/>
            <w:vAlign w:val="center"/>
          </w:tcPr>
          <w:p>
            <w:pPr>
              <w:pStyle w:val="13"/>
            </w:pPr>
            <w:r>
              <w:t>111.20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273.89</w:t>
            </w:r>
          </w:p>
        </w:tc>
        <w:tc>
          <w:tcPr>
            <w:tcW w:w="1134" w:type="dxa"/>
            <w:vAlign w:val="center"/>
          </w:tcPr>
          <w:p>
            <w:pPr>
              <w:pStyle w:val="13"/>
            </w:pPr>
            <w:r>
              <w:t>273.89</w:t>
            </w:r>
          </w:p>
        </w:tc>
        <w:tc>
          <w:tcPr>
            <w:tcW w:w="1134" w:type="dxa"/>
            <w:vAlign w:val="center"/>
          </w:tcPr>
          <w:p>
            <w:pPr>
              <w:pStyle w:val="13"/>
            </w:pPr>
            <w:r>
              <w:t>273.89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244.30</w:t>
            </w:r>
          </w:p>
        </w:tc>
        <w:tc>
          <w:tcPr>
            <w:tcW w:w="1134" w:type="dxa"/>
            <w:vAlign w:val="center"/>
          </w:tcPr>
          <w:p>
            <w:pPr>
              <w:pStyle w:val="13"/>
            </w:pPr>
            <w:r>
              <w:t>244.30</w:t>
            </w:r>
          </w:p>
        </w:tc>
        <w:tc>
          <w:tcPr>
            <w:tcW w:w="1134" w:type="dxa"/>
            <w:vAlign w:val="center"/>
          </w:tcPr>
          <w:p>
            <w:pPr>
              <w:pStyle w:val="13"/>
            </w:pPr>
            <w:r>
              <w:t>244.30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85.26</w:t>
            </w:r>
          </w:p>
        </w:tc>
        <w:tc>
          <w:tcPr>
            <w:tcW w:w="1134" w:type="dxa"/>
            <w:vAlign w:val="center"/>
          </w:tcPr>
          <w:p>
            <w:pPr>
              <w:pStyle w:val="13"/>
            </w:pPr>
            <w:r>
              <w:t>85.26</w:t>
            </w:r>
          </w:p>
        </w:tc>
        <w:tc>
          <w:tcPr>
            <w:tcW w:w="1134" w:type="dxa"/>
            <w:vAlign w:val="center"/>
          </w:tcPr>
          <w:p>
            <w:pPr>
              <w:pStyle w:val="13"/>
            </w:pPr>
            <w:r>
              <w:t>85.26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224.56</w:t>
            </w:r>
          </w:p>
        </w:tc>
        <w:tc>
          <w:tcPr>
            <w:tcW w:w="1134" w:type="dxa"/>
            <w:vAlign w:val="center"/>
          </w:tcPr>
          <w:p>
            <w:pPr>
              <w:pStyle w:val="13"/>
            </w:pPr>
            <w:r>
              <w:t>224.56</w:t>
            </w:r>
          </w:p>
        </w:tc>
        <w:tc>
          <w:tcPr>
            <w:tcW w:w="1134" w:type="dxa"/>
            <w:vAlign w:val="center"/>
          </w:tcPr>
          <w:p>
            <w:pPr>
              <w:pStyle w:val="13"/>
            </w:pPr>
            <w:r>
              <w:t>224.56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224.56</w:t>
            </w:r>
          </w:p>
        </w:tc>
        <w:tc>
          <w:tcPr>
            <w:tcW w:w="1134" w:type="dxa"/>
            <w:vAlign w:val="center"/>
          </w:tcPr>
          <w:p>
            <w:pPr>
              <w:pStyle w:val="13"/>
            </w:pPr>
            <w:r>
              <w:t>224.56</w:t>
            </w:r>
          </w:p>
        </w:tc>
        <w:tc>
          <w:tcPr>
            <w:tcW w:w="1134" w:type="dxa"/>
            <w:vAlign w:val="center"/>
          </w:tcPr>
          <w:p>
            <w:pPr>
              <w:pStyle w:val="13"/>
            </w:pPr>
            <w:r>
              <w:t>224.56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163.16</w:t>
            </w:r>
          </w:p>
        </w:tc>
        <w:tc>
          <w:tcPr>
            <w:tcW w:w="1134" w:type="dxa"/>
            <w:vAlign w:val="center"/>
          </w:tcPr>
          <w:p>
            <w:pPr>
              <w:pStyle w:val="13"/>
            </w:pPr>
            <w:r>
              <w:t>163.16</w:t>
            </w:r>
          </w:p>
        </w:tc>
        <w:tc>
          <w:tcPr>
            <w:tcW w:w="1134" w:type="dxa"/>
            <w:vAlign w:val="center"/>
          </w:tcPr>
          <w:p>
            <w:pPr>
              <w:pStyle w:val="13"/>
            </w:pPr>
            <w:r>
              <w:t>163.16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163.16</w:t>
            </w:r>
          </w:p>
        </w:tc>
        <w:tc>
          <w:tcPr>
            <w:tcW w:w="1134" w:type="dxa"/>
            <w:vAlign w:val="center"/>
          </w:tcPr>
          <w:p>
            <w:pPr>
              <w:pStyle w:val="13"/>
            </w:pPr>
            <w:r>
              <w:t>163.16</w:t>
            </w:r>
          </w:p>
        </w:tc>
        <w:tc>
          <w:tcPr>
            <w:tcW w:w="1134" w:type="dxa"/>
            <w:vAlign w:val="center"/>
          </w:tcPr>
          <w:p>
            <w:pPr>
              <w:pStyle w:val="13"/>
            </w:pPr>
            <w:r>
              <w:t>163.16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17.32</w:t>
            </w:r>
          </w:p>
        </w:tc>
        <w:tc>
          <w:tcPr>
            <w:tcW w:w="1134" w:type="dxa"/>
            <w:vAlign w:val="center"/>
          </w:tcPr>
          <w:p>
            <w:pPr>
              <w:pStyle w:val="13"/>
            </w:pPr>
            <w:r>
              <w:t>17.32</w:t>
            </w:r>
          </w:p>
        </w:tc>
        <w:tc>
          <w:tcPr>
            <w:tcW w:w="1134" w:type="dxa"/>
            <w:vAlign w:val="center"/>
          </w:tcPr>
          <w:p>
            <w:pPr>
              <w:pStyle w:val="13"/>
            </w:pPr>
            <w:r>
              <w:t>17.32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145.84</w:t>
            </w:r>
          </w:p>
        </w:tc>
        <w:tc>
          <w:tcPr>
            <w:tcW w:w="1134" w:type="dxa"/>
            <w:vAlign w:val="center"/>
          </w:tcPr>
          <w:p>
            <w:pPr>
              <w:pStyle w:val="13"/>
            </w:pPr>
            <w:r>
              <w:t>145.84</w:t>
            </w:r>
          </w:p>
        </w:tc>
        <w:tc>
          <w:tcPr>
            <w:tcW w:w="1134" w:type="dxa"/>
            <w:vAlign w:val="center"/>
          </w:tcPr>
          <w:p>
            <w:pPr>
              <w:pStyle w:val="13"/>
            </w:pPr>
            <w:r>
              <w:t>145.84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9712.10</w:t>
            </w:r>
          </w:p>
        </w:tc>
        <w:tc>
          <w:tcPr>
            <w:tcW w:w="1134" w:type="dxa"/>
            <w:vAlign w:val="center"/>
          </w:tcPr>
          <w:p>
            <w:pPr>
              <w:pStyle w:val="13"/>
            </w:pPr>
            <w:r>
              <w:t>8287.61</w:t>
            </w:r>
          </w:p>
        </w:tc>
        <w:tc>
          <w:tcPr>
            <w:tcW w:w="1134" w:type="dxa"/>
            <w:vAlign w:val="center"/>
          </w:tcPr>
          <w:p>
            <w:pPr>
              <w:pStyle w:val="13"/>
            </w:pPr>
            <w:r>
              <w:t>8287.61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1424.49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9712.10</w:t>
            </w:r>
          </w:p>
        </w:tc>
        <w:tc>
          <w:tcPr>
            <w:tcW w:w="1134" w:type="dxa"/>
            <w:vAlign w:val="center"/>
          </w:tcPr>
          <w:p>
            <w:pPr>
              <w:pStyle w:val="13"/>
            </w:pPr>
            <w:r>
              <w:t>8287.61</w:t>
            </w:r>
          </w:p>
        </w:tc>
        <w:tc>
          <w:tcPr>
            <w:tcW w:w="1134" w:type="dxa"/>
            <w:vAlign w:val="center"/>
          </w:tcPr>
          <w:p>
            <w:pPr>
              <w:pStyle w:val="13"/>
            </w:pPr>
            <w:r>
              <w:t>8287.61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1424.49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8212.10</w:t>
            </w:r>
          </w:p>
        </w:tc>
        <w:tc>
          <w:tcPr>
            <w:tcW w:w="1134" w:type="dxa"/>
            <w:vAlign w:val="center"/>
          </w:tcPr>
          <w:p>
            <w:pPr>
              <w:pStyle w:val="13"/>
            </w:pPr>
            <w:r>
              <w:t>6787.61</w:t>
            </w:r>
          </w:p>
        </w:tc>
        <w:tc>
          <w:tcPr>
            <w:tcW w:w="1134" w:type="dxa"/>
            <w:vAlign w:val="center"/>
          </w:tcPr>
          <w:p>
            <w:pPr>
              <w:pStyle w:val="13"/>
            </w:pPr>
            <w:r>
              <w:t>6787.61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1424.49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2110302</w:t>
            </w:r>
          </w:p>
        </w:tc>
        <w:tc>
          <w:tcPr>
            <w:tcW w:w="1559" w:type="dxa"/>
            <w:vAlign w:val="center"/>
          </w:tcPr>
          <w:p>
            <w:pPr>
              <w:pStyle w:val="14"/>
            </w:pPr>
            <w:r>
              <w:t>水体</w:t>
            </w:r>
          </w:p>
        </w:tc>
        <w:tc>
          <w:tcPr>
            <w:tcW w:w="1134" w:type="dxa"/>
            <w:vAlign w:val="center"/>
          </w:tcPr>
          <w:p>
            <w:pPr>
              <w:pStyle w:val="13"/>
            </w:pPr>
            <w:r>
              <w:t>1500.00</w:t>
            </w:r>
          </w:p>
        </w:tc>
        <w:tc>
          <w:tcPr>
            <w:tcW w:w="1134" w:type="dxa"/>
            <w:vAlign w:val="center"/>
          </w:tcPr>
          <w:p>
            <w:pPr>
              <w:pStyle w:val="13"/>
            </w:pPr>
            <w:r>
              <w:t>1500.00</w:t>
            </w:r>
          </w:p>
        </w:tc>
        <w:tc>
          <w:tcPr>
            <w:tcW w:w="1134" w:type="dxa"/>
            <w:vAlign w:val="center"/>
          </w:tcPr>
          <w:p>
            <w:pPr>
              <w:pStyle w:val="13"/>
            </w:pPr>
            <w:r>
              <w:t>1500.00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10906.78</w:t>
            </w:r>
          </w:p>
        </w:tc>
        <w:tc>
          <w:tcPr>
            <w:tcW w:w="1134" w:type="dxa"/>
            <w:vAlign w:val="center"/>
          </w:tcPr>
          <w:p>
            <w:pPr>
              <w:pStyle w:val="13"/>
            </w:pPr>
            <w:r>
              <w:t>8782.50</w:t>
            </w:r>
          </w:p>
        </w:tc>
        <w:tc>
          <w:tcPr>
            <w:tcW w:w="1134" w:type="dxa"/>
            <w:vAlign w:val="center"/>
          </w:tcPr>
          <w:p>
            <w:pPr>
              <w:pStyle w:val="13"/>
            </w:pPr>
            <w:r>
              <w:t>8782.50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2124.28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21201</w:t>
            </w:r>
          </w:p>
        </w:tc>
        <w:tc>
          <w:tcPr>
            <w:tcW w:w="1559" w:type="dxa"/>
            <w:vAlign w:val="center"/>
          </w:tcPr>
          <w:p>
            <w:pPr>
              <w:pStyle w:val="14"/>
            </w:pPr>
            <w:r>
              <w:t>城乡社区管理事务</w:t>
            </w:r>
          </w:p>
        </w:tc>
        <w:tc>
          <w:tcPr>
            <w:tcW w:w="1134" w:type="dxa"/>
            <w:vAlign w:val="center"/>
          </w:tcPr>
          <w:p>
            <w:pPr>
              <w:pStyle w:val="13"/>
            </w:pPr>
            <w:r>
              <w:t>1645.11</w:t>
            </w:r>
          </w:p>
        </w:tc>
        <w:tc>
          <w:tcPr>
            <w:tcW w:w="1134" w:type="dxa"/>
            <w:vAlign w:val="center"/>
          </w:tcPr>
          <w:p>
            <w:pPr>
              <w:pStyle w:val="13"/>
            </w:pPr>
            <w:r>
              <w:t>1645.11</w:t>
            </w:r>
          </w:p>
        </w:tc>
        <w:tc>
          <w:tcPr>
            <w:tcW w:w="1134" w:type="dxa"/>
            <w:vAlign w:val="center"/>
          </w:tcPr>
          <w:p>
            <w:pPr>
              <w:pStyle w:val="13"/>
            </w:pPr>
            <w:r>
              <w:t>1645.11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2120101</w:t>
            </w:r>
          </w:p>
        </w:tc>
        <w:tc>
          <w:tcPr>
            <w:tcW w:w="1559" w:type="dxa"/>
            <w:vAlign w:val="center"/>
          </w:tcPr>
          <w:p>
            <w:pPr>
              <w:pStyle w:val="14"/>
            </w:pPr>
            <w:r>
              <w:t>行政运行</w:t>
            </w:r>
          </w:p>
        </w:tc>
        <w:tc>
          <w:tcPr>
            <w:tcW w:w="1134" w:type="dxa"/>
            <w:vAlign w:val="center"/>
          </w:tcPr>
          <w:p>
            <w:pPr>
              <w:pStyle w:val="13"/>
            </w:pPr>
            <w:r>
              <w:t>1370.59</w:t>
            </w:r>
          </w:p>
        </w:tc>
        <w:tc>
          <w:tcPr>
            <w:tcW w:w="1134" w:type="dxa"/>
            <w:vAlign w:val="center"/>
          </w:tcPr>
          <w:p>
            <w:pPr>
              <w:pStyle w:val="13"/>
            </w:pPr>
            <w:r>
              <w:t>1370.59</w:t>
            </w:r>
          </w:p>
        </w:tc>
        <w:tc>
          <w:tcPr>
            <w:tcW w:w="1134" w:type="dxa"/>
            <w:vAlign w:val="center"/>
          </w:tcPr>
          <w:p>
            <w:pPr>
              <w:pStyle w:val="13"/>
            </w:pPr>
            <w:r>
              <w:t>1370.59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2120102</w:t>
            </w:r>
          </w:p>
        </w:tc>
        <w:tc>
          <w:tcPr>
            <w:tcW w:w="1559" w:type="dxa"/>
            <w:vAlign w:val="center"/>
          </w:tcPr>
          <w:p>
            <w:pPr>
              <w:pStyle w:val="14"/>
            </w:pPr>
            <w:r>
              <w:t>一般行政管理事务</w:t>
            </w:r>
          </w:p>
        </w:tc>
        <w:tc>
          <w:tcPr>
            <w:tcW w:w="1134" w:type="dxa"/>
            <w:vAlign w:val="center"/>
          </w:tcPr>
          <w:p>
            <w:pPr>
              <w:pStyle w:val="13"/>
            </w:pPr>
            <w:r>
              <w:t>274.52</w:t>
            </w:r>
          </w:p>
        </w:tc>
        <w:tc>
          <w:tcPr>
            <w:tcW w:w="1134" w:type="dxa"/>
            <w:vAlign w:val="center"/>
          </w:tcPr>
          <w:p>
            <w:pPr>
              <w:pStyle w:val="13"/>
            </w:pPr>
            <w:r>
              <w:t>274.52</w:t>
            </w:r>
          </w:p>
        </w:tc>
        <w:tc>
          <w:tcPr>
            <w:tcW w:w="1134" w:type="dxa"/>
            <w:vAlign w:val="center"/>
          </w:tcPr>
          <w:p>
            <w:pPr>
              <w:pStyle w:val="13"/>
            </w:pPr>
            <w:r>
              <w:t>274.52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21203</w:t>
            </w:r>
          </w:p>
        </w:tc>
        <w:tc>
          <w:tcPr>
            <w:tcW w:w="1559" w:type="dxa"/>
            <w:vAlign w:val="center"/>
          </w:tcPr>
          <w:p>
            <w:pPr>
              <w:pStyle w:val="14"/>
            </w:pPr>
            <w:r>
              <w:t>城乡社区公共设施</w:t>
            </w:r>
          </w:p>
        </w:tc>
        <w:tc>
          <w:tcPr>
            <w:tcW w:w="1134" w:type="dxa"/>
            <w:vAlign w:val="center"/>
          </w:tcPr>
          <w:p>
            <w:pPr>
              <w:pStyle w:val="13"/>
            </w:pPr>
            <w:r>
              <w:t>2994.39</w:t>
            </w:r>
          </w:p>
        </w:tc>
        <w:tc>
          <w:tcPr>
            <w:tcW w:w="1134" w:type="dxa"/>
            <w:vAlign w:val="center"/>
          </w:tcPr>
          <w:p>
            <w:pPr>
              <w:pStyle w:val="13"/>
            </w:pPr>
            <w:r>
              <w:t>2994.39</w:t>
            </w:r>
          </w:p>
        </w:tc>
        <w:tc>
          <w:tcPr>
            <w:tcW w:w="1134" w:type="dxa"/>
            <w:vAlign w:val="center"/>
          </w:tcPr>
          <w:p>
            <w:pPr>
              <w:pStyle w:val="13"/>
            </w:pPr>
            <w:r>
              <w:t>2994.39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2120303</w:t>
            </w:r>
          </w:p>
        </w:tc>
        <w:tc>
          <w:tcPr>
            <w:tcW w:w="1559" w:type="dxa"/>
            <w:vAlign w:val="center"/>
          </w:tcPr>
          <w:p>
            <w:pPr>
              <w:pStyle w:val="14"/>
            </w:pPr>
            <w:r>
              <w:t>小城镇基础设施建设</w:t>
            </w:r>
          </w:p>
        </w:tc>
        <w:tc>
          <w:tcPr>
            <w:tcW w:w="1134" w:type="dxa"/>
            <w:vAlign w:val="center"/>
          </w:tcPr>
          <w:p>
            <w:pPr>
              <w:pStyle w:val="13"/>
            </w:pPr>
            <w:r>
              <w:t>1954.71</w:t>
            </w:r>
          </w:p>
        </w:tc>
        <w:tc>
          <w:tcPr>
            <w:tcW w:w="1134" w:type="dxa"/>
            <w:vAlign w:val="center"/>
          </w:tcPr>
          <w:p>
            <w:pPr>
              <w:pStyle w:val="13"/>
            </w:pPr>
            <w:r>
              <w:t>1954.71</w:t>
            </w:r>
          </w:p>
        </w:tc>
        <w:tc>
          <w:tcPr>
            <w:tcW w:w="1134" w:type="dxa"/>
            <w:vAlign w:val="center"/>
          </w:tcPr>
          <w:p>
            <w:pPr>
              <w:pStyle w:val="13"/>
            </w:pPr>
            <w:r>
              <w:t>1954.71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2120399</w:t>
            </w:r>
          </w:p>
        </w:tc>
        <w:tc>
          <w:tcPr>
            <w:tcW w:w="1559" w:type="dxa"/>
            <w:vAlign w:val="center"/>
          </w:tcPr>
          <w:p>
            <w:pPr>
              <w:pStyle w:val="14"/>
            </w:pPr>
            <w:r>
              <w:t>其他城乡社区公共设施支出</w:t>
            </w:r>
          </w:p>
        </w:tc>
        <w:tc>
          <w:tcPr>
            <w:tcW w:w="1134" w:type="dxa"/>
            <w:vAlign w:val="center"/>
          </w:tcPr>
          <w:p>
            <w:pPr>
              <w:pStyle w:val="13"/>
            </w:pPr>
            <w:r>
              <w:t>1039.68</w:t>
            </w:r>
          </w:p>
        </w:tc>
        <w:tc>
          <w:tcPr>
            <w:tcW w:w="1134" w:type="dxa"/>
            <w:vAlign w:val="center"/>
          </w:tcPr>
          <w:p>
            <w:pPr>
              <w:pStyle w:val="13"/>
            </w:pPr>
            <w:r>
              <w:t>1039.68</w:t>
            </w:r>
          </w:p>
        </w:tc>
        <w:tc>
          <w:tcPr>
            <w:tcW w:w="1134" w:type="dxa"/>
            <w:vAlign w:val="center"/>
          </w:tcPr>
          <w:p>
            <w:pPr>
              <w:pStyle w:val="13"/>
            </w:pPr>
            <w:r>
              <w:t>1039.68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21206</w:t>
            </w:r>
          </w:p>
        </w:tc>
        <w:tc>
          <w:tcPr>
            <w:tcW w:w="1559" w:type="dxa"/>
            <w:vAlign w:val="center"/>
          </w:tcPr>
          <w:p>
            <w:pPr>
              <w:pStyle w:val="14"/>
            </w:pPr>
            <w:r>
              <w:t>建设市场管理与监督</w:t>
            </w:r>
          </w:p>
        </w:tc>
        <w:tc>
          <w:tcPr>
            <w:tcW w:w="1134" w:type="dxa"/>
            <w:vAlign w:val="center"/>
          </w:tcPr>
          <w:p>
            <w:pPr>
              <w:pStyle w:val="13"/>
            </w:pPr>
            <w:r>
              <w:t>1436.01</w:t>
            </w:r>
          </w:p>
        </w:tc>
        <w:tc>
          <w:tcPr>
            <w:tcW w:w="1134" w:type="dxa"/>
            <w:vAlign w:val="center"/>
          </w:tcPr>
          <w:p>
            <w:pPr>
              <w:pStyle w:val="13"/>
            </w:pPr>
            <w:r>
              <w:t>1436.01</w:t>
            </w:r>
          </w:p>
        </w:tc>
        <w:tc>
          <w:tcPr>
            <w:tcW w:w="1134" w:type="dxa"/>
            <w:vAlign w:val="center"/>
          </w:tcPr>
          <w:p>
            <w:pPr>
              <w:pStyle w:val="13"/>
            </w:pPr>
            <w:r>
              <w:t>1436.01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2120601</w:t>
            </w:r>
          </w:p>
        </w:tc>
        <w:tc>
          <w:tcPr>
            <w:tcW w:w="1559" w:type="dxa"/>
            <w:vAlign w:val="center"/>
          </w:tcPr>
          <w:p>
            <w:pPr>
              <w:pStyle w:val="14"/>
            </w:pPr>
            <w:r>
              <w:t>建设市场管理与监督</w:t>
            </w:r>
          </w:p>
        </w:tc>
        <w:tc>
          <w:tcPr>
            <w:tcW w:w="1134" w:type="dxa"/>
            <w:vAlign w:val="center"/>
          </w:tcPr>
          <w:p>
            <w:pPr>
              <w:pStyle w:val="13"/>
            </w:pPr>
            <w:r>
              <w:t>1436.01</w:t>
            </w:r>
          </w:p>
        </w:tc>
        <w:tc>
          <w:tcPr>
            <w:tcW w:w="1134" w:type="dxa"/>
            <w:vAlign w:val="center"/>
          </w:tcPr>
          <w:p>
            <w:pPr>
              <w:pStyle w:val="13"/>
            </w:pPr>
            <w:r>
              <w:t>1436.01</w:t>
            </w:r>
          </w:p>
        </w:tc>
        <w:tc>
          <w:tcPr>
            <w:tcW w:w="1134" w:type="dxa"/>
            <w:vAlign w:val="center"/>
          </w:tcPr>
          <w:p>
            <w:pPr>
              <w:pStyle w:val="13"/>
            </w:pPr>
            <w:r>
              <w:t>1436.01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2707.00</w:t>
            </w:r>
          </w:p>
        </w:tc>
        <w:tc>
          <w:tcPr>
            <w:tcW w:w="1134" w:type="dxa"/>
            <w:vAlign w:val="center"/>
          </w:tcPr>
          <w:p>
            <w:pPr>
              <w:pStyle w:val="13"/>
            </w:pPr>
            <w:r>
              <w:t>2707.00</w:t>
            </w:r>
          </w:p>
        </w:tc>
        <w:tc>
          <w:tcPr>
            <w:tcW w:w="1134" w:type="dxa"/>
            <w:vAlign w:val="center"/>
          </w:tcPr>
          <w:p>
            <w:pPr>
              <w:pStyle w:val="13"/>
            </w:pPr>
            <w:r>
              <w:t>2707.00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877.09</w:t>
            </w:r>
          </w:p>
        </w:tc>
        <w:tc>
          <w:tcPr>
            <w:tcW w:w="1134" w:type="dxa"/>
            <w:vAlign w:val="center"/>
          </w:tcPr>
          <w:p>
            <w:pPr>
              <w:pStyle w:val="13"/>
            </w:pPr>
            <w:r>
              <w:t>877.09</w:t>
            </w:r>
          </w:p>
        </w:tc>
        <w:tc>
          <w:tcPr>
            <w:tcW w:w="1134" w:type="dxa"/>
            <w:vAlign w:val="center"/>
          </w:tcPr>
          <w:p>
            <w:pPr>
              <w:pStyle w:val="13"/>
            </w:pPr>
            <w:r>
              <w:t>877.09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2120803</w:t>
            </w:r>
          </w:p>
        </w:tc>
        <w:tc>
          <w:tcPr>
            <w:tcW w:w="1559" w:type="dxa"/>
            <w:vAlign w:val="center"/>
          </w:tcPr>
          <w:p>
            <w:pPr>
              <w:pStyle w:val="14"/>
            </w:pPr>
            <w:r>
              <w:t>城市建设支出</w:t>
            </w:r>
          </w:p>
        </w:tc>
        <w:tc>
          <w:tcPr>
            <w:tcW w:w="1134" w:type="dxa"/>
            <w:vAlign w:val="center"/>
          </w:tcPr>
          <w:p>
            <w:pPr>
              <w:pStyle w:val="13"/>
            </w:pPr>
            <w:r>
              <w:t>1329.91</w:t>
            </w:r>
          </w:p>
        </w:tc>
        <w:tc>
          <w:tcPr>
            <w:tcW w:w="1134" w:type="dxa"/>
            <w:vAlign w:val="center"/>
          </w:tcPr>
          <w:p>
            <w:pPr>
              <w:pStyle w:val="13"/>
            </w:pPr>
            <w:r>
              <w:t>1329.91</w:t>
            </w:r>
          </w:p>
        </w:tc>
        <w:tc>
          <w:tcPr>
            <w:tcW w:w="1134" w:type="dxa"/>
            <w:vAlign w:val="center"/>
          </w:tcPr>
          <w:p>
            <w:pPr>
              <w:pStyle w:val="13"/>
            </w:pPr>
            <w:r>
              <w:t>1329.91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2120807</w:t>
            </w:r>
          </w:p>
        </w:tc>
        <w:tc>
          <w:tcPr>
            <w:tcW w:w="1559" w:type="dxa"/>
            <w:vAlign w:val="center"/>
          </w:tcPr>
          <w:p>
            <w:pPr>
              <w:pStyle w:val="14"/>
            </w:pPr>
            <w:r>
              <w:t>廉租住房支出</w:t>
            </w:r>
          </w:p>
        </w:tc>
        <w:tc>
          <w:tcPr>
            <w:tcW w:w="1134" w:type="dxa"/>
            <w:vAlign w:val="center"/>
          </w:tcPr>
          <w:p>
            <w:pPr>
              <w:pStyle w:val="13"/>
            </w:pPr>
            <w:r>
              <w:t>500.00</w:t>
            </w:r>
          </w:p>
        </w:tc>
        <w:tc>
          <w:tcPr>
            <w:tcW w:w="1134" w:type="dxa"/>
            <w:vAlign w:val="center"/>
          </w:tcPr>
          <w:p>
            <w:pPr>
              <w:pStyle w:val="13"/>
            </w:pPr>
            <w:r>
              <w:t>500.00</w:t>
            </w:r>
          </w:p>
        </w:tc>
        <w:tc>
          <w:tcPr>
            <w:tcW w:w="1134" w:type="dxa"/>
            <w:vAlign w:val="center"/>
          </w:tcPr>
          <w:p>
            <w:pPr>
              <w:pStyle w:val="13"/>
            </w:pPr>
            <w:r>
              <w:t>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21216</w:t>
            </w:r>
          </w:p>
        </w:tc>
        <w:tc>
          <w:tcPr>
            <w:tcW w:w="1559" w:type="dxa"/>
            <w:vAlign w:val="center"/>
          </w:tcPr>
          <w:p>
            <w:pPr>
              <w:pStyle w:val="14"/>
            </w:pPr>
            <w:r>
              <w:t>棚户区改造专项债券收入安排的支出</w:t>
            </w:r>
          </w:p>
        </w:tc>
        <w:tc>
          <w:tcPr>
            <w:tcW w:w="1134" w:type="dxa"/>
            <w:vAlign w:val="center"/>
          </w:tcPr>
          <w:p>
            <w:pPr>
              <w:pStyle w:val="13"/>
            </w:pPr>
            <w:r>
              <w:t>2115.00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2121699</w:t>
            </w:r>
          </w:p>
        </w:tc>
        <w:tc>
          <w:tcPr>
            <w:tcW w:w="1559" w:type="dxa"/>
            <w:vAlign w:val="center"/>
          </w:tcPr>
          <w:p>
            <w:pPr>
              <w:pStyle w:val="14"/>
            </w:pPr>
            <w:r>
              <w:t>其他棚户区改造专项债券收入安排的支出</w:t>
            </w:r>
          </w:p>
        </w:tc>
        <w:tc>
          <w:tcPr>
            <w:tcW w:w="1134" w:type="dxa"/>
            <w:vAlign w:val="center"/>
          </w:tcPr>
          <w:p>
            <w:pPr>
              <w:pStyle w:val="13"/>
            </w:pPr>
            <w:r>
              <w:t>2115.00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2115.00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21298</w:t>
            </w:r>
          </w:p>
        </w:tc>
        <w:tc>
          <w:tcPr>
            <w:tcW w:w="1559" w:type="dxa"/>
            <w:vAlign w:val="center"/>
          </w:tcPr>
          <w:p>
            <w:pPr>
              <w:pStyle w:val="14"/>
            </w:pPr>
            <w:r>
              <w:t>超长期特别国债安排的支出</w:t>
            </w:r>
          </w:p>
        </w:tc>
        <w:tc>
          <w:tcPr>
            <w:tcW w:w="1134" w:type="dxa"/>
            <w:vAlign w:val="center"/>
          </w:tcPr>
          <w:p>
            <w:pPr>
              <w:pStyle w:val="13"/>
            </w:pPr>
            <w:r>
              <w:t>9.28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2129801</w:t>
            </w:r>
          </w:p>
        </w:tc>
        <w:tc>
          <w:tcPr>
            <w:tcW w:w="1559" w:type="dxa"/>
            <w:vAlign w:val="center"/>
          </w:tcPr>
          <w:p>
            <w:pPr>
              <w:pStyle w:val="14"/>
            </w:pPr>
            <w:r>
              <w:t>城乡社区公共设施</w:t>
            </w:r>
          </w:p>
        </w:tc>
        <w:tc>
          <w:tcPr>
            <w:tcW w:w="1134" w:type="dxa"/>
            <w:vAlign w:val="center"/>
          </w:tcPr>
          <w:p>
            <w:pPr>
              <w:pStyle w:val="13"/>
            </w:pPr>
            <w:r>
              <w:t>9.28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9.28</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49.00</w:t>
            </w:r>
          </w:p>
        </w:tc>
        <w:tc>
          <w:tcPr>
            <w:tcW w:w="1134" w:type="dxa"/>
            <w:vAlign w:val="center"/>
          </w:tcPr>
          <w:p>
            <w:pPr>
              <w:pStyle w:val="13"/>
            </w:pPr>
            <w:r>
              <w:t>49.00</w:t>
            </w:r>
          </w:p>
        </w:tc>
        <w:tc>
          <w:tcPr>
            <w:tcW w:w="1134" w:type="dxa"/>
            <w:vAlign w:val="center"/>
          </w:tcPr>
          <w:p>
            <w:pPr>
              <w:pStyle w:val="13"/>
            </w:pPr>
            <w:r>
              <w:t>49.00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49.00</w:t>
            </w:r>
          </w:p>
        </w:tc>
        <w:tc>
          <w:tcPr>
            <w:tcW w:w="1134" w:type="dxa"/>
            <w:vAlign w:val="center"/>
          </w:tcPr>
          <w:p>
            <w:pPr>
              <w:pStyle w:val="13"/>
            </w:pPr>
            <w:r>
              <w:t>49.00</w:t>
            </w:r>
          </w:p>
        </w:tc>
        <w:tc>
          <w:tcPr>
            <w:tcW w:w="1134" w:type="dxa"/>
            <w:vAlign w:val="center"/>
          </w:tcPr>
          <w:p>
            <w:pPr>
              <w:pStyle w:val="13"/>
            </w:pPr>
            <w:r>
              <w:t>49.00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2130126</w:t>
            </w:r>
          </w:p>
        </w:tc>
        <w:tc>
          <w:tcPr>
            <w:tcW w:w="1559" w:type="dxa"/>
            <w:vAlign w:val="center"/>
          </w:tcPr>
          <w:p>
            <w:pPr>
              <w:pStyle w:val="14"/>
            </w:pPr>
            <w:r>
              <w:t>农村社会事业</w:t>
            </w:r>
          </w:p>
        </w:tc>
        <w:tc>
          <w:tcPr>
            <w:tcW w:w="1134" w:type="dxa"/>
            <w:vAlign w:val="center"/>
          </w:tcPr>
          <w:p>
            <w:pPr>
              <w:pStyle w:val="13"/>
            </w:pPr>
            <w:r>
              <w:t>49.00</w:t>
            </w:r>
          </w:p>
        </w:tc>
        <w:tc>
          <w:tcPr>
            <w:tcW w:w="1134" w:type="dxa"/>
            <w:vAlign w:val="center"/>
          </w:tcPr>
          <w:p>
            <w:pPr>
              <w:pStyle w:val="13"/>
            </w:pPr>
            <w:r>
              <w:t>49.00</w:t>
            </w:r>
          </w:p>
        </w:tc>
        <w:tc>
          <w:tcPr>
            <w:tcW w:w="1134" w:type="dxa"/>
            <w:vAlign w:val="center"/>
          </w:tcPr>
          <w:p>
            <w:pPr>
              <w:pStyle w:val="13"/>
            </w:pPr>
            <w:r>
              <w:t>49.00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521.13</w:t>
            </w:r>
          </w:p>
        </w:tc>
        <w:tc>
          <w:tcPr>
            <w:tcW w:w="1134" w:type="dxa"/>
            <w:vAlign w:val="center"/>
          </w:tcPr>
          <w:p>
            <w:pPr>
              <w:pStyle w:val="13"/>
            </w:pPr>
            <w:r>
              <w:t>344.13</w:t>
            </w:r>
          </w:p>
        </w:tc>
        <w:tc>
          <w:tcPr>
            <w:tcW w:w="1134" w:type="dxa"/>
            <w:vAlign w:val="center"/>
          </w:tcPr>
          <w:p>
            <w:pPr>
              <w:pStyle w:val="13"/>
            </w:pPr>
            <w:r>
              <w:t>344.13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22101</w:t>
            </w:r>
          </w:p>
        </w:tc>
        <w:tc>
          <w:tcPr>
            <w:tcW w:w="1559" w:type="dxa"/>
            <w:vAlign w:val="center"/>
          </w:tcPr>
          <w:p>
            <w:pPr>
              <w:pStyle w:val="14"/>
            </w:pPr>
            <w:r>
              <w:t>保障性安居工程支出</w:t>
            </w:r>
          </w:p>
        </w:tc>
        <w:tc>
          <w:tcPr>
            <w:tcW w:w="1134" w:type="dxa"/>
            <w:vAlign w:val="center"/>
          </w:tcPr>
          <w:p>
            <w:pPr>
              <w:pStyle w:val="13"/>
            </w:pPr>
            <w:r>
              <w:t>294.89</w:t>
            </w:r>
          </w:p>
        </w:tc>
        <w:tc>
          <w:tcPr>
            <w:tcW w:w="1134" w:type="dxa"/>
            <w:vAlign w:val="center"/>
          </w:tcPr>
          <w:p>
            <w:pPr>
              <w:pStyle w:val="13"/>
            </w:pPr>
            <w:r>
              <w:t>117.89</w:t>
            </w:r>
          </w:p>
        </w:tc>
        <w:tc>
          <w:tcPr>
            <w:tcW w:w="1134" w:type="dxa"/>
            <w:vAlign w:val="center"/>
          </w:tcPr>
          <w:p>
            <w:pPr>
              <w:pStyle w:val="13"/>
            </w:pPr>
            <w:r>
              <w:t>117.89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2210103</w:t>
            </w:r>
          </w:p>
        </w:tc>
        <w:tc>
          <w:tcPr>
            <w:tcW w:w="1559" w:type="dxa"/>
            <w:vAlign w:val="center"/>
          </w:tcPr>
          <w:p>
            <w:pPr>
              <w:pStyle w:val="14"/>
            </w:pPr>
            <w:r>
              <w:t>棚户区改造</w:t>
            </w:r>
          </w:p>
        </w:tc>
        <w:tc>
          <w:tcPr>
            <w:tcW w:w="1134" w:type="dxa"/>
            <w:vAlign w:val="center"/>
          </w:tcPr>
          <w:p>
            <w:pPr>
              <w:pStyle w:val="13"/>
            </w:pPr>
            <w:r>
              <w:t>188.00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2210105</w:t>
            </w:r>
          </w:p>
        </w:tc>
        <w:tc>
          <w:tcPr>
            <w:tcW w:w="1559" w:type="dxa"/>
            <w:vAlign w:val="center"/>
          </w:tcPr>
          <w:p>
            <w:pPr>
              <w:pStyle w:val="14"/>
            </w:pPr>
            <w:r>
              <w:t>农村危房改造</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42</w:t>
            </w:r>
          </w:p>
        </w:tc>
        <w:tc>
          <w:tcPr>
            <w:tcW w:w="992" w:type="dxa"/>
            <w:vAlign w:val="center"/>
          </w:tcPr>
          <w:p>
            <w:pPr>
              <w:pStyle w:val="14"/>
            </w:pPr>
            <w:r>
              <w:t>2210111</w:t>
            </w:r>
          </w:p>
        </w:tc>
        <w:tc>
          <w:tcPr>
            <w:tcW w:w="1559" w:type="dxa"/>
            <w:vAlign w:val="center"/>
          </w:tcPr>
          <w:p>
            <w:pPr>
              <w:pStyle w:val="14"/>
            </w:pPr>
            <w:r>
              <w:t>配租型住房保障</w:t>
            </w:r>
          </w:p>
        </w:tc>
        <w:tc>
          <w:tcPr>
            <w:tcW w:w="1134" w:type="dxa"/>
            <w:vAlign w:val="center"/>
          </w:tcPr>
          <w:p>
            <w:pPr>
              <w:pStyle w:val="13"/>
            </w:pPr>
            <w:r>
              <w:t>66.89</w:t>
            </w:r>
          </w:p>
        </w:tc>
        <w:tc>
          <w:tcPr>
            <w:tcW w:w="1134" w:type="dxa"/>
            <w:vAlign w:val="center"/>
          </w:tcPr>
          <w:p>
            <w:pPr>
              <w:pStyle w:val="13"/>
            </w:pPr>
            <w:r>
              <w:t>66.89</w:t>
            </w:r>
          </w:p>
        </w:tc>
        <w:tc>
          <w:tcPr>
            <w:tcW w:w="1134" w:type="dxa"/>
            <w:vAlign w:val="center"/>
          </w:tcPr>
          <w:p>
            <w:pPr>
              <w:pStyle w:val="13"/>
            </w:pPr>
            <w:r>
              <w:t>66.89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43</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226.24</w:t>
            </w:r>
          </w:p>
        </w:tc>
        <w:tc>
          <w:tcPr>
            <w:tcW w:w="1134" w:type="dxa"/>
            <w:vAlign w:val="center"/>
          </w:tcPr>
          <w:p>
            <w:pPr>
              <w:pStyle w:val="13"/>
            </w:pPr>
            <w:r>
              <w:t>226.24</w:t>
            </w:r>
          </w:p>
        </w:tc>
        <w:tc>
          <w:tcPr>
            <w:tcW w:w="1134" w:type="dxa"/>
            <w:vAlign w:val="center"/>
          </w:tcPr>
          <w:p>
            <w:pPr>
              <w:pStyle w:val="13"/>
            </w:pPr>
            <w:r>
              <w:t>226.24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44</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226.24</w:t>
            </w:r>
          </w:p>
        </w:tc>
        <w:tc>
          <w:tcPr>
            <w:tcW w:w="1134" w:type="dxa"/>
            <w:vAlign w:val="center"/>
          </w:tcPr>
          <w:p>
            <w:pPr>
              <w:pStyle w:val="13"/>
            </w:pPr>
            <w:r>
              <w:t>226.24</w:t>
            </w:r>
          </w:p>
        </w:tc>
        <w:tc>
          <w:tcPr>
            <w:tcW w:w="1134" w:type="dxa"/>
            <w:vAlign w:val="center"/>
          </w:tcPr>
          <w:p>
            <w:pPr>
              <w:pStyle w:val="13"/>
            </w:pPr>
            <w:r>
              <w:t>226.24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45</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13.59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46</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13.59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47</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13.59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13.59</w:t>
            </w: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22304.97</w:t>
            </w:r>
          </w:p>
        </w:tc>
        <w:tc>
          <w:tcPr>
            <w:tcW w:w="1361" w:type="dxa"/>
            <w:vAlign w:val="center"/>
          </w:tcPr>
          <w:p>
            <w:pPr>
              <w:pStyle w:val="17"/>
            </w:pPr>
            <w:r>
              <w:t>3734.25</w:t>
            </w:r>
          </w:p>
        </w:tc>
        <w:tc>
          <w:tcPr>
            <w:tcW w:w="1361" w:type="dxa"/>
            <w:vAlign w:val="center"/>
          </w:tcPr>
          <w:p>
            <w:pPr>
              <w:pStyle w:val="17"/>
            </w:pPr>
            <w:r>
              <w:t>18570.73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939.22</w:t>
            </w:r>
          </w:p>
        </w:tc>
        <w:tc>
          <w:tcPr>
            <w:tcW w:w="1361" w:type="dxa"/>
            <w:vAlign w:val="center"/>
          </w:tcPr>
          <w:p>
            <w:pPr>
              <w:pStyle w:val="13"/>
            </w:pPr>
            <w:r>
              <w:t>714.66</w:t>
            </w:r>
          </w:p>
        </w:tc>
        <w:tc>
          <w:tcPr>
            <w:tcW w:w="1361" w:type="dxa"/>
            <w:vAlign w:val="center"/>
          </w:tcPr>
          <w:p>
            <w:pPr>
              <w:pStyle w:val="13"/>
            </w:pPr>
            <w:r>
              <w:t>224.56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714.66</w:t>
            </w:r>
          </w:p>
        </w:tc>
        <w:tc>
          <w:tcPr>
            <w:tcW w:w="1361" w:type="dxa"/>
            <w:vAlign w:val="center"/>
          </w:tcPr>
          <w:p>
            <w:pPr>
              <w:pStyle w:val="13"/>
            </w:pPr>
            <w:r>
              <w:t>714.66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111.20</w:t>
            </w:r>
          </w:p>
        </w:tc>
        <w:tc>
          <w:tcPr>
            <w:tcW w:w="1361" w:type="dxa"/>
            <w:vAlign w:val="center"/>
          </w:tcPr>
          <w:p>
            <w:pPr>
              <w:pStyle w:val="13"/>
            </w:pPr>
            <w:r>
              <w:t>111.20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273.89</w:t>
            </w:r>
          </w:p>
        </w:tc>
        <w:tc>
          <w:tcPr>
            <w:tcW w:w="1361" w:type="dxa"/>
            <w:vAlign w:val="center"/>
          </w:tcPr>
          <w:p>
            <w:pPr>
              <w:pStyle w:val="13"/>
            </w:pPr>
            <w:r>
              <w:t>273.89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244.30</w:t>
            </w:r>
          </w:p>
        </w:tc>
        <w:tc>
          <w:tcPr>
            <w:tcW w:w="1361" w:type="dxa"/>
            <w:vAlign w:val="center"/>
          </w:tcPr>
          <w:p>
            <w:pPr>
              <w:pStyle w:val="13"/>
            </w:pPr>
            <w:r>
              <w:t>244.30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85.26</w:t>
            </w:r>
          </w:p>
        </w:tc>
        <w:tc>
          <w:tcPr>
            <w:tcW w:w="1361" w:type="dxa"/>
            <w:vAlign w:val="center"/>
          </w:tcPr>
          <w:p>
            <w:pPr>
              <w:pStyle w:val="13"/>
            </w:pPr>
            <w:r>
              <w:t>85.26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224.56</w:t>
            </w:r>
          </w:p>
        </w:tc>
        <w:tc>
          <w:tcPr>
            <w:tcW w:w="1361" w:type="dxa"/>
            <w:vAlign w:val="center"/>
          </w:tcPr>
          <w:p>
            <w:pPr>
              <w:pStyle w:val="13"/>
            </w:pPr>
          </w:p>
        </w:tc>
        <w:tc>
          <w:tcPr>
            <w:tcW w:w="1361" w:type="dxa"/>
            <w:vAlign w:val="center"/>
          </w:tcPr>
          <w:p>
            <w:pPr>
              <w:pStyle w:val="13"/>
            </w:pPr>
            <w:r>
              <w:t>224.56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2080901</w:t>
            </w:r>
          </w:p>
        </w:tc>
        <w:tc>
          <w:tcPr>
            <w:tcW w:w="4535" w:type="dxa"/>
            <w:vAlign w:val="center"/>
          </w:tcPr>
          <w:p>
            <w:pPr>
              <w:pStyle w:val="14"/>
            </w:pPr>
            <w:r>
              <w:t>退役士兵安置</w:t>
            </w:r>
          </w:p>
        </w:tc>
        <w:tc>
          <w:tcPr>
            <w:tcW w:w="1361" w:type="dxa"/>
            <w:vAlign w:val="center"/>
          </w:tcPr>
          <w:p>
            <w:pPr>
              <w:pStyle w:val="13"/>
            </w:pPr>
            <w:r>
              <w:t>224.56</w:t>
            </w:r>
          </w:p>
        </w:tc>
        <w:tc>
          <w:tcPr>
            <w:tcW w:w="1361" w:type="dxa"/>
            <w:vAlign w:val="center"/>
          </w:tcPr>
          <w:p>
            <w:pPr>
              <w:pStyle w:val="13"/>
            </w:pPr>
          </w:p>
        </w:tc>
        <w:tc>
          <w:tcPr>
            <w:tcW w:w="1361" w:type="dxa"/>
            <w:vAlign w:val="center"/>
          </w:tcPr>
          <w:p>
            <w:pPr>
              <w:pStyle w:val="13"/>
            </w:pPr>
            <w:r>
              <w:t>224.56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163.16</w:t>
            </w:r>
          </w:p>
        </w:tc>
        <w:tc>
          <w:tcPr>
            <w:tcW w:w="1361" w:type="dxa"/>
            <w:vAlign w:val="center"/>
          </w:tcPr>
          <w:p>
            <w:pPr>
              <w:pStyle w:val="13"/>
            </w:pPr>
            <w:r>
              <w:t>163.16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163.16</w:t>
            </w:r>
          </w:p>
        </w:tc>
        <w:tc>
          <w:tcPr>
            <w:tcW w:w="1361" w:type="dxa"/>
            <w:vAlign w:val="center"/>
          </w:tcPr>
          <w:p>
            <w:pPr>
              <w:pStyle w:val="13"/>
            </w:pPr>
            <w:r>
              <w:t>163.16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17.32</w:t>
            </w:r>
          </w:p>
        </w:tc>
        <w:tc>
          <w:tcPr>
            <w:tcW w:w="1361" w:type="dxa"/>
            <w:vAlign w:val="center"/>
          </w:tcPr>
          <w:p>
            <w:pPr>
              <w:pStyle w:val="13"/>
            </w:pPr>
            <w:r>
              <w:t>17.32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145.84</w:t>
            </w:r>
          </w:p>
        </w:tc>
        <w:tc>
          <w:tcPr>
            <w:tcW w:w="1361" w:type="dxa"/>
            <w:vAlign w:val="center"/>
          </w:tcPr>
          <w:p>
            <w:pPr>
              <w:pStyle w:val="13"/>
            </w:pPr>
            <w:r>
              <w:t>145.84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9712.10</w:t>
            </w:r>
          </w:p>
        </w:tc>
        <w:tc>
          <w:tcPr>
            <w:tcW w:w="1361" w:type="dxa"/>
            <w:vAlign w:val="center"/>
          </w:tcPr>
          <w:p>
            <w:pPr>
              <w:pStyle w:val="13"/>
            </w:pPr>
          </w:p>
        </w:tc>
        <w:tc>
          <w:tcPr>
            <w:tcW w:w="1361" w:type="dxa"/>
            <w:vAlign w:val="center"/>
          </w:tcPr>
          <w:p>
            <w:pPr>
              <w:pStyle w:val="13"/>
            </w:pPr>
            <w:r>
              <w:t>9712.10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9712.10</w:t>
            </w:r>
          </w:p>
        </w:tc>
        <w:tc>
          <w:tcPr>
            <w:tcW w:w="1361" w:type="dxa"/>
            <w:vAlign w:val="center"/>
          </w:tcPr>
          <w:p>
            <w:pPr>
              <w:pStyle w:val="13"/>
            </w:pPr>
          </w:p>
        </w:tc>
        <w:tc>
          <w:tcPr>
            <w:tcW w:w="1361" w:type="dxa"/>
            <w:vAlign w:val="center"/>
          </w:tcPr>
          <w:p>
            <w:pPr>
              <w:pStyle w:val="13"/>
            </w:pPr>
            <w:r>
              <w:t>9712.10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8212.10</w:t>
            </w:r>
          </w:p>
        </w:tc>
        <w:tc>
          <w:tcPr>
            <w:tcW w:w="1361" w:type="dxa"/>
            <w:vAlign w:val="center"/>
          </w:tcPr>
          <w:p>
            <w:pPr>
              <w:pStyle w:val="13"/>
            </w:pPr>
          </w:p>
        </w:tc>
        <w:tc>
          <w:tcPr>
            <w:tcW w:w="1361" w:type="dxa"/>
            <w:vAlign w:val="center"/>
          </w:tcPr>
          <w:p>
            <w:pPr>
              <w:pStyle w:val="13"/>
            </w:pPr>
            <w:r>
              <w:t>8212.10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2110302</w:t>
            </w:r>
          </w:p>
        </w:tc>
        <w:tc>
          <w:tcPr>
            <w:tcW w:w="4535" w:type="dxa"/>
            <w:vAlign w:val="center"/>
          </w:tcPr>
          <w:p>
            <w:pPr>
              <w:pStyle w:val="14"/>
            </w:pPr>
            <w:r>
              <w:t>水体</w:t>
            </w:r>
          </w:p>
        </w:tc>
        <w:tc>
          <w:tcPr>
            <w:tcW w:w="1361" w:type="dxa"/>
            <w:vAlign w:val="center"/>
          </w:tcPr>
          <w:p>
            <w:pPr>
              <w:pStyle w:val="13"/>
            </w:pPr>
            <w:r>
              <w:t>1500.00</w:t>
            </w:r>
          </w:p>
        </w:tc>
        <w:tc>
          <w:tcPr>
            <w:tcW w:w="1361" w:type="dxa"/>
            <w:vAlign w:val="center"/>
          </w:tcPr>
          <w:p>
            <w:pPr>
              <w:pStyle w:val="13"/>
            </w:pPr>
          </w:p>
        </w:tc>
        <w:tc>
          <w:tcPr>
            <w:tcW w:w="1361" w:type="dxa"/>
            <w:vAlign w:val="center"/>
          </w:tcPr>
          <w:p>
            <w:pPr>
              <w:pStyle w:val="13"/>
            </w:pPr>
            <w:r>
              <w:t>1500.00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10906.78</w:t>
            </w:r>
          </w:p>
        </w:tc>
        <w:tc>
          <w:tcPr>
            <w:tcW w:w="1361" w:type="dxa"/>
            <w:vAlign w:val="center"/>
          </w:tcPr>
          <w:p>
            <w:pPr>
              <w:pStyle w:val="13"/>
            </w:pPr>
            <w:r>
              <w:t>2630.19</w:t>
            </w:r>
          </w:p>
        </w:tc>
        <w:tc>
          <w:tcPr>
            <w:tcW w:w="1361" w:type="dxa"/>
            <w:vAlign w:val="center"/>
          </w:tcPr>
          <w:p>
            <w:pPr>
              <w:pStyle w:val="13"/>
            </w:pPr>
            <w:r>
              <w:t>8276.59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21201</w:t>
            </w:r>
          </w:p>
        </w:tc>
        <w:tc>
          <w:tcPr>
            <w:tcW w:w="4535" w:type="dxa"/>
            <w:vAlign w:val="center"/>
          </w:tcPr>
          <w:p>
            <w:pPr>
              <w:pStyle w:val="14"/>
            </w:pPr>
            <w:r>
              <w:t>城乡社区管理事务</w:t>
            </w:r>
          </w:p>
        </w:tc>
        <w:tc>
          <w:tcPr>
            <w:tcW w:w="1361" w:type="dxa"/>
            <w:vAlign w:val="center"/>
          </w:tcPr>
          <w:p>
            <w:pPr>
              <w:pStyle w:val="13"/>
            </w:pPr>
            <w:r>
              <w:t>1645.11</w:t>
            </w:r>
          </w:p>
        </w:tc>
        <w:tc>
          <w:tcPr>
            <w:tcW w:w="1361" w:type="dxa"/>
            <w:vAlign w:val="center"/>
          </w:tcPr>
          <w:p>
            <w:pPr>
              <w:pStyle w:val="13"/>
            </w:pPr>
            <w:r>
              <w:t>1320.59</w:t>
            </w:r>
          </w:p>
        </w:tc>
        <w:tc>
          <w:tcPr>
            <w:tcW w:w="1361" w:type="dxa"/>
            <w:vAlign w:val="center"/>
          </w:tcPr>
          <w:p>
            <w:pPr>
              <w:pStyle w:val="13"/>
            </w:pPr>
            <w:r>
              <w:t>324.52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2120101</w:t>
            </w:r>
          </w:p>
        </w:tc>
        <w:tc>
          <w:tcPr>
            <w:tcW w:w="4535" w:type="dxa"/>
            <w:vAlign w:val="center"/>
          </w:tcPr>
          <w:p>
            <w:pPr>
              <w:pStyle w:val="14"/>
            </w:pPr>
            <w:r>
              <w:t>行政运行</w:t>
            </w:r>
          </w:p>
        </w:tc>
        <w:tc>
          <w:tcPr>
            <w:tcW w:w="1361" w:type="dxa"/>
            <w:vAlign w:val="center"/>
          </w:tcPr>
          <w:p>
            <w:pPr>
              <w:pStyle w:val="13"/>
            </w:pPr>
            <w:r>
              <w:t>1370.59</w:t>
            </w:r>
          </w:p>
        </w:tc>
        <w:tc>
          <w:tcPr>
            <w:tcW w:w="1361" w:type="dxa"/>
            <w:vAlign w:val="center"/>
          </w:tcPr>
          <w:p>
            <w:pPr>
              <w:pStyle w:val="13"/>
            </w:pPr>
            <w:r>
              <w:t>1320.59</w:t>
            </w:r>
          </w:p>
        </w:tc>
        <w:tc>
          <w:tcPr>
            <w:tcW w:w="1361" w:type="dxa"/>
            <w:vAlign w:val="center"/>
          </w:tcPr>
          <w:p>
            <w:pPr>
              <w:pStyle w:val="13"/>
            </w:pPr>
            <w:r>
              <w:t>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2120102</w:t>
            </w:r>
          </w:p>
        </w:tc>
        <w:tc>
          <w:tcPr>
            <w:tcW w:w="4535" w:type="dxa"/>
            <w:vAlign w:val="center"/>
          </w:tcPr>
          <w:p>
            <w:pPr>
              <w:pStyle w:val="14"/>
            </w:pPr>
            <w:r>
              <w:t>一般行政管理事务</w:t>
            </w:r>
          </w:p>
        </w:tc>
        <w:tc>
          <w:tcPr>
            <w:tcW w:w="1361" w:type="dxa"/>
            <w:vAlign w:val="center"/>
          </w:tcPr>
          <w:p>
            <w:pPr>
              <w:pStyle w:val="13"/>
            </w:pPr>
            <w:r>
              <w:t>274.52</w:t>
            </w:r>
          </w:p>
        </w:tc>
        <w:tc>
          <w:tcPr>
            <w:tcW w:w="1361" w:type="dxa"/>
            <w:vAlign w:val="center"/>
          </w:tcPr>
          <w:p>
            <w:pPr>
              <w:pStyle w:val="13"/>
            </w:pPr>
          </w:p>
        </w:tc>
        <w:tc>
          <w:tcPr>
            <w:tcW w:w="1361" w:type="dxa"/>
            <w:vAlign w:val="center"/>
          </w:tcPr>
          <w:p>
            <w:pPr>
              <w:pStyle w:val="13"/>
            </w:pPr>
            <w:r>
              <w:t>274.52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21203</w:t>
            </w:r>
          </w:p>
        </w:tc>
        <w:tc>
          <w:tcPr>
            <w:tcW w:w="4535" w:type="dxa"/>
            <w:vAlign w:val="center"/>
          </w:tcPr>
          <w:p>
            <w:pPr>
              <w:pStyle w:val="14"/>
            </w:pPr>
            <w:r>
              <w:t>城乡社区公共设施</w:t>
            </w:r>
          </w:p>
        </w:tc>
        <w:tc>
          <w:tcPr>
            <w:tcW w:w="1361" w:type="dxa"/>
            <w:vAlign w:val="center"/>
          </w:tcPr>
          <w:p>
            <w:pPr>
              <w:pStyle w:val="13"/>
            </w:pPr>
            <w:r>
              <w:t>2994.39</w:t>
            </w:r>
          </w:p>
        </w:tc>
        <w:tc>
          <w:tcPr>
            <w:tcW w:w="1361" w:type="dxa"/>
            <w:vAlign w:val="center"/>
          </w:tcPr>
          <w:p>
            <w:pPr>
              <w:pStyle w:val="13"/>
            </w:pPr>
          </w:p>
        </w:tc>
        <w:tc>
          <w:tcPr>
            <w:tcW w:w="1361" w:type="dxa"/>
            <w:vAlign w:val="center"/>
          </w:tcPr>
          <w:p>
            <w:pPr>
              <w:pStyle w:val="13"/>
            </w:pPr>
            <w:r>
              <w:t>2994.39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2120303</w:t>
            </w:r>
          </w:p>
        </w:tc>
        <w:tc>
          <w:tcPr>
            <w:tcW w:w="4535" w:type="dxa"/>
            <w:vAlign w:val="center"/>
          </w:tcPr>
          <w:p>
            <w:pPr>
              <w:pStyle w:val="14"/>
            </w:pPr>
            <w:r>
              <w:t>小城镇基础设施建设</w:t>
            </w:r>
          </w:p>
        </w:tc>
        <w:tc>
          <w:tcPr>
            <w:tcW w:w="1361" w:type="dxa"/>
            <w:vAlign w:val="center"/>
          </w:tcPr>
          <w:p>
            <w:pPr>
              <w:pStyle w:val="13"/>
            </w:pPr>
            <w:r>
              <w:t>1954.71</w:t>
            </w:r>
          </w:p>
        </w:tc>
        <w:tc>
          <w:tcPr>
            <w:tcW w:w="1361" w:type="dxa"/>
            <w:vAlign w:val="center"/>
          </w:tcPr>
          <w:p>
            <w:pPr>
              <w:pStyle w:val="13"/>
            </w:pPr>
          </w:p>
        </w:tc>
        <w:tc>
          <w:tcPr>
            <w:tcW w:w="1361" w:type="dxa"/>
            <w:vAlign w:val="center"/>
          </w:tcPr>
          <w:p>
            <w:pPr>
              <w:pStyle w:val="13"/>
            </w:pPr>
            <w:r>
              <w:t>1954.71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2120399</w:t>
            </w:r>
          </w:p>
        </w:tc>
        <w:tc>
          <w:tcPr>
            <w:tcW w:w="4535" w:type="dxa"/>
            <w:vAlign w:val="center"/>
          </w:tcPr>
          <w:p>
            <w:pPr>
              <w:pStyle w:val="14"/>
            </w:pPr>
            <w:r>
              <w:t>其他城乡社区公共设施支出</w:t>
            </w:r>
          </w:p>
        </w:tc>
        <w:tc>
          <w:tcPr>
            <w:tcW w:w="1361" w:type="dxa"/>
            <w:vAlign w:val="center"/>
          </w:tcPr>
          <w:p>
            <w:pPr>
              <w:pStyle w:val="13"/>
            </w:pPr>
            <w:r>
              <w:t>1039.68</w:t>
            </w:r>
          </w:p>
        </w:tc>
        <w:tc>
          <w:tcPr>
            <w:tcW w:w="1361" w:type="dxa"/>
            <w:vAlign w:val="center"/>
          </w:tcPr>
          <w:p>
            <w:pPr>
              <w:pStyle w:val="13"/>
            </w:pPr>
          </w:p>
        </w:tc>
        <w:tc>
          <w:tcPr>
            <w:tcW w:w="1361" w:type="dxa"/>
            <w:vAlign w:val="center"/>
          </w:tcPr>
          <w:p>
            <w:pPr>
              <w:pStyle w:val="13"/>
            </w:pPr>
            <w:r>
              <w:t>1039.68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21206</w:t>
            </w:r>
          </w:p>
        </w:tc>
        <w:tc>
          <w:tcPr>
            <w:tcW w:w="4535" w:type="dxa"/>
            <w:vAlign w:val="center"/>
          </w:tcPr>
          <w:p>
            <w:pPr>
              <w:pStyle w:val="14"/>
            </w:pPr>
            <w:r>
              <w:t>建设市场管理与监督</w:t>
            </w:r>
          </w:p>
        </w:tc>
        <w:tc>
          <w:tcPr>
            <w:tcW w:w="1361" w:type="dxa"/>
            <w:vAlign w:val="center"/>
          </w:tcPr>
          <w:p>
            <w:pPr>
              <w:pStyle w:val="13"/>
            </w:pPr>
            <w:r>
              <w:t>1436.01</w:t>
            </w:r>
          </w:p>
        </w:tc>
        <w:tc>
          <w:tcPr>
            <w:tcW w:w="1361" w:type="dxa"/>
            <w:vAlign w:val="center"/>
          </w:tcPr>
          <w:p>
            <w:pPr>
              <w:pStyle w:val="13"/>
            </w:pPr>
            <w:r>
              <w:t>1309.61</w:t>
            </w:r>
          </w:p>
        </w:tc>
        <w:tc>
          <w:tcPr>
            <w:tcW w:w="1361" w:type="dxa"/>
            <w:vAlign w:val="center"/>
          </w:tcPr>
          <w:p>
            <w:pPr>
              <w:pStyle w:val="13"/>
            </w:pPr>
            <w:r>
              <w:t>126.40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2120601</w:t>
            </w:r>
          </w:p>
        </w:tc>
        <w:tc>
          <w:tcPr>
            <w:tcW w:w="4535" w:type="dxa"/>
            <w:vAlign w:val="center"/>
          </w:tcPr>
          <w:p>
            <w:pPr>
              <w:pStyle w:val="14"/>
            </w:pPr>
            <w:r>
              <w:t>建设市场管理与监督</w:t>
            </w:r>
          </w:p>
        </w:tc>
        <w:tc>
          <w:tcPr>
            <w:tcW w:w="1361" w:type="dxa"/>
            <w:vAlign w:val="center"/>
          </w:tcPr>
          <w:p>
            <w:pPr>
              <w:pStyle w:val="13"/>
            </w:pPr>
            <w:r>
              <w:t>1436.01</w:t>
            </w:r>
          </w:p>
        </w:tc>
        <w:tc>
          <w:tcPr>
            <w:tcW w:w="1361" w:type="dxa"/>
            <w:vAlign w:val="center"/>
          </w:tcPr>
          <w:p>
            <w:pPr>
              <w:pStyle w:val="13"/>
            </w:pPr>
            <w:r>
              <w:t>1309.61</w:t>
            </w:r>
          </w:p>
        </w:tc>
        <w:tc>
          <w:tcPr>
            <w:tcW w:w="1361" w:type="dxa"/>
            <w:vAlign w:val="center"/>
          </w:tcPr>
          <w:p>
            <w:pPr>
              <w:pStyle w:val="13"/>
            </w:pPr>
            <w:r>
              <w:t>126.40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2707.00</w:t>
            </w:r>
          </w:p>
        </w:tc>
        <w:tc>
          <w:tcPr>
            <w:tcW w:w="1361" w:type="dxa"/>
            <w:vAlign w:val="center"/>
          </w:tcPr>
          <w:p>
            <w:pPr>
              <w:pStyle w:val="13"/>
            </w:pPr>
          </w:p>
        </w:tc>
        <w:tc>
          <w:tcPr>
            <w:tcW w:w="1361" w:type="dxa"/>
            <w:vAlign w:val="center"/>
          </w:tcPr>
          <w:p>
            <w:pPr>
              <w:pStyle w:val="13"/>
            </w:pPr>
            <w:r>
              <w:t>2707.00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877.09</w:t>
            </w:r>
          </w:p>
        </w:tc>
        <w:tc>
          <w:tcPr>
            <w:tcW w:w="1361" w:type="dxa"/>
            <w:vAlign w:val="center"/>
          </w:tcPr>
          <w:p>
            <w:pPr>
              <w:pStyle w:val="13"/>
            </w:pPr>
          </w:p>
        </w:tc>
        <w:tc>
          <w:tcPr>
            <w:tcW w:w="1361" w:type="dxa"/>
            <w:vAlign w:val="center"/>
          </w:tcPr>
          <w:p>
            <w:pPr>
              <w:pStyle w:val="13"/>
            </w:pPr>
            <w:r>
              <w:t>877.09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2120803</w:t>
            </w:r>
          </w:p>
        </w:tc>
        <w:tc>
          <w:tcPr>
            <w:tcW w:w="4535" w:type="dxa"/>
            <w:vAlign w:val="center"/>
          </w:tcPr>
          <w:p>
            <w:pPr>
              <w:pStyle w:val="14"/>
            </w:pPr>
            <w:r>
              <w:t>城市建设支出</w:t>
            </w:r>
          </w:p>
        </w:tc>
        <w:tc>
          <w:tcPr>
            <w:tcW w:w="1361" w:type="dxa"/>
            <w:vAlign w:val="center"/>
          </w:tcPr>
          <w:p>
            <w:pPr>
              <w:pStyle w:val="13"/>
            </w:pPr>
            <w:r>
              <w:t>1329.91</w:t>
            </w:r>
          </w:p>
        </w:tc>
        <w:tc>
          <w:tcPr>
            <w:tcW w:w="1361" w:type="dxa"/>
            <w:vAlign w:val="center"/>
          </w:tcPr>
          <w:p>
            <w:pPr>
              <w:pStyle w:val="13"/>
            </w:pPr>
          </w:p>
        </w:tc>
        <w:tc>
          <w:tcPr>
            <w:tcW w:w="1361" w:type="dxa"/>
            <w:vAlign w:val="center"/>
          </w:tcPr>
          <w:p>
            <w:pPr>
              <w:pStyle w:val="13"/>
            </w:pPr>
            <w:r>
              <w:t>1329.91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2120807</w:t>
            </w:r>
          </w:p>
        </w:tc>
        <w:tc>
          <w:tcPr>
            <w:tcW w:w="4535" w:type="dxa"/>
            <w:vAlign w:val="center"/>
          </w:tcPr>
          <w:p>
            <w:pPr>
              <w:pStyle w:val="14"/>
            </w:pPr>
            <w:r>
              <w:t>廉租住房支出</w:t>
            </w:r>
          </w:p>
        </w:tc>
        <w:tc>
          <w:tcPr>
            <w:tcW w:w="1361" w:type="dxa"/>
            <w:vAlign w:val="center"/>
          </w:tcPr>
          <w:p>
            <w:pPr>
              <w:pStyle w:val="13"/>
            </w:pPr>
            <w:r>
              <w:t>500.00</w:t>
            </w:r>
          </w:p>
        </w:tc>
        <w:tc>
          <w:tcPr>
            <w:tcW w:w="1361" w:type="dxa"/>
            <w:vAlign w:val="center"/>
          </w:tcPr>
          <w:p>
            <w:pPr>
              <w:pStyle w:val="13"/>
            </w:pPr>
          </w:p>
        </w:tc>
        <w:tc>
          <w:tcPr>
            <w:tcW w:w="1361" w:type="dxa"/>
            <w:vAlign w:val="center"/>
          </w:tcPr>
          <w:p>
            <w:pPr>
              <w:pStyle w:val="13"/>
            </w:pPr>
            <w:r>
              <w:t>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21216</w:t>
            </w:r>
          </w:p>
        </w:tc>
        <w:tc>
          <w:tcPr>
            <w:tcW w:w="4535" w:type="dxa"/>
            <w:vAlign w:val="center"/>
          </w:tcPr>
          <w:p>
            <w:pPr>
              <w:pStyle w:val="14"/>
            </w:pPr>
            <w:r>
              <w:t>棚户区改造专项债券收入安排的支出</w:t>
            </w:r>
          </w:p>
        </w:tc>
        <w:tc>
          <w:tcPr>
            <w:tcW w:w="1361" w:type="dxa"/>
            <w:vAlign w:val="center"/>
          </w:tcPr>
          <w:p>
            <w:pPr>
              <w:pStyle w:val="13"/>
            </w:pPr>
            <w:r>
              <w:t>2115.00</w:t>
            </w:r>
          </w:p>
        </w:tc>
        <w:tc>
          <w:tcPr>
            <w:tcW w:w="1361" w:type="dxa"/>
            <w:vAlign w:val="center"/>
          </w:tcPr>
          <w:p>
            <w:pPr>
              <w:pStyle w:val="13"/>
            </w:pPr>
          </w:p>
        </w:tc>
        <w:tc>
          <w:tcPr>
            <w:tcW w:w="1361" w:type="dxa"/>
            <w:vAlign w:val="center"/>
          </w:tcPr>
          <w:p>
            <w:pPr>
              <w:pStyle w:val="13"/>
            </w:pPr>
            <w:r>
              <w:t>2115.00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2121699</w:t>
            </w:r>
          </w:p>
        </w:tc>
        <w:tc>
          <w:tcPr>
            <w:tcW w:w="4535" w:type="dxa"/>
            <w:vAlign w:val="center"/>
          </w:tcPr>
          <w:p>
            <w:pPr>
              <w:pStyle w:val="14"/>
            </w:pPr>
            <w:r>
              <w:t>其他棚户区改造专项债券收入安排的支出</w:t>
            </w:r>
          </w:p>
        </w:tc>
        <w:tc>
          <w:tcPr>
            <w:tcW w:w="1361" w:type="dxa"/>
            <w:vAlign w:val="center"/>
          </w:tcPr>
          <w:p>
            <w:pPr>
              <w:pStyle w:val="13"/>
            </w:pPr>
            <w:r>
              <w:t>2115.00</w:t>
            </w:r>
          </w:p>
        </w:tc>
        <w:tc>
          <w:tcPr>
            <w:tcW w:w="1361" w:type="dxa"/>
            <w:vAlign w:val="center"/>
          </w:tcPr>
          <w:p>
            <w:pPr>
              <w:pStyle w:val="13"/>
            </w:pPr>
          </w:p>
        </w:tc>
        <w:tc>
          <w:tcPr>
            <w:tcW w:w="1361" w:type="dxa"/>
            <w:vAlign w:val="center"/>
          </w:tcPr>
          <w:p>
            <w:pPr>
              <w:pStyle w:val="13"/>
            </w:pPr>
            <w:r>
              <w:t>2115.00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21298</w:t>
            </w:r>
          </w:p>
        </w:tc>
        <w:tc>
          <w:tcPr>
            <w:tcW w:w="4535" w:type="dxa"/>
            <w:vAlign w:val="center"/>
          </w:tcPr>
          <w:p>
            <w:pPr>
              <w:pStyle w:val="14"/>
            </w:pPr>
            <w:r>
              <w:t>超长期特别国债安排的支出</w:t>
            </w:r>
          </w:p>
        </w:tc>
        <w:tc>
          <w:tcPr>
            <w:tcW w:w="1361" w:type="dxa"/>
            <w:vAlign w:val="center"/>
          </w:tcPr>
          <w:p>
            <w:pPr>
              <w:pStyle w:val="13"/>
            </w:pPr>
            <w:r>
              <w:t>9.28</w:t>
            </w:r>
          </w:p>
        </w:tc>
        <w:tc>
          <w:tcPr>
            <w:tcW w:w="1361" w:type="dxa"/>
            <w:vAlign w:val="center"/>
          </w:tcPr>
          <w:p>
            <w:pPr>
              <w:pStyle w:val="13"/>
            </w:pPr>
          </w:p>
        </w:tc>
        <w:tc>
          <w:tcPr>
            <w:tcW w:w="1361" w:type="dxa"/>
            <w:vAlign w:val="center"/>
          </w:tcPr>
          <w:p>
            <w:pPr>
              <w:pStyle w:val="13"/>
            </w:pPr>
            <w:r>
              <w:t>9.28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2129801</w:t>
            </w:r>
          </w:p>
        </w:tc>
        <w:tc>
          <w:tcPr>
            <w:tcW w:w="4535" w:type="dxa"/>
            <w:vAlign w:val="center"/>
          </w:tcPr>
          <w:p>
            <w:pPr>
              <w:pStyle w:val="14"/>
            </w:pPr>
            <w:r>
              <w:t>城乡社区公共设施</w:t>
            </w:r>
          </w:p>
        </w:tc>
        <w:tc>
          <w:tcPr>
            <w:tcW w:w="1361" w:type="dxa"/>
            <w:vAlign w:val="center"/>
          </w:tcPr>
          <w:p>
            <w:pPr>
              <w:pStyle w:val="13"/>
            </w:pPr>
            <w:r>
              <w:t>9.28</w:t>
            </w:r>
          </w:p>
        </w:tc>
        <w:tc>
          <w:tcPr>
            <w:tcW w:w="1361" w:type="dxa"/>
            <w:vAlign w:val="center"/>
          </w:tcPr>
          <w:p>
            <w:pPr>
              <w:pStyle w:val="13"/>
            </w:pPr>
          </w:p>
        </w:tc>
        <w:tc>
          <w:tcPr>
            <w:tcW w:w="1361" w:type="dxa"/>
            <w:vAlign w:val="center"/>
          </w:tcPr>
          <w:p>
            <w:pPr>
              <w:pStyle w:val="13"/>
            </w:pPr>
            <w:r>
              <w:t>9.28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49.00</w:t>
            </w:r>
          </w:p>
        </w:tc>
        <w:tc>
          <w:tcPr>
            <w:tcW w:w="1361" w:type="dxa"/>
            <w:vAlign w:val="center"/>
          </w:tcPr>
          <w:p>
            <w:pPr>
              <w:pStyle w:val="13"/>
            </w:pPr>
          </w:p>
        </w:tc>
        <w:tc>
          <w:tcPr>
            <w:tcW w:w="1361" w:type="dxa"/>
            <w:vAlign w:val="center"/>
          </w:tcPr>
          <w:p>
            <w:pPr>
              <w:pStyle w:val="13"/>
            </w:pPr>
            <w:r>
              <w:t>49.00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49.00</w:t>
            </w:r>
          </w:p>
        </w:tc>
        <w:tc>
          <w:tcPr>
            <w:tcW w:w="1361" w:type="dxa"/>
            <w:vAlign w:val="center"/>
          </w:tcPr>
          <w:p>
            <w:pPr>
              <w:pStyle w:val="13"/>
            </w:pPr>
          </w:p>
        </w:tc>
        <w:tc>
          <w:tcPr>
            <w:tcW w:w="1361" w:type="dxa"/>
            <w:vAlign w:val="center"/>
          </w:tcPr>
          <w:p>
            <w:pPr>
              <w:pStyle w:val="13"/>
            </w:pPr>
            <w:r>
              <w:t>49.00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2130126</w:t>
            </w:r>
          </w:p>
        </w:tc>
        <w:tc>
          <w:tcPr>
            <w:tcW w:w="4535" w:type="dxa"/>
            <w:vAlign w:val="center"/>
          </w:tcPr>
          <w:p>
            <w:pPr>
              <w:pStyle w:val="14"/>
            </w:pPr>
            <w:r>
              <w:t>农村社会事业</w:t>
            </w:r>
          </w:p>
        </w:tc>
        <w:tc>
          <w:tcPr>
            <w:tcW w:w="1361" w:type="dxa"/>
            <w:vAlign w:val="center"/>
          </w:tcPr>
          <w:p>
            <w:pPr>
              <w:pStyle w:val="13"/>
            </w:pPr>
            <w:r>
              <w:t>49.00</w:t>
            </w:r>
          </w:p>
        </w:tc>
        <w:tc>
          <w:tcPr>
            <w:tcW w:w="1361" w:type="dxa"/>
            <w:vAlign w:val="center"/>
          </w:tcPr>
          <w:p>
            <w:pPr>
              <w:pStyle w:val="13"/>
            </w:pPr>
          </w:p>
        </w:tc>
        <w:tc>
          <w:tcPr>
            <w:tcW w:w="1361" w:type="dxa"/>
            <w:vAlign w:val="center"/>
          </w:tcPr>
          <w:p>
            <w:pPr>
              <w:pStyle w:val="13"/>
            </w:pPr>
            <w:r>
              <w:t>49.00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521.13</w:t>
            </w:r>
          </w:p>
        </w:tc>
        <w:tc>
          <w:tcPr>
            <w:tcW w:w="1361" w:type="dxa"/>
            <w:vAlign w:val="center"/>
          </w:tcPr>
          <w:p>
            <w:pPr>
              <w:pStyle w:val="13"/>
            </w:pPr>
            <w:r>
              <w:t>226.24</w:t>
            </w:r>
          </w:p>
        </w:tc>
        <w:tc>
          <w:tcPr>
            <w:tcW w:w="1361" w:type="dxa"/>
            <w:vAlign w:val="center"/>
          </w:tcPr>
          <w:p>
            <w:pPr>
              <w:pStyle w:val="13"/>
            </w:pPr>
            <w:r>
              <w:t>294.89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22101</w:t>
            </w:r>
          </w:p>
        </w:tc>
        <w:tc>
          <w:tcPr>
            <w:tcW w:w="4535" w:type="dxa"/>
            <w:vAlign w:val="center"/>
          </w:tcPr>
          <w:p>
            <w:pPr>
              <w:pStyle w:val="14"/>
            </w:pPr>
            <w:r>
              <w:t>保障性安居工程支出</w:t>
            </w:r>
          </w:p>
        </w:tc>
        <w:tc>
          <w:tcPr>
            <w:tcW w:w="1361" w:type="dxa"/>
            <w:vAlign w:val="center"/>
          </w:tcPr>
          <w:p>
            <w:pPr>
              <w:pStyle w:val="13"/>
            </w:pPr>
            <w:r>
              <w:t>294.89</w:t>
            </w:r>
          </w:p>
        </w:tc>
        <w:tc>
          <w:tcPr>
            <w:tcW w:w="1361" w:type="dxa"/>
            <w:vAlign w:val="center"/>
          </w:tcPr>
          <w:p>
            <w:pPr>
              <w:pStyle w:val="13"/>
            </w:pPr>
          </w:p>
        </w:tc>
        <w:tc>
          <w:tcPr>
            <w:tcW w:w="1361" w:type="dxa"/>
            <w:vAlign w:val="center"/>
          </w:tcPr>
          <w:p>
            <w:pPr>
              <w:pStyle w:val="13"/>
            </w:pPr>
            <w:r>
              <w:t>294.89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2210103</w:t>
            </w:r>
          </w:p>
        </w:tc>
        <w:tc>
          <w:tcPr>
            <w:tcW w:w="4535" w:type="dxa"/>
            <w:vAlign w:val="center"/>
          </w:tcPr>
          <w:p>
            <w:pPr>
              <w:pStyle w:val="14"/>
            </w:pPr>
            <w:r>
              <w:t>棚户区改造</w:t>
            </w:r>
          </w:p>
        </w:tc>
        <w:tc>
          <w:tcPr>
            <w:tcW w:w="1361" w:type="dxa"/>
            <w:vAlign w:val="center"/>
          </w:tcPr>
          <w:p>
            <w:pPr>
              <w:pStyle w:val="13"/>
            </w:pPr>
            <w:r>
              <w:t>188.00</w:t>
            </w:r>
          </w:p>
        </w:tc>
        <w:tc>
          <w:tcPr>
            <w:tcW w:w="1361" w:type="dxa"/>
            <w:vAlign w:val="center"/>
          </w:tcPr>
          <w:p>
            <w:pPr>
              <w:pStyle w:val="13"/>
            </w:pPr>
          </w:p>
        </w:tc>
        <w:tc>
          <w:tcPr>
            <w:tcW w:w="1361" w:type="dxa"/>
            <w:vAlign w:val="center"/>
          </w:tcPr>
          <w:p>
            <w:pPr>
              <w:pStyle w:val="13"/>
            </w:pPr>
            <w:r>
              <w:t>188.00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2210105</w:t>
            </w:r>
          </w:p>
        </w:tc>
        <w:tc>
          <w:tcPr>
            <w:tcW w:w="4535" w:type="dxa"/>
            <w:vAlign w:val="center"/>
          </w:tcPr>
          <w:p>
            <w:pPr>
              <w:pStyle w:val="14"/>
            </w:pPr>
            <w:r>
              <w:t>农村危房改造</w:t>
            </w: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42</w:t>
            </w:r>
          </w:p>
        </w:tc>
        <w:tc>
          <w:tcPr>
            <w:tcW w:w="992" w:type="dxa"/>
            <w:vAlign w:val="center"/>
          </w:tcPr>
          <w:p>
            <w:pPr>
              <w:pStyle w:val="14"/>
            </w:pPr>
            <w:r>
              <w:t>2210111</w:t>
            </w:r>
          </w:p>
        </w:tc>
        <w:tc>
          <w:tcPr>
            <w:tcW w:w="4535" w:type="dxa"/>
            <w:vAlign w:val="center"/>
          </w:tcPr>
          <w:p>
            <w:pPr>
              <w:pStyle w:val="14"/>
            </w:pPr>
            <w:r>
              <w:t>配租型住房保障</w:t>
            </w:r>
          </w:p>
        </w:tc>
        <w:tc>
          <w:tcPr>
            <w:tcW w:w="1361" w:type="dxa"/>
            <w:vAlign w:val="center"/>
          </w:tcPr>
          <w:p>
            <w:pPr>
              <w:pStyle w:val="13"/>
            </w:pPr>
            <w:r>
              <w:t>66.89</w:t>
            </w:r>
          </w:p>
        </w:tc>
        <w:tc>
          <w:tcPr>
            <w:tcW w:w="1361" w:type="dxa"/>
            <w:vAlign w:val="center"/>
          </w:tcPr>
          <w:p>
            <w:pPr>
              <w:pStyle w:val="13"/>
            </w:pPr>
          </w:p>
        </w:tc>
        <w:tc>
          <w:tcPr>
            <w:tcW w:w="1361" w:type="dxa"/>
            <w:vAlign w:val="center"/>
          </w:tcPr>
          <w:p>
            <w:pPr>
              <w:pStyle w:val="13"/>
            </w:pPr>
            <w:r>
              <w:t>66.89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43</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226.24</w:t>
            </w:r>
          </w:p>
        </w:tc>
        <w:tc>
          <w:tcPr>
            <w:tcW w:w="1361" w:type="dxa"/>
            <w:vAlign w:val="center"/>
          </w:tcPr>
          <w:p>
            <w:pPr>
              <w:pStyle w:val="13"/>
            </w:pPr>
            <w:r>
              <w:t>226.24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44</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226.24</w:t>
            </w:r>
          </w:p>
        </w:tc>
        <w:tc>
          <w:tcPr>
            <w:tcW w:w="1361" w:type="dxa"/>
            <w:vAlign w:val="center"/>
          </w:tcPr>
          <w:p>
            <w:pPr>
              <w:pStyle w:val="13"/>
            </w:pPr>
            <w:r>
              <w:t>226.24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45</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46</w:t>
            </w:r>
          </w:p>
        </w:tc>
        <w:tc>
          <w:tcPr>
            <w:tcW w:w="992" w:type="dxa"/>
            <w:vAlign w:val="center"/>
          </w:tcPr>
          <w:p>
            <w:pPr>
              <w:pStyle w:val="14"/>
            </w:pPr>
            <w:r>
              <w:t>22904</w:t>
            </w:r>
          </w:p>
        </w:tc>
        <w:tc>
          <w:tcPr>
            <w:tcW w:w="4535" w:type="dxa"/>
            <w:vAlign w:val="center"/>
          </w:tcPr>
          <w:p>
            <w:pPr>
              <w:pStyle w:val="14"/>
            </w:pPr>
            <w:r>
              <w:t>其他政府性基金及对应专项债务收入安排的支出</w:t>
            </w: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47</w:t>
            </w:r>
          </w:p>
        </w:tc>
        <w:tc>
          <w:tcPr>
            <w:tcW w:w="992" w:type="dxa"/>
            <w:vAlign w:val="center"/>
          </w:tcPr>
          <w:p>
            <w:pPr>
              <w:pStyle w:val="14"/>
            </w:pPr>
            <w:r>
              <w:t>2290402</w:t>
            </w:r>
          </w:p>
        </w:tc>
        <w:tc>
          <w:tcPr>
            <w:tcW w:w="4535" w:type="dxa"/>
            <w:vAlign w:val="center"/>
          </w:tcPr>
          <w:p>
            <w:pPr>
              <w:pStyle w:val="14"/>
            </w:pPr>
            <w:r>
              <w:t>其他地方自行试点项目收益专项债券收入安排的支出</w:t>
            </w: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r>
              <w:t>13.59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15858.62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2707.00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939.22</w:t>
            </w:r>
          </w:p>
        </w:tc>
        <w:tc>
          <w:tcPr>
            <w:tcW w:w="1474" w:type="dxa"/>
            <w:vAlign w:val="center"/>
          </w:tcPr>
          <w:p>
            <w:pPr>
              <w:pStyle w:val="13"/>
            </w:pPr>
            <w:r>
              <w:t>939.22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163.16</w:t>
            </w:r>
          </w:p>
        </w:tc>
        <w:tc>
          <w:tcPr>
            <w:tcW w:w="1474" w:type="dxa"/>
            <w:vAlign w:val="center"/>
          </w:tcPr>
          <w:p>
            <w:pPr>
              <w:pStyle w:val="13"/>
            </w:pPr>
            <w:r>
              <w:t>163.16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9712.10</w:t>
            </w:r>
          </w:p>
        </w:tc>
        <w:tc>
          <w:tcPr>
            <w:tcW w:w="1474" w:type="dxa"/>
            <w:vAlign w:val="center"/>
          </w:tcPr>
          <w:p>
            <w:pPr>
              <w:pStyle w:val="13"/>
            </w:pPr>
            <w:r>
              <w:t>9712.10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10906.78</w:t>
            </w:r>
          </w:p>
        </w:tc>
        <w:tc>
          <w:tcPr>
            <w:tcW w:w="1474" w:type="dxa"/>
            <w:vAlign w:val="center"/>
          </w:tcPr>
          <w:p>
            <w:pPr>
              <w:pStyle w:val="13"/>
            </w:pPr>
            <w:r>
              <w:t>6075.50</w:t>
            </w:r>
          </w:p>
        </w:tc>
        <w:tc>
          <w:tcPr>
            <w:tcW w:w="1474" w:type="dxa"/>
            <w:vAlign w:val="center"/>
          </w:tcPr>
          <w:p>
            <w:pPr>
              <w:pStyle w:val="13"/>
            </w:pPr>
            <w:r>
              <w:t>4831.28</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49.00</w:t>
            </w:r>
          </w:p>
        </w:tc>
        <w:tc>
          <w:tcPr>
            <w:tcW w:w="1474" w:type="dxa"/>
            <w:vAlign w:val="center"/>
          </w:tcPr>
          <w:p>
            <w:pPr>
              <w:pStyle w:val="13"/>
            </w:pPr>
            <w:r>
              <w:t>49.00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521.13</w:t>
            </w:r>
          </w:p>
        </w:tc>
        <w:tc>
          <w:tcPr>
            <w:tcW w:w="1474" w:type="dxa"/>
            <w:vAlign w:val="center"/>
          </w:tcPr>
          <w:p>
            <w:pPr>
              <w:pStyle w:val="13"/>
            </w:pPr>
            <w:r>
              <w:t>521.13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13.59</w:t>
            </w:r>
          </w:p>
        </w:tc>
        <w:tc>
          <w:tcPr>
            <w:tcW w:w="1474" w:type="dxa"/>
            <w:vAlign w:val="center"/>
          </w:tcPr>
          <w:p>
            <w:pPr>
              <w:pStyle w:val="13"/>
            </w:pPr>
          </w:p>
        </w:tc>
        <w:tc>
          <w:tcPr>
            <w:tcW w:w="1474" w:type="dxa"/>
            <w:vAlign w:val="center"/>
          </w:tcPr>
          <w:p>
            <w:pPr>
              <w:pStyle w:val="13"/>
            </w:pPr>
            <w:r>
              <w:t>13.59</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18565.62</w:t>
            </w:r>
          </w:p>
        </w:tc>
        <w:tc>
          <w:tcPr>
            <w:tcW w:w="3402" w:type="dxa"/>
            <w:vAlign w:val="center"/>
          </w:tcPr>
          <w:p>
            <w:pPr>
              <w:pStyle w:val="16"/>
            </w:pPr>
            <w:r>
              <w:t>本年支出合计</w:t>
            </w:r>
          </w:p>
        </w:tc>
        <w:tc>
          <w:tcPr>
            <w:tcW w:w="1474" w:type="dxa"/>
            <w:vAlign w:val="center"/>
          </w:tcPr>
          <w:p>
            <w:pPr>
              <w:pStyle w:val="17"/>
            </w:pPr>
            <w:r>
              <w:t>22304.97</w:t>
            </w:r>
          </w:p>
        </w:tc>
        <w:tc>
          <w:tcPr>
            <w:tcW w:w="1474" w:type="dxa"/>
            <w:vAlign w:val="center"/>
          </w:tcPr>
          <w:p>
            <w:pPr>
              <w:pStyle w:val="17"/>
            </w:pPr>
            <w:r>
              <w:t>17460.11</w:t>
            </w:r>
          </w:p>
        </w:tc>
        <w:tc>
          <w:tcPr>
            <w:tcW w:w="1474" w:type="dxa"/>
            <w:vAlign w:val="center"/>
          </w:tcPr>
          <w:p>
            <w:pPr>
              <w:pStyle w:val="17"/>
            </w:pPr>
            <w:r>
              <w:t>4844.87</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3739.36</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1601.49</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2137.87</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22304.97</w:t>
            </w:r>
          </w:p>
        </w:tc>
        <w:tc>
          <w:tcPr>
            <w:tcW w:w="3402" w:type="dxa"/>
            <w:vAlign w:val="center"/>
          </w:tcPr>
          <w:p>
            <w:pPr>
              <w:pStyle w:val="16"/>
            </w:pPr>
            <w:r>
              <w:t>支出总计</w:t>
            </w:r>
          </w:p>
        </w:tc>
        <w:tc>
          <w:tcPr>
            <w:tcW w:w="1474" w:type="dxa"/>
            <w:vAlign w:val="center"/>
          </w:tcPr>
          <w:p>
            <w:pPr>
              <w:pStyle w:val="17"/>
            </w:pPr>
            <w:r>
              <w:t>22304.97</w:t>
            </w:r>
          </w:p>
        </w:tc>
        <w:tc>
          <w:tcPr>
            <w:tcW w:w="1474" w:type="dxa"/>
            <w:vAlign w:val="center"/>
          </w:tcPr>
          <w:p>
            <w:pPr>
              <w:pStyle w:val="17"/>
            </w:pPr>
            <w:r>
              <w:t>17460.11</w:t>
            </w:r>
          </w:p>
        </w:tc>
        <w:tc>
          <w:tcPr>
            <w:tcW w:w="1474" w:type="dxa"/>
            <w:vAlign w:val="center"/>
          </w:tcPr>
          <w:p>
            <w:pPr>
              <w:pStyle w:val="17"/>
            </w:pPr>
            <w:r>
              <w:t>4844.87</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17460.11</w:t>
            </w:r>
          </w:p>
        </w:tc>
        <w:tc>
          <w:tcPr>
            <w:tcW w:w="2551" w:type="dxa"/>
            <w:vAlign w:val="center"/>
          </w:tcPr>
          <w:p>
            <w:pPr>
              <w:pStyle w:val="17"/>
            </w:pPr>
            <w:r>
              <w:t>3734.25</w:t>
            </w:r>
          </w:p>
        </w:tc>
        <w:tc>
          <w:tcPr>
            <w:tcW w:w="2551" w:type="dxa"/>
            <w:vAlign w:val="center"/>
          </w:tcPr>
          <w:p>
            <w:pPr>
              <w:pStyle w:val="17"/>
            </w:pPr>
            <w:r>
              <w:t>13725.86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939.22</w:t>
            </w:r>
          </w:p>
        </w:tc>
        <w:tc>
          <w:tcPr>
            <w:tcW w:w="2551" w:type="dxa"/>
            <w:vAlign w:val="center"/>
          </w:tcPr>
          <w:p>
            <w:pPr>
              <w:pStyle w:val="13"/>
            </w:pPr>
            <w:r>
              <w:t>714.66</w:t>
            </w:r>
          </w:p>
        </w:tc>
        <w:tc>
          <w:tcPr>
            <w:tcW w:w="2551" w:type="dxa"/>
            <w:vAlign w:val="center"/>
          </w:tcPr>
          <w:p>
            <w:pPr>
              <w:pStyle w:val="13"/>
            </w:pPr>
            <w:r>
              <w:t>224.56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714.66</w:t>
            </w:r>
          </w:p>
        </w:tc>
        <w:tc>
          <w:tcPr>
            <w:tcW w:w="2551" w:type="dxa"/>
            <w:vAlign w:val="center"/>
          </w:tcPr>
          <w:p>
            <w:pPr>
              <w:pStyle w:val="13"/>
            </w:pPr>
            <w:r>
              <w:t>714.66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111.20</w:t>
            </w:r>
          </w:p>
        </w:tc>
        <w:tc>
          <w:tcPr>
            <w:tcW w:w="2551" w:type="dxa"/>
            <w:vAlign w:val="center"/>
          </w:tcPr>
          <w:p>
            <w:pPr>
              <w:pStyle w:val="13"/>
            </w:pPr>
            <w:r>
              <w:t>111.20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273.89</w:t>
            </w:r>
          </w:p>
        </w:tc>
        <w:tc>
          <w:tcPr>
            <w:tcW w:w="2551" w:type="dxa"/>
            <w:vAlign w:val="center"/>
          </w:tcPr>
          <w:p>
            <w:pPr>
              <w:pStyle w:val="13"/>
            </w:pPr>
            <w:r>
              <w:t>273.89</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244.30</w:t>
            </w:r>
          </w:p>
        </w:tc>
        <w:tc>
          <w:tcPr>
            <w:tcW w:w="2551" w:type="dxa"/>
            <w:vAlign w:val="center"/>
          </w:tcPr>
          <w:p>
            <w:pPr>
              <w:pStyle w:val="13"/>
            </w:pPr>
            <w:r>
              <w:t>244.30</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85.26</w:t>
            </w:r>
          </w:p>
        </w:tc>
        <w:tc>
          <w:tcPr>
            <w:tcW w:w="2551" w:type="dxa"/>
            <w:vAlign w:val="center"/>
          </w:tcPr>
          <w:p>
            <w:pPr>
              <w:pStyle w:val="13"/>
            </w:pPr>
            <w:r>
              <w:t>85.26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224.56</w:t>
            </w:r>
          </w:p>
        </w:tc>
        <w:tc>
          <w:tcPr>
            <w:tcW w:w="2551" w:type="dxa"/>
            <w:vAlign w:val="center"/>
          </w:tcPr>
          <w:p>
            <w:pPr>
              <w:pStyle w:val="13"/>
            </w:pPr>
          </w:p>
        </w:tc>
        <w:tc>
          <w:tcPr>
            <w:tcW w:w="2551" w:type="dxa"/>
            <w:vAlign w:val="center"/>
          </w:tcPr>
          <w:p>
            <w:pPr>
              <w:pStyle w:val="13"/>
            </w:pPr>
            <w:r>
              <w:t>224.56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224.56</w:t>
            </w:r>
          </w:p>
        </w:tc>
        <w:tc>
          <w:tcPr>
            <w:tcW w:w="2551" w:type="dxa"/>
            <w:vAlign w:val="center"/>
          </w:tcPr>
          <w:p>
            <w:pPr>
              <w:pStyle w:val="13"/>
            </w:pPr>
          </w:p>
        </w:tc>
        <w:tc>
          <w:tcPr>
            <w:tcW w:w="2551" w:type="dxa"/>
            <w:vAlign w:val="center"/>
          </w:tcPr>
          <w:p>
            <w:pPr>
              <w:pStyle w:val="13"/>
            </w:pPr>
            <w:r>
              <w:t>224.56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163.16</w:t>
            </w:r>
          </w:p>
        </w:tc>
        <w:tc>
          <w:tcPr>
            <w:tcW w:w="2551" w:type="dxa"/>
            <w:vAlign w:val="center"/>
          </w:tcPr>
          <w:p>
            <w:pPr>
              <w:pStyle w:val="13"/>
            </w:pPr>
            <w:r>
              <w:t>163.16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163.16</w:t>
            </w:r>
          </w:p>
        </w:tc>
        <w:tc>
          <w:tcPr>
            <w:tcW w:w="2551" w:type="dxa"/>
            <w:vAlign w:val="center"/>
          </w:tcPr>
          <w:p>
            <w:pPr>
              <w:pStyle w:val="13"/>
            </w:pPr>
            <w:r>
              <w:t>163.16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17.32</w:t>
            </w:r>
          </w:p>
        </w:tc>
        <w:tc>
          <w:tcPr>
            <w:tcW w:w="2551" w:type="dxa"/>
            <w:vAlign w:val="center"/>
          </w:tcPr>
          <w:p>
            <w:pPr>
              <w:pStyle w:val="13"/>
            </w:pPr>
            <w:r>
              <w:t>17.32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145.84</w:t>
            </w:r>
          </w:p>
        </w:tc>
        <w:tc>
          <w:tcPr>
            <w:tcW w:w="2551" w:type="dxa"/>
            <w:vAlign w:val="center"/>
          </w:tcPr>
          <w:p>
            <w:pPr>
              <w:pStyle w:val="13"/>
            </w:pPr>
            <w:r>
              <w:t>145.84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9712.10</w:t>
            </w:r>
          </w:p>
        </w:tc>
        <w:tc>
          <w:tcPr>
            <w:tcW w:w="2551" w:type="dxa"/>
            <w:vAlign w:val="center"/>
          </w:tcPr>
          <w:p>
            <w:pPr>
              <w:pStyle w:val="13"/>
            </w:pPr>
          </w:p>
        </w:tc>
        <w:tc>
          <w:tcPr>
            <w:tcW w:w="2551" w:type="dxa"/>
            <w:vAlign w:val="center"/>
          </w:tcPr>
          <w:p>
            <w:pPr>
              <w:pStyle w:val="13"/>
            </w:pPr>
            <w:r>
              <w:t>9712.10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9712.10</w:t>
            </w:r>
          </w:p>
        </w:tc>
        <w:tc>
          <w:tcPr>
            <w:tcW w:w="2551" w:type="dxa"/>
            <w:vAlign w:val="center"/>
          </w:tcPr>
          <w:p>
            <w:pPr>
              <w:pStyle w:val="13"/>
            </w:pPr>
          </w:p>
        </w:tc>
        <w:tc>
          <w:tcPr>
            <w:tcW w:w="2551" w:type="dxa"/>
            <w:vAlign w:val="center"/>
          </w:tcPr>
          <w:p>
            <w:pPr>
              <w:pStyle w:val="13"/>
            </w:pPr>
            <w:r>
              <w:t>9712.10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8212.10</w:t>
            </w:r>
          </w:p>
        </w:tc>
        <w:tc>
          <w:tcPr>
            <w:tcW w:w="2551" w:type="dxa"/>
            <w:vAlign w:val="center"/>
          </w:tcPr>
          <w:p>
            <w:pPr>
              <w:pStyle w:val="13"/>
            </w:pPr>
          </w:p>
        </w:tc>
        <w:tc>
          <w:tcPr>
            <w:tcW w:w="2551" w:type="dxa"/>
            <w:vAlign w:val="center"/>
          </w:tcPr>
          <w:p>
            <w:pPr>
              <w:pStyle w:val="13"/>
            </w:pPr>
            <w:r>
              <w:t>8212.10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2110302</w:t>
            </w:r>
          </w:p>
        </w:tc>
        <w:tc>
          <w:tcPr>
            <w:tcW w:w="4535" w:type="dxa"/>
            <w:vAlign w:val="center"/>
          </w:tcPr>
          <w:p>
            <w:pPr>
              <w:pStyle w:val="14"/>
            </w:pPr>
            <w:r>
              <w:t>水体</w:t>
            </w:r>
          </w:p>
        </w:tc>
        <w:tc>
          <w:tcPr>
            <w:tcW w:w="2551" w:type="dxa"/>
            <w:vAlign w:val="center"/>
          </w:tcPr>
          <w:p>
            <w:pPr>
              <w:pStyle w:val="13"/>
            </w:pPr>
            <w:r>
              <w:t>1500.00</w:t>
            </w:r>
          </w:p>
        </w:tc>
        <w:tc>
          <w:tcPr>
            <w:tcW w:w="2551" w:type="dxa"/>
            <w:vAlign w:val="center"/>
          </w:tcPr>
          <w:p>
            <w:pPr>
              <w:pStyle w:val="13"/>
            </w:pPr>
          </w:p>
        </w:tc>
        <w:tc>
          <w:tcPr>
            <w:tcW w:w="2551" w:type="dxa"/>
            <w:vAlign w:val="center"/>
          </w:tcPr>
          <w:p>
            <w:pPr>
              <w:pStyle w:val="13"/>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6075.50</w:t>
            </w:r>
          </w:p>
        </w:tc>
        <w:tc>
          <w:tcPr>
            <w:tcW w:w="2551" w:type="dxa"/>
            <w:vAlign w:val="center"/>
          </w:tcPr>
          <w:p>
            <w:pPr>
              <w:pStyle w:val="13"/>
            </w:pPr>
            <w:r>
              <w:t>2630.19</w:t>
            </w:r>
          </w:p>
        </w:tc>
        <w:tc>
          <w:tcPr>
            <w:tcW w:w="2551" w:type="dxa"/>
            <w:vAlign w:val="center"/>
          </w:tcPr>
          <w:p>
            <w:pPr>
              <w:pStyle w:val="13"/>
            </w:pPr>
            <w:r>
              <w:t>3445.31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21201</w:t>
            </w:r>
          </w:p>
        </w:tc>
        <w:tc>
          <w:tcPr>
            <w:tcW w:w="4535" w:type="dxa"/>
            <w:vAlign w:val="center"/>
          </w:tcPr>
          <w:p>
            <w:pPr>
              <w:pStyle w:val="14"/>
            </w:pPr>
            <w:r>
              <w:t>城乡社区管理事务</w:t>
            </w:r>
          </w:p>
        </w:tc>
        <w:tc>
          <w:tcPr>
            <w:tcW w:w="2551" w:type="dxa"/>
            <w:vAlign w:val="center"/>
          </w:tcPr>
          <w:p>
            <w:pPr>
              <w:pStyle w:val="13"/>
            </w:pPr>
            <w:r>
              <w:t>1645.11</w:t>
            </w:r>
          </w:p>
        </w:tc>
        <w:tc>
          <w:tcPr>
            <w:tcW w:w="2551" w:type="dxa"/>
            <w:vAlign w:val="center"/>
          </w:tcPr>
          <w:p>
            <w:pPr>
              <w:pStyle w:val="13"/>
            </w:pPr>
            <w:r>
              <w:t>1320.59</w:t>
            </w:r>
          </w:p>
        </w:tc>
        <w:tc>
          <w:tcPr>
            <w:tcW w:w="2551" w:type="dxa"/>
            <w:vAlign w:val="center"/>
          </w:tcPr>
          <w:p>
            <w:pPr>
              <w:pStyle w:val="13"/>
            </w:pPr>
            <w:r>
              <w:t>324.52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2120101</w:t>
            </w:r>
          </w:p>
        </w:tc>
        <w:tc>
          <w:tcPr>
            <w:tcW w:w="4535" w:type="dxa"/>
            <w:vAlign w:val="center"/>
          </w:tcPr>
          <w:p>
            <w:pPr>
              <w:pStyle w:val="14"/>
            </w:pPr>
            <w:r>
              <w:t>行政运行</w:t>
            </w:r>
          </w:p>
        </w:tc>
        <w:tc>
          <w:tcPr>
            <w:tcW w:w="2551" w:type="dxa"/>
            <w:vAlign w:val="center"/>
          </w:tcPr>
          <w:p>
            <w:pPr>
              <w:pStyle w:val="13"/>
            </w:pPr>
            <w:r>
              <w:t>1370.59</w:t>
            </w:r>
          </w:p>
        </w:tc>
        <w:tc>
          <w:tcPr>
            <w:tcW w:w="2551" w:type="dxa"/>
            <w:vAlign w:val="center"/>
          </w:tcPr>
          <w:p>
            <w:pPr>
              <w:pStyle w:val="13"/>
            </w:pPr>
            <w:r>
              <w:t>1320.59</w:t>
            </w:r>
          </w:p>
        </w:tc>
        <w:tc>
          <w:tcPr>
            <w:tcW w:w="2551"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2120102</w:t>
            </w:r>
          </w:p>
        </w:tc>
        <w:tc>
          <w:tcPr>
            <w:tcW w:w="4535" w:type="dxa"/>
            <w:vAlign w:val="center"/>
          </w:tcPr>
          <w:p>
            <w:pPr>
              <w:pStyle w:val="14"/>
            </w:pPr>
            <w:r>
              <w:t>一般行政管理事务</w:t>
            </w:r>
          </w:p>
        </w:tc>
        <w:tc>
          <w:tcPr>
            <w:tcW w:w="2551" w:type="dxa"/>
            <w:vAlign w:val="center"/>
          </w:tcPr>
          <w:p>
            <w:pPr>
              <w:pStyle w:val="13"/>
            </w:pPr>
            <w:r>
              <w:t>274.52</w:t>
            </w:r>
          </w:p>
        </w:tc>
        <w:tc>
          <w:tcPr>
            <w:tcW w:w="2551" w:type="dxa"/>
            <w:vAlign w:val="center"/>
          </w:tcPr>
          <w:p>
            <w:pPr>
              <w:pStyle w:val="13"/>
            </w:pPr>
          </w:p>
        </w:tc>
        <w:tc>
          <w:tcPr>
            <w:tcW w:w="2551" w:type="dxa"/>
            <w:vAlign w:val="center"/>
          </w:tcPr>
          <w:p>
            <w:pPr>
              <w:pStyle w:val="13"/>
            </w:pPr>
            <w:r>
              <w:t>274.52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21203</w:t>
            </w:r>
          </w:p>
        </w:tc>
        <w:tc>
          <w:tcPr>
            <w:tcW w:w="4535" w:type="dxa"/>
            <w:vAlign w:val="center"/>
          </w:tcPr>
          <w:p>
            <w:pPr>
              <w:pStyle w:val="14"/>
            </w:pPr>
            <w:r>
              <w:t>城乡社区公共设施</w:t>
            </w:r>
          </w:p>
        </w:tc>
        <w:tc>
          <w:tcPr>
            <w:tcW w:w="2551" w:type="dxa"/>
            <w:vAlign w:val="center"/>
          </w:tcPr>
          <w:p>
            <w:pPr>
              <w:pStyle w:val="13"/>
            </w:pPr>
            <w:r>
              <w:t>2994.39</w:t>
            </w:r>
          </w:p>
        </w:tc>
        <w:tc>
          <w:tcPr>
            <w:tcW w:w="2551" w:type="dxa"/>
            <w:vAlign w:val="center"/>
          </w:tcPr>
          <w:p>
            <w:pPr>
              <w:pStyle w:val="13"/>
            </w:pPr>
          </w:p>
        </w:tc>
        <w:tc>
          <w:tcPr>
            <w:tcW w:w="2551" w:type="dxa"/>
            <w:vAlign w:val="center"/>
          </w:tcPr>
          <w:p>
            <w:pPr>
              <w:pStyle w:val="13"/>
            </w:pPr>
            <w:r>
              <w:t>2994.39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2120303</w:t>
            </w:r>
          </w:p>
        </w:tc>
        <w:tc>
          <w:tcPr>
            <w:tcW w:w="4535" w:type="dxa"/>
            <w:vAlign w:val="center"/>
          </w:tcPr>
          <w:p>
            <w:pPr>
              <w:pStyle w:val="14"/>
            </w:pPr>
            <w:r>
              <w:t>小城镇基础设施建设</w:t>
            </w:r>
          </w:p>
        </w:tc>
        <w:tc>
          <w:tcPr>
            <w:tcW w:w="2551" w:type="dxa"/>
            <w:vAlign w:val="center"/>
          </w:tcPr>
          <w:p>
            <w:pPr>
              <w:pStyle w:val="13"/>
            </w:pPr>
            <w:r>
              <w:t>1954.71</w:t>
            </w:r>
          </w:p>
        </w:tc>
        <w:tc>
          <w:tcPr>
            <w:tcW w:w="2551" w:type="dxa"/>
            <w:vAlign w:val="center"/>
          </w:tcPr>
          <w:p>
            <w:pPr>
              <w:pStyle w:val="13"/>
            </w:pPr>
          </w:p>
        </w:tc>
        <w:tc>
          <w:tcPr>
            <w:tcW w:w="2551" w:type="dxa"/>
            <w:vAlign w:val="center"/>
          </w:tcPr>
          <w:p>
            <w:pPr>
              <w:pStyle w:val="13"/>
            </w:pPr>
            <w:r>
              <w:t>1954.71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2120399</w:t>
            </w:r>
          </w:p>
        </w:tc>
        <w:tc>
          <w:tcPr>
            <w:tcW w:w="4535" w:type="dxa"/>
            <w:vAlign w:val="center"/>
          </w:tcPr>
          <w:p>
            <w:pPr>
              <w:pStyle w:val="14"/>
            </w:pPr>
            <w:r>
              <w:t>其他城乡社区公共设施支出</w:t>
            </w:r>
          </w:p>
        </w:tc>
        <w:tc>
          <w:tcPr>
            <w:tcW w:w="2551" w:type="dxa"/>
            <w:vAlign w:val="center"/>
          </w:tcPr>
          <w:p>
            <w:pPr>
              <w:pStyle w:val="13"/>
            </w:pPr>
            <w:r>
              <w:t>1039.68</w:t>
            </w:r>
          </w:p>
        </w:tc>
        <w:tc>
          <w:tcPr>
            <w:tcW w:w="2551" w:type="dxa"/>
            <w:vAlign w:val="center"/>
          </w:tcPr>
          <w:p>
            <w:pPr>
              <w:pStyle w:val="13"/>
            </w:pPr>
          </w:p>
        </w:tc>
        <w:tc>
          <w:tcPr>
            <w:tcW w:w="2551" w:type="dxa"/>
            <w:vAlign w:val="center"/>
          </w:tcPr>
          <w:p>
            <w:pPr>
              <w:pStyle w:val="13"/>
            </w:pPr>
            <w:r>
              <w:t>1039.68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21206</w:t>
            </w:r>
          </w:p>
        </w:tc>
        <w:tc>
          <w:tcPr>
            <w:tcW w:w="4535" w:type="dxa"/>
            <w:vAlign w:val="center"/>
          </w:tcPr>
          <w:p>
            <w:pPr>
              <w:pStyle w:val="14"/>
            </w:pPr>
            <w:r>
              <w:t>建设市场管理与监督</w:t>
            </w:r>
          </w:p>
        </w:tc>
        <w:tc>
          <w:tcPr>
            <w:tcW w:w="2551" w:type="dxa"/>
            <w:vAlign w:val="center"/>
          </w:tcPr>
          <w:p>
            <w:pPr>
              <w:pStyle w:val="13"/>
            </w:pPr>
            <w:r>
              <w:t>1436.01</w:t>
            </w:r>
          </w:p>
        </w:tc>
        <w:tc>
          <w:tcPr>
            <w:tcW w:w="2551" w:type="dxa"/>
            <w:vAlign w:val="center"/>
          </w:tcPr>
          <w:p>
            <w:pPr>
              <w:pStyle w:val="13"/>
            </w:pPr>
            <w:r>
              <w:t>1309.61</w:t>
            </w:r>
          </w:p>
        </w:tc>
        <w:tc>
          <w:tcPr>
            <w:tcW w:w="2551" w:type="dxa"/>
            <w:vAlign w:val="center"/>
          </w:tcPr>
          <w:p>
            <w:pPr>
              <w:pStyle w:val="13"/>
            </w:pPr>
            <w:r>
              <w:t>126.40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2120601</w:t>
            </w:r>
          </w:p>
        </w:tc>
        <w:tc>
          <w:tcPr>
            <w:tcW w:w="4535" w:type="dxa"/>
            <w:vAlign w:val="center"/>
          </w:tcPr>
          <w:p>
            <w:pPr>
              <w:pStyle w:val="14"/>
            </w:pPr>
            <w:r>
              <w:t>建设市场管理与监督</w:t>
            </w:r>
          </w:p>
        </w:tc>
        <w:tc>
          <w:tcPr>
            <w:tcW w:w="2551" w:type="dxa"/>
            <w:vAlign w:val="center"/>
          </w:tcPr>
          <w:p>
            <w:pPr>
              <w:pStyle w:val="13"/>
            </w:pPr>
            <w:r>
              <w:t>1436.01</w:t>
            </w:r>
          </w:p>
        </w:tc>
        <w:tc>
          <w:tcPr>
            <w:tcW w:w="2551" w:type="dxa"/>
            <w:vAlign w:val="center"/>
          </w:tcPr>
          <w:p>
            <w:pPr>
              <w:pStyle w:val="13"/>
            </w:pPr>
            <w:r>
              <w:t>1309.61</w:t>
            </w:r>
          </w:p>
        </w:tc>
        <w:tc>
          <w:tcPr>
            <w:tcW w:w="2551" w:type="dxa"/>
            <w:vAlign w:val="center"/>
          </w:tcPr>
          <w:p>
            <w:pPr>
              <w:pStyle w:val="13"/>
            </w:pPr>
            <w:r>
              <w:t>126.40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49.00</w:t>
            </w:r>
          </w:p>
        </w:tc>
        <w:tc>
          <w:tcPr>
            <w:tcW w:w="2551" w:type="dxa"/>
            <w:vAlign w:val="center"/>
          </w:tcPr>
          <w:p>
            <w:pPr>
              <w:pStyle w:val="13"/>
            </w:pPr>
          </w:p>
        </w:tc>
        <w:tc>
          <w:tcPr>
            <w:tcW w:w="2551" w:type="dxa"/>
            <w:vAlign w:val="center"/>
          </w:tcPr>
          <w:p>
            <w:pPr>
              <w:pStyle w:val="13"/>
            </w:pPr>
            <w:r>
              <w:t>49.00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49.00</w:t>
            </w:r>
          </w:p>
        </w:tc>
        <w:tc>
          <w:tcPr>
            <w:tcW w:w="2551" w:type="dxa"/>
            <w:vAlign w:val="center"/>
          </w:tcPr>
          <w:p>
            <w:pPr>
              <w:pStyle w:val="13"/>
            </w:pPr>
          </w:p>
        </w:tc>
        <w:tc>
          <w:tcPr>
            <w:tcW w:w="2551" w:type="dxa"/>
            <w:vAlign w:val="center"/>
          </w:tcPr>
          <w:p>
            <w:pPr>
              <w:pStyle w:val="13"/>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2130126</w:t>
            </w:r>
          </w:p>
        </w:tc>
        <w:tc>
          <w:tcPr>
            <w:tcW w:w="4535" w:type="dxa"/>
            <w:vAlign w:val="center"/>
          </w:tcPr>
          <w:p>
            <w:pPr>
              <w:pStyle w:val="14"/>
            </w:pPr>
            <w:r>
              <w:t>农村社会事业</w:t>
            </w:r>
          </w:p>
        </w:tc>
        <w:tc>
          <w:tcPr>
            <w:tcW w:w="2551" w:type="dxa"/>
            <w:vAlign w:val="center"/>
          </w:tcPr>
          <w:p>
            <w:pPr>
              <w:pStyle w:val="13"/>
            </w:pPr>
            <w:r>
              <w:t>49.00</w:t>
            </w:r>
          </w:p>
        </w:tc>
        <w:tc>
          <w:tcPr>
            <w:tcW w:w="2551" w:type="dxa"/>
            <w:vAlign w:val="center"/>
          </w:tcPr>
          <w:p>
            <w:pPr>
              <w:pStyle w:val="13"/>
            </w:pPr>
          </w:p>
        </w:tc>
        <w:tc>
          <w:tcPr>
            <w:tcW w:w="2551" w:type="dxa"/>
            <w:vAlign w:val="center"/>
          </w:tcPr>
          <w:p>
            <w:pPr>
              <w:pStyle w:val="13"/>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521.13</w:t>
            </w:r>
          </w:p>
        </w:tc>
        <w:tc>
          <w:tcPr>
            <w:tcW w:w="2551" w:type="dxa"/>
            <w:vAlign w:val="center"/>
          </w:tcPr>
          <w:p>
            <w:pPr>
              <w:pStyle w:val="13"/>
            </w:pPr>
            <w:r>
              <w:t>226.24</w:t>
            </w:r>
          </w:p>
        </w:tc>
        <w:tc>
          <w:tcPr>
            <w:tcW w:w="2551" w:type="dxa"/>
            <w:vAlign w:val="center"/>
          </w:tcPr>
          <w:p>
            <w:pPr>
              <w:pStyle w:val="13"/>
            </w:pPr>
            <w:r>
              <w:t>294.89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22101</w:t>
            </w:r>
          </w:p>
        </w:tc>
        <w:tc>
          <w:tcPr>
            <w:tcW w:w="4535" w:type="dxa"/>
            <w:vAlign w:val="center"/>
          </w:tcPr>
          <w:p>
            <w:pPr>
              <w:pStyle w:val="14"/>
            </w:pPr>
            <w:r>
              <w:t>保障性安居工程支出</w:t>
            </w:r>
          </w:p>
        </w:tc>
        <w:tc>
          <w:tcPr>
            <w:tcW w:w="2551" w:type="dxa"/>
            <w:vAlign w:val="center"/>
          </w:tcPr>
          <w:p>
            <w:pPr>
              <w:pStyle w:val="13"/>
            </w:pPr>
            <w:r>
              <w:t>294.89</w:t>
            </w:r>
          </w:p>
        </w:tc>
        <w:tc>
          <w:tcPr>
            <w:tcW w:w="2551" w:type="dxa"/>
            <w:vAlign w:val="center"/>
          </w:tcPr>
          <w:p>
            <w:pPr>
              <w:pStyle w:val="13"/>
            </w:pPr>
          </w:p>
        </w:tc>
        <w:tc>
          <w:tcPr>
            <w:tcW w:w="2551" w:type="dxa"/>
            <w:vAlign w:val="center"/>
          </w:tcPr>
          <w:p>
            <w:pPr>
              <w:pStyle w:val="13"/>
            </w:pPr>
            <w:r>
              <w:t>294.89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2210103</w:t>
            </w:r>
          </w:p>
        </w:tc>
        <w:tc>
          <w:tcPr>
            <w:tcW w:w="4535" w:type="dxa"/>
            <w:vAlign w:val="center"/>
          </w:tcPr>
          <w:p>
            <w:pPr>
              <w:pStyle w:val="14"/>
            </w:pPr>
            <w:r>
              <w:t>棚户区改造</w:t>
            </w:r>
          </w:p>
        </w:tc>
        <w:tc>
          <w:tcPr>
            <w:tcW w:w="2551" w:type="dxa"/>
            <w:vAlign w:val="center"/>
          </w:tcPr>
          <w:p>
            <w:pPr>
              <w:pStyle w:val="13"/>
            </w:pPr>
            <w:r>
              <w:t>188.00</w:t>
            </w:r>
          </w:p>
        </w:tc>
        <w:tc>
          <w:tcPr>
            <w:tcW w:w="2551" w:type="dxa"/>
            <w:vAlign w:val="center"/>
          </w:tcPr>
          <w:p>
            <w:pPr>
              <w:pStyle w:val="13"/>
            </w:pPr>
          </w:p>
        </w:tc>
        <w:tc>
          <w:tcPr>
            <w:tcW w:w="2551" w:type="dxa"/>
            <w:vAlign w:val="center"/>
          </w:tcPr>
          <w:p>
            <w:pPr>
              <w:pStyle w:val="13"/>
            </w:pPr>
            <w:r>
              <w:t>188.00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2210105</w:t>
            </w:r>
          </w:p>
        </w:tc>
        <w:tc>
          <w:tcPr>
            <w:tcW w:w="4535" w:type="dxa"/>
            <w:vAlign w:val="center"/>
          </w:tcPr>
          <w:p>
            <w:pPr>
              <w:pStyle w:val="14"/>
            </w:pPr>
            <w:r>
              <w:t>农村危房改造</w:t>
            </w:r>
          </w:p>
        </w:tc>
        <w:tc>
          <w:tcPr>
            <w:tcW w:w="2551" w:type="dxa"/>
            <w:vAlign w:val="center"/>
          </w:tcPr>
          <w:p>
            <w:pPr>
              <w:pStyle w:val="13"/>
            </w:pPr>
            <w:r>
              <w:t>40.00</w:t>
            </w:r>
          </w:p>
        </w:tc>
        <w:tc>
          <w:tcPr>
            <w:tcW w:w="2551" w:type="dxa"/>
            <w:vAlign w:val="center"/>
          </w:tcPr>
          <w:p>
            <w:pPr>
              <w:pStyle w:val="13"/>
            </w:pPr>
          </w:p>
        </w:tc>
        <w:tc>
          <w:tcPr>
            <w:tcW w:w="2551" w:type="dxa"/>
            <w:vAlign w:val="center"/>
          </w:tcPr>
          <w:p>
            <w:pPr>
              <w:pStyle w:val="13"/>
            </w:pPr>
            <w:r>
              <w:t>40.00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2210111</w:t>
            </w:r>
          </w:p>
        </w:tc>
        <w:tc>
          <w:tcPr>
            <w:tcW w:w="4535" w:type="dxa"/>
            <w:vAlign w:val="center"/>
          </w:tcPr>
          <w:p>
            <w:pPr>
              <w:pStyle w:val="14"/>
            </w:pPr>
            <w:r>
              <w:t>配租型住房保障</w:t>
            </w:r>
          </w:p>
        </w:tc>
        <w:tc>
          <w:tcPr>
            <w:tcW w:w="2551" w:type="dxa"/>
            <w:vAlign w:val="center"/>
          </w:tcPr>
          <w:p>
            <w:pPr>
              <w:pStyle w:val="13"/>
            </w:pPr>
            <w:r>
              <w:t>66.89</w:t>
            </w:r>
          </w:p>
        </w:tc>
        <w:tc>
          <w:tcPr>
            <w:tcW w:w="2551" w:type="dxa"/>
            <w:vAlign w:val="center"/>
          </w:tcPr>
          <w:p>
            <w:pPr>
              <w:pStyle w:val="13"/>
            </w:pPr>
          </w:p>
        </w:tc>
        <w:tc>
          <w:tcPr>
            <w:tcW w:w="2551" w:type="dxa"/>
            <w:vAlign w:val="center"/>
          </w:tcPr>
          <w:p>
            <w:pPr>
              <w:pStyle w:val="13"/>
            </w:pPr>
            <w:r>
              <w:t>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226.24</w:t>
            </w:r>
          </w:p>
        </w:tc>
        <w:tc>
          <w:tcPr>
            <w:tcW w:w="2551" w:type="dxa"/>
            <w:vAlign w:val="center"/>
          </w:tcPr>
          <w:p>
            <w:pPr>
              <w:pStyle w:val="13"/>
            </w:pPr>
            <w:r>
              <w:t>226.24</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226.24</w:t>
            </w:r>
          </w:p>
        </w:tc>
        <w:tc>
          <w:tcPr>
            <w:tcW w:w="2551" w:type="dxa"/>
            <w:vAlign w:val="center"/>
          </w:tcPr>
          <w:p>
            <w:pPr>
              <w:pStyle w:val="13"/>
            </w:pPr>
            <w:r>
              <w:t>226.24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3734.25</w:t>
            </w:r>
          </w:p>
        </w:tc>
        <w:tc>
          <w:tcPr>
            <w:tcW w:w="2551" w:type="dxa"/>
            <w:vAlign w:val="center"/>
          </w:tcPr>
          <w:p>
            <w:pPr>
              <w:pStyle w:val="17"/>
            </w:pPr>
            <w:r>
              <w:t>2988.80</w:t>
            </w:r>
          </w:p>
        </w:tc>
        <w:tc>
          <w:tcPr>
            <w:tcW w:w="2551" w:type="dxa"/>
            <w:vAlign w:val="center"/>
          </w:tcPr>
          <w:p>
            <w:pPr>
              <w:pStyle w:val="17"/>
            </w:pPr>
            <w:r>
              <w:t>745.45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2598.62</w:t>
            </w:r>
          </w:p>
        </w:tc>
        <w:tc>
          <w:tcPr>
            <w:tcW w:w="2551" w:type="dxa"/>
            <w:vAlign w:val="center"/>
          </w:tcPr>
          <w:p>
            <w:pPr>
              <w:pStyle w:val="13"/>
            </w:pPr>
            <w:r>
              <w:t>2598.62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706.36</w:t>
            </w:r>
          </w:p>
        </w:tc>
        <w:tc>
          <w:tcPr>
            <w:tcW w:w="2551" w:type="dxa"/>
            <w:vAlign w:val="center"/>
          </w:tcPr>
          <w:p>
            <w:pPr>
              <w:pStyle w:val="13"/>
            </w:pPr>
            <w:r>
              <w:t>706.36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172.63</w:t>
            </w:r>
          </w:p>
        </w:tc>
        <w:tc>
          <w:tcPr>
            <w:tcW w:w="2551" w:type="dxa"/>
            <w:vAlign w:val="center"/>
          </w:tcPr>
          <w:p>
            <w:pPr>
              <w:pStyle w:val="13"/>
            </w:pPr>
            <w:r>
              <w:t>172.63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64.03</w:t>
            </w:r>
          </w:p>
        </w:tc>
        <w:tc>
          <w:tcPr>
            <w:tcW w:w="2551" w:type="dxa"/>
            <w:vAlign w:val="center"/>
          </w:tcPr>
          <w:p>
            <w:pPr>
              <w:pStyle w:val="13"/>
            </w:pPr>
            <w:r>
              <w:t>64.03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923.06</w:t>
            </w:r>
          </w:p>
        </w:tc>
        <w:tc>
          <w:tcPr>
            <w:tcW w:w="2551" w:type="dxa"/>
            <w:vAlign w:val="center"/>
          </w:tcPr>
          <w:p>
            <w:pPr>
              <w:pStyle w:val="13"/>
            </w:pPr>
            <w:r>
              <w:t>923.06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244.30</w:t>
            </w:r>
          </w:p>
        </w:tc>
        <w:tc>
          <w:tcPr>
            <w:tcW w:w="2551" w:type="dxa"/>
            <w:vAlign w:val="center"/>
          </w:tcPr>
          <w:p>
            <w:pPr>
              <w:pStyle w:val="13"/>
            </w:pPr>
            <w:r>
              <w:t>244.30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85.26</w:t>
            </w:r>
          </w:p>
        </w:tc>
        <w:tc>
          <w:tcPr>
            <w:tcW w:w="2551" w:type="dxa"/>
            <w:vAlign w:val="center"/>
          </w:tcPr>
          <w:p>
            <w:pPr>
              <w:pStyle w:val="13"/>
            </w:pPr>
            <w:r>
              <w:t>85.26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86.41</w:t>
            </w:r>
          </w:p>
        </w:tc>
        <w:tc>
          <w:tcPr>
            <w:tcW w:w="2551" w:type="dxa"/>
            <w:vAlign w:val="center"/>
          </w:tcPr>
          <w:p>
            <w:pPr>
              <w:pStyle w:val="13"/>
            </w:pPr>
            <w:r>
              <w:t>86.41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76.75</w:t>
            </w:r>
          </w:p>
        </w:tc>
        <w:tc>
          <w:tcPr>
            <w:tcW w:w="2551" w:type="dxa"/>
            <w:vAlign w:val="center"/>
          </w:tcPr>
          <w:p>
            <w:pPr>
              <w:pStyle w:val="13"/>
            </w:pPr>
            <w:r>
              <w:t>76.75</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13.59</w:t>
            </w:r>
          </w:p>
        </w:tc>
        <w:tc>
          <w:tcPr>
            <w:tcW w:w="2551" w:type="dxa"/>
            <w:vAlign w:val="center"/>
          </w:tcPr>
          <w:p>
            <w:pPr>
              <w:pStyle w:val="13"/>
            </w:pPr>
            <w:r>
              <w:t>13.59</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226.24</w:t>
            </w:r>
          </w:p>
        </w:tc>
        <w:tc>
          <w:tcPr>
            <w:tcW w:w="2551" w:type="dxa"/>
            <w:vAlign w:val="center"/>
          </w:tcPr>
          <w:p>
            <w:pPr>
              <w:pStyle w:val="13"/>
            </w:pPr>
            <w:r>
              <w:t>226.24</w:t>
            </w:r>
          </w:p>
        </w:tc>
        <w:tc>
          <w:tcPr>
            <w:tcW w:w="2551"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745.45</w:t>
            </w:r>
          </w:p>
        </w:tc>
        <w:tc>
          <w:tcPr>
            <w:tcW w:w="2551" w:type="dxa"/>
            <w:vAlign w:val="center"/>
          </w:tcPr>
          <w:p>
            <w:pPr>
              <w:pStyle w:val="13"/>
            </w:pPr>
          </w:p>
        </w:tc>
        <w:tc>
          <w:tcPr>
            <w:tcW w:w="2551" w:type="dxa"/>
            <w:vAlign w:val="center"/>
          </w:tcPr>
          <w:p>
            <w:pPr>
              <w:pStyle w:val="13"/>
            </w:pPr>
            <w:r>
              <w:t>745.45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49.20</w:t>
            </w:r>
          </w:p>
        </w:tc>
        <w:tc>
          <w:tcPr>
            <w:tcW w:w="2551" w:type="dxa"/>
            <w:vAlign w:val="center"/>
          </w:tcPr>
          <w:p>
            <w:pPr>
              <w:pStyle w:val="13"/>
            </w:pPr>
          </w:p>
        </w:tc>
        <w:tc>
          <w:tcPr>
            <w:tcW w:w="2551" w:type="dxa"/>
            <w:vAlign w:val="center"/>
          </w:tcPr>
          <w:p>
            <w:pPr>
              <w:pStyle w:val="13"/>
            </w:pPr>
            <w:r>
              <w:t>49.20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8.26</w:t>
            </w:r>
          </w:p>
        </w:tc>
        <w:tc>
          <w:tcPr>
            <w:tcW w:w="2551" w:type="dxa"/>
            <w:vAlign w:val="center"/>
          </w:tcPr>
          <w:p>
            <w:pPr>
              <w:pStyle w:val="13"/>
            </w:pPr>
          </w:p>
        </w:tc>
        <w:tc>
          <w:tcPr>
            <w:tcW w:w="2551" w:type="dxa"/>
            <w:vAlign w:val="center"/>
          </w:tcPr>
          <w:p>
            <w:pPr>
              <w:pStyle w:val="13"/>
            </w:pPr>
            <w:r>
              <w:t>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18.83</w:t>
            </w:r>
          </w:p>
        </w:tc>
        <w:tc>
          <w:tcPr>
            <w:tcW w:w="2551" w:type="dxa"/>
            <w:vAlign w:val="center"/>
          </w:tcPr>
          <w:p>
            <w:pPr>
              <w:pStyle w:val="13"/>
            </w:pPr>
          </w:p>
        </w:tc>
        <w:tc>
          <w:tcPr>
            <w:tcW w:w="2551" w:type="dxa"/>
            <w:vAlign w:val="center"/>
          </w:tcPr>
          <w:p>
            <w:pPr>
              <w:pStyle w:val="13"/>
            </w:pPr>
            <w:r>
              <w:t>18.83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597.71</w:t>
            </w:r>
          </w:p>
        </w:tc>
        <w:tc>
          <w:tcPr>
            <w:tcW w:w="2551" w:type="dxa"/>
            <w:vAlign w:val="center"/>
          </w:tcPr>
          <w:p>
            <w:pPr>
              <w:pStyle w:val="13"/>
            </w:pPr>
          </w:p>
        </w:tc>
        <w:tc>
          <w:tcPr>
            <w:tcW w:w="2551" w:type="dxa"/>
            <w:vAlign w:val="center"/>
          </w:tcPr>
          <w:p>
            <w:pPr>
              <w:pStyle w:val="13"/>
            </w:pPr>
            <w:r>
              <w:t>597.71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13.99</w:t>
            </w:r>
          </w:p>
        </w:tc>
        <w:tc>
          <w:tcPr>
            <w:tcW w:w="2551" w:type="dxa"/>
            <w:vAlign w:val="center"/>
          </w:tcPr>
          <w:p>
            <w:pPr>
              <w:pStyle w:val="13"/>
            </w:pPr>
          </w:p>
        </w:tc>
        <w:tc>
          <w:tcPr>
            <w:tcW w:w="2551" w:type="dxa"/>
            <w:vAlign w:val="center"/>
          </w:tcPr>
          <w:p>
            <w:pPr>
              <w:pStyle w:val="13"/>
            </w:pPr>
            <w:r>
              <w:t>13.99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16.20</w:t>
            </w:r>
          </w:p>
        </w:tc>
        <w:tc>
          <w:tcPr>
            <w:tcW w:w="2551" w:type="dxa"/>
            <w:vAlign w:val="center"/>
          </w:tcPr>
          <w:p>
            <w:pPr>
              <w:pStyle w:val="13"/>
            </w:pPr>
          </w:p>
        </w:tc>
        <w:tc>
          <w:tcPr>
            <w:tcW w:w="2551" w:type="dxa"/>
            <w:vAlign w:val="center"/>
          </w:tcPr>
          <w:p>
            <w:pPr>
              <w:pStyle w:val="13"/>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12.72</w:t>
            </w:r>
          </w:p>
        </w:tc>
        <w:tc>
          <w:tcPr>
            <w:tcW w:w="2551" w:type="dxa"/>
            <w:vAlign w:val="center"/>
          </w:tcPr>
          <w:p>
            <w:pPr>
              <w:pStyle w:val="13"/>
            </w:pPr>
          </w:p>
        </w:tc>
        <w:tc>
          <w:tcPr>
            <w:tcW w:w="2551" w:type="dxa"/>
            <w:vAlign w:val="center"/>
          </w:tcPr>
          <w:p>
            <w:pPr>
              <w:pStyle w:val="13"/>
            </w:pPr>
            <w:r>
              <w:t>12.72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28.55</w:t>
            </w:r>
          </w:p>
        </w:tc>
        <w:tc>
          <w:tcPr>
            <w:tcW w:w="2551" w:type="dxa"/>
            <w:vAlign w:val="center"/>
          </w:tcPr>
          <w:p>
            <w:pPr>
              <w:pStyle w:val="13"/>
            </w:pPr>
          </w:p>
        </w:tc>
        <w:tc>
          <w:tcPr>
            <w:tcW w:w="2551" w:type="dxa"/>
            <w:vAlign w:val="center"/>
          </w:tcPr>
          <w:p>
            <w:pPr>
              <w:pStyle w:val="13"/>
            </w:pPr>
            <w:r>
              <w:t>28.55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390.18</w:t>
            </w:r>
          </w:p>
        </w:tc>
        <w:tc>
          <w:tcPr>
            <w:tcW w:w="2551" w:type="dxa"/>
            <w:vAlign w:val="center"/>
          </w:tcPr>
          <w:p>
            <w:pPr>
              <w:pStyle w:val="13"/>
            </w:pPr>
            <w:r>
              <w:t>390.18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383.32</w:t>
            </w:r>
          </w:p>
        </w:tc>
        <w:tc>
          <w:tcPr>
            <w:tcW w:w="2551" w:type="dxa"/>
            <w:vAlign w:val="center"/>
          </w:tcPr>
          <w:p>
            <w:pPr>
              <w:pStyle w:val="13"/>
            </w:pPr>
            <w:r>
              <w:t>383.32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6.86</w:t>
            </w:r>
          </w:p>
        </w:tc>
        <w:tc>
          <w:tcPr>
            <w:tcW w:w="2551" w:type="dxa"/>
            <w:vAlign w:val="center"/>
          </w:tcPr>
          <w:p>
            <w:pPr>
              <w:pStyle w:val="13"/>
            </w:pPr>
            <w:r>
              <w:t>6.86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4844.87</w:t>
            </w:r>
          </w:p>
        </w:tc>
        <w:tc>
          <w:tcPr>
            <w:tcW w:w="2551" w:type="dxa"/>
            <w:vAlign w:val="center"/>
          </w:tcPr>
          <w:p>
            <w:pPr>
              <w:pStyle w:val="17"/>
            </w:pPr>
          </w:p>
        </w:tc>
        <w:tc>
          <w:tcPr>
            <w:tcW w:w="2551" w:type="dxa"/>
            <w:vAlign w:val="center"/>
          </w:tcPr>
          <w:p>
            <w:pPr>
              <w:pStyle w:val="17"/>
            </w:pPr>
            <w:r>
              <w:t>4844.87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4831.28</w:t>
            </w:r>
          </w:p>
        </w:tc>
        <w:tc>
          <w:tcPr>
            <w:tcW w:w="2551" w:type="dxa"/>
            <w:vAlign w:val="center"/>
          </w:tcPr>
          <w:p>
            <w:pPr>
              <w:pStyle w:val="13"/>
            </w:pPr>
          </w:p>
        </w:tc>
        <w:tc>
          <w:tcPr>
            <w:tcW w:w="2551" w:type="dxa"/>
            <w:vAlign w:val="center"/>
          </w:tcPr>
          <w:p>
            <w:pPr>
              <w:pStyle w:val="13"/>
            </w:pPr>
            <w:r>
              <w:t>4831.28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2707.00</w:t>
            </w:r>
          </w:p>
        </w:tc>
        <w:tc>
          <w:tcPr>
            <w:tcW w:w="2551" w:type="dxa"/>
            <w:vAlign w:val="center"/>
          </w:tcPr>
          <w:p>
            <w:pPr>
              <w:pStyle w:val="13"/>
            </w:pPr>
          </w:p>
        </w:tc>
        <w:tc>
          <w:tcPr>
            <w:tcW w:w="2551" w:type="dxa"/>
            <w:vAlign w:val="center"/>
          </w:tcPr>
          <w:p>
            <w:pPr>
              <w:pStyle w:val="13"/>
            </w:pPr>
            <w:r>
              <w:t>2707.00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877.09</w:t>
            </w:r>
          </w:p>
        </w:tc>
        <w:tc>
          <w:tcPr>
            <w:tcW w:w="2551" w:type="dxa"/>
            <w:vAlign w:val="center"/>
          </w:tcPr>
          <w:p>
            <w:pPr>
              <w:pStyle w:val="13"/>
            </w:pPr>
          </w:p>
        </w:tc>
        <w:tc>
          <w:tcPr>
            <w:tcW w:w="2551" w:type="dxa"/>
            <w:vAlign w:val="center"/>
          </w:tcPr>
          <w:p>
            <w:pPr>
              <w:pStyle w:val="13"/>
            </w:pPr>
            <w:r>
              <w:t>877.09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2120803</w:t>
            </w:r>
          </w:p>
        </w:tc>
        <w:tc>
          <w:tcPr>
            <w:tcW w:w="4535" w:type="dxa"/>
            <w:vAlign w:val="center"/>
          </w:tcPr>
          <w:p>
            <w:pPr>
              <w:pStyle w:val="14"/>
            </w:pPr>
            <w:r>
              <w:t>城市建设支出</w:t>
            </w:r>
          </w:p>
        </w:tc>
        <w:tc>
          <w:tcPr>
            <w:tcW w:w="2551" w:type="dxa"/>
            <w:vAlign w:val="center"/>
          </w:tcPr>
          <w:p>
            <w:pPr>
              <w:pStyle w:val="13"/>
            </w:pPr>
            <w:r>
              <w:t>1329.91</w:t>
            </w:r>
          </w:p>
        </w:tc>
        <w:tc>
          <w:tcPr>
            <w:tcW w:w="2551" w:type="dxa"/>
            <w:vAlign w:val="center"/>
          </w:tcPr>
          <w:p>
            <w:pPr>
              <w:pStyle w:val="13"/>
            </w:pPr>
          </w:p>
        </w:tc>
        <w:tc>
          <w:tcPr>
            <w:tcW w:w="2551" w:type="dxa"/>
            <w:vAlign w:val="center"/>
          </w:tcPr>
          <w:p>
            <w:pPr>
              <w:pStyle w:val="13"/>
            </w:pPr>
            <w:r>
              <w:t>1329.91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2120807</w:t>
            </w:r>
          </w:p>
        </w:tc>
        <w:tc>
          <w:tcPr>
            <w:tcW w:w="4535" w:type="dxa"/>
            <w:vAlign w:val="center"/>
          </w:tcPr>
          <w:p>
            <w:pPr>
              <w:pStyle w:val="14"/>
            </w:pPr>
            <w:r>
              <w:t>廉租住房支出</w:t>
            </w:r>
          </w:p>
        </w:tc>
        <w:tc>
          <w:tcPr>
            <w:tcW w:w="2551" w:type="dxa"/>
            <w:vAlign w:val="center"/>
          </w:tcPr>
          <w:p>
            <w:pPr>
              <w:pStyle w:val="13"/>
            </w:pPr>
            <w:r>
              <w:t>500.00</w:t>
            </w:r>
          </w:p>
        </w:tc>
        <w:tc>
          <w:tcPr>
            <w:tcW w:w="2551" w:type="dxa"/>
            <w:vAlign w:val="center"/>
          </w:tcPr>
          <w:p>
            <w:pPr>
              <w:pStyle w:val="13"/>
            </w:pPr>
          </w:p>
        </w:tc>
        <w:tc>
          <w:tcPr>
            <w:tcW w:w="2551"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21216</w:t>
            </w:r>
          </w:p>
        </w:tc>
        <w:tc>
          <w:tcPr>
            <w:tcW w:w="4535" w:type="dxa"/>
            <w:vAlign w:val="center"/>
          </w:tcPr>
          <w:p>
            <w:pPr>
              <w:pStyle w:val="14"/>
            </w:pPr>
            <w:r>
              <w:t>棚户区改造专项债券收入安排的支出</w:t>
            </w:r>
          </w:p>
        </w:tc>
        <w:tc>
          <w:tcPr>
            <w:tcW w:w="2551" w:type="dxa"/>
            <w:vAlign w:val="center"/>
          </w:tcPr>
          <w:p>
            <w:pPr>
              <w:pStyle w:val="13"/>
            </w:pPr>
            <w:r>
              <w:t>2115.00</w:t>
            </w:r>
          </w:p>
        </w:tc>
        <w:tc>
          <w:tcPr>
            <w:tcW w:w="2551" w:type="dxa"/>
            <w:vAlign w:val="center"/>
          </w:tcPr>
          <w:p>
            <w:pPr>
              <w:pStyle w:val="13"/>
            </w:pPr>
          </w:p>
        </w:tc>
        <w:tc>
          <w:tcPr>
            <w:tcW w:w="2551" w:type="dxa"/>
            <w:vAlign w:val="center"/>
          </w:tcPr>
          <w:p>
            <w:pPr>
              <w:pStyle w:val="13"/>
            </w:pPr>
            <w:r>
              <w:t>2115.00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2121699</w:t>
            </w:r>
          </w:p>
        </w:tc>
        <w:tc>
          <w:tcPr>
            <w:tcW w:w="4535" w:type="dxa"/>
            <w:vAlign w:val="center"/>
          </w:tcPr>
          <w:p>
            <w:pPr>
              <w:pStyle w:val="14"/>
            </w:pPr>
            <w:r>
              <w:t>其他棚户区改造专项债券收入安排的支出</w:t>
            </w:r>
          </w:p>
        </w:tc>
        <w:tc>
          <w:tcPr>
            <w:tcW w:w="2551" w:type="dxa"/>
            <w:vAlign w:val="center"/>
          </w:tcPr>
          <w:p>
            <w:pPr>
              <w:pStyle w:val="13"/>
            </w:pPr>
            <w:r>
              <w:t>2115.00</w:t>
            </w:r>
          </w:p>
        </w:tc>
        <w:tc>
          <w:tcPr>
            <w:tcW w:w="2551" w:type="dxa"/>
            <w:vAlign w:val="center"/>
          </w:tcPr>
          <w:p>
            <w:pPr>
              <w:pStyle w:val="13"/>
            </w:pPr>
          </w:p>
        </w:tc>
        <w:tc>
          <w:tcPr>
            <w:tcW w:w="2551" w:type="dxa"/>
            <w:vAlign w:val="center"/>
          </w:tcPr>
          <w:p>
            <w:pPr>
              <w:pStyle w:val="13"/>
            </w:pPr>
            <w:r>
              <w:t>2115.00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21298</w:t>
            </w:r>
          </w:p>
        </w:tc>
        <w:tc>
          <w:tcPr>
            <w:tcW w:w="4535" w:type="dxa"/>
            <w:vAlign w:val="center"/>
          </w:tcPr>
          <w:p>
            <w:pPr>
              <w:pStyle w:val="14"/>
            </w:pPr>
            <w:r>
              <w:t>超长期特别国债安排的支出</w:t>
            </w:r>
          </w:p>
        </w:tc>
        <w:tc>
          <w:tcPr>
            <w:tcW w:w="2551" w:type="dxa"/>
            <w:vAlign w:val="center"/>
          </w:tcPr>
          <w:p>
            <w:pPr>
              <w:pStyle w:val="13"/>
            </w:pPr>
            <w:r>
              <w:t>9.28</w:t>
            </w:r>
          </w:p>
        </w:tc>
        <w:tc>
          <w:tcPr>
            <w:tcW w:w="2551" w:type="dxa"/>
            <w:vAlign w:val="center"/>
          </w:tcPr>
          <w:p>
            <w:pPr>
              <w:pStyle w:val="13"/>
            </w:pPr>
          </w:p>
        </w:tc>
        <w:tc>
          <w:tcPr>
            <w:tcW w:w="2551" w:type="dxa"/>
            <w:vAlign w:val="center"/>
          </w:tcPr>
          <w:p>
            <w:pPr>
              <w:pStyle w:val="13"/>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2129801</w:t>
            </w:r>
          </w:p>
        </w:tc>
        <w:tc>
          <w:tcPr>
            <w:tcW w:w="4535" w:type="dxa"/>
            <w:vAlign w:val="center"/>
          </w:tcPr>
          <w:p>
            <w:pPr>
              <w:pStyle w:val="14"/>
            </w:pPr>
            <w:r>
              <w:t>城乡社区公共设施</w:t>
            </w:r>
          </w:p>
        </w:tc>
        <w:tc>
          <w:tcPr>
            <w:tcW w:w="2551" w:type="dxa"/>
            <w:vAlign w:val="center"/>
          </w:tcPr>
          <w:p>
            <w:pPr>
              <w:pStyle w:val="13"/>
            </w:pPr>
            <w:r>
              <w:t>9.28</w:t>
            </w:r>
          </w:p>
        </w:tc>
        <w:tc>
          <w:tcPr>
            <w:tcW w:w="2551" w:type="dxa"/>
            <w:vAlign w:val="center"/>
          </w:tcPr>
          <w:p>
            <w:pPr>
              <w:pStyle w:val="13"/>
            </w:pPr>
          </w:p>
        </w:tc>
        <w:tc>
          <w:tcPr>
            <w:tcW w:w="2551" w:type="dxa"/>
            <w:vAlign w:val="center"/>
          </w:tcPr>
          <w:p>
            <w:pPr>
              <w:pStyle w:val="13"/>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13.59</w:t>
            </w:r>
          </w:p>
        </w:tc>
        <w:tc>
          <w:tcPr>
            <w:tcW w:w="2551" w:type="dxa"/>
            <w:vAlign w:val="center"/>
          </w:tcPr>
          <w:p>
            <w:pPr>
              <w:pStyle w:val="13"/>
            </w:pPr>
          </w:p>
        </w:tc>
        <w:tc>
          <w:tcPr>
            <w:tcW w:w="2551" w:type="dxa"/>
            <w:vAlign w:val="center"/>
          </w:tcPr>
          <w:p>
            <w:pPr>
              <w:pStyle w:val="13"/>
            </w:pPr>
            <w: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13.59</w:t>
            </w:r>
          </w:p>
        </w:tc>
        <w:tc>
          <w:tcPr>
            <w:tcW w:w="2551" w:type="dxa"/>
            <w:vAlign w:val="center"/>
          </w:tcPr>
          <w:p>
            <w:pPr>
              <w:pStyle w:val="13"/>
            </w:pPr>
          </w:p>
        </w:tc>
        <w:tc>
          <w:tcPr>
            <w:tcW w:w="2551" w:type="dxa"/>
            <w:vAlign w:val="center"/>
          </w:tcPr>
          <w:p>
            <w:pPr>
              <w:pStyle w:val="13"/>
            </w:pPr>
            <w:r>
              <w:t>13.59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13.59</w:t>
            </w:r>
          </w:p>
        </w:tc>
        <w:tc>
          <w:tcPr>
            <w:tcW w:w="2551" w:type="dxa"/>
            <w:vAlign w:val="center"/>
          </w:tcPr>
          <w:p>
            <w:pPr>
              <w:pStyle w:val="13"/>
            </w:pPr>
          </w:p>
        </w:tc>
        <w:tc>
          <w:tcPr>
            <w:tcW w:w="2551" w:type="dxa"/>
            <w:vAlign w:val="center"/>
          </w:tcPr>
          <w:p>
            <w:pPr>
              <w:pStyle w:val="13"/>
            </w:pPr>
            <w:r>
              <w:t>13.59</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16.20</w:t>
            </w:r>
          </w:p>
        </w:tc>
        <w:tc>
          <w:tcPr>
            <w:tcW w:w="2381" w:type="dxa"/>
            <w:vAlign w:val="center"/>
          </w:tcPr>
          <w:p>
            <w:pPr>
              <w:pStyle w:val="17"/>
            </w:pPr>
            <w:r>
              <w:t>16.20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16.20</w:t>
            </w:r>
          </w:p>
        </w:tc>
        <w:tc>
          <w:tcPr>
            <w:tcW w:w="2381" w:type="dxa"/>
            <w:vAlign w:val="center"/>
          </w:tcPr>
          <w:p>
            <w:pPr>
              <w:pStyle w:val="13"/>
            </w:pPr>
            <w:r>
              <w:t>16.20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16.20</w:t>
            </w:r>
          </w:p>
        </w:tc>
        <w:tc>
          <w:tcPr>
            <w:tcW w:w="2381" w:type="dxa"/>
            <w:vAlign w:val="center"/>
          </w:tcPr>
          <w:p>
            <w:pPr>
              <w:pStyle w:val="13"/>
            </w:pPr>
            <w:r>
              <w:t>16.20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16.20</w:t>
            </w:r>
          </w:p>
        </w:tc>
        <w:tc>
          <w:tcPr>
            <w:tcW w:w="2381" w:type="dxa"/>
            <w:vAlign w:val="center"/>
          </w:tcPr>
          <w:p>
            <w:pPr>
              <w:pStyle w:val="13"/>
            </w:pPr>
            <w:r>
              <w:t>16.20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石家庄市鹿泉区住房和城乡建设局2026年部门预算信息公开情况说明</w:t>
      </w:r>
    </w:p>
    <w:p>
      <w:pPr>
        <w:jc w:val="center"/>
      </w:pPr>
      <w:r>
        <w:rPr>
          <w:rFonts w:ascii="方正小标宋_GBK" w:hAnsi="方正小标宋_GBK" w:eastAsia="方正小标宋_GBK" w:cs="方正小标宋_GBK"/>
          <w:color w:val="000000"/>
          <w:sz w:val="44"/>
        </w:rPr>
        <w:t>石家庄市鹿泉区住房和城乡建设局2026年部门预算信息公开情况说明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按照《中华人民共和国预算法》、《地方预决算公开操作规程》和《关于进一步推进预算公开工作的实施意见》规定，现将石家庄市鹿泉区住房和城乡建设局2026年部门预算公开如下：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pStyle w:val="19"/>
      </w:pPr>
      <w:r>
        <w:t>（二）贯彻落实党中央、国务院和省、市、区关于城市管理相关工作的方针政策和法律法规。拟订城市管理中长期发展规划和年度计划并组织实施。</w:t>
      </w:r>
    </w:p>
    <w:p>
      <w:pPr>
        <w:pStyle w:val="19"/>
      </w:pPr>
      <w: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pStyle w:val="19"/>
      </w:pPr>
      <w:r>
        <w:t>(四)负责推进住房制度改革。贯彻落实住房政策，指导住房建设，推动住房制度改革；拟订住房建设发展规划并组织实施。</w:t>
      </w:r>
    </w:p>
    <w:p>
      <w:pPr>
        <w:pStyle w:val="19"/>
      </w:pPr>
      <w:r>
        <w:t>(五)负责全区房地产市场的监督管理。贯彻落实房地产市场调控政策并监督执行；落实上级房地产业行业发展规划、产业政策和房地产开发、房屋交易、房屋租赁、房地产估价与经纪管理的规章制度并监督实施。</w:t>
      </w:r>
    </w:p>
    <w:p>
      <w:pPr>
        <w:pStyle w:val="19"/>
      </w:pPr>
      <w:r>
        <w:t>(六)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pStyle w:val="19"/>
      </w:pPr>
      <w: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pStyle w:val="19"/>
      </w:pPr>
      <w:r>
        <w:t>(八)推进新型城镇化（国家新型城镇化综合试点）建设工作。</w:t>
      </w:r>
    </w:p>
    <w:p>
      <w:pPr>
        <w:pStyle w:val="19"/>
      </w:pPr>
      <w: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pStyle w:val="19"/>
      </w:pPr>
      <w: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pStyle w:val="19"/>
      </w:pPr>
      <w: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pStyle w:val="19"/>
      </w:pPr>
      <w: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pStyle w:val="19"/>
      </w:pPr>
      <w: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19"/>
      </w:pPr>
      <w:r>
        <w:t>(十四)负责全区污水处理及污水处理行业管理工作。</w:t>
      </w:r>
    </w:p>
    <w:p>
      <w:pPr>
        <w:pStyle w:val="19"/>
      </w:pPr>
      <w:r>
        <w:t>(十五)负责全区燃气行业管理工作。</w:t>
      </w:r>
    </w:p>
    <w:p>
      <w:pPr>
        <w:pStyle w:val="19"/>
      </w:pPr>
      <w:r>
        <w:t>(十六)负责城市建设档案监督管理工作。</w:t>
      </w:r>
    </w:p>
    <w:p>
      <w:pPr>
        <w:pStyle w:val="19"/>
      </w:pPr>
      <w:r>
        <w:t>(十七)负责直管公有住房的资产、售房款和售后维修资金的管理工作。会同有关部门做好支油、支铁建设协调工作。会同有关部门，做好城市建设行业涉及本部门的相关专业规划的编制和实施工作。</w:t>
      </w:r>
    </w:p>
    <w:p>
      <w:pPr>
        <w:pStyle w:val="19"/>
      </w:pPr>
      <w:r>
        <w:t>(十八)负责住房城乡建设行业信息采集、整理、统计、分析、发布等工作。</w:t>
      </w:r>
    </w:p>
    <w:p>
      <w:pPr>
        <w:pStyle w:val="19"/>
      </w:pPr>
      <w:r>
        <w:t>(十九)负责城区防汛工作。研究部署城区防汛工作，开展城区防汛宣传，提高全社会的防洪减灾意识，会同有关部门做好城区自然灾害应急处置工作。</w:t>
      </w:r>
    </w:p>
    <w:p>
      <w:pPr>
        <w:pStyle w:val="19"/>
      </w:pPr>
      <w:r>
        <w:t>(二十)实施范围内法律法规规章规定的行政处罚权有关的行政强制措施。</w:t>
      </w:r>
    </w:p>
    <w:p>
      <w:pPr>
        <w:pStyle w:val="19"/>
      </w:pPr>
      <w:r>
        <w:t>(二十一)完成区委、区政府交办的其他任务。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石家庄市鹿泉区住房和城乡建设局本级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石家庄市鹿泉区建筑业服务中心</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石家庄市鹿泉区房屋征收中心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石家庄市鹿泉区住房和建设监管综合服务中心</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石家庄市鹿泉区城市建设服务中心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石家庄市鹿泉区住房保障和房地产服务中心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石家庄市鹿泉区廉租住房和经济适用住房管理中心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财政性资金零补助</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按照预算管理有关规定，目前部门预算的编制实行综合预算管理，即全部收入和支出都反映在预算中。石家庄市鹿泉区住房和城乡建设局机关及所属事业单位的收支包含在部门预算中。</w:t>
      </w:r>
    </w:p>
    <w:p>
      <w:pPr>
        <w:pStyle w:val="20"/>
      </w:pPr>
      <w:r>
        <w:t>1、收入说明</w:t>
      </w:r>
    </w:p>
    <w:p>
      <w:pPr>
        <w:pStyle w:val="20"/>
      </w:pPr>
      <w:r>
        <w:t>反映本部门当年全部收入。2026年预算收入22304.97万元，其中：一般公共预算收入15858.62万元，基金预算收入2707.00万元，国有资本经营预算收入0.00万元，财政专户核拨收入0.00万元，单位资金收入0.00万元，上年结转结余3739.36万元。</w:t>
      </w:r>
    </w:p>
    <w:p>
      <w:pPr>
        <w:pStyle w:val="20"/>
      </w:pPr>
      <w:r>
        <w:t>2、支出说明</w:t>
      </w:r>
    </w:p>
    <w:p>
      <w:pPr>
        <w:pStyle w:val="20"/>
        <w:rPr>
          <w:rFonts w:hint="eastAsia" w:eastAsiaTheme="minorEastAsia"/>
          <w:lang w:eastAsia="zh-CN"/>
        </w:rPr>
      </w:pPr>
      <w:r>
        <w:t>收支预算总表支出栏、基本支出表、项目支出表按经济分类和支出功能分类科目编制，反映石家庄市鹿泉区住房和城乡建设局年度部门预算中支出预算的总体情况。2026年支出预算22304.97万元，其中基本支出3734.25万元，包括人员经费2988.80万元和日常公用经费745.45万元；项目支出18570.73万元，主要为基础设施建设项目资金等支出。</w:t>
      </w:r>
    </w:p>
    <w:p>
      <w:pPr>
        <w:pStyle w:val="20"/>
      </w:pPr>
      <w:r>
        <w:t>3、比上年增减情况</w:t>
      </w:r>
    </w:p>
    <w:p>
      <w:pPr>
        <w:pStyle w:val="20"/>
      </w:pPr>
      <w:r>
        <w:t>2026年预算收支安排22304.97万元，较2025年预算减少4806.20万元，其中：基本支出增加106.09万元，主要为人员变动增加。项目支出减少4912.28万元，主要为减少基础设施建设项目。</w:t>
      </w:r>
    </w:p>
    <w:p>
      <w:pPr>
        <w:spacing w:before="10" w:after="10" w:line="360" w:lineRule="auto"/>
        <w:ind w:firstLine="640"/>
        <w:outlineLvl w:val="2"/>
        <w:rPr>
          <w:rFonts w:hint="eastAsia"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outlineLvl w:val="2"/>
      </w:pPr>
      <w:r>
        <w:t>2026年，我部门机关运行经费共计安排745.45万元，主要用于日常维修、办公用房水电费、办公用房取暖费、办公用房物业管理费等日常运行支出。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16.20万元，其中因公出国（境）费0.00万元；公务用车购置及运维费16.20万元（其中：公务用车购置费为0.00万元，公务用车运维费16.20万元)；公务接待费0.00万元。与2025年相比增加0.00万元，增减变化的主要原因是与2025年相比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bidi w:val="0"/>
      </w:pPr>
      <w:r>
        <w:rPr>
          <w:rFonts w:hint="eastAsia"/>
          <w:lang w:val="en-US" w:eastAsia="zh-CN"/>
        </w:rPr>
        <w:t>坚持以习近平新时代中国特色社会主义思想为指导，深入贯彻党的二十大和二十届二中、三中、四中全会精神，巩固</w:t>
      </w:r>
      <w:bookmarkStart w:id="106" w:name="_GoBack"/>
      <w:bookmarkEnd w:id="106"/>
      <w:r>
        <w:rPr>
          <w:rFonts w:hint="eastAsia"/>
          <w:lang w:val="en-US" w:eastAsia="zh-CN"/>
        </w:rPr>
        <w:t>深入贯彻中央八项规定精神学习教育成效，常态化纠治“四风”、强化纪律建设；持续推进公租房分配、城镇燃气安全等“四个专项”整治，聚焦群众身边不正之风和腐败问题；以“四强”党支部建设为抓手，深化基层党建标准化规范化建设，推动党建与业务深度融合，凝聚工作合力、增强执行效能，以高质量党建为住房城乡建设事业高质量发展提供坚实保障。</w:t>
      </w:r>
    </w:p>
    <w:p>
      <w:pPr>
        <w:spacing w:line="500" w:lineRule="exact"/>
        <w:ind w:firstLine="560"/>
      </w:pPr>
      <w:r>
        <w:rPr>
          <w:rFonts w:eastAsia="方正仿宋_GBK"/>
          <w:color w:val="000000"/>
          <w:sz w:val="28"/>
        </w:rPr>
        <w:t>（二）分项绩效目标</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color w:val="000000" w:themeColor="text1"/>
          <w:kern w:val="2"/>
          <w:sz w:val="32"/>
          <w:szCs w:val="32"/>
          <w:highlight w:val="none"/>
          <w:u w:val="none"/>
          <w:lang w:val="en-US" w:eastAsia="zh-CN" w:bidi="ar-SA"/>
        </w:rPr>
      </w:pPr>
      <w:r>
        <w:rPr>
          <w:rFonts w:hint="eastAsia" w:ascii="宋体" w:hAnsi="宋体" w:eastAsia="楷体_GB2312" w:cs="楷体_GB2312"/>
          <w:b w:val="0"/>
          <w:bCs w:val="0"/>
          <w:color w:val="000000" w:themeColor="text1"/>
          <w:sz w:val="32"/>
          <w:szCs w:val="32"/>
          <w:highlight w:val="none"/>
          <w:u w:val="none"/>
          <w:lang w:val="en-US" w:eastAsia="zh-CN"/>
        </w:rPr>
        <w:t>（一）</w:t>
      </w:r>
      <w:r>
        <w:rPr>
          <w:rFonts w:hint="eastAsia" w:ascii="宋体" w:hAnsi="宋体" w:eastAsia="楷体_GB2312" w:cs="楷体_GB2312"/>
          <w:b w:val="0"/>
          <w:bCs w:val="0"/>
          <w:color w:val="000000" w:themeColor="text1"/>
          <w:kern w:val="2"/>
          <w:sz w:val="32"/>
          <w:szCs w:val="32"/>
          <w:highlight w:val="none"/>
          <w:u w:val="none"/>
          <w:lang w:val="en-US" w:eastAsia="zh-CN" w:bidi="ar-SA"/>
        </w:rPr>
        <w:t>用情用力办好民生实事。</w:t>
      </w:r>
      <w:r>
        <w:rPr>
          <w:rFonts w:hint="eastAsia" w:ascii="宋体" w:hAnsi="宋体" w:eastAsia="仿宋_GB2312" w:cs="仿宋_GB2312"/>
          <w:color w:val="000000" w:themeColor="text1"/>
          <w:sz w:val="32"/>
          <w:szCs w:val="32"/>
          <w:highlight w:val="none"/>
          <w:u w:val="none"/>
          <w:lang w:val="en-US" w:eastAsia="zh-CN"/>
        </w:rPr>
        <w:t>始终坚持以人民为中心，</w:t>
      </w:r>
      <w:r>
        <w:rPr>
          <w:rFonts w:hint="eastAsia" w:ascii="宋体" w:hAnsi="宋体" w:eastAsia="仿宋_GB2312" w:cs="仿宋_GB2312"/>
          <w:b w:val="0"/>
          <w:bCs w:val="0"/>
          <w:color w:val="000000" w:themeColor="text1"/>
          <w:kern w:val="0"/>
          <w:sz w:val="32"/>
          <w:szCs w:val="32"/>
          <w:highlight w:val="none"/>
          <w:u w:val="none"/>
          <w:lang w:val="en-US" w:eastAsia="zh-CN" w:bidi="ar-SA"/>
        </w:rPr>
        <w:t>持续打好商品住房项目保交房攻坚战，按照市场化、法治化原则，分类处置在建已售未交付的商品住房项目，</w:t>
      </w:r>
      <w:r>
        <w:rPr>
          <w:rFonts w:hint="eastAsia" w:ascii="宋体" w:hAnsi="宋体" w:eastAsia="仿宋_GB2312" w:cs="仿宋_GB2312"/>
          <w:color w:val="000000" w:themeColor="text1"/>
          <w:kern w:val="2"/>
          <w:sz w:val="32"/>
          <w:szCs w:val="32"/>
          <w:highlight w:val="none"/>
          <w:u w:val="none"/>
          <w:lang w:val="en-US" w:eastAsia="zh-CN" w:bidi="ar-SA"/>
        </w:rPr>
        <w:t>督促新兴城二期项目加快施工，</w:t>
      </w:r>
      <w:r>
        <w:rPr>
          <w:rFonts w:hint="eastAsia" w:ascii="宋体" w:hAnsi="宋体" w:eastAsia="仿宋_GB2312" w:cs="仿宋_GB2312"/>
          <w:b w:val="0"/>
          <w:bCs w:val="0"/>
          <w:color w:val="000000" w:themeColor="text1"/>
          <w:kern w:val="0"/>
          <w:sz w:val="32"/>
          <w:szCs w:val="32"/>
          <w:highlight w:val="none"/>
          <w:u w:val="none"/>
          <w:lang w:val="en-US" w:eastAsia="zh-CN" w:bidi="ar-SA"/>
        </w:rPr>
        <w:t>切实保障购房人合法权益。</w:t>
      </w:r>
      <w:r>
        <w:rPr>
          <w:rFonts w:hint="eastAsia" w:ascii="宋体" w:hAnsi="宋体" w:eastAsia="仿宋_GB2312" w:cs="仿宋_GB2312"/>
          <w:color w:val="000000" w:themeColor="text1"/>
          <w:kern w:val="2"/>
          <w:sz w:val="32"/>
          <w:szCs w:val="32"/>
          <w:highlight w:val="none"/>
          <w:u w:val="none"/>
          <w:lang w:val="en-US" w:eastAsia="zh-CN" w:bidi="ar-SA"/>
        </w:rPr>
        <w:t>督促第二批保交楼企业按期还款。</w:t>
      </w:r>
      <w:r>
        <w:rPr>
          <w:rFonts w:hint="eastAsia" w:ascii="宋体" w:hAnsi="宋体" w:eastAsia="仿宋_GB2312" w:cs="仿宋_GB2312"/>
          <w:b w:val="0"/>
          <w:bCs w:val="0"/>
          <w:color w:val="000000" w:themeColor="text1"/>
          <w:kern w:val="0"/>
          <w:sz w:val="32"/>
          <w:szCs w:val="32"/>
          <w:highlight w:val="none"/>
          <w:u w:val="none"/>
          <w:lang w:val="en-US" w:eastAsia="zh-CN" w:bidi="ar-SA"/>
        </w:rPr>
        <w:t>继续用好城市房地产融资协调机制，协助符合条件的项目纳入“白名单”。加快推动贺庄、稻香村、深圳科技园保障性租赁住房项目建设，加大人才公</w:t>
      </w:r>
      <w:r>
        <w:rPr>
          <w:rFonts w:hint="eastAsia" w:ascii="宋体" w:hAnsi="宋体" w:eastAsia="仿宋_GB2312" w:cs="仿宋_GB2312"/>
          <w:color w:val="000000" w:themeColor="text1"/>
          <w:kern w:val="2"/>
          <w:sz w:val="32"/>
          <w:szCs w:val="32"/>
          <w:highlight w:val="none"/>
          <w:u w:val="none"/>
          <w:shd w:val="clear" w:color="080000" w:fill="FFFFFF"/>
          <w:lang w:val="en-US" w:eastAsia="zh-CN"/>
        </w:rPr>
        <w:t>寓筹集力度，</w:t>
      </w:r>
      <w:r>
        <w:rPr>
          <w:rFonts w:hint="eastAsia" w:ascii="宋体" w:hAnsi="宋体" w:eastAsia="仿宋_GB2312" w:cs="仿宋_GB2312"/>
          <w:color w:val="000000" w:themeColor="text1"/>
          <w:sz w:val="32"/>
          <w:szCs w:val="32"/>
          <w:highlight w:val="none"/>
          <w:u w:val="none"/>
          <w:lang w:val="en-US" w:eastAsia="zh-CN"/>
        </w:rPr>
        <w:t>解决好新市民、青年人住房问题。积极谋划好城中村改造项目，协助寺家庄镇东良政村、上庄镇上庄村改造争取政策支持。</w:t>
      </w:r>
    </w:p>
    <w:p>
      <w:pPr>
        <w:pStyle w:val="5"/>
        <w:keepNext w:val="0"/>
        <w:keepLines w:val="0"/>
        <w:pageBreakBefore w:val="0"/>
        <w:widowControl w:val="0"/>
        <w:numPr>
          <w:ilvl w:val="0"/>
          <w:numId w:val="0"/>
        </w:numPr>
        <w:kinsoku/>
        <w:wordWrap/>
        <w:overflowPunct/>
        <w:topLinePunct w:val="0"/>
        <w:autoSpaceDE/>
        <w:autoSpaceDN/>
        <w:bidi w:val="0"/>
        <w:snapToGrid/>
        <w:spacing w:line="578" w:lineRule="exact"/>
        <w:ind w:firstLine="640" w:firstLineChars="200"/>
        <w:rPr>
          <w:rFonts w:hint="default" w:ascii="宋体" w:hAnsi="宋体" w:eastAsia="仿宋" w:cs="仿宋"/>
          <w:color w:val="000000" w:themeColor="text1"/>
          <w:sz w:val="32"/>
          <w:szCs w:val="32"/>
          <w:highlight w:val="none"/>
          <w:u w:val="none"/>
          <w:lang w:val="en-US" w:eastAsia="zh-CN"/>
        </w:rPr>
      </w:pPr>
      <w:r>
        <w:rPr>
          <w:rFonts w:hint="eastAsia" w:ascii="宋体" w:hAnsi="宋体" w:eastAsia="楷体_GB2312" w:cs="楷体_GB2312"/>
          <w:b w:val="0"/>
          <w:bCs w:val="0"/>
          <w:color w:val="000000" w:themeColor="text1"/>
          <w:kern w:val="2"/>
          <w:sz w:val="32"/>
          <w:szCs w:val="32"/>
          <w:highlight w:val="none"/>
          <w:u w:val="none"/>
          <w:lang w:val="en-US" w:eastAsia="zh-CN" w:bidi="ar-SA"/>
        </w:rPr>
        <w:t>（二）持续做好城市建设与管理。</w:t>
      </w:r>
      <w:r>
        <w:rPr>
          <w:rFonts w:hint="eastAsia" w:ascii="宋体" w:hAnsi="宋体" w:eastAsia="仿宋_GB2312" w:cs="仿宋_GB2312"/>
          <w:color w:val="000000" w:themeColor="text1"/>
          <w:sz w:val="32"/>
          <w:szCs w:val="32"/>
          <w:highlight w:val="none"/>
          <w:u w:val="none"/>
          <w:lang w:val="en-US" w:eastAsia="zh-CN"/>
        </w:rPr>
        <w:t>扎实完成“十五五”规划编制工作。</w:t>
      </w:r>
      <w:r>
        <w:rPr>
          <w:rFonts w:hint="eastAsia" w:ascii="宋体" w:hAnsi="宋体" w:eastAsia="仿宋_GB2312" w:cs="仿宋_GB2312"/>
          <w:b w:val="0"/>
          <w:bCs w:val="0"/>
          <w:color w:val="000000" w:themeColor="text1"/>
          <w:kern w:val="0"/>
          <w:sz w:val="32"/>
          <w:szCs w:val="32"/>
          <w:highlight w:val="none"/>
          <w:u w:val="none"/>
          <w:lang w:val="en-US" w:eastAsia="zh-CN" w:bidi="ar-SA"/>
        </w:rPr>
        <w:t>围绕城市更新行动，做实做细</w:t>
      </w:r>
      <w:r>
        <w:rPr>
          <w:rFonts w:hint="eastAsia" w:ascii="宋体" w:hAnsi="宋体" w:eastAsia="仿宋_GB2312" w:cs="仿宋_GB2312"/>
          <w:color w:val="000000" w:themeColor="text1"/>
          <w:kern w:val="2"/>
          <w:sz w:val="32"/>
          <w:szCs w:val="32"/>
          <w:highlight w:val="none"/>
          <w:u w:val="none"/>
          <w:lang w:val="en-US" w:eastAsia="zh-CN" w:bidi="ar-SA"/>
        </w:rPr>
        <w:t>城市体检，</w:t>
      </w:r>
      <w:r>
        <w:rPr>
          <w:rFonts w:hint="eastAsia" w:ascii="宋体" w:hAnsi="宋体" w:eastAsia="仿宋_GB2312" w:cs="仿宋_GB2312"/>
          <w:color w:val="000000" w:themeColor="text1"/>
          <w:sz w:val="32"/>
          <w:szCs w:val="32"/>
          <w:highlight w:val="none"/>
          <w:u w:val="none"/>
          <w:lang w:val="en-US" w:eastAsia="zh-CN"/>
        </w:rPr>
        <w:t>科学谋划城市建设项目，谋划启动石家庄市鹿泉区铜冶片区排水基础设施建设工程谋划项目、石家庄市鹿泉区老旧排水管网及设施更新改造项目，同步谋划争取中央预算内资金、超长期国债等资金，为项目启动提供保障。提前做好2001—2010年80个老旧小区改造基本情况摸底排查，待上级政策下达，根据实际情况分批次启动。</w:t>
      </w:r>
      <w:r>
        <w:rPr>
          <w:rFonts w:hint="eastAsia" w:ascii="宋体" w:hAnsi="宋体" w:eastAsia="仿宋_GB2312" w:cs="仿宋_GB2312"/>
          <w:b w:val="0"/>
          <w:bCs w:val="0"/>
          <w:color w:val="000000" w:themeColor="text1"/>
          <w:sz w:val="32"/>
          <w:szCs w:val="32"/>
          <w:highlight w:val="none"/>
          <w:lang w:val="en-US" w:eastAsia="zh-CN"/>
        </w:rPr>
        <w:t>加力推进电梯更新项目储备工作，积极争取超长期特别国债。</w:t>
      </w:r>
      <w:r>
        <w:rPr>
          <w:rFonts w:hint="eastAsia" w:ascii="宋体" w:hAnsi="宋体" w:eastAsia="仿宋_GB2312" w:cs="仿宋_GB2312"/>
          <w:color w:val="000000" w:themeColor="text1"/>
          <w:sz w:val="32"/>
          <w:szCs w:val="32"/>
          <w:highlight w:val="none"/>
          <w:u w:val="none"/>
          <w:lang w:val="en-US" w:eastAsia="zh-CN"/>
        </w:rPr>
        <w:t>扎实做好</w:t>
      </w:r>
      <w:r>
        <w:rPr>
          <w:rFonts w:hint="eastAsia" w:ascii="宋体" w:hAnsi="宋体" w:eastAsia="仿宋_GB2312" w:cs="仿宋_GB2312"/>
          <w:color w:val="000000" w:themeColor="text1"/>
          <w:kern w:val="2"/>
          <w:sz w:val="32"/>
          <w:szCs w:val="32"/>
          <w:highlight w:val="none"/>
          <w:u w:val="none"/>
          <w:lang w:val="en-US" w:eastAsia="zh-CN" w:bidi="ar-SA"/>
        </w:rPr>
        <w:t>国有土地和房屋征收工作。做好</w:t>
      </w:r>
      <w:r>
        <w:rPr>
          <w:rFonts w:hint="eastAsia" w:ascii="宋体" w:hAnsi="宋体" w:eastAsia="仿宋_GB2312" w:cs="仿宋_GB2312"/>
          <w:color w:val="000000" w:themeColor="text1"/>
          <w:sz w:val="32"/>
          <w:szCs w:val="32"/>
          <w:highlight w:val="none"/>
          <w:u w:val="none"/>
          <w:lang w:val="en-US" w:eastAsia="zh-CN"/>
        </w:rPr>
        <w:t>两座污水处理厂监管工作，完成西部上庄污水厂扩建工程，持续推进便民市场工程。</w:t>
      </w:r>
    </w:p>
    <w:p>
      <w:pPr>
        <w:pStyle w:val="5"/>
        <w:keepNext w:val="0"/>
        <w:keepLines w:val="0"/>
        <w:pageBreakBefore w:val="0"/>
        <w:widowControl w:val="0"/>
        <w:numPr>
          <w:ilvl w:val="0"/>
          <w:numId w:val="0"/>
        </w:numPr>
        <w:kinsoku/>
        <w:wordWrap/>
        <w:overflowPunct/>
        <w:topLinePunct w:val="0"/>
        <w:autoSpaceDE/>
        <w:autoSpaceDN/>
        <w:bidi w:val="0"/>
        <w:snapToGrid/>
        <w:spacing w:line="578" w:lineRule="exact"/>
        <w:ind w:firstLine="640" w:firstLineChars="200"/>
        <w:rPr>
          <w:rFonts w:hint="eastAsia" w:ascii="宋体" w:hAnsi="宋体" w:eastAsia="仿宋_GB2312" w:cs="仿宋_GB2312"/>
          <w:color w:val="000000" w:themeColor="text1"/>
          <w:sz w:val="32"/>
          <w:szCs w:val="32"/>
          <w:highlight w:val="none"/>
          <w:lang w:val="en-US" w:eastAsia="zh-CN"/>
        </w:rPr>
      </w:pPr>
      <w:r>
        <w:rPr>
          <w:rFonts w:hint="eastAsia" w:ascii="宋体" w:hAnsi="宋体" w:eastAsia="楷体_GB2312" w:cs="楷体_GB2312"/>
          <w:color w:val="000000" w:themeColor="text1"/>
          <w:kern w:val="2"/>
          <w:sz w:val="32"/>
          <w:szCs w:val="32"/>
          <w:highlight w:val="none"/>
          <w:u w:val="none"/>
          <w:lang w:val="en-US" w:eastAsia="zh-CN" w:bidi="ar-SA"/>
        </w:rPr>
        <w:t>（三）推动住建领域安全生产。</w:t>
      </w:r>
      <w:r>
        <w:rPr>
          <w:rFonts w:hint="eastAsia" w:ascii="宋体" w:hAnsi="宋体" w:eastAsia="仿宋_GB2312" w:cs="仿宋_GB2312"/>
          <w:color w:val="000000" w:themeColor="text1"/>
          <w:sz w:val="32"/>
          <w:szCs w:val="32"/>
          <w:highlight w:val="none"/>
          <w:lang w:val="en-US" w:eastAsia="zh-CN"/>
        </w:rPr>
        <w:t>持续开展城乡燃气专项整治工作，将隐患消除在萌芽状态，确保我区燃气安全平稳运行。深入开展建筑施工治本攻坚“三年行动”，加强建筑施工安全监管，坚决遏制群死群伤事故发生。</w:t>
      </w:r>
      <w:r>
        <w:rPr>
          <w:rFonts w:hint="eastAsia" w:ascii="宋体" w:hAnsi="宋体" w:eastAsia="仿宋_GB2312" w:cs="仿宋_GB2312"/>
          <w:color w:val="000000" w:themeColor="text1"/>
          <w:sz w:val="32"/>
          <w:szCs w:val="32"/>
          <w:highlight w:val="none"/>
          <w:u w:val="none"/>
          <w:lang w:val="en-US" w:eastAsia="zh-CN"/>
        </w:rPr>
        <w:t>持续开展提升物业服务水平专项行动</w:t>
      </w:r>
      <w:r>
        <w:rPr>
          <w:rFonts w:hint="eastAsia" w:ascii="宋体" w:hAnsi="宋体" w:eastAsia="仿宋_GB2312" w:cs="仿宋_GB2312"/>
          <w:color w:val="000000" w:themeColor="text1"/>
          <w:sz w:val="32"/>
          <w:szCs w:val="32"/>
          <w:highlight w:val="none"/>
          <w:u w:val="none"/>
        </w:rPr>
        <w:t>，组织消防、防汛宣传及演练，</w:t>
      </w:r>
      <w:r>
        <w:rPr>
          <w:rFonts w:hint="eastAsia" w:ascii="宋体" w:hAnsi="宋体" w:eastAsia="仿宋_GB2312" w:cs="仿宋_GB2312"/>
          <w:color w:val="000000" w:themeColor="text1"/>
          <w:sz w:val="32"/>
          <w:szCs w:val="32"/>
          <w:highlight w:val="none"/>
          <w:u w:val="none"/>
          <w:lang w:val="en-US" w:eastAsia="zh-CN"/>
        </w:rPr>
        <w:t>持续推进</w:t>
      </w:r>
      <w:r>
        <w:rPr>
          <w:rFonts w:hint="eastAsia" w:ascii="宋体" w:hAnsi="宋体" w:eastAsia="仿宋_GB2312" w:cs="仿宋_GB2312"/>
          <w:color w:val="000000" w:themeColor="text1"/>
          <w:sz w:val="32"/>
          <w:szCs w:val="32"/>
          <w:highlight w:val="none"/>
          <w:u w:val="none"/>
        </w:rPr>
        <w:t>小区车棚与视频监控建设</w:t>
      </w:r>
      <w:r>
        <w:rPr>
          <w:rFonts w:hint="eastAsia" w:ascii="宋体" w:hAnsi="宋体" w:eastAsia="仿宋_GB2312" w:cs="仿宋_GB2312"/>
          <w:color w:val="000000" w:themeColor="text1"/>
          <w:sz w:val="32"/>
          <w:szCs w:val="32"/>
          <w:highlight w:val="none"/>
          <w:u w:val="none"/>
          <w:lang w:eastAsia="zh-CN"/>
        </w:rPr>
        <w:t>，</w:t>
      </w:r>
      <w:r>
        <w:rPr>
          <w:rFonts w:hint="eastAsia" w:ascii="宋体" w:hAnsi="宋体" w:eastAsia="仿宋_GB2312" w:cs="仿宋_GB2312"/>
          <w:color w:val="000000" w:themeColor="text1"/>
          <w:sz w:val="32"/>
          <w:szCs w:val="32"/>
          <w:highlight w:val="none"/>
          <w:u w:val="none"/>
        </w:rPr>
        <w:t>加大电动自行车违规治理并出台管理规定</w:t>
      </w:r>
      <w:r>
        <w:rPr>
          <w:rFonts w:hint="eastAsia" w:ascii="宋体" w:hAnsi="宋体" w:eastAsia="仿宋_GB2312" w:cs="仿宋_GB2312"/>
          <w:color w:val="000000" w:themeColor="text1"/>
          <w:sz w:val="32"/>
          <w:szCs w:val="32"/>
          <w:highlight w:val="none"/>
          <w:u w:val="none"/>
          <w:lang w:eastAsia="zh-CN"/>
        </w:rPr>
        <w:t>，</w:t>
      </w:r>
      <w:r>
        <w:rPr>
          <w:rFonts w:hint="eastAsia" w:ascii="宋体" w:hAnsi="宋体" w:eastAsia="仿宋_GB2312" w:cs="仿宋_GB2312"/>
          <w:color w:val="000000" w:themeColor="text1"/>
          <w:sz w:val="32"/>
          <w:szCs w:val="32"/>
          <w:highlight w:val="none"/>
          <w:u w:val="none"/>
        </w:rPr>
        <w:t>着力打造</w:t>
      </w:r>
      <w:r>
        <w:rPr>
          <w:rFonts w:hint="eastAsia" w:ascii="宋体" w:hAnsi="宋体" w:eastAsia="仿宋_GB2312" w:cs="仿宋_GB2312"/>
          <w:color w:val="000000" w:themeColor="text1"/>
          <w:sz w:val="32"/>
          <w:szCs w:val="32"/>
          <w:highlight w:val="none"/>
          <w:u w:val="none"/>
          <w:lang w:val="en-US" w:eastAsia="zh-CN"/>
        </w:rPr>
        <w:t>舒适</w:t>
      </w:r>
      <w:r>
        <w:rPr>
          <w:rFonts w:hint="eastAsia" w:ascii="宋体" w:hAnsi="宋体" w:eastAsia="仿宋_GB2312" w:cs="仿宋_GB2312"/>
          <w:color w:val="000000" w:themeColor="text1"/>
          <w:sz w:val="32"/>
          <w:szCs w:val="32"/>
          <w:highlight w:val="none"/>
          <w:u w:val="none"/>
        </w:rPr>
        <w:t>干净</w:t>
      </w:r>
      <w:r>
        <w:rPr>
          <w:rFonts w:hint="eastAsia" w:ascii="宋体" w:hAnsi="宋体" w:eastAsia="仿宋_GB2312" w:cs="仿宋_GB2312"/>
          <w:color w:val="000000" w:themeColor="text1"/>
          <w:sz w:val="32"/>
          <w:szCs w:val="32"/>
          <w:highlight w:val="none"/>
          <w:u w:val="none"/>
          <w:lang w:val="en-US" w:eastAsia="zh-CN"/>
        </w:rPr>
        <w:t>安全的</w:t>
      </w:r>
      <w:r>
        <w:rPr>
          <w:rFonts w:hint="eastAsia" w:ascii="宋体" w:hAnsi="宋体" w:eastAsia="仿宋_GB2312" w:cs="仿宋_GB2312"/>
          <w:color w:val="000000" w:themeColor="text1"/>
          <w:sz w:val="32"/>
          <w:szCs w:val="32"/>
          <w:highlight w:val="none"/>
          <w:u w:val="none"/>
        </w:rPr>
        <w:t>小区</w:t>
      </w:r>
      <w:r>
        <w:rPr>
          <w:rFonts w:hint="eastAsia" w:ascii="宋体" w:hAnsi="宋体" w:eastAsia="仿宋_GB2312" w:cs="仿宋_GB2312"/>
          <w:color w:val="000000" w:themeColor="text1"/>
          <w:sz w:val="32"/>
          <w:szCs w:val="32"/>
          <w:highlight w:val="none"/>
          <w:u w:val="none"/>
          <w:lang w:val="en-US" w:eastAsia="zh-CN"/>
        </w:rPr>
        <w:t>环境</w:t>
      </w:r>
      <w:r>
        <w:rPr>
          <w:rFonts w:hint="eastAsia" w:ascii="宋体" w:hAnsi="宋体" w:eastAsia="仿宋_GB2312" w:cs="仿宋_GB2312"/>
          <w:b w:val="0"/>
          <w:bCs w:val="0"/>
          <w:color w:val="000000" w:themeColor="text1"/>
          <w:kern w:val="2"/>
          <w:sz w:val="32"/>
          <w:szCs w:val="32"/>
          <w:highlight w:val="none"/>
          <w:u w:val="none"/>
          <w:lang w:val="en-US" w:eastAsia="zh-CN" w:bidi="ar-SA"/>
        </w:rPr>
        <w:t>。</w:t>
      </w:r>
      <w:r>
        <w:rPr>
          <w:rFonts w:hint="eastAsia" w:ascii="宋体" w:hAnsi="宋体" w:eastAsia="仿宋_GB2312" w:cs="仿宋_GB2312"/>
          <w:color w:val="000000" w:themeColor="text1"/>
          <w:sz w:val="32"/>
          <w:szCs w:val="32"/>
          <w:highlight w:val="none"/>
          <w:lang w:val="en-US" w:eastAsia="zh-CN"/>
        </w:rPr>
        <w:t>抓好农村住房安全隐患排查整治，督导各乡镇依托三个台账定期排查，动态监测农村低收入人群房屋，及时处理问题，坚守“危房不住人，住人不危房”底线。</w:t>
      </w:r>
    </w:p>
    <w:p>
      <w:pPr>
        <w:pStyle w:val="24"/>
      </w:pPr>
      <w:r>
        <w:rPr>
          <w:rFonts w:hint="eastAsia" w:ascii="宋体" w:hAnsi="宋体" w:eastAsia="楷体_GB2312" w:cs="楷体_GB2312"/>
          <w:b w:val="0"/>
          <w:bCs w:val="0"/>
          <w:color w:val="000000" w:themeColor="text1"/>
          <w:kern w:val="2"/>
          <w:sz w:val="32"/>
          <w:szCs w:val="32"/>
          <w:highlight w:val="none"/>
          <w:u w:val="none"/>
          <w:lang w:val="en-US" w:eastAsia="zh-CN" w:bidi="ar-SA"/>
        </w:rPr>
        <w:t>（四）持续做好建筑行业监管。</w:t>
      </w:r>
      <w:r>
        <w:rPr>
          <w:rFonts w:hint="eastAsia" w:ascii="宋体" w:hAnsi="宋体" w:eastAsia="仿宋_GB2312" w:cs="仿宋_GB2312"/>
          <w:color w:val="000000" w:themeColor="text1"/>
          <w:kern w:val="2"/>
          <w:sz w:val="32"/>
          <w:szCs w:val="32"/>
          <w:highlight w:val="none"/>
          <w:u w:val="none"/>
          <w:lang w:val="en-US" w:eastAsia="zh-CN" w:bidi="ar-SA"/>
        </w:rPr>
        <w:t>持续推进工程质量安全手册的宣贯和落实，将检测机构纳入监督管理，全面落实质量监督信息化，对工程实行差别化管理，尤其是地处水位浅的住宅、学校、医院等工程，积极帮助项目申报结构优质工程。强化建筑市场日常监管,充分运用省信用评价平台，及时记录问题企业和个人建筑市场不规范、报送虚假信息、拖欠工程款等不良行为，规范建筑市场秩序。深入开展工程质量常见问题治理,持续加强安全生产双控机制建设，每季度开展一次安全生产大会，确保建筑工程质量安全。加大对乡镇的指导、督导力度,推动建筑施工扬尘治理工作步入法制化、常态化、规范化轨道。</w:t>
      </w:r>
      <w:r>
        <w:rPr>
          <w:rFonts w:hint="eastAsia" w:ascii="宋体" w:hAnsi="宋体" w:eastAsia="仿宋_GB2312" w:cs="仿宋_GB2312"/>
          <w:color w:val="000000" w:themeColor="text1"/>
          <w:sz w:val="32"/>
          <w:szCs w:val="32"/>
          <w:highlight w:val="none"/>
          <w:u w:val="none"/>
          <w:lang w:val="en-US" w:eastAsia="zh-CN"/>
        </w:rPr>
        <w:t>持续做好</w:t>
      </w:r>
      <w:r>
        <w:rPr>
          <w:rFonts w:hint="eastAsia" w:ascii="宋体" w:hAnsi="宋体" w:eastAsia="仿宋_GB2312" w:cs="仿宋_GB2312"/>
          <w:color w:val="000000" w:themeColor="text1"/>
          <w:sz w:val="32"/>
          <w:szCs w:val="32"/>
          <w:highlight w:val="none"/>
          <w:u w:val="none"/>
        </w:rPr>
        <w:t>新建居住建筑75%和公共建筑</w:t>
      </w:r>
      <w:r>
        <w:rPr>
          <w:rFonts w:hint="eastAsia" w:ascii="宋体" w:hAnsi="宋体" w:eastAsia="仿宋_GB2312" w:cs="仿宋_GB2312"/>
          <w:color w:val="000000" w:themeColor="text1"/>
          <w:sz w:val="32"/>
          <w:szCs w:val="32"/>
          <w:highlight w:val="none"/>
          <w:u w:val="none"/>
          <w:lang w:val="en-US" w:eastAsia="zh-CN"/>
        </w:rPr>
        <w:t>72</w:t>
      </w:r>
      <w:r>
        <w:rPr>
          <w:rFonts w:hint="eastAsia" w:ascii="宋体" w:hAnsi="宋体" w:eastAsia="仿宋_GB2312" w:cs="仿宋_GB2312"/>
          <w:color w:val="000000" w:themeColor="text1"/>
          <w:sz w:val="32"/>
          <w:szCs w:val="32"/>
          <w:highlight w:val="none"/>
          <w:u w:val="none"/>
        </w:rPr>
        <w:t>%节能</w:t>
      </w:r>
      <w:r>
        <w:rPr>
          <w:rFonts w:hint="eastAsia" w:ascii="宋体" w:hAnsi="宋体" w:eastAsia="仿宋_GB2312" w:cs="仿宋_GB2312"/>
          <w:color w:val="000000" w:themeColor="text1"/>
          <w:sz w:val="32"/>
          <w:szCs w:val="32"/>
          <w:highlight w:val="none"/>
          <w:u w:val="none"/>
          <w:lang w:val="en-US" w:eastAsia="zh-CN"/>
        </w:rPr>
        <w:t>标准政策落实，</w:t>
      </w:r>
      <w:r>
        <w:rPr>
          <w:rFonts w:hint="eastAsia" w:ascii="宋体" w:hAnsi="宋体" w:eastAsia="仿宋_GB2312" w:cs="仿宋_GB2312"/>
          <w:color w:val="000000" w:themeColor="text1"/>
          <w:sz w:val="32"/>
          <w:szCs w:val="32"/>
          <w:highlight w:val="none"/>
          <w:u w:val="none"/>
        </w:rPr>
        <w:t>大力发展绿色建筑、装配式建筑和被动式超低能耗建筑</w:t>
      </w:r>
      <w:r>
        <w:rPr>
          <w:rFonts w:hint="eastAsia" w:ascii="宋体" w:hAnsi="宋体" w:eastAsia="仿宋_GB2312" w:cs="仿宋_GB2312"/>
          <w:color w:val="000000" w:themeColor="text1"/>
          <w:sz w:val="32"/>
          <w:szCs w:val="32"/>
          <w:highlight w:val="none"/>
          <w:u w:val="none"/>
          <w:lang w:eastAsia="zh-CN"/>
        </w:rPr>
        <w:t>，</w:t>
      </w:r>
      <w:r>
        <w:rPr>
          <w:rFonts w:hint="eastAsia" w:ascii="宋体" w:hAnsi="宋体" w:eastAsia="仿宋_GB2312" w:cs="仿宋_GB2312"/>
          <w:color w:val="000000" w:themeColor="text1"/>
          <w:sz w:val="32"/>
          <w:szCs w:val="32"/>
          <w:highlight w:val="none"/>
          <w:u w:val="none"/>
          <w:lang w:val="en-US" w:eastAsia="zh-CN"/>
        </w:rPr>
        <w:t>新建装配式建筑占比35%以上。</w:t>
      </w:r>
    </w:p>
    <w:p>
      <w:pPr>
        <w:spacing w:line="500" w:lineRule="exact"/>
        <w:ind w:firstLine="560"/>
      </w:pPr>
      <w:r>
        <w:rPr>
          <w:rFonts w:eastAsia="方正仿宋_GBK"/>
          <w:color w:val="000000"/>
          <w:sz w:val="28"/>
        </w:rPr>
        <w:t>（三）工作保障措施</w:t>
      </w:r>
    </w:p>
    <w:p>
      <w:pPr>
        <w:pStyle w:val="25"/>
      </w:pPr>
      <w:r>
        <w:t>1、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pPr>
        <w:pStyle w:val="25"/>
      </w:pPr>
      <w:r>
        <w:t>2、加强支出管理。强化财政预算执行刚性，编细编实预算，对预算的事前、事中、事后进行全过程控制，进一步提高财政资金使用效益。加强支出结构优化，通过加快履行政府采购手续、尽快启动项目、及时支付资金、细化代编预算等多种举措，确保按照时间节点完成支出任务。</w:t>
      </w:r>
    </w:p>
    <w:p>
      <w:pPr>
        <w:pStyle w:val="25"/>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5"/>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5"/>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firstLineChars="200"/>
        <w:outlineLvl w:val="2"/>
      </w:pPr>
      <w:bookmarkStart w:id="14" w:name="_Toc_3_3_0000000015"/>
      <w:r>
        <w:rPr>
          <w:rFonts w:ascii="黑体" w:hAnsi="黑体" w:eastAsia="黑体" w:cs="黑体"/>
          <w:color w:val="000000"/>
          <w:sz w:val="32"/>
        </w:rPr>
        <w:t>六、</w:t>
      </w:r>
      <w:bookmarkEnd w:id="14"/>
      <w:r>
        <w:rPr>
          <w:rFonts w:ascii="黑体" w:hAnsi="黑体" w:eastAsia="黑体" w:cs="黑体"/>
          <w:color w:val="000000"/>
          <w:sz w:val="32"/>
        </w:rPr>
        <w:t>部门项目预算安排情况及绩效目标</w:t>
      </w:r>
    </w:p>
    <w:p>
      <w:pPr>
        <w:spacing w:before="0" w:after="0"/>
        <w:ind w:firstLine="560"/>
        <w:jc w:val="left"/>
        <w:outlineLvl w:val="3"/>
      </w:pPr>
      <w:bookmarkStart w:id="15" w:name="_Toc_4_4_0000000004"/>
      <w:r>
        <w:rPr>
          <w:rFonts w:ascii="方正仿宋_GBK" w:hAnsi="方正仿宋_GBK" w:eastAsia="方正仿宋_GBK" w:cs="方正仿宋_GBK"/>
          <w:color w:val="000000"/>
          <w:sz w:val="28"/>
        </w:rPr>
        <w:t>1.2016-2020年农村自闭阀特殊补贴绩效目标表</w:t>
      </w:r>
      <w:bookmarkEnd w:id="1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13011026P00155110036D</w:t>
            </w:r>
          </w:p>
        </w:tc>
        <w:tc>
          <w:tcPr>
            <w:tcW w:w="1587" w:type="dxa"/>
            <w:vAlign w:val="center"/>
          </w:tcPr>
          <w:p>
            <w:pPr>
              <w:pStyle w:val="12"/>
            </w:pPr>
            <w:r>
              <w:t>项目名称</w:t>
            </w:r>
          </w:p>
        </w:tc>
        <w:tc>
          <w:tcPr>
            <w:tcW w:w="4423" w:type="dxa"/>
            <w:gridSpan w:val="3"/>
            <w:vAlign w:val="center"/>
          </w:tcPr>
          <w:p>
            <w:pPr>
              <w:pStyle w:val="14"/>
            </w:pPr>
            <w:r>
              <w:t>2016-2020年农村自闭阀特殊补贴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0.43</w:t>
            </w:r>
          </w:p>
        </w:tc>
        <w:tc>
          <w:tcPr>
            <w:tcW w:w="1587" w:type="dxa"/>
            <w:vAlign w:val="center"/>
          </w:tcPr>
          <w:p>
            <w:pPr>
              <w:pStyle w:val="12"/>
            </w:pPr>
            <w:r>
              <w:t>其中：财政    资金</w:t>
            </w:r>
          </w:p>
        </w:tc>
        <w:tc>
          <w:tcPr>
            <w:tcW w:w="1304" w:type="dxa"/>
            <w:vAlign w:val="center"/>
          </w:tcPr>
          <w:p>
            <w:pPr>
              <w:pStyle w:val="14"/>
            </w:pPr>
            <w:r>
              <w:t>0.43</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为特困农村气代煤用户1218户，加装具有自动切断功能的安全装置，强化燃气行业安全管理，坚决防范事故发生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1.为特困农村气代煤用户1218户，加装具有自动切断功能的安全装置，强化燃气行业安全管理，坚决防范事故发生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补助农村气代煤管道用气户</w:t>
            </w:r>
          </w:p>
        </w:tc>
        <w:tc>
          <w:tcPr>
            <w:tcW w:w="2891" w:type="dxa"/>
            <w:vAlign w:val="center"/>
          </w:tcPr>
          <w:p>
            <w:pPr>
              <w:pStyle w:val="14"/>
            </w:pPr>
            <w:r>
              <w:t>享受自闭阀补贴户数</w:t>
            </w:r>
          </w:p>
        </w:tc>
        <w:tc>
          <w:tcPr>
            <w:tcW w:w="1276" w:type="dxa"/>
            <w:vAlign w:val="center"/>
          </w:tcPr>
          <w:p>
            <w:pPr>
              <w:pStyle w:val="14"/>
            </w:pPr>
            <w:r>
              <w:t>1218户</w:t>
            </w:r>
          </w:p>
        </w:tc>
        <w:tc>
          <w:tcPr>
            <w:tcW w:w="1843"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 xml:space="preserve"> 自闭阀安装补贴任务完成率</w:t>
            </w:r>
          </w:p>
        </w:tc>
        <w:tc>
          <w:tcPr>
            <w:tcW w:w="2891" w:type="dxa"/>
            <w:vAlign w:val="center"/>
          </w:tcPr>
          <w:p>
            <w:pPr>
              <w:pStyle w:val="14"/>
            </w:pPr>
            <w:r>
              <w:t xml:space="preserve">   已安装自闭阀用户占应安装完成率</w:t>
            </w:r>
          </w:p>
        </w:tc>
        <w:tc>
          <w:tcPr>
            <w:tcW w:w="1276" w:type="dxa"/>
            <w:vAlign w:val="center"/>
          </w:tcPr>
          <w:p>
            <w:pPr>
              <w:pStyle w:val="14"/>
            </w:pPr>
            <w:r>
              <w:t>100%</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 xml:space="preserve"> 自闭阀安装补贴标准</w:t>
            </w:r>
          </w:p>
        </w:tc>
        <w:tc>
          <w:tcPr>
            <w:tcW w:w="2891" w:type="dxa"/>
            <w:vAlign w:val="center"/>
          </w:tcPr>
          <w:p>
            <w:pPr>
              <w:pStyle w:val="14"/>
            </w:pPr>
            <w:r>
              <w:t xml:space="preserve">  对燃气用户安装自闭阀户均补贴</w:t>
            </w:r>
          </w:p>
        </w:tc>
        <w:tc>
          <w:tcPr>
            <w:tcW w:w="1276" w:type="dxa"/>
            <w:vAlign w:val="center"/>
          </w:tcPr>
          <w:p>
            <w:pPr>
              <w:pStyle w:val="14"/>
            </w:pPr>
            <w:r>
              <w:t>50元/户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 xml:space="preserve">   安装发放自闭阀补贴时间</w:t>
            </w:r>
          </w:p>
          <w:p>
            <w:pPr>
              <w:pStyle w:val="14"/>
            </w:pPr>
          </w:p>
        </w:tc>
        <w:tc>
          <w:tcPr>
            <w:tcW w:w="2891" w:type="dxa"/>
            <w:vAlign w:val="center"/>
          </w:tcPr>
          <w:p>
            <w:pPr>
              <w:pStyle w:val="14"/>
            </w:pPr>
            <w:r>
              <w:t xml:space="preserve"> 按照文件资金补贴拨付程序</w:t>
            </w:r>
          </w:p>
        </w:tc>
        <w:tc>
          <w:tcPr>
            <w:tcW w:w="1276" w:type="dxa"/>
            <w:vAlign w:val="center"/>
          </w:tcPr>
          <w:p>
            <w:pPr>
              <w:pStyle w:val="14"/>
            </w:pPr>
            <w:r>
              <w:t xml:space="preserve"> 按照文件资金补贴拨付程序</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农村气代煤自闭阀补贴受益户数</w:t>
            </w:r>
          </w:p>
        </w:tc>
        <w:tc>
          <w:tcPr>
            <w:tcW w:w="2891" w:type="dxa"/>
            <w:vAlign w:val="center"/>
          </w:tcPr>
          <w:p>
            <w:pPr>
              <w:pStyle w:val="14"/>
            </w:pPr>
            <w:r>
              <w:t>农村气代煤自闭阀补贴户数</w:t>
            </w:r>
          </w:p>
        </w:tc>
        <w:tc>
          <w:tcPr>
            <w:tcW w:w="1276" w:type="dxa"/>
            <w:vAlign w:val="center"/>
          </w:tcPr>
          <w:p>
            <w:pPr>
              <w:pStyle w:val="14"/>
            </w:pPr>
            <w:r>
              <w:t>1218户</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农村气代煤自闭阀使用时间保障约8年</w:t>
            </w:r>
          </w:p>
        </w:tc>
        <w:tc>
          <w:tcPr>
            <w:tcW w:w="2891" w:type="dxa"/>
            <w:vAlign w:val="center"/>
          </w:tcPr>
          <w:p>
            <w:pPr>
              <w:pStyle w:val="14"/>
            </w:pPr>
            <w:r>
              <w:t>农村气代煤自闭阀补贴受益户数保障约8年</w:t>
            </w:r>
          </w:p>
        </w:tc>
        <w:tc>
          <w:tcPr>
            <w:tcW w:w="1276" w:type="dxa"/>
            <w:vAlign w:val="center"/>
          </w:tcPr>
          <w:p>
            <w:pPr>
              <w:pStyle w:val="14"/>
            </w:pPr>
            <w:r>
              <w:t>≥8年</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6" w:name="_Toc_4_4_0000000005"/>
      <w:r>
        <w:rPr>
          <w:rFonts w:ascii="方正仿宋_GBK" w:hAnsi="方正仿宋_GBK" w:eastAsia="方正仿宋_GBK" w:cs="方正仿宋_GBK"/>
          <w:color w:val="000000"/>
          <w:sz w:val="28"/>
        </w:rPr>
        <w:t>2.2016-2020年双代用户2023-2024年运行补贴费用（旧欠）绩效目标表</w:t>
      </w:r>
      <w:bookmarkEnd w:id="1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13011026P001526100339</w:t>
            </w:r>
          </w:p>
        </w:tc>
        <w:tc>
          <w:tcPr>
            <w:tcW w:w="1587" w:type="dxa"/>
            <w:vAlign w:val="center"/>
          </w:tcPr>
          <w:p>
            <w:pPr>
              <w:pStyle w:val="12"/>
            </w:pPr>
            <w:r>
              <w:t>项目名称</w:t>
            </w:r>
          </w:p>
        </w:tc>
        <w:tc>
          <w:tcPr>
            <w:tcW w:w="4423" w:type="dxa"/>
            <w:gridSpan w:val="3"/>
            <w:vAlign w:val="center"/>
          </w:tcPr>
          <w:p>
            <w:pPr>
              <w:pStyle w:val="14"/>
            </w:pPr>
            <w:r>
              <w:t>2016-2020年双代用户2023-2024年运行补贴费用（旧欠）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2425.54</w:t>
            </w:r>
          </w:p>
        </w:tc>
        <w:tc>
          <w:tcPr>
            <w:tcW w:w="1587" w:type="dxa"/>
            <w:vAlign w:val="center"/>
          </w:tcPr>
          <w:p>
            <w:pPr>
              <w:pStyle w:val="12"/>
            </w:pPr>
            <w:r>
              <w:t>其中：财政    资金</w:t>
            </w:r>
          </w:p>
        </w:tc>
        <w:tc>
          <w:tcPr>
            <w:tcW w:w="1304" w:type="dxa"/>
            <w:vAlign w:val="center"/>
          </w:tcPr>
          <w:p>
            <w:pPr>
              <w:pStyle w:val="14"/>
            </w:pPr>
            <w:r>
              <w:t>2425.54</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已经发放双代补贴占应补贴完成率</w:t>
            </w:r>
          </w:p>
        </w:tc>
        <w:tc>
          <w:tcPr>
            <w:tcW w:w="1276" w:type="dxa"/>
            <w:vAlign w:val="center"/>
          </w:tcPr>
          <w:p>
            <w:pPr>
              <w:pStyle w:val="14"/>
            </w:pPr>
            <w:r>
              <w:t>100%</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煤改气用户发放2023—2024年天然气用户均补贴标准</w:t>
            </w:r>
          </w:p>
        </w:tc>
        <w:tc>
          <w:tcPr>
            <w:tcW w:w="1276" w:type="dxa"/>
            <w:vAlign w:val="center"/>
          </w:tcPr>
          <w:p>
            <w:pPr>
              <w:pStyle w:val="14"/>
            </w:pPr>
            <w:r>
              <w:t>800元/户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煤改电用户发放2023—2024年煤改电用户均补贴标准</w:t>
            </w:r>
          </w:p>
        </w:tc>
        <w:tc>
          <w:tcPr>
            <w:tcW w:w="1276" w:type="dxa"/>
            <w:vAlign w:val="center"/>
          </w:tcPr>
          <w:p>
            <w:pPr>
              <w:pStyle w:val="14"/>
            </w:pPr>
            <w:r>
              <w:t>1000元/户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全区双代运行补贴户数</w:t>
            </w:r>
          </w:p>
        </w:tc>
        <w:tc>
          <w:tcPr>
            <w:tcW w:w="1276" w:type="dxa"/>
            <w:vAlign w:val="center"/>
          </w:tcPr>
          <w:p>
            <w:pPr>
              <w:pStyle w:val="14"/>
            </w:pPr>
            <w:r>
              <w:t>≤95385户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双代补贴户数</w:t>
            </w:r>
          </w:p>
        </w:tc>
        <w:tc>
          <w:tcPr>
            <w:tcW w:w="1276" w:type="dxa"/>
            <w:vAlign w:val="center"/>
          </w:tcPr>
          <w:p>
            <w:pPr>
              <w:pStyle w:val="14"/>
            </w:pPr>
            <w:r>
              <w:t>≤95385户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三年到期后，根据实际制定补贴政策</w:t>
            </w:r>
          </w:p>
        </w:tc>
        <w:tc>
          <w:tcPr>
            <w:tcW w:w="2891" w:type="dxa"/>
            <w:vAlign w:val="center"/>
          </w:tcPr>
          <w:p>
            <w:pPr>
              <w:pStyle w:val="14"/>
            </w:pPr>
            <w:r>
              <w:t>双代补贴户数</w:t>
            </w:r>
          </w:p>
        </w:tc>
        <w:tc>
          <w:tcPr>
            <w:tcW w:w="1276" w:type="dxa"/>
            <w:vAlign w:val="center"/>
          </w:tcPr>
          <w:p>
            <w:pPr>
              <w:pStyle w:val="14"/>
            </w:pPr>
            <w:r>
              <w:t>根据（石财建【2019】75号文件要求</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≥95%</w:t>
            </w:r>
          </w:p>
        </w:tc>
        <w:tc>
          <w:tcPr>
            <w:tcW w:w="1843" w:type="dxa"/>
            <w:vAlign w:val="center"/>
          </w:tcPr>
          <w:p>
            <w:pPr>
              <w:pStyle w:val="14"/>
            </w:pPr>
            <w:r>
              <w:t>调查问卷</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7" w:name="_Toc_4_4_0000000006"/>
      <w:r>
        <w:rPr>
          <w:rFonts w:ascii="方正仿宋_GBK" w:hAnsi="方正仿宋_GBK" w:eastAsia="方正仿宋_GBK" w:cs="方正仿宋_GBK"/>
          <w:color w:val="000000"/>
          <w:sz w:val="28"/>
        </w:rPr>
        <w:t>3.2024年度石家庄市鹿泉区城市体检项目绩效目标表</w:t>
      </w:r>
      <w:bookmarkEnd w:id="1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13011026P001556101847</w:t>
            </w:r>
          </w:p>
        </w:tc>
        <w:tc>
          <w:tcPr>
            <w:tcW w:w="1587" w:type="dxa"/>
            <w:vAlign w:val="center"/>
          </w:tcPr>
          <w:p>
            <w:pPr>
              <w:pStyle w:val="12"/>
            </w:pPr>
            <w:r>
              <w:t>项目名称</w:t>
            </w:r>
          </w:p>
        </w:tc>
        <w:tc>
          <w:tcPr>
            <w:tcW w:w="4423" w:type="dxa"/>
            <w:gridSpan w:val="3"/>
            <w:vAlign w:val="center"/>
          </w:tcPr>
          <w:p>
            <w:pPr>
              <w:pStyle w:val="14"/>
            </w:pPr>
            <w:r>
              <w:t>2024年度石家庄市鹿泉区城市体检项目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3.50</w:t>
            </w:r>
          </w:p>
        </w:tc>
        <w:tc>
          <w:tcPr>
            <w:tcW w:w="1587" w:type="dxa"/>
            <w:vAlign w:val="center"/>
          </w:tcPr>
          <w:p>
            <w:pPr>
              <w:pStyle w:val="12"/>
            </w:pPr>
            <w:r>
              <w:t>其中：财政    资金</w:t>
            </w:r>
          </w:p>
        </w:tc>
        <w:tc>
          <w:tcPr>
            <w:tcW w:w="1304" w:type="dxa"/>
            <w:vAlign w:val="center"/>
          </w:tcPr>
          <w:p>
            <w:pPr>
              <w:pStyle w:val="14"/>
            </w:pPr>
            <w:r>
              <w:t>3.50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城市体检项目成本</w:t>
            </w:r>
          </w:p>
        </w:tc>
        <w:tc>
          <w:tcPr>
            <w:tcW w:w="2891" w:type="dxa"/>
            <w:vAlign w:val="center"/>
          </w:tcPr>
          <w:p>
            <w:pPr>
              <w:pStyle w:val="14"/>
            </w:pPr>
            <w:r>
              <w:t>城市体检项目总成本</w:t>
            </w:r>
          </w:p>
        </w:tc>
        <w:tc>
          <w:tcPr>
            <w:tcW w:w="1276" w:type="dxa"/>
            <w:vAlign w:val="center"/>
          </w:tcPr>
          <w:p>
            <w:pPr>
              <w:pStyle w:val="14"/>
            </w:pPr>
            <w:r>
              <w:t>65万元</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城市体检项目验收合格率</w:t>
            </w:r>
          </w:p>
        </w:tc>
        <w:tc>
          <w:tcPr>
            <w:tcW w:w="2891" w:type="dxa"/>
            <w:vAlign w:val="center"/>
          </w:tcPr>
          <w:p>
            <w:pPr>
              <w:pStyle w:val="14"/>
            </w:pPr>
            <w:r>
              <w:t>通过专家评审验收通过比例</w:t>
            </w:r>
          </w:p>
        </w:tc>
        <w:tc>
          <w:tcPr>
            <w:tcW w:w="1276" w:type="dxa"/>
            <w:vAlign w:val="center"/>
          </w:tcPr>
          <w:p>
            <w:pPr>
              <w:pStyle w:val="14"/>
            </w:pPr>
            <w:r>
              <w:t>100%</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城市体检项目按时完成率</w:t>
            </w:r>
          </w:p>
        </w:tc>
        <w:tc>
          <w:tcPr>
            <w:tcW w:w="2891" w:type="dxa"/>
            <w:vAlign w:val="center"/>
          </w:tcPr>
          <w:p>
            <w:pPr>
              <w:pStyle w:val="14"/>
            </w:pPr>
            <w:r>
              <w:t>城市体检项目按时完成率</w:t>
            </w:r>
          </w:p>
        </w:tc>
        <w:tc>
          <w:tcPr>
            <w:tcW w:w="1276" w:type="dxa"/>
            <w:vAlign w:val="center"/>
          </w:tcPr>
          <w:p>
            <w:pPr>
              <w:pStyle w:val="14"/>
            </w:pPr>
            <w:r>
              <w:t>100%</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城市体检辖区和辖区建成区范围</w:t>
            </w:r>
          </w:p>
        </w:tc>
        <w:tc>
          <w:tcPr>
            <w:tcW w:w="2891" w:type="dxa"/>
            <w:vAlign w:val="center"/>
          </w:tcPr>
          <w:p>
            <w:pPr>
              <w:pStyle w:val="14"/>
            </w:pPr>
            <w:r>
              <w:t>辖区建成区面积41.93平方公里</w:t>
            </w:r>
          </w:p>
        </w:tc>
        <w:tc>
          <w:tcPr>
            <w:tcW w:w="1276" w:type="dxa"/>
            <w:vAlign w:val="center"/>
          </w:tcPr>
          <w:p>
            <w:pPr>
              <w:pStyle w:val="14"/>
            </w:pPr>
            <w:r>
              <w:t>41.93平方公里</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推进绿色发展和提供人居环境质量</w:t>
            </w:r>
          </w:p>
        </w:tc>
        <w:tc>
          <w:tcPr>
            <w:tcW w:w="2891" w:type="dxa"/>
            <w:vAlign w:val="center"/>
          </w:tcPr>
          <w:p>
            <w:pPr>
              <w:pStyle w:val="14"/>
            </w:pPr>
            <w:r>
              <w:t>增强人民群众的幸福感、获得感、安全感</w:t>
            </w:r>
          </w:p>
        </w:tc>
        <w:tc>
          <w:tcPr>
            <w:tcW w:w="1276" w:type="dxa"/>
            <w:vAlign w:val="center"/>
          </w:tcPr>
          <w:p>
            <w:pPr>
              <w:pStyle w:val="14"/>
            </w:pPr>
            <w:r>
              <w:t>达到要求标准</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人民群众的满意程度</w:t>
            </w:r>
          </w:p>
        </w:tc>
        <w:tc>
          <w:tcPr>
            <w:tcW w:w="1276" w:type="dxa"/>
            <w:vAlign w:val="center"/>
          </w:tcPr>
          <w:p>
            <w:pPr>
              <w:pStyle w:val="14"/>
            </w:pPr>
            <w:r>
              <w:t>≥95%</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8" w:name="_Toc_4_4_0000000007"/>
      <w:r>
        <w:rPr>
          <w:rFonts w:ascii="方正仿宋_GBK" w:hAnsi="方正仿宋_GBK" w:eastAsia="方正仿宋_GBK" w:cs="方正仿宋_GBK"/>
          <w:color w:val="000000"/>
          <w:sz w:val="28"/>
        </w:rPr>
        <w:t>4.2025年度石家庄市鹿泉区城市体检项目绩效目标表</w:t>
      </w:r>
      <w:bookmarkEnd w:id="1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13011026P00155610185T</w:t>
            </w:r>
          </w:p>
        </w:tc>
        <w:tc>
          <w:tcPr>
            <w:tcW w:w="1587" w:type="dxa"/>
            <w:vAlign w:val="center"/>
          </w:tcPr>
          <w:p>
            <w:pPr>
              <w:pStyle w:val="12"/>
            </w:pPr>
            <w:r>
              <w:t>项目名称</w:t>
            </w:r>
          </w:p>
        </w:tc>
        <w:tc>
          <w:tcPr>
            <w:tcW w:w="4423" w:type="dxa"/>
            <w:gridSpan w:val="3"/>
            <w:vAlign w:val="center"/>
          </w:tcPr>
          <w:p>
            <w:pPr>
              <w:pStyle w:val="14"/>
            </w:pPr>
            <w:r>
              <w:t>2025年度石家庄市鹿泉区城市体检项目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3.48</w:t>
            </w:r>
          </w:p>
        </w:tc>
        <w:tc>
          <w:tcPr>
            <w:tcW w:w="1587" w:type="dxa"/>
            <w:vAlign w:val="center"/>
          </w:tcPr>
          <w:p>
            <w:pPr>
              <w:pStyle w:val="12"/>
            </w:pPr>
            <w:r>
              <w:t>其中：财政    资金</w:t>
            </w:r>
          </w:p>
        </w:tc>
        <w:tc>
          <w:tcPr>
            <w:tcW w:w="1304" w:type="dxa"/>
            <w:vAlign w:val="center"/>
          </w:tcPr>
          <w:p>
            <w:pPr>
              <w:pStyle w:val="14"/>
            </w:pPr>
            <w:r>
              <w:t>3.48</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城市体检项目成本</w:t>
            </w:r>
          </w:p>
        </w:tc>
        <w:tc>
          <w:tcPr>
            <w:tcW w:w="2891" w:type="dxa"/>
            <w:vAlign w:val="center"/>
          </w:tcPr>
          <w:p>
            <w:pPr>
              <w:pStyle w:val="14"/>
            </w:pPr>
            <w:r>
              <w:t>城市体检项目总成本</w:t>
            </w:r>
          </w:p>
        </w:tc>
        <w:tc>
          <w:tcPr>
            <w:tcW w:w="1276" w:type="dxa"/>
            <w:vAlign w:val="center"/>
          </w:tcPr>
          <w:p>
            <w:pPr>
              <w:pStyle w:val="14"/>
            </w:pPr>
            <w:r>
              <w:t>50万元</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城市体检项目验收合格率</w:t>
            </w:r>
          </w:p>
        </w:tc>
        <w:tc>
          <w:tcPr>
            <w:tcW w:w="2891" w:type="dxa"/>
            <w:vAlign w:val="center"/>
          </w:tcPr>
          <w:p>
            <w:pPr>
              <w:pStyle w:val="14"/>
            </w:pPr>
            <w:r>
              <w:t>通过专家评审验收通过比例</w:t>
            </w:r>
          </w:p>
        </w:tc>
        <w:tc>
          <w:tcPr>
            <w:tcW w:w="1276" w:type="dxa"/>
            <w:vAlign w:val="center"/>
          </w:tcPr>
          <w:p>
            <w:pPr>
              <w:pStyle w:val="14"/>
            </w:pPr>
            <w:r>
              <w:t>100%</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城市体检项目按时完成率</w:t>
            </w:r>
          </w:p>
        </w:tc>
        <w:tc>
          <w:tcPr>
            <w:tcW w:w="2891" w:type="dxa"/>
            <w:vAlign w:val="center"/>
          </w:tcPr>
          <w:p>
            <w:pPr>
              <w:pStyle w:val="14"/>
            </w:pPr>
            <w:r>
              <w:t>城市体检项目按时完成率</w:t>
            </w:r>
          </w:p>
        </w:tc>
        <w:tc>
          <w:tcPr>
            <w:tcW w:w="1276" w:type="dxa"/>
            <w:vAlign w:val="center"/>
          </w:tcPr>
          <w:p>
            <w:pPr>
              <w:pStyle w:val="14"/>
            </w:pPr>
            <w:r>
              <w:t>100%</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城市体检辖区和辖区建成区范围</w:t>
            </w:r>
          </w:p>
        </w:tc>
        <w:tc>
          <w:tcPr>
            <w:tcW w:w="2891" w:type="dxa"/>
            <w:vAlign w:val="center"/>
          </w:tcPr>
          <w:p>
            <w:pPr>
              <w:pStyle w:val="14"/>
            </w:pPr>
            <w:r>
              <w:t>辖区建成区面积46.96平方公里</w:t>
            </w:r>
          </w:p>
        </w:tc>
        <w:tc>
          <w:tcPr>
            <w:tcW w:w="1276" w:type="dxa"/>
            <w:vAlign w:val="center"/>
          </w:tcPr>
          <w:p>
            <w:pPr>
              <w:pStyle w:val="14"/>
            </w:pPr>
            <w:r>
              <w:t>46.96平方公里</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推进绿色发展和提供人居环境质量</w:t>
            </w:r>
          </w:p>
        </w:tc>
        <w:tc>
          <w:tcPr>
            <w:tcW w:w="2891" w:type="dxa"/>
            <w:vAlign w:val="center"/>
          </w:tcPr>
          <w:p>
            <w:pPr>
              <w:pStyle w:val="14"/>
            </w:pPr>
            <w:r>
              <w:t>增强人民群众的幸福感、获得感、安全感</w:t>
            </w:r>
          </w:p>
        </w:tc>
        <w:tc>
          <w:tcPr>
            <w:tcW w:w="1276" w:type="dxa"/>
            <w:vAlign w:val="center"/>
          </w:tcPr>
          <w:p>
            <w:pPr>
              <w:pStyle w:val="14"/>
            </w:pPr>
            <w:r>
              <w:t>达到要求标准</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人民群众的满意程度</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9" w:name="_Toc_4_4_0000000008"/>
      <w:r>
        <w:rPr>
          <w:rFonts w:ascii="方正仿宋_GBK" w:hAnsi="方正仿宋_GBK" w:eastAsia="方正仿宋_GBK" w:cs="方正仿宋_GBK"/>
          <w:color w:val="000000"/>
          <w:sz w:val="28"/>
        </w:rPr>
        <w:t>5.2025年重点区域扬尘污染防治网格工作经费绩效目标表</w:t>
      </w:r>
      <w:bookmarkEnd w:id="1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13011025P00000110468H</w:t>
            </w:r>
          </w:p>
        </w:tc>
        <w:tc>
          <w:tcPr>
            <w:tcW w:w="1587" w:type="dxa"/>
            <w:vAlign w:val="center"/>
          </w:tcPr>
          <w:p>
            <w:pPr>
              <w:pStyle w:val="12"/>
            </w:pPr>
            <w:r>
              <w:t>项目名称</w:t>
            </w:r>
          </w:p>
        </w:tc>
        <w:tc>
          <w:tcPr>
            <w:tcW w:w="4423" w:type="dxa"/>
            <w:gridSpan w:val="3"/>
            <w:vAlign w:val="center"/>
          </w:tcPr>
          <w:p>
            <w:pPr>
              <w:pStyle w:val="14"/>
            </w:pPr>
            <w:r>
              <w:t>2025年重点区域扬尘污染防治网格工作经费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15.49</w:t>
            </w:r>
          </w:p>
        </w:tc>
        <w:tc>
          <w:tcPr>
            <w:tcW w:w="1587" w:type="dxa"/>
            <w:vAlign w:val="center"/>
          </w:tcPr>
          <w:p>
            <w:pPr>
              <w:pStyle w:val="12"/>
            </w:pPr>
            <w:r>
              <w:t>其中：财政    资金</w:t>
            </w:r>
          </w:p>
        </w:tc>
        <w:tc>
          <w:tcPr>
            <w:tcW w:w="1304" w:type="dxa"/>
            <w:vAlign w:val="center"/>
          </w:tcPr>
          <w:p>
            <w:pPr>
              <w:pStyle w:val="14"/>
            </w:pPr>
            <w:r>
              <w:t>15.49</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保障重点区域正常运行，有效减少扬尘污染。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1.保障重点区域正常运行，有效减少扬尘污染。</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搭建工地网格数量</w:t>
            </w:r>
          </w:p>
        </w:tc>
        <w:tc>
          <w:tcPr>
            <w:tcW w:w="2891" w:type="dxa"/>
            <w:vAlign w:val="center"/>
          </w:tcPr>
          <w:p>
            <w:pPr>
              <w:pStyle w:val="14"/>
            </w:pPr>
            <w:r>
              <w:t>工地网格数量</w:t>
            </w:r>
          </w:p>
        </w:tc>
        <w:tc>
          <w:tcPr>
            <w:tcW w:w="1276" w:type="dxa"/>
            <w:vAlign w:val="center"/>
          </w:tcPr>
          <w:p>
            <w:pPr>
              <w:pStyle w:val="14"/>
            </w:pPr>
            <w:r>
              <w:t>237个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搭建其他网格数量</w:t>
            </w:r>
          </w:p>
        </w:tc>
        <w:tc>
          <w:tcPr>
            <w:tcW w:w="2891" w:type="dxa"/>
            <w:vAlign w:val="center"/>
          </w:tcPr>
          <w:p>
            <w:pPr>
              <w:pStyle w:val="14"/>
            </w:pPr>
            <w:r>
              <w:t>其他网格数量</w:t>
            </w:r>
          </w:p>
        </w:tc>
        <w:tc>
          <w:tcPr>
            <w:tcW w:w="1276" w:type="dxa"/>
            <w:vAlign w:val="center"/>
          </w:tcPr>
          <w:p>
            <w:pPr>
              <w:pStyle w:val="14"/>
            </w:pPr>
            <w:r>
              <w:t>276个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网格覆盖县区数量</w:t>
            </w:r>
          </w:p>
        </w:tc>
        <w:tc>
          <w:tcPr>
            <w:tcW w:w="2891" w:type="dxa"/>
            <w:vAlign w:val="center"/>
          </w:tcPr>
          <w:p>
            <w:pPr>
              <w:pStyle w:val="14"/>
            </w:pPr>
            <w:r>
              <w:t>覆盖区县</w:t>
            </w:r>
          </w:p>
        </w:tc>
        <w:tc>
          <w:tcPr>
            <w:tcW w:w="1276" w:type="dxa"/>
            <w:vAlign w:val="center"/>
          </w:tcPr>
          <w:p>
            <w:pPr>
              <w:pStyle w:val="14"/>
            </w:pPr>
            <w:r>
              <w:t>13个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网格员每日定期巡查次数</w:t>
            </w:r>
          </w:p>
        </w:tc>
        <w:tc>
          <w:tcPr>
            <w:tcW w:w="2891" w:type="dxa"/>
            <w:vAlign w:val="center"/>
          </w:tcPr>
          <w:p>
            <w:pPr>
              <w:pStyle w:val="14"/>
            </w:pPr>
            <w:r>
              <w:t>巡查次数</w:t>
            </w:r>
          </w:p>
        </w:tc>
        <w:tc>
          <w:tcPr>
            <w:tcW w:w="1276" w:type="dxa"/>
            <w:vAlign w:val="center"/>
          </w:tcPr>
          <w:p>
            <w:pPr>
              <w:pStyle w:val="14"/>
            </w:pPr>
            <w:r>
              <w:t>≥4次</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落实工作积分机制</w:t>
            </w:r>
          </w:p>
        </w:tc>
        <w:tc>
          <w:tcPr>
            <w:tcW w:w="2891" w:type="dxa"/>
            <w:vAlign w:val="center"/>
          </w:tcPr>
          <w:p>
            <w:pPr>
              <w:pStyle w:val="14"/>
            </w:pPr>
            <w:r>
              <w:t>工作积分</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每月积分情况由县区核实后在规定时间上报的比率</w:t>
            </w:r>
          </w:p>
        </w:tc>
        <w:tc>
          <w:tcPr>
            <w:tcW w:w="2891" w:type="dxa"/>
            <w:vAlign w:val="center"/>
          </w:tcPr>
          <w:p>
            <w:pPr>
              <w:pStyle w:val="14"/>
            </w:pPr>
            <w:r>
              <w:t>规定时间上报</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每月支出成本</w:t>
            </w:r>
          </w:p>
        </w:tc>
        <w:tc>
          <w:tcPr>
            <w:tcW w:w="2891" w:type="dxa"/>
            <w:vAlign w:val="center"/>
          </w:tcPr>
          <w:p>
            <w:pPr>
              <w:pStyle w:val="14"/>
            </w:pPr>
            <w:r>
              <w:t>支出成本</w:t>
            </w:r>
          </w:p>
        </w:tc>
        <w:tc>
          <w:tcPr>
            <w:tcW w:w="1276" w:type="dxa"/>
            <w:vAlign w:val="center"/>
          </w:tcPr>
          <w:p>
            <w:pPr>
              <w:pStyle w:val="14"/>
            </w:pPr>
            <w:r>
              <w:t>按规定核算金额</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减少扬尘污染</w:t>
            </w:r>
          </w:p>
        </w:tc>
        <w:tc>
          <w:tcPr>
            <w:tcW w:w="2891" w:type="dxa"/>
            <w:vAlign w:val="center"/>
          </w:tcPr>
          <w:p>
            <w:pPr>
              <w:pStyle w:val="14"/>
            </w:pPr>
            <w:r>
              <w:t>减少扬尘污染</w:t>
            </w:r>
          </w:p>
        </w:tc>
        <w:tc>
          <w:tcPr>
            <w:tcW w:w="1276" w:type="dxa"/>
            <w:vAlign w:val="center"/>
          </w:tcPr>
          <w:p>
            <w:pPr>
              <w:pStyle w:val="14"/>
            </w:pPr>
            <w:r>
              <w:t>减少污染</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推进我区空气质量改善</w:t>
            </w:r>
          </w:p>
        </w:tc>
        <w:tc>
          <w:tcPr>
            <w:tcW w:w="2891" w:type="dxa"/>
            <w:vAlign w:val="center"/>
          </w:tcPr>
          <w:p>
            <w:pPr>
              <w:pStyle w:val="14"/>
            </w:pPr>
            <w:r>
              <w:t>推进空气质量</w:t>
            </w:r>
          </w:p>
        </w:tc>
        <w:tc>
          <w:tcPr>
            <w:tcW w:w="1276" w:type="dxa"/>
            <w:vAlign w:val="center"/>
          </w:tcPr>
          <w:p>
            <w:pPr>
              <w:pStyle w:val="14"/>
            </w:pPr>
            <w:r>
              <w:t>提高空气质量</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单位人员满意度</w:t>
            </w:r>
          </w:p>
        </w:tc>
        <w:tc>
          <w:tcPr>
            <w:tcW w:w="2891" w:type="dxa"/>
            <w:vAlign w:val="center"/>
          </w:tcPr>
          <w:p>
            <w:pPr>
              <w:pStyle w:val="14"/>
            </w:pPr>
            <w:r>
              <w:t>单位人员满意度</w:t>
            </w:r>
          </w:p>
        </w:tc>
        <w:tc>
          <w:tcPr>
            <w:tcW w:w="1276" w:type="dxa"/>
            <w:vAlign w:val="center"/>
          </w:tcPr>
          <w:p>
            <w:pPr>
              <w:pStyle w:val="14"/>
            </w:pPr>
            <w:r>
              <w:t>≥90%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0" w:name="_Toc_4_4_0000000009"/>
      <w:r>
        <w:rPr>
          <w:rFonts w:ascii="方正仿宋_GBK" w:hAnsi="方正仿宋_GBK" w:eastAsia="方正仿宋_GBK" w:cs="方正仿宋_GBK"/>
          <w:color w:val="000000"/>
          <w:sz w:val="28"/>
        </w:rPr>
        <w:t>6.2026年1-12月份重点区域扬尘污染防治网格工作经费绩效目标表</w:t>
      </w:r>
      <w:bookmarkEnd w:id="2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13011026P00000110496C</w:t>
            </w:r>
          </w:p>
        </w:tc>
        <w:tc>
          <w:tcPr>
            <w:tcW w:w="1587" w:type="dxa"/>
            <w:vAlign w:val="center"/>
          </w:tcPr>
          <w:p>
            <w:pPr>
              <w:pStyle w:val="12"/>
            </w:pPr>
            <w:r>
              <w:t>项目名称</w:t>
            </w:r>
          </w:p>
        </w:tc>
        <w:tc>
          <w:tcPr>
            <w:tcW w:w="4423" w:type="dxa"/>
            <w:gridSpan w:val="3"/>
            <w:vAlign w:val="center"/>
          </w:tcPr>
          <w:p>
            <w:pPr>
              <w:pStyle w:val="14"/>
            </w:pPr>
            <w:r>
              <w:t>2026年1-12月份重点区域扬尘污染防治网格工作经费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7.20</w:t>
            </w:r>
          </w:p>
        </w:tc>
        <w:tc>
          <w:tcPr>
            <w:tcW w:w="1587" w:type="dxa"/>
            <w:vAlign w:val="center"/>
          </w:tcPr>
          <w:p>
            <w:pPr>
              <w:pStyle w:val="12"/>
            </w:pPr>
            <w:r>
              <w:t>其中：财政    资金</w:t>
            </w:r>
          </w:p>
        </w:tc>
        <w:tc>
          <w:tcPr>
            <w:tcW w:w="1304" w:type="dxa"/>
            <w:vAlign w:val="center"/>
          </w:tcPr>
          <w:p>
            <w:pPr>
              <w:pStyle w:val="14"/>
            </w:pPr>
            <w:r>
              <w:t>7.20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保障重点区域正常运行，有效减少扬尘污染。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1.保障重点区域正常运行，有效减少扬尘污染。</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搭建工地网格数量</w:t>
            </w:r>
          </w:p>
        </w:tc>
        <w:tc>
          <w:tcPr>
            <w:tcW w:w="2891" w:type="dxa"/>
            <w:vAlign w:val="center"/>
          </w:tcPr>
          <w:p>
            <w:pPr>
              <w:pStyle w:val="14"/>
            </w:pPr>
            <w:r>
              <w:t>工地网格数量</w:t>
            </w:r>
          </w:p>
        </w:tc>
        <w:tc>
          <w:tcPr>
            <w:tcW w:w="1276" w:type="dxa"/>
            <w:vAlign w:val="center"/>
          </w:tcPr>
          <w:p>
            <w:pPr>
              <w:pStyle w:val="14"/>
            </w:pPr>
            <w:r>
              <w:t>4个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网格覆盖县区数量</w:t>
            </w:r>
          </w:p>
        </w:tc>
        <w:tc>
          <w:tcPr>
            <w:tcW w:w="2891" w:type="dxa"/>
            <w:vAlign w:val="center"/>
          </w:tcPr>
          <w:p>
            <w:pPr>
              <w:pStyle w:val="14"/>
            </w:pPr>
            <w:r>
              <w:t>覆盖区县</w:t>
            </w:r>
          </w:p>
        </w:tc>
        <w:tc>
          <w:tcPr>
            <w:tcW w:w="1276" w:type="dxa"/>
            <w:vAlign w:val="center"/>
          </w:tcPr>
          <w:p>
            <w:pPr>
              <w:pStyle w:val="14"/>
            </w:pPr>
            <w:r>
              <w:t>13个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网格员每日定期巡查次数</w:t>
            </w:r>
          </w:p>
        </w:tc>
        <w:tc>
          <w:tcPr>
            <w:tcW w:w="2891" w:type="dxa"/>
            <w:vAlign w:val="center"/>
          </w:tcPr>
          <w:p>
            <w:pPr>
              <w:pStyle w:val="14"/>
            </w:pPr>
            <w:r>
              <w:t>巡查次数</w:t>
            </w:r>
          </w:p>
        </w:tc>
        <w:tc>
          <w:tcPr>
            <w:tcW w:w="1276" w:type="dxa"/>
            <w:vAlign w:val="center"/>
          </w:tcPr>
          <w:p>
            <w:pPr>
              <w:pStyle w:val="14"/>
            </w:pPr>
            <w:r>
              <w:t>≥4次</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落实工作积分机制</w:t>
            </w:r>
          </w:p>
        </w:tc>
        <w:tc>
          <w:tcPr>
            <w:tcW w:w="2891" w:type="dxa"/>
            <w:vAlign w:val="center"/>
          </w:tcPr>
          <w:p>
            <w:pPr>
              <w:pStyle w:val="14"/>
            </w:pPr>
            <w:r>
              <w:t>工作积分</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每月积分情况由县区核实后在规定时间上报的比率</w:t>
            </w:r>
          </w:p>
        </w:tc>
        <w:tc>
          <w:tcPr>
            <w:tcW w:w="2891" w:type="dxa"/>
            <w:vAlign w:val="center"/>
          </w:tcPr>
          <w:p>
            <w:pPr>
              <w:pStyle w:val="14"/>
            </w:pPr>
            <w:r>
              <w:t>规定时间上报</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每月支出成本</w:t>
            </w:r>
          </w:p>
        </w:tc>
        <w:tc>
          <w:tcPr>
            <w:tcW w:w="2891" w:type="dxa"/>
            <w:vAlign w:val="center"/>
          </w:tcPr>
          <w:p>
            <w:pPr>
              <w:pStyle w:val="14"/>
            </w:pPr>
            <w:r>
              <w:t>支出成本</w:t>
            </w:r>
          </w:p>
        </w:tc>
        <w:tc>
          <w:tcPr>
            <w:tcW w:w="1276" w:type="dxa"/>
            <w:vAlign w:val="center"/>
          </w:tcPr>
          <w:p>
            <w:pPr>
              <w:pStyle w:val="14"/>
            </w:pPr>
            <w:r>
              <w:t>按规定核算金额</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减少扬尘污染</w:t>
            </w:r>
          </w:p>
        </w:tc>
        <w:tc>
          <w:tcPr>
            <w:tcW w:w="2891" w:type="dxa"/>
            <w:vAlign w:val="center"/>
          </w:tcPr>
          <w:p>
            <w:pPr>
              <w:pStyle w:val="14"/>
            </w:pPr>
            <w:r>
              <w:t>减少扬尘污染</w:t>
            </w:r>
          </w:p>
        </w:tc>
        <w:tc>
          <w:tcPr>
            <w:tcW w:w="1276" w:type="dxa"/>
            <w:vAlign w:val="center"/>
          </w:tcPr>
          <w:p>
            <w:pPr>
              <w:pStyle w:val="14"/>
            </w:pPr>
            <w:r>
              <w:t>减少污染</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推进我区空气质量改善</w:t>
            </w:r>
          </w:p>
        </w:tc>
        <w:tc>
          <w:tcPr>
            <w:tcW w:w="2891" w:type="dxa"/>
            <w:vAlign w:val="center"/>
          </w:tcPr>
          <w:p>
            <w:pPr>
              <w:pStyle w:val="14"/>
            </w:pPr>
            <w:r>
              <w:t>推进空气质量</w:t>
            </w:r>
          </w:p>
        </w:tc>
        <w:tc>
          <w:tcPr>
            <w:tcW w:w="1276" w:type="dxa"/>
            <w:vAlign w:val="center"/>
          </w:tcPr>
          <w:p>
            <w:pPr>
              <w:pStyle w:val="14"/>
            </w:pPr>
            <w:r>
              <w:t>提高空气质量</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单位人员满意度</w:t>
            </w:r>
          </w:p>
        </w:tc>
        <w:tc>
          <w:tcPr>
            <w:tcW w:w="2891" w:type="dxa"/>
            <w:vAlign w:val="center"/>
          </w:tcPr>
          <w:p>
            <w:pPr>
              <w:pStyle w:val="14"/>
            </w:pPr>
            <w:r>
              <w:t>单位人员满意度</w:t>
            </w:r>
          </w:p>
        </w:tc>
        <w:tc>
          <w:tcPr>
            <w:tcW w:w="1276" w:type="dxa"/>
            <w:vAlign w:val="center"/>
          </w:tcPr>
          <w:p>
            <w:pPr>
              <w:pStyle w:val="14"/>
            </w:pPr>
            <w:r>
              <w:t>≥90%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1" w:name="_Toc_4_4_0000000010"/>
      <w:r>
        <w:rPr>
          <w:rFonts w:ascii="方正仿宋_GBK" w:hAnsi="方正仿宋_GBK" w:eastAsia="方正仿宋_GBK" w:cs="方正仿宋_GBK"/>
          <w:color w:val="000000"/>
          <w:sz w:val="28"/>
        </w:rPr>
        <w:t>7.2026年城镇居民自闭阀安装补贴（旧欠）绩效目标表</w:t>
      </w:r>
      <w:bookmarkEnd w:id="2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13011026P00155110031B</w:t>
            </w:r>
          </w:p>
        </w:tc>
        <w:tc>
          <w:tcPr>
            <w:tcW w:w="1587" w:type="dxa"/>
            <w:vAlign w:val="center"/>
          </w:tcPr>
          <w:p>
            <w:pPr>
              <w:pStyle w:val="12"/>
            </w:pPr>
            <w:r>
              <w:t>项目名称</w:t>
            </w:r>
          </w:p>
        </w:tc>
        <w:tc>
          <w:tcPr>
            <w:tcW w:w="4423" w:type="dxa"/>
            <w:gridSpan w:val="3"/>
            <w:vAlign w:val="center"/>
          </w:tcPr>
          <w:p>
            <w:pPr>
              <w:pStyle w:val="14"/>
            </w:pPr>
            <w:r>
              <w:t>2026年城镇居民自闭阀安装补贴（旧欠）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8.70</w:t>
            </w:r>
          </w:p>
        </w:tc>
        <w:tc>
          <w:tcPr>
            <w:tcW w:w="1587" w:type="dxa"/>
            <w:vAlign w:val="center"/>
          </w:tcPr>
          <w:p>
            <w:pPr>
              <w:pStyle w:val="12"/>
            </w:pPr>
            <w:r>
              <w:t>其中：财政    资金</w:t>
            </w:r>
          </w:p>
        </w:tc>
        <w:tc>
          <w:tcPr>
            <w:tcW w:w="1304" w:type="dxa"/>
            <w:vAlign w:val="center"/>
          </w:tcPr>
          <w:p>
            <w:pPr>
              <w:pStyle w:val="14"/>
            </w:pPr>
            <w:r>
              <w:t>8.70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为全区域范围内城镇6.9896万户既有住宅和单位燃气用户加装具有自动切断功能的安全装置，强化燃气行业安全管理，坚决防范事故发生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1.为全区域范围内城镇6.9896万户既有住宅和单位燃气用户加装具有自动切断功能的安全装置，强化燃气行业安全管理，坚决防范事故发生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 xml:space="preserve"> 安装城镇既有管道燃气用户数量</w:t>
            </w:r>
          </w:p>
        </w:tc>
        <w:tc>
          <w:tcPr>
            <w:tcW w:w="2891" w:type="dxa"/>
            <w:vAlign w:val="center"/>
          </w:tcPr>
          <w:p>
            <w:pPr>
              <w:pStyle w:val="14"/>
            </w:pPr>
            <w:r>
              <w:t>享受自闭阀补贴户数</w:t>
            </w:r>
          </w:p>
        </w:tc>
        <w:tc>
          <w:tcPr>
            <w:tcW w:w="1276" w:type="dxa"/>
            <w:vAlign w:val="center"/>
          </w:tcPr>
          <w:p>
            <w:pPr>
              <w:pStyle w:val="14"/>
            </w:pPr>
            <w:r>
              <w:t>69896 户</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 xml:space="preserve"> 自闭阀安装补贴任务完成率</w:t>
            </w:r>
          </w:p>
        </w:tc>
        <w:tc>
          <w:tcPr>
            <w:tcW w:w="2891" w:type="dxa"/>
            <w:vAlign w:val="center"/>
          </w:tcPr>
          <w:p>
            <w:pPr>
              <w:pStyle w:val="14"/>
            </w:pPr>
            <w:r>
              <w:t>已安装自闭阀用户占应安装完成率</w:t>
            </w:r>
          </w:p>
        </w:tc>
        <w:tc>
          <w:tcPr>
            <w:tcW w:w="1276" w:type="dxa"/>
            <w:vAlign w:val="center"/>
          </w:tcPr>
          <w:p>
            <w:pPr>
              <w:pStyle w:val="14"/>
            </w:pPr>
            <w:r>
              <w:t>100%</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 xml:space="preserve"> 安装发放自闭阀时间</w:t>
            </w:r>
          </w:p>
        </w:tc>
        <w:tc>
          <w:tcPr>
            <w:tcW w:w="2891" w:type="dxa"/>
            <w:vAlign w:val="center"/>
          </w:tcPr>
          <w:p>
            <w:pPr>
              <w:pStyle w:val="14"/>
            </w:pPr>
            <w:r>
              <w:t xml:space="preserve"> 安装发放自闭阀时间</w:t>
            </w:r>
          </w:p>
        </w:tc>
        <w:tc>
          <w:tcPr>
            <w:tcW w:w="1276" w:type="dxa"/>
            <w:vAlign w:val="center"/>
          </w:tcPr>
          <w:p>
            <w:pPr>
              <w:pStyle w:val="14"/>
            </w:pPr>
            <w:r>
              <w:t>及时安装</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 xml:space="preserve"> 自闭阀安装补贴标准</w:t>
            </w:r>
          </w:p>
        </w:tc>
        <w:tc>
          <w:tcPr>
            <w:tcW w:w="2891" w:type="dxa"/>
            <w:vAlign w:val="center"/>
          </w:tcPr>
          <w:p>
            <w:pPr>
              <w:pStyle w:val="14"/>
            </w:pPr>
            <w:r>
              <w:t>对城镇燃气用户安装自闭阀户均补贴</w:t>
            </w:r>
          </w:p>
        </w:tc>
        <w:tc>
          <w:tcPr>
            <w:tcW w:w="1276" w:type="dxa"/>
            <w:vAlign w:val="center"/>
          </w:tcPr>
          <w:p>
            <w:pPr>
              <w:pStyle w:val="14"/>
            </w:pPr>
            <w:r>
              <w:t xml:space="preserve"> 元/户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城镇自闭阀补贴受益户数</w:t>
            </w:r>
          </w:p>
        </w:tc>
        <w:tc>
          <w:tcPr>
            <w:tcW w:w="2891" w:type="dxa"/>
            <w:vAlign w:val="center"/>
          </w:tcPr>
          <w:p>
            <w:pPr>
              <w:pStyle w:val="14"/>
            </w:pPr>
            <w:r>
              <w:t>城镇自闭阀补贴户数</w:t>
            </w:r>
          </w:p>
        </w:tc>
        <w:tc>
          <w:tcPr>
            <w:tcW w:w="1276" w:type="dxa"/>
            <w:vAlign w:val="center"/>
          </w:tcPr>
          <w:p>
            <w:pPr>
              <w:pStyle w:val="14"/>
            </w:pPr>
            <w:r>
              <w:t>69896 户</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城镇自闭阀使用时间保障约8年</w:t>
            </w:r>
          </w:p>
        </w:tc>
        <w:tc>
          <w:tcPr>
            <w:tcW w:w="2891" w:type="dxa"/>
            <w:vAlign w:val="center"/>
          </w:tcPr>
          <w:p>
            <w:pPr>
              <w:pStyle w:val="14"/>
            </w:pPr>
            <w:r>
              <w:t>城镇自闭阀补贴受益户数保障约8年</w:t>
            </w:r>
          </w:p>
        </w:tc>
        <w:tc>
          <w:tcPr>
            <w:tcW w:w="1276" w:type="dxa"/>
            <w:vAlign w:val="center"/>
          </w:tcPr>
          <w:p>
            <w:pPr>
              <w:pStyle w:val="14"/>
            </w:pPr>
            <w:r>
              <w:t>8年</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≥95%</w:t>
            </w:r>
          </w:p>
        </w:tc>
        <w:tc>
          <w:tcPr>
            <w:tcW w:w="1843" w:type="dxa"/>
            <w:vAlign w:val="center"/>
          </w:tcPr>
          <w:p>
            <w:pPr>
              <w:pStyle w:val="14"/>
            </w:pPr>
            <w:r>
              <w:t xml:space="preserve"> 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2" w:name="_Toc_4_4_0000000011"/>
      <w:r>
        <w:rPr>
          <w:rFonts w:ascii="方正仿宋_GBK" w:hAnsi="方正仿宋_GBK" w:eastAsia="方正仿宋_GBK" w:cs="方正仿宋_GBK"/>
          <w:color w:val="000000"/>
          <w:sz w:val="28"/>
        </w:rPr>
        <w:t>8.2026年传统村落保护利用专项规划编制绩效目标表</w:t>
      </w:r>
      <w:bookmarkEnd w:id="22"/>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13011026P00160610011K</w:t>
            </w:r>
          </w:p>
        </w:tc>
        <w:tc>
          <w:tcPr>
            <w:tcW w:w="1587" w:type="dxa"/>
            <w:vAlign w:val="center"/>
          </w:tcPr>
          <w:p>
            <w:pPr>
              <w:pStyle w:val="12"/>
            </w:pPr>
            <w:r>
              <w:t>项目名称</w:t>
            </w:r>
          </w:p>
        </w:tc>
        <w:tc>
          <w:tcPr>
            <w:tcW w:w="4423" w:type="dxa"/>
            <w:gridSpan w:val="3"/>
            <w:vAlign w:val="center"/>
          </w:tcPr>
          <w:p>
            <w:pPr>
              <w:pStyle w:val="14"/>
            </w:pPr>
            <w:r>
              <w:t>2026年传统村落保护利用专项规划编制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0.48</w:t>
            </w:r>
          </w:p>
        </w:tc>
        <w:tc>
          <w:tcPr>
            <w:tcW w:w="1587" w:type="dxa"/>
            <w:vAlign w:val="center"/>
          </w:tcPr>
          <w:p>
            <w:pPr>
              <w:pStyle w:val="12"/>
            </w:pPr>
            <w:r>
              <w:t>其中：财政    资金</w:t>
            </w:r>
          </w:p>
        </w:tc>
        <w:tc>
          <w:tcPr>
            <w:tcW w:w="1304" w:type="dxa"/>
            <w:vAlign w:val="center"/>
          </w:tcPr>
          <w:p>
            <w:pPr>
              <w:pStyle w:val="14"/>
            </w:pPr>
            <w:r>
              <w:t>0.48</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完成2个传统村落保护规划，规划期至2035年的保护利用专项规划编制、修编和报批。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1.完成2个传统村落保护规划，规划期至2035年的保护利用专项规划编制、修编和报批。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时效指标</w:t>
            </w:r>
          </w:p>
        </w:tc>
        <w:tc>
          <w:tcPr>
            <w:tcW w:w="1332" w:type="dxa"/>
            <w:vAlign w:val="center"/>
          </w:tcPr>
          <w:p>
            <w:pPr>
              <w:pStyle w:val="14"/>
            </w:pPr>
            <w:r>
              <w:t>专项规划编制完成时间</w:t>
            </w:r>
          </w:p>
        </w:tc>
        <w:tc>
          <w:tcPr>
            <w:tcW w:w="2891" w:type="dxa"/>
            <w:vAlign w:val="center"/>
          </w:tcPr>
          <w:p>
            <w:pPr>
              <w:pStyle w:val="14"/>
            </w:pPr>
            <w:r>
              <w:t>完成规划期至2035年的保护利用专项规划编制、修编和报批</w:t>
            </w:r>
          </w:p>
        </w:tc>
        <w:tc>
          <w:tcPr>
            <w:tcW w:w="1276" w:type="dxa"/>
            <w:vAlign w:val="center"/>
          </w:tcPr>
          <w:p>
            <w:pPr>
              <w:pStyle w:val="14"/>
            </w:pPr>
            <w:r>
              <w:t>2023年底</w:t>
            </w:r>
          </w:p>
        </w:tc>
        <w:tc>
          <w:tcPr>
            <w:tcW w:w="1843" w:type="dxa"/>
            <w:vAlign w:val="center"/>
          </w:tcPr>
          <w:p>
            <w:pPr>
              <w:pStyle w:val="14"/>
            </w:pPr>
            <w:r>
              <w:t>工作计划</w:t>
            </w:r>
          </w:p>
        </w:tc>
      </w:tr>
      <w:tr>
        <w:tblPrEx>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涉及传统村落数量</w:t>
            </w:r>
          </w:p>
        </w:tc>
        <w:tc>
          <w:tcPr>
            <w:tcW w:w="2891" w:type="dxa"/>
            <w:vAlign w:val="center"/>
          </w:tcPr>
          <w:p>
            <w:pPr>
              <w:pStyle w:val="14"/>
            </w:pPr>
            <w:r>
              <w:t>按我区传统村落数量完成规划编制、修编</w:t>
            </w:r>
          </w:p>
        </w:tc>
        <w:tc>
          <w:tcPr>
            <w:tcW w:w="1276" w:type="dxa"/>
            <w:vAlign w:val="center"/>
          </w:tcPr>
          <w:p>
            <w:pPr>
              <w:pStyle w:val="14"/>
            </w:pPr>
            <w:r>
              <w:t>2个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专项编制实用率</w:t>
            </w:r>
          </w:p>
        </w:tc>
        <w:tc>
          <w:tcPr>
            <w:tcW w:w="2891" w:type="dxa"/>
            <w:vAlign w:val="center"/>
          </w:tcPr>
          <w:p>
            <w:pPr>
              <w:pStyle w:val="14"/>
            </w:pPr>
            <w:r>
              <w:t>编制规划对传统村落的保护和利用效果</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完成专项编制、修编成本</w:t>
            </w:r>
          </w:p>
        </w:tc>
        <w:tc>
          <w:tcPr>
            <w:tcW w:w="2891" w:type="dxa"/>
            <w:vAlign w:val="center"/>
          </w:tcPr>
          <w:p>
            <w:pPr>
              <w:pStyle w:val="14"/>
            </w:pPr>
            <w:r>
              <w:t>完成传统村落保护利用专项编制、修编所需费用</w:t>
            </w:r>
          </w:p>
        </w:tc>
        <w:tc>
          <w:tcPr>
            <w:tcW w:w="1276" w:type="dxa"/>
            <w:vAlign w:val="center"/>
          </w:tcPr>
          <w:p>
            <w:pPr>
              <w:pStyle w:val="14"/>
            </w:pPr>
            <w:r>
              <w:t>8.6万元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传统村落利用保护数量</w:t>
            </w:r>
          </w:p>
        </w:tc>
        <w:tc>
          <w:tcPr>
            <w:tcW w:w="2891" w:type="dxa"/>
            <w:vAlign w:val="center"/>
          </w:tcPr>
          <w:p>
            <w:pPr>
              <w:pStyle w:val="14"/>
            </w:pPr>
            <w:r>
              <w:t>涉及我区两个传统村落</w:t>
            </w:r>
          </w:p>
        </w:tc>
        <w:tc>
          <w:tcPr>
            <w:tcW w:w="1276" w:type="dxa"/>
            <w:vAlign w:val="center"/>
          </w:tcPr>
          <w:p>
            <w:pPr>
              <w:pStyle w:val="14"/>
            </w:pPr>
            <w:r>
              <w:t>2个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项目持续发挥作用时间</w:t>
            </w:r>
          </w:p>
        </w:tc>
        <w:tc>
          <w:tcPr>
            <w:tcW w:w="2891" w:type="dxa"/>
            <w:vAlign w:val="center"/>
          </w:tcPr>
          <w:p>
            <w:pPr>
              <w:pStyle w:val="14"/>
            </w:pPr>
            <w:r>
              <w:t>传统村落专项规划编制、修编可持续期限</w:t>
            </w:r>
          </w:p>
        </w:tc>
        <w:tc>
          <w:tcPr>
            <w:tcW w:w="1276" w:type="dxa"/>
            <w:vAlign w:val="center"/>
          </w:tcPr>
          <w:p>
            <w:pPr>
              <w:pStyle w:val="14"/>
            </w:pPr>
            <w:r>
              <w:t>≥13年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生态效益指标</w:t>
            </w:r>
          </w:p>
        </w:tc>
        <w:tc>
          <w:tcPr>
            <w:tcW w:w="1332" w:type="dxa"/>
            <w:vAlign w:val="center"/>
          </w:tcPr>
          <w:p>
            <w:pPr>
              <w:pStyle w:val="14"/>
            </w:pPr>
            <w:r>
              <w:t>改善人居环境</w:t>
            </w:r>
          </w:p>
        </w:tc>
        <w:tc>
          <w:tcPr>
            <w:tcW w:w="2891" w:type="dxa"/>
            <w:vAlign w:val="center"/>
          </w:tcPr>
          <w:p>
            <w:pPr>
              <w:pStyle w:val="14"/>
            </w:pPr>
            <w:r>
              <w:t>完善基础设施、保护非物质文化遗产</w:t>
            </w:r>
          </w:p>
        </w:tc>
        <w:tc>
          <w:tcPr>
            <w:tcW w:w="1276" w:type="dxa"/>
            <w:vAlign w:val="center"/>
          </w:tcPr>
          <w:p>
            <w:pPr>
              <w:pStyle w:val="14"/>
            </w:pPr>
            <w:r>
              <w:t>较以前年度显著改善</w:t>
            </w:r>
          </w:p>
        </w:tc>
        <w:tc>
          <w:tcPr>
            <w:tcW w:w="1843" w:type="dxa"/>
            <w:vAlign w:val="center"/>
          </w:tcPr>
          <w:p>
            <w:pPr>
              <w:pStyle w:val="14"/>
            </w:pPr>
            <w:r>
              <w:t>工作计划</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2个传统村落</w:t>
            </w:r>
          </w:p>
        </w:tc>
        <w:tc>
          <w:tcPr>
            <w:tcW w:w="2891" w:type="dxa"/>
            <w:vAlign w:val="center"/>
          </w:tcPr>
          <w:p>
            <w:pPr>
              <w:pStyle w:val="14"/>
            </w:pPr>
            <w:r>
              <w:t>我区两个传统村落对规划编制的满意度</w:t>
            </w:r>
          </w:p>
        </w:tc>
        <w:tc>
          <w:tcPr>
            <w:tcW w:w="1276" w:type="dxa"/>
            <w:vAlign w:val="center"/>
          </w:tcPr>
          <w:p>
            <w:pPr>
              <w:pStyle w:val="14"/>
            </w:pPr>
            <w:r>
              <w:t>≥90%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3" w:name="_Toc_4_4_0000000012"/>
      <w:r>
        <w:rPr>
          <w:rFonts w:ascii="方正仿宋_GBK" w:hAnsi="方正仿宋_GBK" w:eastAsia="方正仿宋_GBK" w:cs="方正仿宋_GBK"/>
          <w:color w:val="000000"/>
          <w:sz w:val="28"/>
        </w:rPr>
        <w:t>9.2026年村级监管员工资绩效目标表</w:t>
      </w:r>
      <w:bookmarkEnd w:id="2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13011026P00155110030P</w:t>
            </w:r>
          </w:p>
        </w:tc>
        <w:tc>
          <w:tcPr>
            <w:tcW w:w="1587" w:type="dxa"/>
            <w:vAlign w:val="center"/>
          </w:tcPr>
          <w:p>
            <w:pPr>
              <w:pStyle w:val="12"/>
            </w:pPr>
            <w:r>
              <w:t>项目名称</w:t>
            </w:r>
          </w:p>
        </w:tc>
        <w:tc>
          <w:tcPr>
            <w:tcW w:w="4423" w:type="dxa"/>
            <w:gridSpan w:val="3"/>
            <w:vAlign w:val="center"/>
          </w:tcPr>
          <w:p>
            <w:pPr>
              <w:pStyle w:val="14"/>
            </w:pPr>
            <w:r>
              <w:t>2026年村级监管员工资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115.00</w:t>
            </w:r>
          </w:p>
        </w:tc>
        <w:tc>
          <w:tcPr>
            <w:tcW w:w="1587" w:type="dxa"/>
            <w:vAlign w:val="center"/>
          </w:tcPr>
          <w:p>
            <w:pPr>
              <w:pStyle w:val="12"/>
            </w:pPr>
            <w:r>
              <w:t>其中：财政    资金</w:t>
            </w:r>
          </w:p>
        </w:tc>
        <w:tc>
          <w:tcPr>
            <w:tcW w:w="1304" w:type="dxa"/>
            <w:vAlign w:val="center"/>
          </w:tcPr>
          <w:p>
            <w:pPr>
              <w:pStyle w:val="14"/>
            </w:pPr>
            <w:r>
              <w:t>115.00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及时发放安全监管员补助，督促监管员日常巡查，坚决遏制各类安全生产事故的发生。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1.及时发放安全监管员补助，督促监管员日常巡查，坚决遏制各类安全生产事故的发生。</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燃气安全协管员补助标准</w:t>
            </w:r>
          </w:p>
        </w:tc>
        <w:tc>
          <w:tcPr>
            <w:tcW w:w="2891" w:type="dxa"/>
            <w:vAlign w:val="center"/>
          </w:tcPr>
          <w:p>
            <w:pPr>
              <w:pStyle w:val="14"/>
            </w:pPr>
            <w:r>
              <w:t>实际发放采暖季燃气安全协管员补助标准</w:t>
            </w:r>
          </w:p>
        </w:tc>
        <w:tc>
          <w:tcPr>
            <w:tcW w:w="1276" w:type="dxa"/>
            <w:vAlign w:val="center"/>
          </w:tcPr>
          <w:p>
            <w:pPr>
              <w:pStyle w:val="14"/>
            </w:pPr>
            <w:r>
              <w:t>500月/人</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燃气安全协管员人数</w:t>
            </w:r>
          </w:p>
        </w:tc>
        <w:tc>
          <w:tcPr>
            <w:tcW w:w="2891" w:type="dxa"/>
            <w:vAlign w:val="center"/>
          </w:tcPr>
          <w:p>
            <w:pPr>
              <w:pStyle w:val="14"/>
            </w:pPr>
            <w:r>
              <w:t>全区共实施煤改气项目201个村,按政策要求每村配置1-3名燃气安全协员</w:t>
            </w:r>
          </w:p>
        </w:tc>
        <w:tc>
          <w:tcPr>
            <w:tcW w:w="1276" w:type="dxa"/>
            <w:vAlign w:val="center"/>
          </w:tcPr>
          <w:p>
            <w:pPr>
              <w:pStyle w:val="14"/>
            </w:pPr>
            <w:r>
              <w:t>322名</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安全隐患排查率</w:t>
            </w:r>
          </w:p>
        </w:tc>
        <w:tc>
          <w:tcPr>
            <w:tcW w:w="2891" w:type="dxa"/>
            <w:vAlign w:val="center"/>
          </w:tcPr>
          <w:p>
            <w:pPr>
              <w:pStyle w:val="14"/>
            </w:pPr>
            <w:r>
              <w:t>实际排查的隐患数量占发现数量的比例</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巡检覆盖率</w:t>
            </w:r>
          </w:p>
        </w:tc>
        <w:tc>
          <w:tcPr>
            <w:tcW w:w="2891" w:type="dxa"/>
            <w:vAlign w:val="center"/>
          </w:tcPr>
          <w:p>
            <w:pPr>
              <w:pStyle w:val="14"/>
            </w:pPr>
            <w:r>
              <w:t>村级安全员及燃气公司协管员在非采暖季及采暖季期间每月对村里农户壁挂炉及燃气管道进行常规巡检，并建立台账，及时给农户解决问题</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燃气安全协管员补助标准</w:t>
            </w:r>
          </w:p>
        </w:tc>
        <w:tc>
          <w:tcPr>
            <w:tcW w:w="2891" w:type="dxa"/>
            <w:vAlign w:val="center"/>
          </w:tcPr>
          <w:p>
            <w:pPr>
              <w:pStyle w:val="14"/>
            </w:pPr>
            <w:r>
              <w:t>实际发放非采暖季燃气安全协管员补助标准</w:t>
            </w:r>
          </w:p>
        </w:tc>
        <w:tc>
          <w:tcPr>
            <w:tcW w:w="1276" w:type="dxa"/>
            <w:vAlign w:val="center"/>
          </w:tcPr>
          <w:p>
            <w:pPr>
              <w:pStyle w:val="14"/>
            </w:pPr>
            <w:r>
              <w:t>200月/人</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长期使用性</w:t>
            </w:r>
          </w:p>
        </w:tc>
        <w:tc>
          <w:tcPr>
            <w:tcW w:w="2891" w:type="dxa"/>
            <w:vAlign w:val="center"/>
          </w:tcPr>
          <w:p>
            <w:pPr>
              <w:pStyle w:val="14"/>
            </w:pPr>
            <w:r>
              <w:t>能够长期较好地开展燃气安全巡查工作，保障燃气使用安全。</w:t>
            </w:r>
          </w:p>
        </w:tc>
        <w:tc>
          <w:tcPr>
            <w:tcW w:w="1276" w:type="dxa"/>
            <w:vAlign w:val="center"/>
          </w:tcPr>
          <w:p>
            <w:pPr>
              <w:pStyle w:val="14"/>
            </w:pPr>
            <w:r>
              <w:t>100%</w:t>
            </w:r>
          </w:p>
        </w:tc>
        <w:tc>
          <w:tcPr>
            <w:tcW w:w="1843" w:type="dxa"/>
            <w:vAlign w:val="center"/>
          </w:tcPr>
          <w:p>
            <w:pPr>
              <w:pStyle w:val="14"/>
            </w:pPr>
            <w:r>
              <w:t>工作计划</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巡管安全员满意度</w:t>
            </w:r>
          </w:p>
        </w:tc>
        <w:tc>
          <w:tcPr>
            <w:tcW w:w="2891" w:type="dxa"/>
            <w:vAlign w:val="center"/>
          </w:tcPr>
          <w:p>
            <w:pPr>
              <w:pStyle w:val="14"/>
            </w:pPr>
            <w:r>
              <w:t>对燃气管道巡视安全人员和较满意的人员人数</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4" w:name="_Toc_4_4_0000000013"/>
      <w:r>
        <w:rPr>
          <w:rFonts w:ascii="方正仿宋_GBK" w:hAnsi="方正仿宋_GBK" w:eastAsia="方正仿宋_GBK" w:cs="方正仿宋_GBK"/>
          <w:color w:val="000000"/>
          <w:sz w:val="28"/>
        </w:rPr>
        <w:t>10.2026年工程旧欠绩效目标表</w:t>
      </w:r>
      <w:bookmarkEnd w:id="24"/>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13011026P00160610003Y</w:t>
            </w:r>
          </w:p>
        </w:tc>
        <w:tc>
          <w:tcPr>
            <w:tcW w:w="1587" w:type="dxa"/>
            <w:vAlign w:val="center"/>
          </w:tcPr>
          <w:p>
            <w:pPr>
              <w:pStyle w:val="12"/>
            </w:pPr>
            <w:r>
              <w:t>项目名称</w:t>
            </w:r>
          </w:p>
        </w:tc>
        <w:tc>
          <w:tcPr>
            <w:tcW w:w="4423" w:type="dxa"/>
            <w:gridSpan w:val="3"/>
            <w:vAlign w:val="center"/>
          </w:tcPr>
          <w:p>
            <w:pPr>
              <w:pStyle w:val="14"/>
            </w:pPr>
            <w:r>
              <w:t>2026年工程旧欠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46.97</w:t>
            </w:r>
          </w:p>
        </w:tc>
        <w:tc>
          <w:tcPr>
            <w:tcW w:w="1587" w:type="dxa"/>
            <w:vAlign w:val="center"/>
          </w:tcPr>
          <w:p>
            <w:pPr>
              <w:pStyle w:val="12"/>
            </w:pPr>
            <w:r>
              <w:t>其中：财政    资金</w:t>
            </w:r>
          </w:p>
        </w:tc>
        <w:tc>
          <w:tcPr>
            <w:tcW w:w="1304" w:type="dxa"/>
            <w:vAlign w:val="center"/>
          </w:tcPr>
          <w:p>
            <w:pPr>
              <w:pStyle w:val="14"/>
            </w:pPr>
            <w:r>
              <w:t>46.97</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完成37个项目工程清欠，完善基础设施建设，提升城市形象。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1.完成37个项目工程清欠，完善基础设施建设，提升城市形象。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清理建设工程项目数</w:t>
            </w:r>
          </w:p>
        </w:tc>
        <w:tc>
          <w:tcPr>
            <w:tcW w:w="2891" w:type="dxa"/>
            <w:vAlign w:val="center"/>
          </w:tcPr>
          <w:p>
            <w:pPr>
              <w:pStyle w:val="14"/>
            </w:pPr>
            <w:r>
              <w:t>清理旧建设工程项目数量</w:t>
            </w:r>
          </w:p>
        </w:tc>
        <w:tc>
          <w:tcPr>
            <w:tcW w:w="1276" w:type="dxa"/>
            <w:vAlign w:val="center"/>
          </w:tcPr>
          <w:p>
            <w:pPr>
              <w:pStyle w:val="14"/>
            </w:pPr>
            <w:r>
              <w:t>37个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清欠工作完成率</w:t>
            </w:r>
          </w:p>
        </w:tc>
        <w:tc>
          <w:tcPr>
            <w:tcW w:w="2891" w:type="dxa"/>
            <w:vAlign w:val="center"/>
          </w:tcPr>
          <w:p>
            <w:pPr>
              <w:pStyle w:val="14"/>
            </w:pPr>
            <w:r>
              <w:t>清理工程旧欠完成占总旧欠工程</w:t>
            </w:r>
            <w:r>
              <w:rPr>
                <w:rFonts w:hint="eastAsia"/>
                <w:lang w:val="en-US" w:eastAsia="zh-CN"/>
              </w:rPr>
              <w:t>的</w:t>
            </w:r>
            <w:r>
              <w:t>总量</w:t>
            </w:r>
          </w:p>
        </w:tc>
        <w:tc>
          <w:tcPr>
            <w:tcW w:w="1276" w:type="dxa"/>
            <w:vAlign w:val="center"/>
          </w:tcPr>
          <w:p>
            <w:pPr>
              <w:pStyle w:val="14"/>
            </w:pPr>
            <w:r>
              <w:t>≥90%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清欠工作完成及时率</w:t>
            </w:r>
          </w:p>
        </w:tc>
        <w:tc>
          <w:tcPr>
            <w:tcW w:w="2891" w:type="dxa"/>
            <w:vAlign w:val="center"/>
          </w:tcPr>
          <w:p>
            <w:pPr>
              <w:pStyle w:val="14"/>
            </w:pPr>
            <w:r>
              <w:t>清理完成的工作量占旧欠总工程量的比率</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清欠项目成本</w:t>
            </w:r>
          </w:p>
        </w:tc>
        <w:tc>
          <w:tcPr>
            <w:tcW w:w="2891" w:type="dxa"/>
            <w:vAlign w:val="center"/>
          </w:tcPr>
          <w:p>
            <w:pPr>
              <w:pStyle w:val="14"/>
            </w:pPr>
            <w:r>
              <w:t>支付工程旧欠的金额</w:t>
            </w:r>
          </w:p>
        </w:tc>
        <w:tc>
          <w:tcPr>
            <w:tcW w:w="1276" w:type="dxa"/>
            <w:vAlign w:val="center"/>
          </w:tcPr>
          <w:p>
            <w:pPr>
              <w:pStyle w:val="14"/>
            </w:pPr>
            <w:r>
              <w:t>≤9387.02万元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清欠工作完成率</w:t>
            </w:r>
          </w:p>
        </w:tc>
        <w:tc>
          <w:tcPr>
            <w:tcW w:w="2891" w:type="dxa"/>
            <w:vAlign w:val="center"/>
          </w:tcPr>
          <w:p>
            <w:pPr>
              <w:pStyle w:val="14"/>
            </w:pPr>
            <w:r>
              <w:t>各项工作任务按时完成率</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服务对象满意度</w:t>
            </w:r>
          </w:p>
        </w:tc>
        <w:tc>
          <w:tcPr>
            <w:tcW w:w="1276" w:type="dxa"/>
            <w:vAlign w:val="center"/>
          </w:tcPr>
          <w:p>
            <w:pPr>
              <w:pStyle w:val="14"/>
            </w:pPr>
            <w:r>
              <w:t>≥90%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5" w:name="_Toc_4_4_0000000014"/>
      <w:r>
        <w:rPr>
          <w:rFonts w:ascii="方正仿宋_GBK" w:hAnsi="方正仿宋_GBK" w:eastAsia="方正仿宋_GBK" w:cs="方正仿宋_GBK"/>
          <w:color w:val="000000"/>
          <w:sz w:val="28"/>
        </w:rPr>
        <w:t>11.2026年光纤专线接入及监控平台维护绩效目标表</w:t>
      </w:r>
      <w:bookmarkEnd w:id="2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13011026P001505100141</w:t>
            </w:r>
          </w:p>
        </w:tc>
        <w:tc>
          <w:tcPr>
            <w:tcW w:w="1587" w:type="dxa"/>
            <w:vAlign w:val="center"/>
          </w:tcPr>
          <w:p>
            <w:pPr>
              <w:pStyle w:val="12"/>
            </w:pPr>
            <w:r>
              <w:t>项目名称</w:t>
            </w:r>
          </w:p>
        </w:tc>
        <w:tc>
          <w:tcPr>
            <w:tcW w:w="4423" w:type="dxa"/>
            <w:gridSpan w:val="3"/>
            <w:vAlign w:val="center"/>
          </w:tcPr>
          <w:p>
            <w:pPr>
              <w:pStyle w:val="14"/>
            </w:pPr>
            <w:r>
              <w:t>2026年光纤专线接入及监控平台维护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40.00</w:t>
            </w:r>
          </w:p>
        </w:tc>
        <w:tc>
          <w:tcPr>
            <w:tcW w:w="1587" w:type="dxa"/>
            <w:vAlign w:val="center"/>
          </w:tcPr>
          <w:p>
            <w:pPr>
              <w:pStyle w:val="12"/>
            </w:pPr>
            <w:r>
              <w:t>其中：财政    资金</w:t>
            </w:r>
          </w:p>
        </w:tc>
        <w:tc>
          <w:tcPr>
            <w:tcW w:w="1304" w:type="dxa"/>
            <w:vAlign w:val="center"/>
          </w:tcPr>
          <w:p>
            <w:pPr>
              <w:pStyle w:val="14"/>
            </w:pPr>
            <w:r>
              <w:t>40.00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对全区施工工地进行光纤宽带接入,提供高质量的互联网专线线路，保证监控系统通畅，通过每日巡查、监控及时发现扬尘不达标的问题，及时监督整改，达到“六个百分百”及“两个全覆盖”要求，减少扬尘大气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对全区施工工地进行光纤宽带接入,提供高质量的互联网专线线路，保证监控系统通畅，通过每日巡查、监控及时发现扬尘不达标的问题，及时监督整改，达到“六个百分百”及“两个全覆盖”要求，减少扬尘大气污染</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政务外网租赁成本</w:t>
            </w:r>
          </w:p>
        </w:tc>
        <w:tc>
          <w:tcPr>
            <w:tcW w:w="2891" w:type="dxa"/>
            <w:vAlign w:val="center"/>
          </w:tcPr>
          <w:p>
            <w:pPr>
              <w:pStyle w:val="14"/>
            </w:pPr>
            <w:r>
              <w:t>监控光纤政务外网费用</w:t>
            </w:r>
          </w:p>
        </w:tc>
        <w:tc>
          <w:tcPr>
            <w:tcW w:w="1276" w:type="dxa"/>
            <w:vAlign w:val="center"/>
          </w:tcPr>
          <w:p>
            <w:pPr>
              <w:pStyle w:val="14"/>
            </w:pPr>
            <w:r>
              <w:t>4.8万元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机房专线成本</w:t>
            </w:r>
          </w:p>
        </w:tc>
        <w:tc>
          <w:tcPr>
            <w:tcW w:w="2891" w:type="dxa"/>
            <w:vAlign w:val="center"/>
          </w:tcPr>
          <w:p>
            <w:pPr>
              <w:pStyle w:val="14"/>
            </w:pPr>
            <w:r>
              <w:t>机房专线费用</w:t>
            </w:r>
          </w:p>
        </w:tc>
        <w:tc>
          <w:tcPr>
            <w:tcW w:w="1276" w:type="dxa"/>
            <w:vAlign w:val="center"/>
          </w:tcPr>
          <w:p>
            <w:pPr>
              <w:pStyle w:val="14"/>
            </w:pPr>
            <w:r>
              <w:t>2.4万元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运维成本</w:t>
            </w:r>
          </w:p>
        </w:tc>
        <w:tc>
          <w:tcPr>
            <w:tcW w:w="2891" w:type="dxa"/>
            <w:vAlign w:val="center"/>
          </w:tcPr>
          <w:p>
            <w:pPr>
              <w:pStyle w:val="14"/>
            </w:pPr>
            <w:r>
              <w:t>监控运行维护费用</w:t>
            </w:r>
          </w:p>
        </w:tc>
        <w:tc>
          <w:tcPr>
            <w:tcW w:w="1276" w:type="dxa"/>
            <w:vAlign w:val="center"/>
          </w:tcPr>
          <w:p>
            <w:pPr>
              <w:pStyle w:val="14"/>
            </w:pPr>
            <w:r>
              <w:t>12万元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光纤租用量</w:t>
            </w:r>
          </w:p>
        </w:tc>
        <w:tc>
          <w:tcPr>
            <w:tcW w:w="2891" w:type="dxa"/>
            <w:vAlign w:val="center"/>
          </w:tcPr>
          <w:p>
            <w:pPr>
              <w:pStyle w:val="14"/>
            </w:pPr>
            <w:r>
              <w:t>租用的光纤的量</w:t>
            </w:r>
          </w:p>
        </w:tc>
        <w:tc>
          <w:tcPr>
            <w:tcW w:w="1276" w:type="dxa"/>
            <w:vAlign w:val="center"/>
          </w:tcPr>
          <w:p>
            <w:pPr>
              <w:pStyle w:val="14"/>
            </w:pPr>
            <w:r>
              <w:t>150条</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光纤租赁成本</w:t>
            </w:r>
          </w:p>
        </w:tc>
        <w:tc>
          <w:tcPr>
            <w:tcW w:w="2891" w:type="dxa"/>
            <w:vAlign w:val="center"/>
          </w:tcPr>
          <w:p>
            <w:pPr>
              <w:pStyle w:val="14"/>
            </w:pPr>
            <w:r>
              <w:t>光纤租赁成本</w:t>
            </w:r>
          </w:p>
        </w:tc>
        <w:tc>
          <w:tcPr>
            <w:tcW w:w="1276" w:type="dxa"/>
            <w:vAlign w:val="center"/>
          </w:tcPr>
          <w:p>
            <w:pPr>
              <w:pStyle w:val="14"/>
            </w:pPr>
            <w:r>
              <w:t>400元/月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光纤故障率</w:t>
            </w:r>
          </w:p>
        </w:tc>
        <w:tc>
          <w:tcPr>
            <w:tcW w:w="2891" w:type="dxa"/>
            <w:vAlign w:val="center"/>
          </w:tcPr>
          <w:p>
            <w:pPr>
              <w:pStyle w:val="14"/>
            </w:pPr>
            <w:r>
              <w:t>光纤故障率</w:t>
            </w:r>
          </w:p>
        </w:tc>
        <w:tc>
          <w:tcPr>
            <w:tcW w:w="1276" w:type="dxa"/>
            <w:vAlign w:val="center"/>
          </w:tcPr>
          <w:p>
            <w:pPr>
              <w:pStyle w:val="14"/>
            </w:pPr>
            <w:r>
              <w:t>达到《电信服务质量标准》保证通信业务安全畅通</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故障修复时限</w:t>
            </w:r>
          </w:p>
        </w:tc>
        <w:tc>
          <w:tcPr>
            <w:tcW w:w="2891" w:type="dxa"/>
            <w:vAlign w:val="center"/>
          </w:tcPr>
          <w:p>
            <w:pPr>
              <w:pStyle w:val="14"/>
            </w:pPr>
            <w:r>
              <w:t>出现故障后及时修复的时间</w:t>
            </w:r>
          </w:p>
        </w:tc>
        <w:tc>
          <w:tcPr>
            <w:tcW w:w="1276" w:type="dxa"/>
            <w:vAlign w:val="center"/>
          </w:tcPr>
          <w:p>
            <w:pPr>
              <w:pStyle w:val="14"/>
            </w:pPr>
            <w:r>
              <w:t>≤24小时</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整改完成率</w:t>
            </w:r>
          </w:p>
        </w:tc>
        <w:tc>
          <w:tcPr>
            <w:tcW w:w="2891" w:type="dxa"/>
            <w:vAlign w:val="center"/>
          </w:tcPr>
          <w:p>
            <w:pPr>
              <w:pStyle w:val="14"/>
            </w:pPr>
            <w:r>
              <w:t>扬尘整改完成量占发现量的比例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施工过程达标情况</w:t>
            </w:r>
          </w:p>
        </w:tc>
        <w:tc>
          <w:tcPr>
            <w:tcW w:w="2891" w:type="dxa"/>
            <w:vAlign w:val="center"/>
          </w:tcPr>
          <w:p>
            <w:pPr>
              <w:pStyle w:val="14"/>
            </w:pPr>
            <w:r>
              <w:t>所有的施工现场达到的标准</w:t>
            </w:r>
          </w:p>
        </w:tc>
        <w:tc>
          <w:tcPr>
            <w:tcW w:w="1276" w:type="dxa"/>
            <w:vAlign w:val="center"/>
          </w:tcPr>
          <w:p>
            <w:pPr>
              <w:pStyle w:val="14"/>
            </w:pPr>
            <w:r>
              <w:t>“六个百分百”“两个全覆盖”</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w:t>
            </w:r>
          </w:p>
        </w:tc>
        <w:tc>
          <w:tcPr>
            <w:tcW w:w="2891" w:type="dxa"/>
            <w:vAlign w:val="center"/>
          </w:tcPr>
          <w:p>
            <w:pPr>
              <w:pStyle w:val="14"/>
            </w:pPr>
            <w:r>
              <w:t>群众对建筑施工现场扬尘治理整体满意度</w:t>
            </w:r>
          </w:p>
        </w:tc>
        <w:tc>
          <w:tcPr>
            <w:tcW w:w="1276" w:type="dxa"/>
            <w:vAlign w:val="center"/>
          </w:tcPr>
          <w:p>
            <w:pPr>
              <w:pStyle w:val="14"/>
            </w:pPr>
            <w:r>
              <w:t>≥90%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6" w:name="_Toc_4_4_0000000015"/>
      <w:r>
        <w:rPr>
          <w:rFonts w:ascii="方正仿宋_GBK" w:hAnsi="方正仿宋_GBK" w:eastAsia="方正仿宋_GBK" w:cs="方正仿宋_GBK"/>
          <w:color w:val="000000"/>
          <w:sz w:val="28"/>
        </w:rPr>
        <w:t>12.2026年居民用户加装物联网报警及切断装置项目绩效目标表</w:t>
      </w:r>
      <w:bookmarkEnd w:id="2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13011026P00155110035R</w:t>
            </w:r>
          </w:p>
        </w:tc>
        <w:tc>
          <w:tcPr>
            <w:tcW w:w="1587" w:type="dxa"/>
            <w:vAlign w:val="center"/>
          </w:tcPr>
          <w:p>
            <w:pPr>
              <w:pStyle w:val="12"/>
            </w:pPr>
            <w:r>
              <w:t>项目名称</w:t>
            </w:r>
          </w:p>
        </w:tc>
        <w:tc>
          <w:tcPr>
            <w:tcW w:w="4423" w:type="dxa"/>
            <w:gridSpan w:val="3"/>
            <w:vAlign w:val="center"/>
          </w:tcPr>
          <w:p>
            <w:pPr>
              <w:pStyle w:val="14"/>
            </w:pPr>
            <w:r>
              <w:t>2026年居民用户加装物联网报警及切断装置项目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2.75</w:t>
            </w:r>
          </w:p>
        </w:tc>
        <w:tc>
          <w:tcPr>
            <w:tcW w:w="1587" w:type="dxa"/>
            <w:vAlign w:val="center"/>
          </w:tcPr>
          <w:p>
            <w:pPr>
              <w:pStyle w:val="12"/>
            </w:pPr>
            <w:r>
              <w:t>其中：财政    资金</w:t>
            </w:r>
          </w:p>
        </w:tc>
        <w:tc>
          <w:tcPr>
            <w:tcW w:w="1304" w:type="dxa"/>
            <w:vAlign w:val="center"/>
          </w:tcPr>
          <w:p>
            <w:pPr>
              <w:pStyle w:val="14"/>
            </w:pPr>
            <w:r>
              <w:t>2.75</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为切实提升液化气居民用户安全用气水平和燃气泄漏预警检测能力，从根本上预防和减少事故发生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1.为切实提升液化气居民用户安全用气水平和燃气泄漏预警检测能力，从根本上预防和减少事故发生</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全区液化气居民户数</w:t>
            </w:r>
          </w:p>
        </w:tc>
        <w:tc>
          <w:tcPr>
            <w:tcW w:w="2891" w:type="dxa"/>
            <w:vAlign w:val="center"/>
          </w:tcPr>
          <w:p>
            <w:pPr>
              <w:pStyle w:val="14"/>
            </w:pPr>
            <w:r>
              <w:t>全区居民液化气使用户数</w:t>
            </w:r>
          </w:p>
        </w:tc>
        <w:tc>
          <w:tcPr>
            <w:tcW w:w="1276" w:type="dxa"/>
            <w:vAlign w:val="center"/>
          </w:tcPr>
          <w:p>
            <w:pPr>
              <w:pStyle w:val="14"/>
            </w:pPr>
            <w:r>
              <w:t>3823户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完成率</w:t>
            </w:r>
          </w:p>
        </w:tc>
        <w:tc>
          <w:tcPr>
            <w:tcW w:w="2891" w:type="dxa"/>
            <w:vAlign w:val="center"/>
          </w:tcPr>
          <w:p>
            <w:pPr>
              <w:pStyle w:val="14"/>
            </w:pPr>
            <w:r>
              <w:t>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工作任务完成及时率</w:t>
            </w:r>
          </w:p>
        </w:tc>
        <w:tc>
          <w:tcPr>
            <w:tcW w:w="2891" w:type="dxa"/>
            <w:vAlign w:val="center"/>
          </w:tcPr>
          <w:p>
            <w:pPr>
              <w:pStyle w:val="14"/>
            </w:pPr>
            <w:r>
              <w:t>工作任务完成及时率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完成工作目标所需要资金</w:t>
            </w:r>
          </w:p>
          <w:p>
            <w:pPr>
              <w:pStyle w:val="14"/>
            </w:pPr>
          </w:p>
        </w:tc>
        <w:tc>
          <w:tcPr>
            <w:tcW w:w="2891" w:type="dxa"/>
            <w:vAlign w:val="center"/>
          </w:tcPr>
          <w:p>
            <w:pPr>
              <w:pStyle w:val="14"/>
            </w:pPr>
            <w:r>
              <w:t>完成工作目标所需要资金</w:t>
            </w:r>
          </w:p>
          <w:p>
            <w:pPr>
              <w:pStyle w:val="14"/>
            </w:pPr>
          </w:p>
        </w:tc>
        <w:tc>
          <w:tcPr>
            <w:tcW w:w="1276" w:type="dxa"/>
            <w:vAlign w:val="center"/>
          </w:tcPr>
          <w:p>
            <w:pPr>
              <w:pStyle w:val="14"/>
            </w:pPr>
            <w:r>
              <w:t>3.88万元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综合利用率</w:t>
            </w:r>
          </w:p>
        </w:tc>
        <w:tc>
          <w:tcPr>
            <w:tcW w:w="2891" w:type="dxa"/>
            <w:vAlign w:val="center"/>
          </w:tcPr>
          <w:p>
            <w:pPr>
              <w:pStyle w:val="14"/>
            </w:pPr>
            <w:r>
              <w:t>综合利用率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满意程度</w:t>
            </w:r>
          </w:p>
        </w:tc>
        <w:tc>
          <w:tcPr>
            <w:tcW w:w="2891" w:type="dxa"/>
            <w:vAlign w:val="center"/>
          </w:tcPr>
          <w:p>
            <w:pPr>
              <w:pStyle w:val="14"/>
            </w:pPr>
            <w:r>
              <w:t>满意程度</w:t>
            </w:r>
          </w:p>
        </w:tc>
        <w:tc>
          <w:tcPr>
            <w:tcW w:w="1276" w:type="dxa"/>
            <w:vAlign w:val="center"/>
          </w:tcPr>
          <w:p>
            <w:pPr>
              <w:pStyle w:val="14"/>
            </w:pPr>
            <w:r>
              <w:t>≥90%</w:t>
            </w:r>
          </w:p>
        </w:tc>
        <w:tc>
          <w:tcPr>
            <w:tcW w:w="1843" w:type="dxa"/>
            <w:vAlign w:val="center"/>
          </w:tcPr>
          <w:p>
            <w:pPr>
              <w:pStyle w:val="14"/>
            </w:pPr>
            <w:r>
              <w:t>走访调查</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7" w:name="_Toc_4_4_0000000016"/>
      <w:r>
        <w:rPr>
          <w:rFonts w:ascii="方正仿宋_GBK" w:hAnsi="方正仿宋_GBK" w:eastAsia="方正仿宋_GBK" w:cs="方正仿宋_GBK"/>
          <w:color w:val="000000"/>
          <w:sz w:val="28"/>
        </w:rPr>
        <w:t>13.2026年局机关及科室工作经费绩效目标表</w:t>
      </w:r>
      <w:bookmarkEnd w:id="2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13011026P00001110055B</w:t>
            </w:r>
          </w:p>
        </w:tc>
        <w:tc>
          <w:tcPr>
            <w:tcW w:w="1587" w:type="dxa"/>
            <w:vAlign w:val="center"/>
          </w:tcPr>
          <w:p>
            <w:pPr>
              <w:pStyle w:val="12"/>
            </w:pPr>
            <w:r>
              <w:t>项目名称</w:t>
            </w:r>
          </w:p>
        </w:tc>
        <w:tc>
          <w:tcPr>
            <w:tcW w:w="4423" w:type="dxa"/>
            <w:gridSpan w:val="3"/>
            <w:vAlign w:val="center"/>
          </w:tcPr>
          <w:p>
            <w:pPr>
              <w:pStyle w:val="14"/>
            </w:pPr>
            <w:r>
              <w:t>2026年局机关及科室工作经费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50.00</w:t>
            </w:r>
          </w:p>
        </w:tc>
        <w:tc>
          <w:tcPr>
            <w:tcW w:w="1587" w:type="dxa"/>
            <w:vAlign w:val="center"/>
          </w:tcPr>
          <w:p>
            <w:pPr>
              <w:pStyle w:val="12"/>
            </w:pPr>
            <w:r>
              <w:t>其中：财政    资金</w:t>
            </w:r>
          </w:p>
        </w:tc>
        <w:tc>
          <w:tcPr>
            <w:tcW w:w="1304" w:type="dxa"/>
            <w:vAlign w:val="center"/>
          </w:tcPr>
          <w:p>
            <w:pPr>
              <w:pStyle w:val="14"/>
            </w:pPr>
            <w:r>
              <w:t>50.00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用于弥补正常公用经费不足，维修维护办公楼内部环境，保障正常办公和单位形象。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1.用于弥补正常公用经费不足，维修维护办公楼内部环境，保障正常办公和单位形象。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保障办公人数</w:t>
            </w:r>
          </w:p>
        </w:tc>
        <w:tc>
          <w:tcPr>
            <w:tcW w:w="2891" w:type="dxa"/>
            <w:vAlign w:val="center"/>
          </w:tcPr>
          <w:p>
            <w:pPr>
              <w:pStyle w:val="14"/>
            </w:pPr>
            <w:r>
              <w:t>保障办公人数</w:t>
            </w:r>
          </w:p>
        </w:tc>
        <w:tc>
          <w:tcPr>
            <w:tcW w:w="1276" w:type="dxa"/>
            <w:vAlign w:val="center"/>
          </w:tcPr>
          <w:p>
            <w:pPr>
              <w:pStyle w:val="14"/>
            </w:pPr>
            <w:r>
              <w:t>≥100人</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运转保障率</w:t>
            </w:r>
          </w:p>
        </w:tc>
        <w:tc>
          <w:tcPr>
            <w:tcW w:w="2891" w:type="dxa"/>
            <w:vAlign w:val="center"/>
          </w:tcPr>
          <w:p>
            <w:pPr>
              <w:pStyle w:val="14"/>
            </w:pPr>
            <w:r>
              <w:t>各项日常工作保障率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及时性</w:t>
            </w:r>
          </w:p>
        </w:tc>
        <w:tc>
          <w:tcPr>
            <w:tcW w:w="2891" w:type="dxa"/>
            <w:vAlign w:val="center"/>
          </w:tcPr>
          <w:p>
            <w:pPr>
              <w:pStyle w:val="14"/>
            </w:pPr>
            <w:r>
              <w:t>及时性</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日常经费支出</w:t>
            </w:r>
          </w:p>
        </w:tc>
        <w:tc>
          <w:tcPr>
            <w:tcW w:w="2891" w:type="dxa"/>
            <w:vAlign w:val="center"/>
          </w:tcPr>
          <w:p>
            <w:pPr>
              <w:pStyle w:val="14"/>
            </w:pPr>
            <w:r>
              <w:t>办公费、水电费、维修维护费及其他费用的支出</w:t>
            </w:r>
          </w:p>
        </w:tc>
        <w:tc>
          <w:tcPr>
            <w:tcW w:w="1276" w:type="dxa"/>
            <w:vAlign w:val="center"/>
          </w:tcPr>
          <w:p>
            <w:pPr>
              <w:pStyle w:val="14"/>
            </w:pPr>
            <w:r>
              <w:t>按统一规定执行</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保障日常需要维持单位正常运转</w:t>
            </w:r>
          </w:p>
        </w:tc>
        <w:tc>
          <w:tcPr>
            <w:tcW w:w="2891" w:type="dxa"/>
            <w:vAlign w:val="center"/>
          </w:tcPr>
          <w:p>
            <w:pPr>
              <w:pStyle w:val="14"/>
            </w:pPr>
            <w:r>
              <w:t>保障日常需要维持单位正常运转</w:t>
            </w:r>
          </w:p>
        </w:tc>
        <w:tc>
          <w:tcPr>
            <w:tcW w:w="1276" w:type="dxa"/>
            <w:vAlign w:val="center"/>
          </w:tcPr>
          <w:p>
            <w:pPr>
              <w:pStyle w:val="14"/>
            </w:pPr>
            <w:r>
              <w:t>维持单位正常运转</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业务能力增强</w:t>
            </w:r>
          </w:p>
        </w:tc>
        <w:tc>
          <w:tcPr>
            <w:tcW w:w="2891" w:type="dxa"/>
            <w:vAlign w:val="center"/>
          </w:tcPr>
          <w:p>
            <w:pPr>
              <w:pStyle w:val="14"/>
            </w:pPr>
            <w:r>
              <w:t>业务能力增强</w:t>
            </w:r>
          </w:p>
        </w:tc>
        <w:tc>
          <w:tcPr>
            <w:tcW w:w="1276" w:type="dxa"/>
            <w:vAlign w:val="center"/>
          </w:tcPr>
          <w:p>
            <w:pPr>
              <w:pStyle w:val="14"/>
            </w:pPr>
            <w:r>
              <w:t>维持单位正常运转</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单位人员满意度</w:t>
            </w:r>
          </w:p>
        </w:tc>
        <w:tc>
          <w:tcPr>
            <w:tcW w:w="2891" w:type="dxa"/>
            <w:vAlign w:val="center"/>
          </w:tcPr>
          <w:p>
            <w:pPr>
              <w:pStyle w:val="14"/>
            </w:pPr>
            <w:r>
              <w:t>单位人员对日常工作满意程度</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8" w:name="_Toc_4_4_0000000017"/>
      <w:r>
        <w:rPr>
          <w:rFonts w:ascii="方正仿宋_GBK" w:hAnsi="方正仿宋_GBK" w:eastAsia="方正仿宋_GBK" w:cs="方正仿宋_GBK"/>
          <w:color w:val="000000"/>
          <w:sz w:val="28"/>
        </w:rPr>
        <w:t>14.2026年老旧小区物业全覆盖补贴费用绩效目标表</w:t>
      </w:r>
      <w:bookmarkEnd w:id="2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13011026P00160610007D</w:t>
            </w:r>
          </w:p>
        </w:tc>
        <w:tc>
          <w:tcPr>
            <w:tcW w:w="1587" w:type="dxa"/>
            <w:vAlign w:val="center"/>
          </w:tcPr>
          <w:p>
            <w:pPr>
              <w:pStyle w:val="12"/>
            </w:pPr>
            <w:r>
              <w:t>项目名称</w:t>
            </w:r>
          </w:p>
        </w:tc>
        <w:tc>
          <w:tcPr>
            <w:tcW w:w="4423" w:type="dxa"/>
            <w:gridSpan w:val="3"/>
            <w:vAlign w:val="center"/>
          </w:tcPr>
          <w:p>
            <w:pPr>
              <w:pStyle w:val="14"/>
            </w:pPr>
            <w:r>
              <w:t>2026年老旧小区物业全覆盖补贴费用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w:t>
            </w:r>
          </w:p>
        </w:tc>
        <w:tc>
          <w:tcPr>
            <w:tcW w:w="1587" w:type="dxa"/>
            <w:vAlign w:val="center"/>
          </w:tcPr>
          <w:p>
            <w:pPr>
              <w:pStyle w:val="12"/>
            </w:pPr>
            <w:r>
              <w:t>其中：财政    资金</w:t>
            </w:r>
          </w:p>
        </w:tc>
        <w:tc>
          <w:tcPr>
            <w:tcW w:w="1304" w:type="dxa"/>
            <w:vAlign w:val="center"/>
          </w:tcPr>
          <w:p>
            <w:pPr>
              <w:pStyle w:val="14"/>
            </w:pPr>
            <w:r>
              <w:t>20.00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加大辖区内老旧小区整治改造力度，为物业服务企业进驻创造条件。同时引导和鼓励物业服务企业自觉履行社会责任，主动承接老旧小区服务。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1.加大辖区内老旧小区整治改造力度，为物业服务企业进驻创造条件。同时引导和鼓励物业服务企业自觉履行社会责任，主动承接老旧小区服务。</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老旧小区物业补贴面积</w:t>
            </w:r>
          </w:p>
        </w:tc>
        <w:tc>
          <w:tcPr>
            <w:tcW w:w="2891" w:type="dxa"/>
            <w:vAlign w:val="center"/>
          </w:tcPr>
          <w:p>
            <w:pPr>
              <w:pStyle w:val="14"/>
            </w:pPr>
            <w:r>
              <w:t>老旧小区物业补贴面积93.2万平方米</w:t>
            </w:r>
          </w:p>
        </w:tc>
        <w:tc>
          <w:tcPr>
            <w:tcW w:w="1276" w:type="dxa"/>
            <w:vAlign w:val="center"/>
          </w:tcPr>
          <w:p>
            <w:pPr>
              <w:pStyle w:val="14"/>
            </w:pPr>
            <w:r>
              <w:t>≥93.2万平房米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老旧小区物业补贴完成率</w:t>
            </w:r>
          </w:p>
        </w:tc>
        <w:tc>
          <w:tcPr>
            <w:tcW w:w="2891" w:type="dxa"/>
            <w:vAlign w:val="center"/>
          </w:tcPr>
          <w:p>
            <w:pPr>
              <w:pStyle w:val="14"/>
            </w:pPr>
            <w:r>
              <w:t>对引进物业的老旧小区补贴完成率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老旧小区物业补贴时间</w:t>
            </w:r>
          </w:p>
        </w:tc>
        <w:tc>
          <w:tcPr>
            <w:tcW w:w="2891" w:type="dxa"/>
            <w:vAlign w:val="center"/>
          </w:tcPr>
          <w:p>
            <w:pPr>
              <w:pStyle w:val="14"/>
            </w:pPr>
            <w:r>
              <w:t>入住的小区自2023年1月1日开始发放补助</w:t>
            </w:r>
          </w:p>
        </w:tc>
        <w:tc>
          <w:tcPr>
            <w:tcW w:w="1276" w:type="dxa"/>
            <w:vAlign w:val="center"/>
          </w:tcPr>
          <w:p>
            <w:pPr>
              <w:pStyle w:val="14"/>
            </w:pPr>
            <w:r>
              <w:t>2023年1月1日</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老旧小区物业补贴单位成本</w:t>
            </w:r>
          </w:p>
        </w:tc>
        <w:tc>
          <w:tcPr>
            <w:tcW w:w="2891" w:type="dxa"/>
            <w:vAlign w:val="center"/>
          </w:tcPr>
          <w:p>
            <w:pPr>
              <w:pStyle w:val="14"/>
            </w:pPr>
            <w:r>
              <w:t>一类小区每平米补贴单价0.3元/月，二类小区每平米补贴单价0.15元/月。</w:t>
            </w:r>
          </w:p>
        </w:tc>
        <w:tc>
          <w:tcPr>
            <w:tcW w:w="1276" w:type="dxa"/>
            <w:vAlign w:val="center"/>
          </w:tcPr>
          <w:p>
            <w:pPr>
              <w:pStyle w:val="14"/>
            </w:pPr>
            <w:r>
              <w:t>按《鹿泉区“红色物业”承接老旧小区服务若干扶持办法》</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社会影响力</w:t>
            </w:r>
          </w:p>
        </w:tc>
        <w:tc>
          <w:tcPr>
            <w:tcW w:w="2891" w:type="dxa"/>
            <w:vAlign w:val="center"/>
          </w:tcPr>
          <w:p>
            <w:pPr>
              <w:pStyle w:val="14"/>
            </w:pPr>
            <w:r>
              <w:t>完善老旧小区基础设施，便与引进物业管理，得到小区住户的充分认可。</w:t>
            </w:r>
          </w:p>
        </w:tc>
        <w:tc>
          <w:tcPr>
            <w:tcW w:w="1276" w:type="dxa"/>
            <w:vAlign w:val="center"/>
          </w:tcPr>
          <w:p>
            <w:pPr>
              <w:pStyle w:val="14"/>
            </w:pPr>
            <w:r>
              <w:t>小区业主认可</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老旧小区物业补贴群众满意度</w:t>
            </w:r>
          </w:p>
        </w:tc>
        <w:tc>
          <w:tcPr>
            <w:tcW w:w="2891" w:type="dxa"/>
            <w:vAlign w:val="center"/>
          </w:tcPr>
          <w:p>
            <w:pPr>
              <w:pStyle w:val="14"/>
            </w:pPr>
            <w:r>
              <w:t>群众满意数量占总数的比例</w:t>
            </w:r>
          </w:p>
        </w:tc>
        <w:tc>
          <w:tcPr>
            <w:tcW w:w="1276" w:type="dxa"/>
            <w:vAlign w:val="center"/>
          </w:tcPr>
          <w:p>
            <w:pPr>
              <w:pStyle w:val="14"/>
            </w:pPr>
            <w:r>
              <w:t>≥80%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29" w:name="_Toc_4_4_0000000018"/>
      <w:r>
        <w:rPr>
          <w:rFonts w:ascii="方正仿宋_GBK" w:hAnsi="方正仿宋_GBK" w:eastAsia="方正仿宋_GBK" w:cs="方正仿宋_GBK"/>
          <w:color w:val="000000"/>
          <w:sz w:val="28"/>
        </w:rPr>
        <w:t>15.2026年鹿泉区城市地下管网和地下综合管廊建设改造实施方案绩效目标表</w:t>
      </w:r>
      <w:bookmarkEnd w:id="2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13011026P00155610180Q</w:t>
            </w:r>
          </w:p>
        </w:tc>
        <w:tc>
          <w:tcPr>
            <w:tcW w:w="1587" w:type="dxa"/>
            <w:vAlign w:val="center"/>
          </w:tcPr>
          <w:p>
            <w:pPr>
              <w:pStyle w:val="12"/>
            </w:pPr>
            <w:r>
              <w:t>项目名称</w:t>
            </w:r>
          </w:p>
        </w:tc>
        <w:tc>
          <w:tcPr>
            <w:tcW w:w="4423" w:type="dxa"/>
            <w:gridSpan w:val="3"/>
            <w:vAlign w:val="center"/>
          </w:tcPr>
          <w:p>
            <w:pPr>
              <w:pStyle w:val="14"/>
            </w:pPr>
            <w:r>
              <w:t>2026年鹿泉区城市地下管网和地下综合管廊建设改造实施方案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1.32</w:t>
            </w:r>
          </w:p>
        </w:tc>
        <w:tc>
          <w:tcPr>
            <w:tcW w:w="1587" w:type="dxa"/>
            <w:vAlign w:val="center"/>
          </w:tcPr>
          <w:p>
            <w:pPr>
              <w:pStyle w:val="12"/>
            </w:pPr>
            <w:r>
              <w:t>其中：财政    资金</w:t>
            </w:r>
          </w:p>
        </w:tc>
        <w:tc>
          <w:tcPr>
            <w:tcW w:w="1304" w:type="dxa"/>
            <w:vAlign w:val="center"/>
          </w:tcPr>
          <w:p>
            <w:pPr>
              <w:pStyle w:val="14"/>
            </w:pPr>
            <w:r>
              <w:t>1.32</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按时完成规划纲要、文本、图册的编制，对城区及开发区综合管廊做出规划，为我区城市建设提供重要依据。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1.按时完成规划纲要、文本、图册的编制，对城区及开发区综合管廊做出规划，为我区城市建设提供重要依据。</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规划成果编制标准</w:t>
            </w:r>
          </w:p>
        </w:tc>
        <w:tc>
          <w:tcPr>
            <w:tcW w:w="2891" w:type="dxa"/>
            <w:vAlign w:val="center"/>
          </w:tcPr>
          <w:p>
            <w:pPr>
              <w:pStyle w:val="14"/>
            </w:pPr>
            <w:r>
              <w:t>编制完成规划文本，规划图册等相关文件</w:t>
            </w:r>
          </w:p>
        </w:tc>
        <w:tc>
          <w:tcPr>
            <w:tcW w:w="1276" w:type="dxa"/>
            <w:vAlign w:val="center"/>
          </w:tcPr>
          <w:p>
            <w:pPr>
              <w:pStyle w:val="14"/>
            </w:pPr>
            <w:r>
              <w:t>纸质成果10套、电子成果2套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完成规划面积</w:t>
            </w:r>
          </w:p>
        </w:tc>
        <w:tc>
          <w:tcPr>
            <w:tcW w:w="2891" w:type="dxa"/>
            <w:vAlign w:val="center"/>
          </w:tcPr>
          <w:p>
            <w:pPr>
              <w:pStyle w:val="14"/>
            </w:pPr>
            <w:r>
              <w:t>完成城区和开发区规划总面积</w:t>
            </w:r>
          </w:p>
        </w:tc>
        <w:tc>
          <w:tcPr>
            <w:tcW w:w="1276" w:type="dxa"/>
            <w:vAlign w:val="center"/>
          </w:tcPr>
          <w:p>
            <w:pPr>
              <w:pStyle w:val="14"/>
            </w:pPr>
            <w:r>
              <w:t>≥42平方公里</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规划编制时间</w:t>
            </w:r>
          </w:p>
        </w:tc>
        <w:tc>
          <w:tcPr>
            <w:tcW w:w="2891" w:type="dxa"/>
            <w:vAlign w:val="center"/>
          </w:tcPr>
          <w:p>
            <w:pPr>
              <w:pStyle w:val="14"/>
            </w:pPr>
            <w:r>
              <w:t>规划文本编制时间</w:t>
            </w:r>
          </w:p>
        </w:tc>
        <w:tc>
          <w:tcPr>
            <w:tcW w:w="1276" w:type="dxa"/>
            <w:vAlign w:val="center"/>
          </w:tcPr>
          <w:p>
            <w:pPr>
              <w:pStyle w:val="14"/>
            </w:pPr>
            <w:r>
              <w:t>≤6月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鹿泉区城市地下综合管廊专项规划成本</w:t>
            </w:r>
          </w:p>
        </w:tc>
        <w:tc>
          <w:tcPr>
            <w:tcW w:w="2891" w:type="dxa"/>
            <w:vAlign w:val="center"/>
          </w:tcPr>
          <w:p>
            <w:pPr>
              <w:pStyle w:val="14"/>
            </w:pPr>
            <w:r>
              <w:t>规划编制费用总成本</w:t>
            </w:r>
          </w:p>
        </w:tc>
        <w:tc>
          <w:tcPr>
            <w:tcW w:w="1276" w:type="dxa"/>
            <w:vAlign w:val="center"/>
          </w:tcPr>
          <w:p>
            <w:pPr>
              <w:pStyle w:val="14"/>
            </w:pPr>
            <w:r>
              <w:t>≤27.8万元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可持续使用时间</w:t>
            </w:r>
          </w:p>
        </w:tc>
        <w:tc>
          <w:tcPr>
            <w:tcW w:w="2891" w:type="dxa"/>
            <w:vAlign w:val="center"/>
          </w:tcPr>
          <w:p>
            <w:pPr>
              <w:pStyle w:val="14"/>
            </w:pPr>
            <w:r>
              <w:t>规划文本使用的时间（2022-2035）</w:t>
            </w:r>
          </w:p>
        </w:tc>
        <w:tc>
          <w:tcPr>
            <w:tcW w:w="1276" w:type="dxa"/>
            <w:vAlign w:val="center"/>
          </w:tcPr>
          <w:p>
            <w:pPr>
              <w:pStyle w:val="14"/>
            </w:pPr>
            <w:r>
              <w:t>≥13年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群众满意数量占总数的比例</w:t>
            </w:r>
          </w:p>
        </w:tc>
        <w:tc>
          <w:tcPr>
            <w:tcW w:w="1276" w:type="dxa"/>
            <w:vAlign w:val="center"/>
          </w:tcPr>
          <w:p>
            <w:pPr>
              <w:pStyle w:val="14"/>
            </w:pPr>
            <w:r>
              <w:t>≥90%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0" w:name="_Toc_4_4_0000000019"/>
      <w:r>
        <w:rPr>
          <w:rFonts w:ascii="方正仿宋_GBK" w:hAnsi="方正仿宋_GBK" w:eastAsia="方正仿宋_GBK" w:cs="方正仿宋_GBK"/>
          <w:color w:val="000000"/>
          <w:sz w:val="28"/>
        </w:rPr>
        <w:t>16.2026年鹿泉区污水处理厂投资返还金及污泥处置费绩效目标表</w:t>
      </w:r>
      <w:bookmarkEnd w:id="3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13011026P00154510020B</w:t>
            </w:r>
          </w:p>
        </w:tc>
        <w:tc>
          <w:tcPr>
            <w:tcW w:w="1587" w:type="dxa"/>
            <w:vAlign w:val="center"/>
          </w:tcPr>
          <w:p>
            <w:pPr>
              <w:pStyle w:val="12"/>
            </w:pPr>
            <w:r>
              <w:t>项目名称</w:t>
            </w:r>
          </w:p>
        </w:tc>
        <w:tc>
          <w:tcPr>
            <w:tcW w:w="4423" w:type="dxa"/>
            <w:gridSpan w:val="3"/>
            <w:vAlign w:val="center"/>
          </w:tcPr>
          <w:p>
            <w:pPr>
              <w:pStyle w:val="14"/>
            </w:pPr>
            <w:r>
              <w:t>2026年鹿泉区污水处理厂投资返还金及污泥处置费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750.00</w:t>
            </w:r>
          </w:p>
        </w:tc>
        <w:tc>
          <w:tcPr>
            <w:tcW w:w="1587" w:type="dxa"/>
            <w:vAlign w:val="center"/>
          </w:tcPr>
          <w:p>
            <w:pPr>
              <w:pStyle w:val="12"/>
            </w:pPr>
            <w:r>
              <w:t>其中：财政    资金</w:t>
            </w:r>
          </w:p>
        </w:tc>
        <w:tc>
          <w:tcPr>
            <w:tcW w:w="1304" w:type="dxa"/>
            <w:vAlign w:val="center"/>
          </w:tcPr>
          <w:p>
            <w:pPr>
              <w:pStyle w:val="14"/>
            </w:pPr>
            <w:r>
              <w:t>750.00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污水处理量</w:t>
            </w:r>
          </w:p>
        </w:tc>
        <w:tc>
          <w:tcPr>
            <w:tcW w:w="2891" w:type="dxa"/>
            <w:vAlign w:val="center"/>
          </w:tcPr>
          <w:p>
            <w:pPr>
              <w:pStyle w:val="14"/>
            </w:pPr>
            <w:r>
              <w:t>污水日产量</w:t>
            </w:r>
          </w:p>
        </w:tc>
        <w:tc>
          <w:tcPr>
            <w:tcW w:w="1276" w:type="dxa"/>
            <w:vAlign w:val="center"/>
          </w:tcPr>
          <w:p>
            <w:pPr>
              <w:pStyle w:val="14"/>
            </w:pPr>
            <w:r>
              <w:t>≥3万/立方米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污水处理质量标准</w:t>
            </w:r>
          </w:p>
        </w:tc>
        <w:tc>
          <w:tcPr>
            <w:tcW w:w="2891" w:type="dxa"/>
            <w:vAlign w:val="center"/>
          </w:tcPr>
          <w:p>
            <w:pPr>
              <w:pStyle w:val="14"/>
            </w:pPr>
            <w:r>
              <w:t>全年污水处理达标排放</w:t>
            </w:r>
          </w:p>
        </w:tc>
        <w:tc>
          <w:tcPr>
            <w:tcW w:w="1276" w:type="dxa"/>
            <w:vAlign w:val="center"/>
          </w:tcPr>
          <w:p>
            <w:pPr>
              <w:pStyle w:val="14"/>
            </w:pPr>
            <w:r>
              <w:t>IV类水标准</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污水处理及时性</w:t>
            </w:r>
          </w:p>
        </w:tc>
        <w:tc>
          <w:tcPr>
            <w:tcW w:w="2891" w:type="dxa"/>
            <w:vAlign w:val="center"/>
          </w:tcPr>
          <w:p>
            <w:pPr>
              <w:pStyle w:val="14"/>
            </w:pPr>
            <w:r>
              <w:t>污水处理全年及时性</w:t>
            </w:r>
          </w:p>
        </w:tc>
        <w:tc>
          <w:tcPr>
            <w:tcW w:w="1276" w:type="dxa"/>
            <w:vAlign w:val="center"/>
          </w:tcPr>
          <w:p>
            <w:pPr>
              <w:pStyle w:val="14"/>
            </w:pPr>
            <w:r>
              <w:t>及时</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污水处理返还成本</w:t>
            </w:r>
          </w:p>
        </w:tc>
        <w:tc>
          <w:tcPr>
            <w:tcW w:w="2891" w:type="dxa"/>
            <w:vAlign w:val="center"/>
          </w:tcPr>
          <w:p>
            <w:pPr>
              <w:pStyle w:val="14"/>
            </w:pPr>
            <w:r>
              <w:t>每立方米处理标准</w:t>
            </w:r>
          </w:p>
        </w:tc>
        <w:tc>
          <w:tcPr>
            <w:tcW w:w="1276" w:type="dxa"/>
            <w:vAlign w:val="center"/>
          </w:tcPr>
          <w:p>
            <w:pPr>
              <w:pStyle w:val="14"/>
            </w:pPr>
            <w:r>
              <w:t>1-12月份1.88元/立方米/立方米/天。</w:t>
            </w:r>
          </w:p>
        </w:tc>
        <w:tc>
          <w:tcPr>
            <w:tcW w:w="1843" w:type="dxa"/>
            <w:vAlign w:val="center"/>
          </w:tcPr>
          <w:p>
            <w:pPr>
              <w:pStyle w:val="14"/>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生态效益指标</w:t>
            </w:r>
          </w:p>
        </w:tc>
        <w:tc>
          <w:tcPr>
            <w:tcW w:w="1332" w:type="dxa"/>
            <w:vAlign w:val="center"/>
          </w:tcPr>
          <w:p>
            <w:pPr>
              <w:pStyle w:val="14"/>
            </w:pPr>
            <w:r>
              <w:t>污水处理达标率</w:t>
            </w:r>
          </w:p>
        </w:tc>
        <w:tc>
          <w:tcPr>
            <w:tcW w:w="2891" w:type="dxa"/>
            <w:vAlign w:val="center"/>
          </w:tcPr>
          <w:p>
            <w:pPr>
              <w:pStyle w:val="14"/>
            </w:pPr>
            <w:r>
              <w:t>达标污水量占污水处理量的比例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对环境影响</w:t>
            </w:r>
          </w:p>
        </w:tc>
        <w:tc>
          <w:tcPr>
            <w:tcW w:w="2891" w:type="dxa"/>
            <w:vAlign w:val="center"/>
          </w:tcPr>
          <w:p>
            <w:pPr>
              <w:pStyle w:val="14"/>
            </w:pPr>
            <w:r>
              <w:t>回收利用效果</w:t>
            </w:r>
          </w:p>
        </w:tc>
        <w:tc>
          <w:tcPr>
            <w:tcW w:w="1276" w:type="dxa"/>
            <w:vAlign w:val="center"/>
          </w:tcPr>
          <w:p>
            <w:pPr>
              <w:pStyle w:val="14"/>
            </w:pPr>
            <w:r>
              <w:t>污水处理后可再利用发电、绿化、生态水系补水。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满意和较满意人数占被调查人数比例</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1" w:name="_Toc_4_4_0000000020"/>
      <w:r>
        <w:rPr>
          <w:rFonts w:ascii="方正仿宋_GBK" w:hAnsi="方正仿宋_GBK" w:eastAsia="方正仿宋_GBK" w:cs="方正仿宋_GBK"/>
          <w:color w:val="000000"/>
          <w:sz w:val="28"/>
        </w:rPr>
        <w:t>17.2026年鹿泉区污水处理厂再生水回用设施运营权拍卖及评估费用绩效目标表</w:t>
      </w:r>
      <w:bookmarkEnd w:id="3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13011026P00155610175Y</w:t>
            </w:r>
          </w:p>
        </w:tc>
        <w:tc>
          <w:tcPr>
            <w:tcW w:w="1587" w:type="dxa"/>
            <w:vAlign w:val="center"/>
          </w:tcPr>
          <w:p>
            <w:pPr>
              <w:pStyle w:val="12"/>
            </w:pPr>
            <w:r>
              <w:t>项目名称</w:t>
            </w:r>
          </w:p>
        </w:tc>
        <w:tc>
          <w:tcPr>
            <w:tcW w:w="4423" w:type="dxa"/>
            <w:gridSpan w:val="3"/>
            <w:vAlign w:val="center"/>
          </w:tcPr>
          <w:p>
            <w:pPr>
              <w:pStyle w:val="14"/>
            </w:pPr>
            <w:r>
              <w:t>2026年鹿泉区污水处理厂再生水回用设施运营权拍卖及评估费用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w:t>
            </w:r>
          </w:p>
        </w:tc>
        <w:tc>
          <w:tcPr>
            <w:tcW w:w="1587" w:type="dxa"/>
            <w:vAlign w:val="center"/>
          </w:tcPr>
          <w:p>
            <w:pPr>
              <w:pStyle w:val="12"/>
            </w:pPr>
            <w:r>
              <w:t>其中：财政    资金</w:t>
            </w:r>
          </w:p>
        </w:tc>
        <w:tc>
          <w:tcPr>
            <w:tcW w:w="1304" w:type="dxa"/>
            <w:vAlign w:val="center"/>
          </w:tcPr>
          <w:p>
            <w:pPr>
              <w:pStyle w:val="14"/>
            </w:pPr>
            <w:r>
              <w:t>2.00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完成鹿泉区污水处理厂再生水回用设施拍卖工作费用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1.完成鹿泉区污水处理厂再生水回用设施拍卖工作费用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提交成果报告</w:t>
            </w:r>
          </w:p>
        </w:tc>
        <w:tc>
          <w:tcPr>
            <w:tcW w:w="2891" w:type="dxa"/>
            <w:vAlign w:val="center"/>
          </w:tcPr>
          <w:p>
            <w:pPr>
              <w:pStyle w:val="14"/>
            </w:pPr>
            <w:r>
              <w:t>提交成果报告</w:t>
            </w:r>
          </w:p>
        </w:tc>
        <w:tc>
          <w:tcPr>
            <w:tcW w:w="1276" w:type="dxa"/>
            <w:vAlign w:val="center"/>
          </w:tcPr>
          <w:p>
            <w:pPr>
              <w:pStyle w:val="14"/>
            </w:pPr>
            <w:r>
              <w:t>3套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提交成果报告质量</w:t>
            </w:r>
          </w:p>
        </w:tc>
        <w:tc>
          <w:tcPr>
            <w:tcW w:w="2891" w:type="dxa"/>
            <w:vAlign w:val="center"/>
          </w:tcPr>
          <w:p>
            <w:pPr>
              <w:pStyle w:val="14"/>
            </w:pPr>
            <w:r>
              <w:t>提交成果报告质量</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任务完成时间</w:t>
            </w:r>
          </w:p>
        </w:tc>
        <w:tc>
          <w:tcPr>
            <w:tcW w:w="2891" w:type="dxa"/>
            <w:vAlign w:val="center"/>
          </w:tcPr>
          <w:p>
            <w:pPr>
              <w:pStyle w:val="14"/>
            </w:pPr>
            <w:r>
              <w:t>任务完成时间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预算控制</w:t>
            </w:r>
          </w:p>
        </w:tc>
        <w:tc>
          <w:tcPr>
            <w:tcW w:w="2891" w:type="dxa"/>
            <w:vAlign w:val="center"/>
          </w:tcPr>
          <w:p>
            <w:pPr>
              <w:pStyle w:val="14"/>
            </w:pPr>
            <w:r>
              <w:t>预算控制</w:t>
            </w:r>
          </w:p>
        </w:tc>
        <w:tc>
          <w:tcPr>
            <w:tcW w:w="1276" w:type="dxa"/>
            <w:vAlign w:val="center"/>
          </w:tcPr>
          <w:p>
            <w:pPr>
              <w:pStyle w:val="14"/>
            </w:pPr>
            <w:r>
              <w:t>≤18.8万元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可持续使用时间</w:t>
            </w:r>
          </w:p>
        </w:tc>
        <w:tc>
          <w:tcPr>
            <w:tcW w:w="2891" w:type="dxa"/>
            <w:vAlign w:val="center"/>
          </w:tcPr>
          <w:p>
            <w:pPr>
              <w:pStyle w:val="14"/>
            </w:pPr>
            <w:r>
              <w:t>文本使用的时间（2022-2035）</w:t>
            </w:r>
          </w:p>
        </w:tc>
        <w:tc>
          <w:tcPr>
            <w:tcW w:w="1276" w:type="dxa"/>
            <w:vAlign w:val="center"/>
          </w:tcPr>
          <w:p>
            <w:pPr>
              <w:pStyle w:val="14"/>
            </w:pPr>
            <w:r>
              <w:t>≥15年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群众满意数量占总数的比例</w:t>
            </w:r>
          </w:p>
        </w:tc>
        <w:tc>
          <w:tcPr>
            <w:tcW w:w="1276" w:type="dxa"/>
            <w:vAlign w:val="center"/>
          </w:tcPr>
          <w:p>
            <w:pPr>
              <w:pStyle w:val="14"/>
            </w:pPr>
            <w:r>
              <w:t>≥90%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2" w:name="_Toc_4_4_0000000021"/>
      <w:r>
        <w:rPr>
          <w:rFonts w:ascii="方正仿宋_GBK" w:hAnsi="方正仿宋_GBK" w:eastAsia="方正仿宋_GBK" w:cs="方正仿宋_GBK"/>
          <w:color w:val="000000"/>
          <w:sz w:val="28"/>
        </w:rPr>
        <w:t>18.2026年农村煤改气第三方评估绩效目标表</w:t>
      </w:r>
      <w:bookmarkEnd w:id="32"/>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13011026P00155110033J</w:t>
            </w:r>
          </w:p>
        </w:tc>
        <w:tc>
          <w:tcPr>
            <w:tcW w:w="1587" w:type="dxa"/>
            <w:vAlign w:val="center"/>
          </w:tcPr>
          <w:p>
            <w:pPr>
              <w:pStyle w:val="12"/>
            </w:pPr>
            <w:r>
              <w:t>项目名称</w:t>
            </w:r>
          </w:p>
        </w:tc>
        <w:tc>
          <w:tcPr>
            <w:tcW w:w="4423" w:type="dxa"/>
            <w:gridSpan w:val="3"/>
            <w:vAlign w:val="center"/>
          </w:tcPr>
          <w:p>
            <w:pPr>
              <w:pStyle w:val="14"/>
            </w:pPr>
            <w:r>
              <w:t>2026年农村煤改气第三方评估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8.05</w:t>
            </w:r>
          </w:p>
        </w:tc>
        <w:tc>
          <w:tcPr>
            <w:tcW w:w="1587" w:type="dxa"/>
            <w:vAlign w:val="center"/>
          </w:tcPr>
          <w:p>
            <w:pPr>
              <w:pStyle w:val="12"/>
            </w:pPr>
            <w:r>
              <w:t>其中：财政    资金</w:t>
            </w:r>
          </w:p>
        </w:tc>
        <w:tc>
          <w:tcPr>
            <w:tcW w:w="1304" w:type="dxa"/>
            <w:vAlign w:val="center"/>
          </w:tcPr>
          <w:p>
            <w:pPr>
              <w:pStyle w:val="14"/>
            </w:pPr>
            <w:r>
              <w:t>8.05</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对全区农村气代煤用户10％约9500户，城镇约2000户设施安全运行、燃气企业经营服务和“双代”设备维修服务等情况开展农村煤第三方评估。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1.对全区农村气代煤用户10％约9500户，城镇约2000户设施安全运行、燃气企业经营服务和“双代”设备维修服务等情况开展农村煤第三方评估。</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气代煤安全评估户数</w:t>
            </w:r>
          </w:p>
        </w:tc>
        <w:tc>
          <w:tcPr>
            <w:tcW w:w="2891" w:type="dxa"/>
            <w:vAlign w:val="center"/>
          </w:tcPr>
          <w:p>
            <w:pPr>
              <w:pStyle w:val="14"/>
            </w:pPr>
            <w:r>
              <w:t>气代煤安全评估户数</w:t>
            </w:r>
          </w:p>
        </w:tc>
        <w:tc>
          <w:tcPr>
            <w:tcW w:w="1276" w:type="dxa"/>
            <w:vAlign w:val="center"/>
          </w:tcPr>
          <w:p>
            <w:pPr>
              <w:pStyle w:val="14"/>
            </w:pPr>
            <w:r>
              <w:t>≤11500户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燃气安全评估完成率</w:t>
            </w:r>
          </w:p>
        </w:tc>
        <w:tc>
          <w:tcPr>
            <w:tcW w:w="2891" w:type="dxa"/>
            <w:vAlign w:val="center"/>
          </w:tcPr>
          <w:p>
            <w:pPr>
              <w:pStyle w:val="14"/>
            </w:pPr>
            <w:r>
              <w:t>燃气安全评估完成率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燃气安全评估按时完成时间</w:t>
            </w:r>
          </w:p>
        </w:tc>
        <w:tc>
          <w:tcPr>
            <w:tcW w:w="2891" w:type="dxa"/>
            <w:vAlign w:val="center"/>
          </w:tcPr>
          <w:p>
            <w:pPr>
              <w:pStyle w:val="14"/>
            </w:pPr>
            <w:r>
              <w:t>燃气安全评估按时完成时间</w:t>
            </w:r>
          </w:p>
        </w:tc>
        <w:tc>
          <w:tcPr>
            <w:tcW w:w="1276" w:type="dxa"/>
            <w:vAlign w:val="center"/>
          </w:tcPr>
          <w:p>
            <w:pPr>
              <w:pStyle w:val="14"/>
            </w:pPr>
            <w:r>
              <w:t>采暖季结束后</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燃气安全评估单位成本</w:t>
            </w:r>
          </w:p>
        </w:tc>
        <w:tc>
          <w:tcPr>
            <w:tcW w:w="2891" w:type="dxa"/>
            <w:vAlign w:val="center"/>
          </w:tcPr>
          <w:p>
            <w:pPr>
              <w:pStyle w:val="14"/>
            </w:pPr>
            <w:r>
              <w:t>燃气安全评估单位成本</w:t>
            </w:r>
          </w:p>
        </w:tc>
        <w:tc>
          <w:tcPr>
            <w:tcW w:w="1276" w:type="dxa"/>
            <w:vAlign w:val="center"/>
          </w:tcPr>
          <w:p>
            <w:pPr>
              <w:pStyle w:val="14"/>
            </w:pPr>
            <w:r>
              <w:t>100元/户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气代煤安全评估效益</w:t>
            </w:r>
          </w:p>
        </w:tc>
        <w:tc>
          <w:tcPr>
            <w:tcW w:w="2891" w:type="dxa"/>
            <w:vAlign w:val="center"/>
          </w:tcPr>
          <w:p>
            <w:pPr>
              <w:pStyle w:val="14"/>
            </w:pPr>
            <w:r>
              <w:t>气代煤安全评估效益</w:t>
            </w:r>
          </w:p>
        </w:tc>
        <w:tc>
          <w:tcPr>
            <w:tcW w:w="1276" w:type="dxa"/>
            <w:vAlign w:val="center"/>
          </w:tcPr>
          <w:p>
            <w:pPr>
              <w:pStyle w:val="14"/>
            </w:pPr>
            <w:r>
              <w:t>采暖季结束</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3" w:name="_Toc_4_4_0000000022"/>
      <w:r>
        <w:rPr>
          <w:rFonts w:ascii="方正仿宋_GBK" w:hAnsi="方正仿宋_GBK" w:eastAsia="方正仿宋_GBK" w:cs="方正仿宋_GBK"/>
          <w:color w:val="000000"/>
          <w:sz w:val="28"/>
        </w:rPr>
        <w:t>19.2026年农村气代煤更换安全保护装置（旧欠）绩效目标表</w:t>
      </w:r>
      <w:bookmarkEnd w:id="3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13011026P00155110032Y</w:t>
            </w:r>
          </w:p>
        </w:tc>
        <w:tc>
          <w:tcPr>
            <w:tcW w:w="1587" w:type="dxa"/>
            <w:vAlign w:val="center"/>
          </w:tcPr>
          <w:p>
            <w:pPr>
              <w:pStyle w:val="12"/>
            </w:pPr>
            <w:r>
              <w:t>项目名称</w:t>
            </w:r>
          </w:p>
        </w:tc>
        <w:tc>
          <w:tcPr>
            <w:tcW w:w="4423" w:type="dxa"/>
            <w:gridSpan w:val="3"/>
            <w:vAlign w:val="center"/>
          </w:tcPr>
          <w:p>
            <w:pPr>
              <w:pStyle w:val="14"/>
            </w:pPr>
            <w:r>
              <w:t>2026年农村气代煤更换安全保护装置（旧欠）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70.09</w:t>
            </w:r>
          </w:p>
        </w:tc>
        <w:tc>
          <w:tcPr>
            <w:tcW w:w="1587" w:type="dxa"/>
            <w:vAlign w:val="center"/>
          </w:tcPr>
          <w:p>
            <w:pPr>
              <w:pStyle w:val="12"/>
            </w:pPr>
            <w:r>
              <w:t>其中：财政    资金</w:t>
            </w:r>
          </w:p>
        </w:tc>
        <w:tc>
          <w:tcPr>
            <w:tcW w:w="1304" w:type="dxa"/>
            <w:vAlign w:val="center"/>
          </w:tcPr>
          <w:p>
            <w:pPr>
              <w:pStyle w:val="14"/>
            </w:pPr>
            <w:r>
              <w:t>70.09</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为全区域范围内农村气代煤94905用户加装具有自动切断功能的安全装置，强化燃气行业安全管理，坚决防范事故发生。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1.为全区域范围内农村气代煤94905用户加装具有自动切断功能的安全装置，强化燃气行业安全管理，坚决防范事故发生。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安装农村气代煤管道用气户数量</w:t>
            </w:r>
          </w:p>
        </w:tc>
        <w:tc>
          <w:tcPr>
            <w:tcW w:w="2891" w:type="dxa"/>
            <w:vAlign w:val="center"/>
          </w:tcPr>
          <w:p>
            <w:pPr>
              <w:pStyle w:val="14"/>
            </w:pPr>
            <w:r>
              <w:t>享受自闭阀补贴户数</w:t>
            </w:r>
          </w:p>
        </w:tc>
        <w:tc>
          <w:tcPr>
            <w:tcW w:w="1276" w:type="dxa"/>
            <w:vAlign w:val="center"/>
          </w:tcPr>
          <w:p>
            <w:pPr>
              <w:pStyle w:val="14"/>
            </w:pPr>
            <w:r>
              <w:t>94905户</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 xml:space="preserve"> 自闭阀安装任务完成率</w:t>
            </w:r>
          </w:p>
        </w:tc>
        <w:tc>
          <w:tcPr>
            <w:tcW w:w="2891" w:type="dxa"/>
            <w:vAlign w:val="center"/>
          </w:tcPr>
          <w:p>
            <w:pPr>
              <w:pStyle w:val="14"/>
            </w:pPr>
            <w:r>
              <w:t>已安装自闭阀用户占应安装完成率</w:t>
            </w:r>
          </w:p>
        </w:tc>
        <w:tc>
          <w:tcPr>
            <w:tcW w:w="1276" w:type="dxa"/>
            <w:vAlign w:val="center"/>
          </w:tcPr>
          <w:p>
            <w:pPr>
              <w:pStyle w:val="14"/>
            </w:pPr>
            <w:r>
              <w:t>100%</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安装发放自闭阀时间</w:t>
            </w:r>
          </w:p>
        </w:tc>
        <w:tc>
          <w:tcPr>
            <w:tcW w:w="2891" w:type="dxa"/>
            <w:vAlign w:val="center"/>
          </w:tcPr>
          <w:p>
            <w:pPr>
              <w:pStyle w:val="14"/>
            </w:pPr>
            <w:r>
              <w:t xml:space="preserve"> 按照要求及时安装自闭阀</w:t>
            </w:r>
          </w:p>
        </w:tc>
        <w:tc>
          <w:tcPr>
            <w:tcW w:w="1276" w:type="dxa"/>
            <w:vAlign w:val="center"/>
          </w:tcPr>
          <w:p>
            <w:pPr>
              <w:pStyle w:val="14"/>
            </w:pPr>
            <w:r>
              <w:t>及时安装</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 xml:space="preserve"> 自闭阀安装补贴标准</w:t>
            </w:r>
          </w:p>
        </w:tc>
        <w:tc>
          <w:tcPr>
            <w:tcW w:w="2891" w:type="dxa"/>
            <w:vAlign w:val="center"/>
          </w:tcPr>
          <w:p>
            <w:pPr>
              <w:pStyle w:val="14"/>
            </w:pPr>
            <w:r>
              <w:t xml:space="preserve"> 对城镇燃气用户安装自闭阀户均补贴</w:t>
            </w:r>
          </w:p>
        </w:tc>
        <w:tc>
          <w:tcPr>
            <w:tcW w:w="1276" w:type="dxa"/>
            <w:vAlign w:val="center"/>
          </w:tcPr>
          <w:p>
            <w:pPr>
              <w:pStyle w:val="14"/>
            </w:pPr>
            <w:r>
              <w:t>元/户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农村气代煤自闭阀补贴受益户数</w:t>
            </w:r>
          </w:p>
        </w:tc>
        <w:tc>
          <w:tcPr>
            <w:tcW w:w="2891" w:type="dxa"/>
            <w:vAlign w:val="center"/>
          </w:tcPr>
          <w:p>
            <w:pPr>
              <w:pStyle w:val="14"/>
            </w:pPr>
            <w:r>
              <w:t>农村气代煤自闭阀补贴户数</w:t>
            </w:r>
          </w:p>
        </w:tc>
        <w:tc>
          <w:tcPr>
            <w:tcW w:w="1276" w:type="dxa"/>
            <w:vAlign w:val="center"/>
          </w:tcPr>
          <w:p>
            <w:pPr>
              <w:pStyle w:val="14"/>
            </w:pPr>
            <w:r>
              <w:t>≤95000户</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农村气代煤自闭阀使用时间保障约8年</w:t>
            </w:r>
          </w:p>
        </w:tc>
        <w:tc>
          <w:tcPr>
            <w:tcW w:w="2891" w:type="dxa"/>
            <w:vAlign w:val="center"/>
          </w:tcPr>
          <w:p>
            <w:pPr>
              <w:pStyle w:val="14"/>
            </w:pPr>
            <w:r>
              <w:t>农村气代煤自闭阀补贴受益户数保障约8年</w:t>
            </w:r>
          </w:p>
        </w:tc>
        <w:tc>
          <w:tcPr>
            <w:tcW w:w="1276" w:type="dxa"/>
            <w:vAlign w:val="center"/>
          </w:tcPr>
          <w:p>
            <w:pPr>
              <w:pStyle w:val="14"/>
            </w:pPr>
            <w:r>
              <w:t>8年</w:t>
            </w:r>
          </w:p>
        </w:tc>
        <w:tc>
          <w:tcPr>
            <w:tcW w:w="1843" w:type="dxa"/>
            <w:vAlign w:val="center"/>
          </w:tcPr>
          <w:p>
            <w:pPr>
              <w:pStyle w:val="14"/>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≥95%</w:t>
            </w:r>
          </w:p>
        </w:tc>
        <w:tc>
          <w:tcPr>
            <w:tcW w:w="1843" w:type="dxa"/>
            <w:vAlign w:val="center"/>
          </w:tcPr>
          <w:p>
            <w:pPr>
              <w:pStyle w:val="14"/>
            </w:pPr>
            <w:r>
              <w:t xml:space="preserve"> 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4" w:name="_Toc_4_4_0000000023"/>
      <w:r>
        <w:rPr>
          <w:rFonts w:ascii="方正仿宋_GBK" w:hAnsi="方正仿宋_GBK" w:eastAsia="方正仿宋_GBK" w:cs="方正仿宋_GBK"/>
          <w:color w:val="000000"/>
          <w:sz w:val="28"/>
        </w:rPr>
        <w:t>20.2026年农村危房改造补助资金绩效目标表</w:t>
      </w:r>
      <w:bookmarkEnd w:id="34"/>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13011026P00161810002X</w:t>
            </w:r>
          </w:p>
        </w:tc>
        <w:tc>
          <w:tcPr>
            <w:tcW w:w="1587" w:type="dxa"/>
            <w:vAlign w:val="center"/>
          </w:tcPr>
          <w:p>
            <w:pPr>
              <w:pStyle w:val="12"/>
            </w:pPr>
            <w:r>
              <w:t>项目名称</w:t>
            </w:r>
          </w:p>
        </w:tc>
        <w:tc>
          <w:tcPr>
            <w:tcW w:w="4423" w:type="dxa"/>
            <w:gridSpan w:val="3"/>
            <w:vAlign w:val="center"/>
          </w:tcPr>
          <w:p>
            <w:pPr>
              <w:pStyle w:val="14"/>
            </w:pPr>
            <w:r>
              <w:t>2026年农村危房改造补助资金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40.00</w:t>
            </w:r>
          </w:p>
        </w:tc>
        <w:tc>
          <w:tcPr>
            <w:tcW w:w="1587" w:type="dxa"/>
            <w:vAlign w:val="center"/>
          </w:tcPr>
          <w:p>
            <w:pPr>
              <w:pStyle w:val="12"/>
            </w:pPr>
            <w:r>
              <w:t>其中：财政    资金</w:t>
            </w:r>
          </w:p>
        </w:tc>
        <w:tc>
          <w:tcPr>
            <w:tcW w:w="1304" w:type="dxa"/>
            <w:vAlign w:val="center"/>
          </w:tcPr>
          <w:p>
            <w:pPr>
              <w:pStyle w:val="14"/>
            </w:pPr>
            <w:r>
              <w:t>40.00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改造危房，解决五保户、建档立卡贫困户等“四类重点人员”的住房安全问题。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1.改造危房，解决五保户、建档立卡贫困户等“四类重点人员”的住房安全问题。</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危房改造数量</w:t>
            </w:r>
          </w:p>
        </w:tc>
        <w:tc>
          <w:tcPr>
            <w:tcW w:w="2891" w:type="dxa"/>
            <w:vAlign w:val="center"/>
          </w:tcPr>
          <w:p>
            <w:pPr>
              <w:pStyle w:val="14"/>
            </w:pPr>
            <w:r>
              <w:t>危房改造数量</w:t>
            </w:r>
          </w:p>
        </w:tc>
        <w:tc>
          <w:tcPr>
            <w:tcW w:w="1276" w:type="dxa"/>
            <w:vAlign w:val="center"/>
          </w:tcPr>
          <w:p>
            <w:pPr>
              <w:pStyle w:val="14"/>
            </w:pPr>
            <w:r>
              <w:t>≥1户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改造后验收合格率</w:t>
            </w:r>
          </w:p>
        </w:tc>
        <w:tc>
          <w:tcPr>
            <w:tcW w:w="2891" w:type="dxa"/>
            <w:vAlign w:val="center"/>
          </w:tcPr>
          <w:p>
            <w:pPr>
              <w:pStyle w:val="14"/>
            </w:pPr>
            <w:r>
              <w:t>危房改造验收合格率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危房改造按时完成率</w:t>
            </w:r>
          </w:p>
        </w:tc>
        <w:tc>
          <w:tcPr>
            <w:tcW w:w="2891" w:type="dxa"/>
            <w:vAlign w:val="center"/>
          </w:tcPr>
          <w:p>
            <w:pPr>
              <w:pStyle w:val="14"/>
            </w:pPr>
            <w:r>
              <w:t>当年改造完成占需改造危房的比率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补助资金发放标准</w:t>
            </w:r>
          </w:p>
        </w:tc>
        <w:tc>
          <w:tcPr>
            <w:tcW w:w="2891" w:type="dxa"/>
            <w:vAlign w:val="center"/>
          </w:tcPr>
          <w:p>
            <w:pPr>
              <w:pStyle w:val="14"/>
            </w:pPr>
            <w:r>
              <w:t>新建每户改造资金4万元</w:t>
            </w:r>
          </w:p>
        </w:tc>
        <w:tc>
          <w:tcPr>
            <w:tcW w:w="1276" w:type="dxa"/>
            <w:vAlign w:val="center"/>
          </w:tcPr>
          <w:p>
            <w:pPr>
              <w:pStyle w:val="14"/>
            </w:pPr>
            <w:r>
              <w:t>4万元/户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新建房屋保证安全期限</w:t>
            </w:r>
          </w:p>
        </w:tc>
        <w:tc>
          <w:tcPr>
            <w:tcW w:w="2891" w:type="dxa"/>
            <w:vAlign w:val="center"/>
          </w:tcPr>
          <w:p>
            <w:pPr>
              <w:pStyle w:val="14"/>
            </w:pPr>
            <w:r>
              <w:t>新建危房质量保证期限</w:t>
            </w:r>
          </w:p>
        </w:tc>
        <w:tc>
          <w:tcPr>
            <w:tcW w:w="1276" w:type="dxa"/>
            <w:vAlign w:val="center"/>
          </w:tcPr>
          <w:p>
            <w:pPr>
              <w:pStyle w:val="14"/>
            </w:pPr>
            <w:r>
              <w:t>15年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受益人口满意度</w:t>
            </w:r>
          </w:p>
        </w:tc>
        <w:tc>
          <w:tcPr>
            <w:tcW w:w="2891" w:type="dxa"/>
            <w:vAlign w:val="center"/>
          </w:tcPr>
          <w:p>
            <w:pPr>
              <w:pStyle w:val="14"/>
            </w:pPr>
            <w:r>
              <w:t>危房改造用户满意度</w:t>
            </w:r>
          </w:p>
        </w:tc>
        <w:tc>
          <w:tcPr>
            <w:tcW w:w="1276" w:type="dxa"/>
            <w:vAlign w:val="center"/>
          </w:tcPr>
          <w:p>
            <w:pPr>
              <w:pStyle w:val="14"/>
            </w:pPr>
            <w:r>
              <w:t>≥90%</w:t>
            </w:r>
          </w:p>
        </w:tc>
        <w:tc>
          <w:tcPr>
            <w:tcW w:w="1843" w:type="dxa"/>
            <w:vAlign w:val="center"/>
          </w:tcPr>
          <w:p>
            <w:pPr>
              <w:pStyle w:val="14"/>
            </w:pPr>
            <w:r>
              <w:t>现场走访</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5" w:name="_Toc_4_4_0000000024"/>
      <w:r>
        <w:rPr>
          <w:rFonts w:ascii="方正仿宋_GBK" w:hAnsi="方正仿宋_GBK" w:eastAsia="方正仿宋_GBK" w:cs="方正仿宋_GBK"/>
          <w:color w:val="000000"/>
          <w:sz w:val="28"/>
        </w:rPr>
        <w:t>21.2026年气代煤售后服务保险绩效目标表</w:t>
      </w:r>
      <w:bookmarkEnd w:id="3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13011026P00155110029C</w:t>
            </w:r>
          </w:p>
        </w:tc>
        <w:tc>
          <w:tcPr>
            <w:tcW w:w="1587" w:type="dxa"/>
            <w:vAlign w:val="center"/>
          </w:tcPr>
          <w:p>
            <w:pPr>
              <w:pStyle w:val="12"/>
            </w:pPr>
            <w:r>
              <w:t>项目名称</w:t>
            </w:r>
          </w:p>
        </w:tc>
        <w:tc>
          <w:tcPr>
            <w:tcW w:w="4423" w:type="dxa"/>
            <w:gridSpan w:val="3"/>
            <w:vAlign w:val="center"/>
          </w:tcPr>
          <w:p>
            <w:pPr>
              <w:pStyle w:val="14"/>
            </w:pPr>
            <w:r>
              <w:t>2026年气代煤售后服务保险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95.00</w:t>
            </w:r>
          </w:p>
        </w:tc>
        <w:tc>
          <w:tcPr>
            <w:tcW w:w="1587" w:type="dxa"/>
            <w:vAlign w:val="center"/>
          </w:tcPr>
          <w:p>
            <w:pPr>
              <w:pStyle w:val="12"/>
            </w:pPr>
            <w:r>
              <w:t>其中：财政    资金</w:t>
            </w:r>
          </w:p>
        </w:tc>
        <w:tc>
          <w:tcPr>
            <w:tcW w:w="1304" w:type="dxa"/>
            <w:vAlign w:val="center"/>
          </w:tcPr>
          <w:p>
            <w:pPr>
              <w:pStyle w:val="14"/>
            </w:pPr>
            <w:r>
              <w:t>95.00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保障对92547气代煤用户壁挂炉安全使用、温暖过冬。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气代煤售后服务补贴户数</w:t>
            </w:r>
          </w:p>
        </w:tc>
        <w:tc>
          <w:tcPr>
            <w:tcW w:w="2891" w:type="dxa"/>
            <w:vAlign w:val="center"/>
          </w:tcPr>
          <w:p>
            <w:pPr>
              <w:pStyle w:val="14"/>
            </w:pPr>
            <w:r>
              <w:t>气代煤售后服务补贴户数</w:t>
            </w:r>
          </w:p>
        </w:tc>
        <w:tc>
          <w:tcPr>
            <w:tcW w:w="1276" w:type="dxa"/>
            <w:vAlign w:val="center"/>
          </w:tcPr>
          <w:p>
            <w:pPr>
              <w:pStyle w:val="14"/>
            </w:pPr>
            <w:r>
              <w:t>≥92547户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气代煤售后服务完成率</w:t>
            </w:r>
          </w:p>
        </w:tc>
        <w:tc>
          <w:tcPr>
            <w:tcW w:w="2891" w:type="dxa"/>
            <w:vAlign w:val="center"/>
          </w:tcPr>
          <w:p>
            <w:pPr>
              <w:pStyle w:val="14"/>
            </w:pPr>
            <w:r>
              <w:t>完成气代气代煤用户安检、维修、保险情况</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售后服务及时率</w:t>
            </w:r>
          </w:p>
        </w:tc>
        <w:tc>
          <w:tcPr>
            <w:tcW w:w="2891" w:type="dxa"/>
            <w:vAlign w:val="center"/>
          </w:tcPr>
          <w:p>
            <w:pPr>
              <w:pStyle w:val="14"/>
            </w:pPr>
            <w:r>
              <w:t>及时完成每户售后服务安检维修保险</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售后维修补贴标准</w:t>
            </w:r>
          </w:p>
        </w:tc>
        <w:tc>
          <w:tcPr>
            <w:tcW w:w="2891" w:type="dxa"/>
            <w:vAlign w:val="center"/>
          </w:tcPr>
          <w:p>
            <w:pPr>
              <w:pStyle w:val="14"/>
            </w:pPr>
            <w:r>
              <w:t>售后服务补贴标准</w:t>
            </w:r>
          </w:p>
        </w:tc>
        <w:tc>
          <w:tcPr>
            <w:tcW w:w="1276" w:type="dxa"/>
            <w:vAlign w:val="center"/>
          </w:tcPr>
          <w:p>
            <w:pPr>
              <w:pStyle w:val="14"/>
            </w:pPr>
            <w:r>
              <w:t>50元/户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气代煤安全使用户数</w:t>
            </w:r>
          </w:p>
        </w:tc>
        <w:tc>
          <w:tcPr>
            <w:tcW w:w="2891" w:type="dxa"/>
            <w:vAlign w:val="center"/>
          </w:tcPr>
          <w:p>
            <w:pPr>
              <w:pStyle w:val="14"/>
            </w:pPr>
            <w:r>
              <w:t>确保气代煤用户安全用气,保障燃气壁挂炉稳定运行</w:t>
            </w:r>
          </w:p>
        </w:tc>
        <w:tc>
          <w:tcPr>
            <w:tcW w:w="1276" w:type="dxa"/>
            <w:vAlign w:val="center"/>
          </w:tcPr>
          <w:p>
            <w:pPr>
              <w:pStyle w:val="14"/>
            </w:pPr>
            <w:r>
              <w:t>92547户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政策实施年限</w:t>
            </w:r>
          </w:p>
        </w:tc>
        <w:tc>
          <w:tcPr>
            <w:tcW w:w="2891" w:type="dxa"/>
            <w:vAlign w:val="center"/>
          </w:tcPr>
          <w:p>
            <w:pPr>
              <w:pStyle w:val="14"/>
            </w:pPr>
            <w:r>
              <w:t>确保气代煤用户安全用气,保障燃气壁挂炉稳定运行</w:t>
            </w:r>
          </w:p>
        </w:tc>
        <w:tc>
          <w:tcPr>
            <w:tcW w:w="1276" w:type="dxa"/>
            <w:vAlign w:val="center"/>
          </w:tcPr>
          <w:p>
            <w:pPr>
              <w:pStyle w:val="14"/>
            </w:pPr>
            <w:r>
              <w:t>3年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群众满意度占总数的比例</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6" w:name="_Toc_4_4_0000000025"/>
      <w:r>
        <w:rPr>
          <w:rFonts w:ascii="方正仿宋_GBK" w:hAnsi="方正仿宋_GBK" w:eastAsia="方正仿宋_GBK" w:cs="方正仿宋_GBK"/>
          <w:color w:val="000000"/>
          <w:sz w:val="28"/>
        </w:rPr>
        <w:t>22.2026年气代煤售后服务补贴（旧欠）绩效目标表</w:t>
      </w:r>
      <w:bookmarkEnd w:id="3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13011026P00155110028Q</w:t>
            </w:r>
          </w:p>
        </w:tc>
        <w:tc>
          <w:tcPr>
            <w:tcW w:w="1587" w:type="dxa"/>
            <w:vAlign w:val="center"/>
          </w:tcPr>
          <w:p>
            <w:pPr>
              <w:pStyle w:val="12"/>
            </w:pPr>
            <w:r>
              <w:t>项目名称</w:t>
            </w:r>
          </w:p>
        </w:tc>
        <w:tc>
          <w:tcPr>
            <w:tcW w:w="4423" w:type="dxa"/>
            <w:gridSpan w:val="3"/>
            <w:vAlign w:val="center"/>
          </w:tcPr>
          <w:p>
            <w:pPr>
              <w:pStyle w:val="14"/>
            </w:pPr>
            <w:r>
              <w:t>2026年气代煤售后服务补贴（旧欠）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25.87</w:t>
            </w:r>
          </w:p>
        </w:tc>
        <w:tc>
          <w:tcPr>
            <w:tcW w:w="1587" w:type="dxa"/>
            <w:vAlign w:val="center"/>
          </w:tcPr>
          <w:p>
            <w:pPr>
              <w:pStyle w:val="12"/>
            </w:pPr>
            <w:r>
              <w:t>其中：财政    资金</w:t>
            </w:r>
          </w:p>
        </w:tc>
        <w:tc>
          <w:tcPr>
            <w:tcW w:w="1304" w:type="dxa"/>
            <w:vAlign w:val="center"/>
          </w:tcPr>
          <w:p>
            <w:pPr>
              <w:pStyle w:val="14"/>
            </w:pPr>
            <w:r>
              <w:t>25.87</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保障对92547气代煤用户壁挂炉安全使用、温暖过冬。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气代煤售后服务补贴户数</w:t>
            </w:r>
          </w:p>
        </w:tc>
        <w:tc>
          <w:tcPr>
            <w:tcW w:w="2891" w:type="dxa"/>
            <w:vAlign w:val="center"/>
          </w:tcPr>
          <w:p>
            <w:pPr>
              <w:pStyle w:val="14"/>
            </w:pPr>
            <w:r>
              <w:t>气代煤售后服务补贴户数</w:t>
            </w:r>
          </w:p>
        </w:tc>
        <w:tc>
          <w:tcPr>
            <w:tcW w:w="1276" w:type="dxa"/>
            <w:vAlign w:val="center"/>
          </w:tcPr>
          <w:p>
            <w:pPr>
              <w:pStyle w:val="14"/>
            </w:pPr>
            <w:r>
              <w:t>≥92547户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气代煤售后服务完成率</w:t>
            </w:r>
          </w:p>
        </w:tc>
        <w:tc>
          <w:tcPr>
            <w:tcW w:w="2891" w:type="dxa"/>
            <w:vAlign w:val="center"/>
          </w:tcPr>
          <w:p>
            <w:pPr>
              <w:pStyle w:val="14"/>
            </w:pPr>
            <w:r>
              <w:t>完成气代气代煤用户安检、维修、保险情况</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售后服务及时率</w:t>
            </w:r>
          </w:p>
        </w:tc>
        <w:tc>
          <w:tcPr>
            <w:tcW w:w="2891" w:type="dxa"/>
            <w:vAlign w:val="center"/>
          </w:tcPr>
          <w:p>
            <w:pPr>
              <w:pStyle w:val="14"/>
            </w:pPr>
            <w:r>
              <w:t>及时完成每户售后服务安检维修保险</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售后维修补贴标准</w:t>
            </w:r>
          </w:p>
        </w:tc>
        <w:tc>
          <w:tcPr>
            <w:tcW w:w="2891" w:type="dxa"/>
            <w:vAlign w:val="center"/>
          </w:tcPr>
          <w:p>
            <w:pPr>
              <w:pStyle w:val="14"/>
            </w:pPr>
            <w:r>
              <w:t>售后服务补贴标准</w:t>
            </w:r>
          </w:p>
        </w:tc>
        <w:tc>
          <w:tcPr>
            <w:tcW w:w="1276" w:type="dxa"/>
            <w:vAlign w:val="center"/>
          </w:tcPr>
          <w:p>
            <w:pPr>
              <w:pStyle w:val="14"/>
            </w:pPr>
            <w:r>
              <w:t>50元/户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气代煤安全使用户数</w:t>
            </w:r>
          </w:p>
        </w:tc>
        <w:tc>
          <w:tcPr>
            <w:tcW w:w="2891" w:type="dxa"/>
            <w:vAlign w:val="center"/>
          </w:tcPr>
          <w:p>
            <w:pPr>
              <w:pStyle w:val="14"/>
            </w:pPr>
            <w:r>
              <w:t>确保气代煤用户安全用气,保障燃气壁挂炉稳定运行</w:t>
            </w:r>
          </w:p>
        </w:tc>
        <w:tc>
          <w:tcPr>
            <w:tcW w:w="1276" w:type="dxa"/>
            <w:vAlign w:val="center"/>
          </w:tcPr>
          <w:p>
            <w:pPr>
              <w:pStyle w:val="14"/>
            </w:pPr>
            <w:r>
              <w:t>92547户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政策实施年限</w:t>
            </w:r>
          </w:p>
        </w:tc>
        <w:tc>
          <w:tcPr>
            <w:tcW w:w="2891" w:type="dxa"/>
            <w:vAlign w:val="center"/>
          </w:tcPr>
          <w:p>
            <w:pPr>
              <w:pStyle w:val="14"/>
            </w:pPr>
            <w:r>
              <w:t>确保气代煤用户安全用气,保障燃气壁挂炉稳定运行</w:t>
            </w:r>
          </w:p>
        </w:tc>
        <w:tc>
          <w:tcPr>
            <w:tcW w:w="1276" w:type="dxa"/>
            <w:vAlign w:val="center"/>
          </w:tcPr>
          <w:p>
            <w:pPr>
              <w:pStyle w:val="14"/>
            </w:pPr>
            <w:r>
              <w:t>3年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群众满意度占总数的比例</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7" w:name="_Toc_4_4_0000000026"/>
      <w:r>
        <w:rPr>
          <w:rFonts w:ascii="方正仿宋_GBK" w:hAnsi="方正仿宋_GBK" w:eastAsia="方正仿宋_GBK" w:cs="方正仿宋_GBK"/>
          <w:color w:val="000000"/>
          <w:sz w:val="28"/>
        </w:rPr>
        <w:t>23.2026年燃气监管平台绩效目标表</w:t>
      </w:r>
      <w:bookmarkEnd w:id="3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13011026P001551100346</w:t>
            </w:r>
          </w:p>
        </w:tc>
        <w:tc>
          <w:tcPr>
            <w:tcW w:w="1587" w:type="dxa"/>
            <w:vAlign w:val="center"/>
          </w:tcPr>
          <w:p>
            <w:pPr>
              <w:pStyle w:val="12"/>
            </w:pPr>
            <w:r>
              <w:t>项目名称</w:t>
            </w:r>
          </w:p>
        </w:tc>
        <w:tc>
          <w:tcPr>
            <w:tcW w:w="4423" w:type="dxa"/>
            <w:gridSpan w:val="3"/>
            <w:vAlign w:val="center"/>
          </w:tcPr>
          <w:p>
            <w:pPr>
              <w:pStyle w:val="14"/>
            </w:pPr>
            <w:r>
              <w:t>2026年燃气监管平台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3.12</w:t>
            </w:r>
          </w:p>
        </w:tc>
        <w:tc>
          <w:tcPr>
            <w:tcW w:w="1587" w:type="dxa"/>
            <w:vAlign w:val="center"/>
          </w:tcPr>
          <w:p>
            <w:pPr>
              <w:pStyle w:val="12"/>
            </w:pPr>
            <w:r>
              <w:t>其中：财政    资金</w:t>
            </w:r>
          </w:p>
        </w:tc>
        <w:tc>
          <w:tcPr>
            <w:tcW w:w="1304" w:type="dxa"/>
            <w:vAlign w:val="center"/>
          </w:tcPr>
          <w:p>
            <w:pPr>
              <w:pStyle w:val="14"/>
            </w:pPr>
            <w:r>
              <w:t>3.12</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燃气监管平台建设资源费用，对全区燃气约22万户燃气用户安全进行监管，用于燃气用户安全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1.燃气监管平台建设资源费用，对全区燃气约22万户燃气用户安全进行监管，用于燃气用户安全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燃气监管平台建设数量</w:t>
            </w:r>
          </w:p>
        </w:tc>
        <w:tc>
          <w:tcPr>
            <w:tcW w:w="2891" w:type="dxa"/>
            <w:vAlign w:val="center"/>
          </w:tcPr>
          <w:p>
            <w:pPr>
              <w:pStyle w:val="14"/>
            </w:pPr>
            <w:r>
              <w:t>燃气监管平台建设数量</w:t>
            </w:r>
          </w:p>
        </w:tc>
        <w:tc>
          <w:tcPr>
            <w:tcW w:w="1276" w:type="dxa"/>
            <w:vAlign w:val="center"/>
          </w:tcPr>
          <w:p>
            <w:pPr>
              <w:pStyle w:val="14"/>
            </w:pPr>
            <w:r>
              <w:t>1套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燃气监管平台完成率</w:t>
            </w:r>
          </w:p>
        </w:tc>
        <w:tc>
          <w:tcPr>
            <w:tcW w:w="2891" w:type="dxa"/>
            <w:vAlign w:val="center"/>
          </w:tcPr>
          <w:p>
            <w:pPr>
              <w:pStyle w:val="14"/>
            </w:pPr>
            <w:r>
              <w:t>燃气监管平台完成率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燃气安全平台建设按时完成率</w:t>
            </w:r>
          </w:p>
        </w:tc>
        <w:tc>
          <w:tcPr>
            <w:tcW w:w="2891" w:type="dxa"/>
            <w:vAlign w:val="center"/>
          </w:tcPr>
          <w:p>
            <w:pPr>
              <w:pStyle w:val="14"/>
            </w:pPr>
            <w:r>
              <w:t>燃气安全平台建设按时完成率</w:t>
            </w:r>
          </w:p>
        </w:tc>
        <w:tc>
          <w:tcPr>
            <w:tcW w:w="1276" w:type="dxa"/>
            <w:vAlign w:val="center"/>
          </w:tcPr>
          <w:p>
            <w:pPr>
              <w:pStyle w:val="14"/>
            </w:pPr>
            <w:r>
              <w:t>6月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燃气安全监管平台成本</w:t>
            </w:r>
          </w:p>
        </w:tc>
        <w:tc>
          <w:tcPr>
            <w:tcW w:w="2891" w:type="dxa"/>
            <w:vAlign w:val="center"/>
          </w:tcPr>
          <w:p>
            <w:pPr>
              <w:pStyle w:val="14"/>
            </w:pPr>
            <w:r>
              <w:t>燃气安全监管平台成本</w:t>
            </w:r>
          </w:p>
        </w:tc>
        <w:tc>
          <w:tcPr>
            <w:tcW w:w="1276" w:type="dxa"/>
            <w:vAlign w:val="center"/>
          </w:tcPr>
          <w:p>
            <w:pPr>
              <w:pStyle w:val="14"/>
            </w:pPr>
            <w:r>
              <w:t>≤44.5万元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监管平台使用时间</w:t>
            </w:r>
          </w:p>
        </w:tc>
        <w:tc>
          <w:tcPr>
            <w:tcW w:w="2891" w:type="dxa"/>
            <w:vAlign w:val="center"/>
          </w:tcPr>
          <w:p>
            <w:pPr>
              <w:pStyle w:val="14"/>
            </w:pPr>
            <w:r>
              <w:t>监管平台使用时间</w:t>
            </w:r>
          </w:p>
        </w:tc>
        <w:tc>
          <w:tcPr>
            <w:tcW w:w="1276" w:type="dxa"/>
            <w:vAlign w:val="center"/>
          </w:tcPr>
          <w:p>
            <w:pPr>
              <w:pStyle w:val="14"/>
            </w:pPr>
            <w:r>
              <w:t>长期</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8" w:name="_Toc_4_4_0000000027"/>
      <w:r>
        <w:rPr>
          <w:rFonts w:ascii="方正仿宋_GBK" w:hAnsi="方正仿宋_GBK" w:eastAsia="方正仿宋_GBK" w:cs="方正仿宋_GBK"/>
          <w:color w:val="000000"/>
          <w:sz w:val="28"/>
        </w:rPr>
        <w:t>24.2026年上庄污水处理厂投资返还金及污泥出处置费绩效目标表</w:t>
      </w:r>
      <w:bookmarkEnd w:id="3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13011026P00154510021Y</w:t>
            </w:r>
          </w:p>
        </w:tc>
        <w:tc>
          <w:tcPr>
            <w:tcW w:w="1587" w:type="dxa"/>
            <w:vAlign w:val="center"/>
          </w:tcPr>
          <w:p>
            <w:pPr>
              <w:pStyle w:val="12"/>
            </w:pPr>
            <w:r>
              <w:t>项目名称</w:t>
            </w:r>
          </w:p>
        </w:tc>
        <w:tc>
          <w:tcPr>
            <w:tcW w:w="4423" w:type="dxa"/>
            <w:gridSpan w:val="3"/>
            <w:vAlign w:val="center"/>
          </w:tcPr>
          <w:p>
            <w:pPr>
              <w:pStyle w:val="14"/>
            </w:pPr>
            <w:r>
              <w:t>2026年上庄污水处理厂投资返还金及污泥出处置费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750.00</w:t>
            </w:r>
          </w:p>
        </w:tc>
        <w:tc>
          <w:tcPr>
            <w:tcW w:w="1587" w:type="dxa"/>
            <w:vAlign w:val="center"/>
          </w:tcPr>
          <w:p>
            <w:pPr>
              <w:pStyle w:val="12"/>
            </w:pPr>
            <w:r>
              <w:t>其中：财政    资金</w:t>
            </w:r>
          </w:p>
        </w:tc>
        <w:tc>
          <w:tcPr>
            <w:tcW w:w="1304" w:type="dxa"/>
            <w:vAlign w:val="center"/>
          </w:tcPr>
          <w:p>
            <w:pPr>
              <w:pStyle w:val="14"/>
            </w:pPr>
            <w:r>
              <w:t>750.00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污水厂设备运转正常，处理水质达标排放。</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污水处理质量标准</w:t>
            </w:r>
          </w:p>
        </w:tc>
        <w:tc>
          <w:tcPr>
            <w:tcW w:w="2891" w:type="dxa"/>
            <w:vAlign w:val="center"/>
          </w:tcPr>
          <w:p>
            <w:pPr>
              <w:pStyle w:val="14"/>
            </w:pPr>
            <w:r>
              <w:t>全年污水处理达标排放</w:t>
            </w:r>
          </w:p>
        </w:tc>
        <w:tc>
          <w:tcPr>
            <w:tcW w:w="1276" w:type="dxa"/>
            <w:vAlign w:val="center"/>
          </w:tcPr>
          <w:p>
            <w:pPr>
              <w:pStyle w:val="14"/>
            </w:pPr>
            <w:r>
              <w:t>IV类水标准</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污水处理及时性</w:t>
            </w:r>
          </w:p>
        </w:tc>
        <w:tc>
          <w:tcPr>
            <w:tcW w:w="2891" w:type="dxa"/>
            <w:vAlign w:val="center"/>
          </w:tcPr>
          <w:p>
            <w:pPr>
              <w:pStyle w:val="14"/>
            </w:pPr>
            <w:r>
              <w:t>污水处理全年完成及时性</w:t>
            </w:r>
          </w:p>
        </w:tc>
        <w:tc>
          <w:tcPr>
            <w:tcW w:w="1276" w:type="dxa"/>
            <w:vAlign w:val="center"/>
          </w:tcPr>
          <w:p>
            <w:pPr>
              <w:pStyle w:val="14"/>
            </w:pPr>
            <w:r>
              <w:t>及时</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污水日处理量</w:t>
            </w:r>
          </w:p>
        </w:tc>
        <w:tc>
          <w:tcPr>
            <w:tcW w:w="2891" w:type="dxa"/>
            <w:vAlign w:val="center"/>
          </w:tcPr>
          <w:p>
            <w:pPr>
              <w:pStyle w:val="14"/>
            </w:pPr>
            <w:r>
              <w:t>污水日产量</w:t>
            </w:r>
          </w:p>
        </w:tc>
        <w:tc>
          <w:tcPr>
            <w:tcW w:w="1276" w:type="dxa"/>
            <w:vAlign w:val="center"/>
          </w:tcPr>
          <w:p>
            <w:pPr>
              <w:pStyle w:val="14"/>
            </w:pPr>
            <w:r>
              <w:t>≥5万/立方米</w:t>
            </w:r>
          </w:p>
        </w:tc>
        <w:tc>
          <w:tcPr>
            <w:tcW w:w="1843" w:type="dxa"/>
            <w:vAlign w:val="center"/>
          </w:tcPr>
          <w:p>
            <w:pPr>
              <w:pStyle w:val="14"/>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污水处理返还成本</w:t>
            </w:r>
          </w:p>
        </w:tc>
        <w:tc>
          <w:tcPr>
            <w:tcW w:w="2891" w:type="dxa"/>
            <w:vAlign w:val="center"/>
          </w:tcPr>
          <w:p>
            <w:pPr>
              <w:pStyle w:val="14"/>
            </w:pPr>
            <w:r>
              <w:t>每立方米处理标准</w:t>
            </w:r>
          </w:p>
        </w:tc>
        <w:tc>
          <w:tcPr>
            <w:tcW w:w="1276" w:type="dxa"/>
            <w:vAlign w:val="center"/>
          </w:tcPr>
          <w:p>
            <w:pPr>
              <w:pStyle w:val="14"/>
            </w:pPr>
            <w:r>
              <w:t>1.88元/立方米/天</w:t>
            </w:r>
          </w:p>
        </w:tc>
        <w:tc>
          <w:tcPr>
            <w:tcW w:w="1843" w:type="dxa"/>
            <w:vAlign w:val="center"/>
          </w:tcPr>
          <w:p>
            <w:pPr>
              <w:pStyle w:val="14"/>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生态效益指标</w:t>
            </w:r>
          </w:p>
        </w:tc>
        <w:tc>
          <w:tcPr>
            <w:tcW w:w="1332" w:type="dxa"/>
            <w:vAlign w:val="center"/>
          </w:tcPr>
          <w:p>
            <w:pPr>
              <w:pStyle w:val="14"/>
            </w:pPr>
            <w:r>
              <w:t>污水处理达标率</w:t>
            </w:r>
          </w:p>
        </w:tc>
        <w:tc>
          <w:tcPr>
            <w:tcW w:w="2891" w:type="dxa"/>
            <w:vAlign w:val="center"/>
          </w:tcPr>
          <w:p>
            <w:pPr>
              <w:pStyle w:val="14"/>
            </w:pPr>
            <w:r>
              <w:t>达标污水量占污水处理量的比例</w:t>
            </w:r>
          </w:p>
        </w:tc>
        <w:tc>
          <w:tcPr>
            <w:tcW w:w="1276" w:type="dxa"/>
            <w:vAlign w:val="center"/>
          </w:tcPr>
          <w:p>
            <w:pPr>
              <w:pStyle w:val="14"/>
            </w:pPr>
            <w:r>
              <w:t>≥100%</w:t>
            </w:r>
          </w:p>
        </w:tc>
        <w:tc>
          <w:tcPr>
            <w:tcW w:w="1843" w:type="dxa"/>
            <w:vAlign w:val="center"/>
          </w:tcPr>
          <w:p>
            <w:pPr>
              <w:pStyle w:val="14"/>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对环境影响</w:t>
            </w:r>
          </w:p>
        </w:tc>
        <w:tc>
          <w:tcPr>
            <w:tcW w:w="2891" w:type="dxa"/>
            <w:vAlign w:val="center"/>
          </w:tcPr>
          <w:p>
            <w:pPr>
              <w:pStyle w:val="14"/>
            </w:pPr>
            <w:r>
              <w:t>回收利用效果</w:t>
            </w:r>
          </w:p>
        </w:tc>
        <w:tc>
          <w:tcPr>
            <w:tcW w:w="1276" w:type="dxa"/>
            <w:vAlign w:val="center"/>
          </w:tcPr>
          <w:p>
            <w:pPr>
              <w:pStyle w:val="14"/>
            </w:pPr>
            <w:r>
              <w:t>污水处理后可再利用发电、绿化灌溉、洒水等。</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满意和较满意人数占被调查人数的比例</w:t>
            </w:r>
          </w:p>
        </w:tc>
        <w:tc>
          <w:tcPr>
            <w:tcW w:w="1276" w:type="dxa"/>
            <w:vAlign w:val="center"/>
          </w:tcPr>
          <w:p>
            <w:pPr>
              <w:pStyle w:val="14"/>
            </w:pPr>
            <w:r>
              <w:t>≥95%</w:t>
            </w:r>
          </w:p>
        </w:tc>
        <w:tc>
          <w:tcPr>
            <w:tcW w:w="1843" w:type="dxa"/>
            <w:vAlign w:val="center"/>
          </w:tcPr>
          <w:p>
            <w:pPr>
              <w:pStyle w:val="14"/>
            </w:pPr>
            <w:r>
              <w:t>计划标准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9" w:name="_Toc_4_4_0000000028"/>
      <w:r>
        <w:rPr>
          <w:rFonts w:ascii="方正仿宋_GBK" w:hAnsi="方正仿宋_GBK" w:eastAsia="方正仿宋_GBK" w:cs="方正仿宋_GBK"/>
          <w:color w:val="000000"/>
          <w:sz w:val="28"/>
        </w:rPr>
        <w:t>25.2026年石家庄市鹿泉区城市更新专项规划编制绩效目标表</w:t>
      </w:r>
      <w:bookmarkEnd w:id="3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13011026P00155610181C</w:t>
            </w:r>
          </w:p>
        </w:tc>
        <w:tc>
          <w:tcPr>
            <w:tcW w:w="1587" w:type="dxa"/>
            <w:vAlign w:val="center"/>
          </w:tcPr>
          <w:p>
            <w:pPr>
              <w:pStyle w:val="12"/>
            </w:pPr>
            <w:r>
              <w:t>项目名称</w:t>
            </w:r>
          </w:p>
        </w:tc>
        <w:tc>
          <w:tcPr>
            <w:tcW w:w="4423" w:type="dxa"/>
            <w:gridSpan w:val="3"/>
            <w:vAlign w:val="center"/>
          </w:tcPr>
          <w:p>
            <w:pPr>
              <w:pStyle w:val="14"/>
            </w:pPr>
            <w:r>
              <w:t>2026年石家庄市鹿泉区城市更新专项规划编制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6.49</w:t>
            </w:r>
          </w:p>
        </w:tc>
        <w:tc>
          <w:tcPr>
            <w:tcW w:w="1587" w:type="dxa"/>
            <w:vAlign w:val="center"/>
          </w:tcPr>
          <w:p>
            <w:pPr>
              <w:pStyle w:val="12"/>
            </w:pPr>
            <w:r>
              <w:t>其中：财政    资金</w:t>
            </w:r>
          </w:p>
        </w:tc>
        <w:tc>
          <w:tcPr>
            <w:tcW w:w="1304" w:type="dxa"/>
            <w:vAlign w:val="center"/>
          </w:tcPr>
          <w:p>
            <w:pPr>
              <w:pStyle w:val="14"/>
            </w:pPr>
            <w:r>
              <w:t>6.49</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城市更新专项规划围绕老旧小区改造、基础设施升级、保障历史文化资源保护、带动社会投资。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1.城市更新专项规划围绕老旧小区改造、基础设施升级、保障历史文化资源保护、带动社会投资。</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专项规划编制完成率</w:t>
            </w:r>
          </w:p>
        </w:tc>
        <w:tc>
          <w:tcPr>
            <w:tcW w:w="2891" w:type="dxa"/>
            <w:vAlign w:val="center"/>
          </w:tcPr>
          <w:p>
            <w:pPr>
              <w:pStyle w:val="14"/>
            </w:pPr>
            <w:r>
              <w:t>城市更新专项规划编制及审批完成比例</w:t>
            </w:r>
          </w:p>
        </w:tc>
        <w:tc>
          <w:tcPr>
            <w:tcW w:w="1276" w:type="dxa"/>
            <w:vAlign w:val="center"/>
          </w:tcPr>
          <w:p>
            <w:pPr>
              <w:pStyle w:val="14"/>
            </w:pPr>
            <w:r>
              <w:t>≥100%</w:t>
            </w:r>
          </w:p>
        </w:tc>
        <w:tc>
          <w:tcPr>
            <w:tcW w:w="1843" w:type="dxa"/>
            <w:vAlign w:val="center"/>
          </w:tcPr>
          <w:p>
            <w:pPr>
              <w:pStyle w:val="14"/>
            </w:pPr>
            <w:r>
              <w:t>依据《石家庄市城市更新行动实施方案》及鹿泉区年度工作目标，确保规划编制按时完成并通过审批。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项目验收合格率</w:t>
            </w:r>
          </w:p>
        </w:tc>
        <w:tc>
          <w:tcPr>
            <w:tcW w:w="2891" w:type="dxa"/>
            <w:vAlign w:val="center"/>
          </w:tcPr>
          <w:p>
            <w:pPr>
              <w:pStyle w:val="14"/>
            </w:pPr>
            <w:r>
              <w:t>城市更新项目验收合格的比例</w:t>
            </w:r>
          </w:p>
        </w:tc>
        <w:tc>
          <w:tcPr>
            <w:tcW w:w="1276" w:type="dxa"/>
            <w:vAlign w:val="center"/>
          </w:tcPr>
          <w:p>
            <w:pPr>
              <w:pStyle w:val="14"/>
            </w:pPr>
            <w:r>
              <w:t>≥95%</w:t>
            </w:r>
          </w:p>
        </w:tc>
        <w:tc>
          <w:tcPr>
            <w:tcW w:w="1843" w:type="dxa"/>
            <w:vAlign w:val="center"/>
          </w:tcPr>
          <w:p>
            <w:pPr>
              <w:pStyle w:val="14"/>
            </w:pPr>
            <w:r>
              <w:t>参照《河北省城市更新项目验收管理办法》，结合鹿泉区过往项目验收达标率设定。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项目按时完成率</w:t>
            </w:r>
          </w:p>
        </w:tc>
        <w:tc>
          <w:tcPr>
            <w:tcW w:w="2891" w:type="dxa"/>
            <w:vAlign w:val="center"/>
          </w:tcPr>
          <w:p>
            <w:pPr>
              <w:pStyle w:val="14"/>
            </w:pPr>
            <w:r>
              <w:t>按计划时间节点完成的项目比例</w:t>
            </w:r>
          </w:p>
        </w:tc>
        <w:tc>
          <w:tcPr>
            <w:tcW w:w="1276" w:type="dxa"/>
            <w:vAlign w:val="center"/>
          </w:tcPr>
          <w:p>
            <w:pPr>
              <w:pStyle w:val="14"/>
            </w:pPr>
            <w:r>
              <w:t>≥95%</w:t>
            </w:r>
          </w:p>
        </w:tc>
        <w:tc>
          <w:tcPr>
            <w:tcW w:w="1843" w:type="dxa"/>
            <w:vAlign w:val="center"/>
          </w:tcPr>
          <w:p>
            <w:pPr>
              <w:pStyle w:val="14"/>
            </w:pPr>
            <w:r>
              <w:t>基于鹿泉区城市更新项目年度实施计划及同类项目历史履约情况。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成本控制率</w:t>
            </w:r>
          </w:p>
        </w:tc>
        <w:tc>
          <w:tcPr>
            <w:tcW w:w="2891" w:type="dxa"/>
            <w:vAlign w:val="center"/>
          </w:tcPr>
          <w:p>
            <w:pPr>
              <w:pStyle w:val="14"/>
            </w:pPr>
            <w:r>
              <w:t>实际支出与预算的比例</w:t>
            </w:r>
          </w:p>
        </w:tc>
        <w:tc>
          <w:tcPr>
            <w:tcW w:w="1276" w:type="dxa"/>
            <w:vAlign w:val="center"/>
          </w:tcPr>
          <w:p>
            <w:pPr>
              <w:pStyle w:val="14"/>
            </w:pPr>
            <w:r>
              <w:t>≤100%</w:t>
            </w:r>
          </w:p>
        </w:tc>
        <w:tc>
          <w:tcPr>
            <w:tcW w:w="1843" w:type="dxa"/>
            <w:vAlign w:val="center"/>
          </w:tcPr>
          <w:p>
            <w:pPr>
              <w:pStyle w:val="14"/>
            </w:pPr>
            <w:r>
              <w:t>依据财政预算管理要求，确保资金使用合规且 不超预算。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提升城市品质，改善人居环境</w:t>
            </w:r>
          </w:p>
        </w:tc>
        <w:tc>
          <w:tcPr>
            <w:tcW w:w="2891" w:type="dxa"/>
            <w:vAlign w:val="center"/>
          </w:tcPr>
          <w:p>
            <w:pPr>
              <w:pStyle w:val="14"/>
            </w:pPr>
            <w:r>
              <w:t>建立可持续运营管理机制的项目比例</w:t>
            </w:r>
          </w:p>
        </w:tc>
        <w:tc>
          <w:tcPr>
            <w:tcW w:w="1276" w:type="dxa"/>
            <w:vAlign w:val="center"/>
          </w:tcPr>
          <w:p>
            <w:pPr>
              <w:pStyle w:val="14"/>
            </w:pPr>
            <w:r>
              <w:t>≥80%</w:t>
            </w:r>
          </w:p>
        </w:tc>
        <w:tc>
          <w:tcPr>
            <w:tcW w:w="1843" w:type="dxa"/>
            <w:vAlign w:val="center"/>
          </w:tcPr>
          <w:p>
            <w:pPr>
              <w:pStyle w:val="14"/>
            </w:pPr>
            <w:r>
              <w:t>结合《完整社区建设指南》及鹿泉区老旧小区改造长效运营经验设定。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经济效益指标</w:t>
            </w:r>
          </w:p>
        </w:tc>
        <w:tc>
          <w:tcPr>
            <w:tcW w:w="1332" w:type="dxa"/>
            <w:vAlign w:val="center"/>
          </w:tcPr>
          <w:p>
            <w:pPr>
              <w:pStyle w:val="14"/>
            </w:pPr>
            <w:r>
              <w:t>带动社会投资金额</w:t>
            </w:r>
          </w:p>
        </w:tc>
        <w:tc>
          <w:tcPr>
            <w:tcW w:w="2891" w:type="dxa"/>
            <w:vAlign w:val="center"/>
          </w:tcPr>
          <w:p>
            <w:pPr>
              <w:pStyle w:val="14"/>
            </w:pPr>
            <w:r>
              <w:t>城市更新项目带动的社会总投资（亿元）</w:t>
            </w:r>
          </w:p>
        </w:tc>
        <w:tc>
          <w:tcPr>
            <w:tcW w:w="1276" w:type="dxa"/>
            <w:vAlign w:val="center"/>
          </w:tcPr>
          <w:p>
            <w:pPr>
              <w:pStyle w:val="14"/>
            </w:pPr>
            <w:r>
              <w:t>≥7亿</w:t>
            </w:r>
          </w:p>
        </w:tc>
        <w:tc>
          <w:tcPr>
            <w:tcW w:w="1843" w:type="dxa"/>
            <w:vAlign w:val="center"/>
          </w:tcPr>
          <w:p>
            <w:pPr>
              <w:pStyle w:val="14"/>
            </w:pPr>
            <w:r>
              <w:t>参考鹿泉区近年城市更新项目投资带动效应及年度招商目标测算。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受益居民人数</w:t>
            </w:r>
          </w:p>
        </w:tc>
        <w:tc>
          <w:tcPr>
            <w:tcW w:w="2891" w:type="dxa"/>
            <w:vAlign w:val="center"/>
          </w:tcPr>
          <w:p>
            <w:pPr>
              <w:pStyle w:val="14"/>
            </w:pPr>
            <w:r>
              <w:t>城市更新直接受益的居民人数（人）</w:t>
            </w:r>
          </w:p>
        </w:tc>
        <w:tc>
          <w:tcPr>
            <w:tcW w:w="1276" w:type="dxa"/>
            <w:vAlign w:val="center"/>
          </w:tcPr>
          <w:p>
            <w:pPr>
              <w:pStyle w:val="14"/>
            </w:pPr>
            <w:r>
              <w:t>≥20000人</w:t>
            </w:r>
          </w:p>
        </w:tc>
        <w:tc>
          <w:tcPr>
            <w:tcW w:w="1843" w:type="dxa"/>
            <w:vAlign w:val="center"/>
          </w:tcPr>
          <w:p>
            <w:pPr>
              <w:pStyle w:val="14"/>
            </w:pPr>
            <w:r>
              <w:t>依据年度老旧小区改造、基础设施覆盖范围等任务量测算。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生态效益指标</w:t>
            </w:r>
          </w:p>
        </w:tc>
        <w:tc>
          <w:tcPr>
            <w:tcW w:w="1332" w:type="dxa"/>
            <w:vAlign w:val="center"/>
          </w:tcPr>
          <w:p>
            <w:pPr>
              <w:pStyle w:val="14"/>
            </w:pPr>
            <w:r>
              <w:t>绿化覆盖率提升</w:t>
            </w:r>
          </w:p>
        </w:tc>
        <w:tc>
          <w:tcPr>
            <w:tcW w:w="2891" w:type="dxa"/>
            <w:vAlign w:val="center"/>
          </w:tcPr>
          <w:p>
            <w:pPr>
              <w:pStyle w:val="14"/>
            </w:pPr>
            <w:r>
              <w:t>更新片区内绿化面积的提升比率</w:t>
            </w:r>
          </w:p>
        </w:tc>
        <w:tc>
          <w:tcPr>
            <w:tcW w:w="1276" w:type="dxa"/>
            <w:vAlign w:val="center"/>
          </w:tcPr>
          <w:p>
            <w:pPr>
              <w:pStyle w:val="14"/>
            </w:pPr>
            <w:r>
              <w:t>≥10%</w:t>
            </w:r>
          </w:p>
        </w:tc>
        <w:tc>
          <w:tcPr>
            <w:tcW w:w="1843" w:type="dxa"/>
            <w:vAlign w:val="center"/>
          </w:tcPr>
          <w:p>
            <w:pPr>
              <w:pStyle w:val="14"/>
            </w:pPr>
            <w:r>
              <w:t>依据《鹿泉区国土空间总体规划（2021—2035年）》中生态提升目标设定。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居民满意度</w:t>
            </w:r>
          </w:p>
        </w:tc>
        <w:tc>
          <w:tcPr>
            <w:tcW w:w="2891" w:type="dxa"/>
            <w:vAlign w:val="center"/>
          </w:tcPr>
          <w:p>
            <w:pPr>
              <w:pStyle w:val="14"/>
            </w:pPr>
            <w:r>
              <w:t>受益居民对更新效果的满意度评分</w:t>
            </w:r>
          </w:p>
        </w:tc>
        <w:tc>
          <w:tcPr>
            <w:tcW w:w="1276" w:type="dxa"/>
            <w:vAlign w:val="center"/>
          </w:tcPr>
          <w:p>
            <w:pPr>
              <w:pStyle w:val="14"/>
            </w:pPr>
            <w:r>
              <w:t>≥85%</w:t>
            </w:r>
          </w:p>
        </w:tc>
        <w:tc>
          <w:tcPr>
            <w:tcW w:w="1843" w:type="dxa"/>
            <w:vAlign w:val="center"/>
          </w:tcPr>
          <w:p>
            <w:pPr>
              <w:pStyle w:val="14"/>
            </w:pPr>
            <w:r>
              <w:t>参照河北省民生项目满意度评价基准及鹿泉区过往民生项目满意度数据。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0" w:name="_Toc_4_4_0000000029"/>
      <w:r>
        <w:rPr>
          <w:rFonts w:ascii="方正仿宋_GBK" w:hAnsi="方正仿宋_GBK" w:eastAsia="方正仿宋_GBK" w:cs="方正仿宋_GBK"/>
          <w:color w:val="000000"/>
          <w:sz w:val="28"/>
        </w:rPr>
        <w:t>26.2026年石家庄市鹿泉区城市体检项目绩效目标表</w:t>
      </w:r>
      <w:bookmarkEnd w:id="4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13011026P001556101820</w:t>
            </w:r>
          </w:p>
        </w:tc>
        <w:tc>
          <w:tcPr>
            <w:tcW w:w="1587" w:type="dxa"/>
            <w:vAlign w:val="center"/>
          </w:tcPr>
          <w:p>
            <w:pPr>
              <w:pStyle w:val="12"/>
            </w:pPr>
            <w:r>
              <w:t>项目名称</w:t>
            </w:r>
          </w:p>
        </w:tc>
        <w:tc>
          <w:tcPr>
            <w:tcW w:w="4423" w:type="dxa"/>
            <w:gridSpan w:val="3"/>
            <w:vAlign w:val="center"/>
          </w:tcPr>
          <w:p>
            <w:pPr>
              <w:pStyle w:val="14"/>
            </w:pPr>
            <w:r>
              <w:t>2026年石家庄市鹿泉区城市体检项目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4.55</w:t>
            </w:r>
          </w:p>
        </w:tc>
        <w:tc>
          <w:tcPr>
            <w:tcW w:w="1587" w:type="dxa"/>
            <w:vAlign w:val="center"/>
          </w:tcPr>
          <w:p>
            <w:pPr>
              <w:pStyle w:val="12"/>
            </w:pPr>
            <w:r>
              <w:t>其中：财政    资金</w:t>
            </w:r>
          </w:p>
        </w:tc>
        <w:tc>
          <w:tcPr>
            <w:tcW w:w="1304" w:type="dxa"/>
            <w:vAlign w:val="center"/>
          </w:tcPr>
          <w:p>
            <w:pPr>
              <w:pStyle w:val="14"/>
            </w:pPr>
            <w:r>
              <w:t>4.55</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城市体检项目成本</w:t>
            </w:r>
          </w:p>
        </w:tc>
        <w:tc>
          <w:tcPr>
            <w:tcW w:w="2891" w:type="dxa"/>
            <w:vAlign w:val="center"/>
          </w:tcPr>
          <w:p>
            <w:pPr>
              <w:pStyle w:val="14"/>
            </w:pPr>
            <w:r>
              <w:t>城市体检项目总成本</w:t>
            </w:r>
          </w:p>
        </w:tc>
        <w:tc>
          <w:tcPr>
            <w:tcW w:w="1276" w:type="dxa"/>
            <w:vAlign w:val="center"/>
          </w:tcPr>
          <w:p>
            <w:pPr>
              <w:pStyle w:val="14"/>
            </w:pPr>
            <w:r>
              <w:t>65万元</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城市体检项目验收合格率</w:t>
            </w:r>
          </w:p>
        </w:tc>
        <w:tc>
          <w:tcPr>
            <w:tcW w:w="2891" w:type="dxa"/>
            <w:vAlign w:val="center"/>
          </w:tcPr>
          <w:p>
            <w:pPr>
              <w:pStyle w:val="14"/>
            </w:pPr>
            <w:r>
              <w:t>通过专家评审验收通过比例</w:t>
            </w:r>
          </w:p>
        </w:tc>
        <w:tc>
          <w:tcPr>
            <w:tcW w:w="1276" w:type="dxa"/>
            <w:vAlign w:val="center"/>
          </w:tcPr>
          <w:p>
            <w:pPr>
              <w:pStyle w:val="14"/>
            </w:pPr>
            <w:r>
              <w:t>100%</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城市体检项目按时完成率</w:t>
            </w:r>
          </w:p>
        </w:tc>
        <w:tc>
          <w:tcPr>
            <w:tcW w:w="2891" w:type="dxa"/>
            <w:vAlign w:val="center"/>
          </w:tcPr>
          <w:p>
            <w:pPr>
              <w:pStyle w:val="14"/>
            </w:pPr>
            <w:r>
              <w:t>城市体检项目按时完成率</w:t>
            </w:r>
          </w:p>
        </w:tc>
        <w:tc>
          <w:tcPr>
            <w:tcW w:w="1276" w:type="dxa"/>
            <w:vAlign w:val="center"/>
          </w:tcPr>
          <w:p>
            <w:pPr>
              <w:pStyle w:val="14"/>
            </w:pPr>
            <w:r>
              <w:t>100%</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城市体检辖区和辖区建成区范围</w:t>
            </w:r>
          </w:p>
        </w:tc>
        <w:tc>
          <w:tcPr>
            <w:tcW w:w="2891" w:type="dxa"/>
            <w:vAlign w:val="center"/>
          </w:tcPr>
          <w:p>
            <w:pPr>
              <w:pStyle w:val="14"/>
            </w:pPr>
            <w:r>
              <w:t>辖区建成区面积46.96平方公里</w:t>
            </w:r>
          </w:p>
        </w:tc>
        <w:tc>
          <w:tcPr>
            <w:tcW w:w="1276" w:type="dxa"/>
            <w:vAlign w:val="center"/>
          </w:tcPr>
          <w:p>
            <w:pPr>
              <w:pStyle w:val="14"/>
            </w:pPr>
            <w:r>
              <w:t>46.96平方公里</w:t>
            </w:r>
          </w:p>
        </w:tc>
        <w:tc>
          <w:tcPr>
            <w:tcW w:w="1843"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推进绿色发展和提供人居环境质量</w:t>
            </w:r>
          </w:p>
        </w:tc>
        <w:tc>
          <w:tcPr>
            <w:tcW w:w="2891" w:type="dxa"/>
            <w:vAlign w:val="center"/>
          </w:tcPr>
          <w:p>
            <w:pPr>
              <w:pStyle w:val="14"/>
            </w:pPr>
            <w:r>
              <w:t>增强人民群众的幸福感、获得感、安全感</w:t>
            </w:r>
          </w:p>
        </w:tc>
        <w:tc>
          <w:tcPr>
            <w:tcW w:w="1276" w:type="dxa"/>
            <w:vAlign w:val="center"/>
          </w:tcPr>
          <w:p>
            <w:pPr>
              <w:pStyle w:val="14"/>
            </w:pPr>
            <w:r>
              <w:t>达到要求标准</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人民群众的满意程度</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1" w:name="_Toc_4_4_0000000030"/>
      <w:r>
        <w:rPr>
          <w:rFonts w:ascii="方正仿宋_GBK" w:hAnsi="方正仿宋_GBK" w:eastAsia="方正仿宋_GBK" w:cs="方正仿宋_GBK"/>
          <w:color w:val="000000"/>
          <w:sz w:val="28"/>
        </w:rPr>
        <w:t>27.2026年石家庄市鹿泉区海绵城市专项规划编制绩效目标表</w:t>
      </w:r>
      <w:bookmarkEnd w:id="4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13011026P00155610183K</w:t>
            </w:r>
          </w:p>
        </w:tc>
        <w:tc>
          <w:tcPr>
            <w:tcW w:w="1587" w:type="dxa"/>
            <w:vAlign w:val="center"/>
          </w:tcPr>
          <w:p>
            <w:pPr>
              <w:pStyle w:val="12"/>
            </w:pPr>
            <w:r>
              <w:t>项目名称</w:t>
            </w:r>
          </w:p>
        </w:tc>
        <w:tc>
          <w:tcPr>
            <w:tcW w:w="4423" w:type="dxa"/>
            <w:gridSpan w:val="3"/>
            <w:vAlign w:val="center"/>
          </w:tcPr>
          <w:p>
            <w:pPr>
              <w:pStyle w:val="14"/>
            </w:pPr>
            <w:r>
              <w:t>2026年石家庄市鹿泉区海绵城市专项规划编制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6.79</w:t>
            </w:r>
          </w:p>
        </w:tc>
        <w:tc>
          <w:tcPr>
            <w:tcW w:w="1587" w:type="dxa"/>
            <w:vAlign w:val="center"/>
          </w:tcPr>
          <w:p>
            <w:pPr>
              <w:pStyle w:val="12"/>
            </w:pPr>
            <w:r>
              <w:t>其中：财政    资金</w:t>
            </w:r>
          </w:p>
        </w:tc>
        <w:tc>
          <w:tcPr>
            <w:tcW w:w="1304" w:type="dxa"/>
            <w:vAlign w:val="center"/>
          </w:tcPr>
          <w:p>
            <w:pPr>
              <w:pStyle w:val="14"/>
            </w:pPr>
            <w:r>
              <w:t>6.79</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完成鹿泉区海绵城市专项规划的编制与效果交付，构建符合区域特点的海绵城市建设管控体系，为后续城市防洪排涝、生态修复及高质量发展</w:t>
            </w:r>
            <w:r>
              <w:rPr>
                <w:rFonts w:hint="eastAsia"/>
                <w:lang w:val="en-US" w:eastAsia="zh-CN"/>
              </w:rPr>
              <w:t>提供</w:t>
            </w:r>
            <w:r>
              <w:t>科学的规划依据。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1.完成鹿泉区海绵城市专项规划的编制与效果交付，构建符合区域特点的海绵城市建设管控体系，为后续城市防洪排涝、生态修复及高质量发展一共科学的规划依据。</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规划成果编制数量</w:t>
            </w:r>
          </w:p>
        </w:tc>
        <w:tc>
          <w:tcPr>
            <w:tcW w:w="2891" w:type="dxa"/>
            <w:vAlign w:val="center"/>
          </w:tcPr>
          <w:p>
            <w:pPr>
              <w:pStyle w:val="14"/>
            </w:pPr>
            <w:r>
              <w:t>完成专线规划的文本、图集、说明书等成果</w:t>
            </w:r>
          </w:p>
        </w:tc>
        <w:tc>
          <w:tcPr>
            <w:tcW w:w="1276" w:type="dxa"/>
            <w:vAlign w:val="center"/>
          </w:tcPr>
          <w:p>
            <w:pPr>
              <w:pStyle w:val="14"/>
            </w:pPr>
            <w:r>
              <w:t>≥100%</w:t>
            </w:r>
          </w:p>
        </w:tc>
        <w:tc>
          <w:tcPr>
            <w:tcW w:w="1843" w:type="dxa"/>
            <w:vAlign w:val="center"/>
          </w:tcPr>
          <w:p>
            <w:pPr>
              <w:pStyle w:val="14"/>
            </w:pPr>
            <w:r>
              <w:t>依据《海绵城市专项规划编制暂行规定》需要形成包含文本、预计、说明说的完成成果体系，确保规划可落地实施。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成果合规性</w:t>
            </w:r>
          </w:p>
        </w:tc>
        <w:tc>
          <w:tcPr>
            <w:tcW w:w="2891" w:type="dxa"/>
            <w:vAlign w:val="center"/>
          </w:tcPr>
          <w:p>
            <w:pPr>
              <w:pStyle w:val="14"/>
            </w:pPr>
            <w:r>
              <w:t>规划成果符合《海绵城市建设技术指南》《河北省海绵城市建设标准》等国家及地方规范</w:t>
            </w:r>
          </w:p>
        </w:tc>
        <w:tc>
          <w:tcPr>
            <w:tcW w:w="1276" w:type="dxa"/>
            <w:vAlign w:val="center"/>
          </w:tcPr>
          <w:p>
            <w:pPr>
              <w:pStyle w:val="14"/>
            </w:pPr>
            <w:r>
              <w:t>100%符合</w:t>
            </w:r>
          </w:p>
        </w:tc>
        <w:tc>
          <w:tcPr>
            <w:tcW w:w="1843" w:type="dxa"/>
            <w:vAlign w:val="center"/>
          </w:tcPr>
          <w:p>
            <w:pPr>
              <w:pStyle w:val="14"/>
            </w:pPr>
            <w:r>
              <w:t>严格遵循《海绵城市建设技术指南》《河北省海绵城市建设标准》等国家及地方规范，保障规划技术路线与管控要求合规。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节点任务完成率</w:t>
            </w:r>
          </w:p>
        </w:tc>
        <w:tc>
          <w:tcPr>
            <w:tcW w:w="2891" w:type="dxa"/>
            <w:vAlign w:val="center"/>
          </w:tcPr>
          <w:p>
            <w:pPr>
              <w:pStyle w:val="14"/>
            </w:pPr>
            <w:r>
              <w:t>各阶段（现状调研、方案编制、征求意见）任务按时完成比例）</w:t>
            </w:r>
          </w:p>
        </w:tc>
        <w:tc>
          <w:tcPr>
            <w:tcW w:w="1276" w:type="dxa"/>
            <w:vAlign w:val="center"/>
          </w:tcPr>
          <w:p>
            <w:pPr>
              <w:pStyle w:val="14"/>
            </w:pPr>
            <w:r>
              <w:t>≥100%</w:t>
            </w:r>
          </w:p>
        </w:tc>
        <w:tc>
          <w:tcPr>
            <w:tcW w:w="1843" w:type="dxa"/>
            <w:vAlign w:val="center"/>
          </w:tcPr>
          <w:p>
            <w:pPr>
              <w:pStyle w:val="14"/>
            </w:pPr>
            <w:r>
              <w:t>参照同类规划项目的实施周期，确保各阶段任务按时交付。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预算控制率</w:t>
            </w:r>
          </w:p>
        </w:tc>
        <w:tc>
          <w:tcPr>
            <w:tcW w:w="2891" w:type="dxa"/>
            <w:vAlign w:val="center"/>
          </w:tcPr>
          <w:p>
            <w:pPr>
              <w:pStyle w:val="14"/>
            </w:pPr>
            <w:r>
              <w:t>项目实际支出不超过批复预算</w:t>
            </w:r>
          </w:p>
        </w:tc>
        <w:tc>
          <w:tcPr>
            <w:tcW w:w="1276" w:type="dxa"/>
            <w:vAlign w:val="center"/>
          </w:tcPr>
          <w:p>
            <w:pPr>
              <w:pStyle w:val="14"/>
            </w:pPr>
            <w:r>
              <w:t>≤100%</w:t>
            </w:r>
          </w:p>
        </w:tc>
        <w:tc>
          <w:tcPr>
            <w:tcW w:w="1843" w:type="dxa"/>
            <w:vAlign w:val="center"/>
          </w:tcPr>
          <w:p>
            <w:pPr>
              <w:pStyle w:val="14"/>
            </w:pPr>
            <w:r>
              <w:t>依据项目批复预算及财政资金管理要求，确保实际支出不超预算，保障资金使用效益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生态效益指标</w:t>
            </w:r>
          </w:p>
        </w:tc>
        <w:tc>
          <w:tcPr>
            <w:tcW w:w="1332" w:type="dxa"/>
            <w:vAlign w:val="center"/>
          </w:tcPr>
          <w:p>
            <w:pPr>
              <w:pStyle w:val="14"/>
            </w:pPr>
            <w:r>
              <w:t>雨水年径流总量控制率提升</w:t>
            </w:r>
          </w:p>
        </w:tc>
        <w:tc>
          <w:tcPr>
            <w:tcW w:w="2891" w:type="dxa"/>
            <w:vAlign w:val="center"/>
          </w:tcPr>
          <w:p>
            <w:pPr>
              <w:pStyle w:val="14"/>
            </w:pPr>
            <w:r>
              <w:t>规划是时候城市建成区雨水年径总量控制达到目标要求</w:t>
            </w:r>
          </w:p>
        </w:tc>
        <w:tc>
          <w:tcPr>
            <w:tcW w:w="1276" w:type="dxa"/>
            <w:vAlign w:val="center"/>
          </w:tcPr>
          <w:p>
            <w:pPr>
              <w:pStyle w:val="14"/>
            </w:pPr>
            <w:r>
              <w:t>≥85%</w:t>
            </w:r>
          </w:p>
        </w:tc>
        <w:tc>
          <w:tcPr>
            <w:tcW w:w="1843" w:type="dxa"/>
            <w:vAlign w:val="center"/>
          </w:tcPr>
          <w:p>
            <w:pPr>
              <w:pStyle w:val="14"/>
            </w:pPr>
            <w:r>
              <w:t>依据《石家庄市海绵城市建设实施方案》城市建成区雨水年径总量控制率需达到80%的目标要求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公众海绵城市认知率</w:t>
            </w:r>
          </w:p>
        </w:tc>
        <w:tc>
          <w:tcPr>
            <w:tcW w:w="2891" w:type="dxa"/>
            <w:vAlign w:val="center"/>
          </w:tcPr>
          <w:p>
            <w:pPr>
              <w:pStyle w:val="14"/>
            </w:pPr>
            <w:r>
              <w:t>市民对海绵城市理念及建设成效的知程度</w:t>
            </w:r>
          </w:p>
        </w:tc>
        <w:tc>
          <w:tcPr>
            <w:tcW w:w="1276" w:type="dxa"/>
            <w:vAlign w:val="center"/>
          </w:tcPr>
          <w:p>
            <w:pPr>
              <w:pStyle w:val="14"/>
            </w:pPr>
            <w:r>
              <w:t>≥90%</w:t>
            </w:r>
          </w:p>
        </w:tc>
        <w:tc>
          <w:tcPr>
            <w:tcW w:w="1843" w:type="dxa"/>
            <w:vAlign w:val="center"/>
          </w:tcPr>
          <w:p>
            <w:pPr>
              <w:pStyle w:val="14"/>
            </w:pPr>
            <w:r>
              <w:t>参考国内同类城市海绵城市宣传成效数据，结合本地宣传推广技术设定目标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经济效益指标</w:t>
            </w:r>
          </w:p>
        </w:tc>
        <w:tc>
          <w:tcPr>
            <w:tcW w:w="1332" w:type="dxa"/>
            <w:vAlign w:val="center"/>
          </w:tcPr>
          <w:p>
            <w:pPr>
              <w:pStyle w:val="14"/>
            </w:pPr>
            <w:r>
              <w:t>基础设施运维成本节约</w:t>
            </w:r>
          </w:p>
        </w:tc>
        <w:tc>
          <w:tcPr>
            <w:tcW w:w="2891" w:type="dxa"/>
            <w:vAlign w:val="center"/>
          </w:tcPr>
          <w:p>
            <w:pPr>
              <w:pStyle w:val="14"/>
            </w:pPr>
            <w:r>
              <w:t>海绵设施减少的市政排水设施运维成本</w:t>
            </w:r>
          </w:p>
        </w:tc>
        <w:tc>
          <w:tcPr>
            <w:tcW w:w="1276" w:type="dxa"/>
            <w:vAlign w:val="center"/>
          </w:tcPr>
          <w:p>
            <w:pPr>
              <w:pStyle w:val="14"/>
            </w:pPr>
            <w:r>
              <w:t>年节约300万元</w:t>
            </w:r>
          </w:p>
        </w:tc>
        <w:tc>
          <w:tcPr>
            <w:tcW w:w="1843" w:type="dxa"/>
            <w:vAlign w:val="center"/>
          </w:tcPr>
          <w:p>
            <w:pPr>
              <w:pStyle w:val="14"/>
            </w:pPr>
            <w:r>
              <w:t>基于海绵设施替代传统排水设施的经验数据、测算年运维成本节约额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规划有效期</w:t>
            </w:r>
          </w:p>
        </w:tc>
        <w:tc>
          <w:tcPr>
            <w:tcW w:w="2891" w:type="dxa"/>
            <w:vAlign w:val="center"/>
          </w:tcPr>
          <w:p>
            <w:pPr>
              <w:pStyle w:val="14"/>
            </w:pPr>
            <w:r>
              <w:t>规划成果对城市建设的指导年限</w:t>
            </w:r>
          </w:p>
        </w:tc>
        <w:tc>
          <w:tcPr>
            <w:tcW w:w="1276" w:type="dxa"/>
            <w:vAlign w:val="center"/>
          </w:tcPr>
          <w:p>
            <w:pPr>
              <w:pStyle w:val="14"/>
            </w:pPr>
            <w:r>
              <w:t>≥10年</w:t>
            </w:r>
          </w:p>
        </w:tc>
        <w:tc>
          <w:tcPr>
            <w:tcW w:w="1843" w:type="dxa"/>
            <w:vAlign w:val="center"/>
          </w:tcPr>
          <w:p>
            <w:pPr>
              <w:pStyle w:val="14"/>
            </w:pPr>
            <w:r>
              <w:t>依据城市规划编制相关规定，专项规划指导年限一般不低于10年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公众满意度</w:t>
            </w:r>
          </w:p>
        </w:tc>
        <w:tc>
          <w:tcPr>
            <w:tcW w:w="2891" w:type="dxa"/>
            <w:vAlign w:val="center"/>
          </w:tcPr>
          <w:p>
            <w:pPr>
              <w:pStyle w:val="14"/>
            </w:pPr>
            <w:r>
              <w:t>通过问卷调查等方式获取的市民的满意度</w:t>
            </w:r>
          </w:p>
        </w:tc>
        <w:tc>
          <w:tcPr>
            <w:tcW w:w="1276" w:type="dxa"/>
            <w:vAlign w:val="center"/>
          </w:tcPr>
          <w:p>
            <w:pPr>
              <w:pStyle w:val="14"/>
            </w:pPr>
            <w:r>
              <w:t>≥85%</w:t>
            </w:r>
          </w:p>
        </w:tc>
        <w:tc>
          <w:tcPr>
            <w:tcW w:w="1843" w:type="dxa"/>
            <w:vAlign w:val="center"/>
          </w:tcPr>
          <w:p>
            <w:pPr>
              <w:pStyle w:val="14"/>
            </w:pPr>
            <w:r>
              <w:t>参照政府购买服务项目满意度评价的行业惯例，结合市民对生态环境改善的期望设定目标</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2" w:name="_Toc_4_4_0000000031"/>
      <w:r>
        <w:rPr>
          <w:rFonts w:ascii="方正仿宋_GBK" w:hAnsi="方正仿宋_GBK" w:eastAsia="方正仿宋_GBK" w:cs="方正仿宋_GBK"/>
          <w:color w:val="000000"/>
          <w:sz w:val="28"/>
        </w:rPr>
        <w:t>28.2026年石家庄市鹿泉区铁路征地拆迁工程专项资金绩效目标表</w:t>
      </w:r>
      <w:bookmarkEnd w:id="42"/>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13011026P00000810004W</w:t>
            </w:r>
          </w:p>
        </w:tc>
        <w:tc>
          <w:tcPr>
            <w:tcW w:w="1587" w:type="dxa"/>
            <w:vAlign w:val="center"/>
          </w:tcPr>
          <w:p>
            <w:pPr>
              <w:pStyle w:val="12"/>
            </w:pPr>
            <w:r>
              <w:t>项目名称</w:t>
            </w:r>
          </w:p>
        </w:tc>
        <w:tc>
          <w:tcPr>
            <w:tcW w:w="4423" w:type="dxa"/>
            <w:gridSpan w:val="3"/>
            <w:vAlign w:val="center"/>
          </w:tcPr>
          <w:p>
            <w:pPr>
              <w:pStyle w:val="14"/>
            </w:pPr>
            <w:r>
              <w:t>2026年石家庄市鹿泉区铁路征地拆迁工程专项资金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100.00</w:t>
            </w:r>
          </w:p>
        </w:tc>
        <w:tc>
          <w:tcPr>
            <w:tcW w:w="1587" w:type="dxa"/>
            <w:vAlign w:val="center"/>
          </w:tcPr>
          <w:p>
            <w:pPr>
              <w:pStyle w:val="12"/>
            </w:pPr>
            <w:r>
              <w:t>其中：财政    资金</w:t>
            </w:r>
          </w:p>
        </w:tc>
        <w:tc>
          <w:tcPr>
            <w:tcW w:w="1304" w:type="dxa"/>
            <w:vAlign w:val="center"/>
          </w:tcPr>
          <w:p>
            <w:pPr>
              <w:pStyle w:val="14"/>
            </w:pPr>
            <w:r>
              <w:t>100.00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保障铁路征迁货运系统专线资金。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1.保障铁路征迁货运系统专线资金。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支持企业数量</w:t>
            </w:r>
          </w:p>
        </w:tc>
        <w:tc>
          <w:tcPr>
            <w:tcW w:w="2891" w:type="dxa"/>
            <w:vAlign w:val="center"/>
          </w:tcPr>
          <w:p>
            <w:pPr>
              <w:pStyle w:val="14"/>
            </w:pPr>
            <w:r>
              <w:t>支持企业数量</w:t>
            </w:r>
          </w:p>
        </w:tc>
        <w:tc>
          <w:tcPr>
            <w:tcW w:w="1276" w:type="dxa"/>
            <w:vAlign w:val="center"/>
          </w:tcPr>
          <w:p>
            <w:pPr>
              <w:pStyle w:val="14"/>
            </w:pPr>
            <w:r>
              <w:t>1个</w:t>
            </w:r>
          </w:p>
        </w:tc>
        <w:tc>
          <w:tcPr>
            <w:tcW w:w="1843" w:type="dxa"/>
            <w:vAlign w:val="center"/>
          </w:tcPr>
          <w:p>
            <w:pPr>
              <w:pStyle w:val="14"/>
            </w:pPr>
            <w:r>
              <w:t>工作计划</w:t>
            </w:r>
          </w:p>
        </w:tc>
      </w:tr>
      <w:tr>
        <w:tblPrEx>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完成率</w:t>
            </w:r>
          </w:p>
        </w:tc>
        <w:tc>
          <w:tcPr>
            <w:tcW w:w="2891" w:type="dxa"/>
            <w:vAlign w:val="center"/>
          </w:tcPr>
          <w:p>
            <w:pPr>
              <w:pStyle w:val="14"/>
            </w:pPr>
            <w:r>
              <w:t>完成率</w:t>
            </w:r>
          </w:p>
        </w:tc>
        <w:tc>
          <w:tcPr>
            <w:tcW w:w="1276" w:type="dxa"/>
            <w:vAlign w:val="center"/>
          </w:tcPr>
          <w:p>
            <w:pPr>
              <w:pStyle w:val="14"/>
            </w:pPr>
            <w:r>
              <w:t>100%</w:t>
            </w:r>
          </w:p>
        </w:tc>
        <w:tc>
          <w:tcPr>
            <w:tcW w:w="1843" w:type="dxa"/>
            <w:vAlign w:val="center"/>
          </w:tcPr>
          <w:p>
            <w:pPr>
              <w:pStyle w:val="14"/>
            </w:pPr>
            <w:r>
              <w:t>工作计划</w:t>
            </w:r>
          </w:p>
        </w:tc>
      </w:tr>
      <w:tr>
        <w:tblPrEx>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工期完工时间</w:t>
            </w:r>
          </w:p>
        </w:tc>
        <w:tc>
          <w:tcPr>
            <w:tcW w:w="2891" w:type="dxa"/>
            <w:vAlign w:val="center"/>
          </w:tcPr>
          <w:p>
            <w:pPr>
              <w:pStyle w:val="14"/>
            </w:pPr>
            <w:r>
              <w:t>工期完工时间</w:t>
            </w:r>
          </w:p>
        </w:tc>
        <w:tc>
          <w:tcPr>
            <w:tcW w:w="1276" w:type="dxa"/>
            <w:vAlign w:val="center"/>
          </w:tcPr>
          <w:p>
            <w:pPr>
              <w:pStyle w:val="14"/>
            </w:pPr>
            <w:r>
              <w:t>已完工</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控制在预算成本内</w:t>
            </w:r>
          </w:p>
        </w:tc>
        <w:tc>
          <w:tcPr>
            <w:tcW w:w="2891" w:type="dxa"/>
            <w:vAlign w:val="center"/>
          </w:tcPr>
          <w:p>
            <w:pPr>
              <w:pStyle w:val="14"/>
            </w:pPr>
            <w:r>
              <w:t>控制在预算成本内</w:t>
            </w:r>
          </w:p>
        </w:tc>
        <w:tc>
          <w:tcPr>
            <w:tcW w:w="1276" w:type="dxa"/>
            <w:vAlign w:val="center"/>
          </w:tcPr>
          <w:p>
            <w:pPr>
              <w:pStyle w:val="14"/>
            </w:pPr>
            <w:r>
              <w:t>100万元</w:t>
            </w:r>
          </w:p>
        </w:tc>
        <w:tc>
          <w:tcPr>
            <w:tcW w:w="1843" w:type="dxa"/>
            <w:vAlign w:val="center"/>
          </w:tcPr>
          <w:p>
            <w:pPr>
              <w:pStyle w:val="14"/>
            </w:pPr>
            <w:r>
              <w:t>工作计划</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资产可持续使用年限</w:t>
            </w:r>
          </w:p>
        </w:tc>
        <w:tc>
          <w:tcPr>
            <w:tcW w:w="2891" w:type="dxa"/>
            <w:vAlign w:val="center"/>
          </w:tcPr>
          <w:p>
            <w:pPr>
              <w:pStyle w:val="14"/>
            </w:pPr>
            <w:r>
              <w:t>反映基建项目形成的固定资产可持续使用的年限情况。</w:t>
            </w:r>
          </w:p>
        </w:tc>
        <w:tc>
          <w:tcPr>
            <w:tcW w:w="1276" w:type="dxa"/>
            <w:vAlign w:val="center"/>
          </w:tcPr>
          <w:p>
            <w:pPr>
              <w:pStyle w:val="14"/>
            </w:pPr>
            <w:r>
              <w:t>≥30年</w:t>
            </w:r>
          </w:p>
        </w:tc>
        <w:tc>
          <w:tcPr>
            <w:tcW w:w="1843" w:type="dxa"/>
            <w:vAlign w:val="center"/>
          </w:tcPr>
          <w:p>
            <w:pPr>
              <w:pStyle w:val="14"/>
            </w:pPr>
            <w:r>
              <w:t>工作计划</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满意率</w:t>
            </w:r>
          </w:p>
        </w:tc>
        <w:tc>
          <w:tcPr>
            <w:tcW w:w="2891" w:type="dxa"/>
            <w:vAlign w:val="center"/>
          </w:tcPr>
          <w:p>
            <w:pPr>
              <w:pStyle w:val="14"/>
            </w:pPr>
            <w:r>
              <w:t>满意率</w:t>
            </w:r>
          </w:p>
        </w:tc>
        <w:tc>
          <w:tcPr>
            <w:tcW w:w="1276" w:type="dxa"/>
            <w:vAlign w:val="center"/>
          </w:tcPr>
          <w:p>
            <w:pPr>
              <w:pStyle w:val="14"/>
            </w:pPr>
            <w:r>
              <w:t>≥90%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3" w:name="_Toc_4_4_0000000032"/>
      <w:r>
        <w:rPr>
          <w:rFonts w:ascii="方正仿宋_GBK" w:hAnsi="方正仿宋_GBK" w:eastAsia="方正仿宋_GBK" w:cs="方正仿宋_GBK"/>
          <w:color w:val="000000"/>
          <w:sz w:val="28"/>
        </w:rPr>
        <w:t>29.2026年石家庄市鹿泉区新型城镇化规划（2021-2035年）绩效目标表</w:t>
      </w:r>
      <w:bookmarkEnd w:id="4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13011026P001606100100</w:t>
            </w:r>
          </w:p>
        </w:tc>
        <w:tc>
          <w:tcPr>
            <w:tcW w:w="1587" w:type="dxa"/>
            <w:vAlign w:val="center"/>
          </w:tcPr>
          <w:p>
            <w:pPr>
              <w:pStyle w:val="12"/>
            </w:pPr>
            <w:r>
              <w:t>项目名称</w:t>
            </w:r>
          </w:p>
        </w:tc>
        <w:tc>
          <w:tcPr>
            <w:tcW w:w="4423" w:type="dxa"/>
            <w:gridSpan w:val="3"/>
            <w:vAlign w:val="center"/>
          </w:tcPr>
          <w:p>
            <w:pPr>
              <w:pStyle w:val="14"/>
            </w:pPr>
            <w:r>
              <w:t>2026年石家庄市鹿泉区新型城镇化规划（2021-2035年）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1.05</w:t>
            </w:r>
          </w:p>
        </w:tc>
        <w:tc>
          <w:tcPr>
            <w:tcW w:w="1587" w:type="dxa"/>
            <w:vAlign w:val="center"/>
          </w:tcPr>
          <w:p>
            <w:pPr>
              <w:pStyle w:val="12"/>
            </w:pPr>
            <w:r>
              <w:t>其中：财政    资金</w:t>
            </w:r>
          </w:p>
        </w:tc>
        <w:tc>
          <w:tcPr>
            <w:tcW w:w="1304" w:type="dxa"/>
            <w:vAlign w:val="center"/>
          </w:tcPr>
          <w:p>
            <w:pPr>
              <w:pStyle w:val="14"/>
            </w:pPr>
            <w:r>
              <w:t>1.05</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完成我区新型城镇化规划，规划期至2023年，指导我区创建全国新型城镇化建设示范区。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1.完成我区新型城镇化规划，规划期至2023年，指导我区创建全国新型城镇化建设示范区。</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规划编制完成率</w:t>
            </w:r>
          </w:p>
        </w:tc>
        <w:tc>
          <w:tcPr>
            <w:tcW w:w="2891" w:type="dxa"/>
            <w:vAlign w:val="center"/>
          </w:tcPr>
          <w:p>
            <w:pPr>
              <w:pStyle w:val="14"/>
            </w:pPr>
            <w:r>
              <w:t>鹿泉区新型城镇化规划（2021-2035）编制100%完成</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规划编制实用率</w:t>
            </w:r>
          </w:p>
        </w:tc>
        <w:tc>
          <w:tcPr>
            <w:tcW w:w="2891" w:type="dxa"/>
            <w:vAlign w:val="center"/>
          </w:tcPr>
          <w:p>
            <w:pPr>
              <w:pStyle w:val="14"/>
            </w:pPr>
            <w:r>
              <w:t>新型城镇化规划对创建全国新型城镇化建设示范区的指导效果</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规划编制完成时间</w:t>
            </w:r>
          </w:p>
        </w:tc>
        <w:tc>
          <w:tcPr>
            <w:tcW w:w="2891" w:type="dxa"/>
            <w:vAlign w:val="center"/>
          </w:tcPr>
          <w:p>
            <w:pPr>
              <w:pStyle w:val="14"/>
            </w:pPr>
            <w:r>
              <w:t>完成规划期至2035年的新型城镇化规划</w:t>
            </w:r>
          </w:p>
        </w:tc>
        <w:tc>
          <w:tcPr>
            <w:tcW w:w="1276" w:type="dxa"/>
            <w:vAlign w:val="center"/>
          </w:tcPr>
          <w:p>
            <w:pPr>
              <w:pStyle w:val="14"/>
            </w:pPr>
            <w:r>
              <w:t>2023年底</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完成规划编制成本</w:t>
            </w:r>
          </w:p>
        </w:tc>
        <w:tc>
          <w:tcPr>
            <w:tcW w:w="2891" w:type="dxa"/>
            <w:vAlign w:val="center"/>
          </w:tcPr>
          <w:p>
            <w:pPr>
              <w:pStyle w:val="14"/>
            </w:pPr>
            <w:r>
              <w:t>完成鹿泉区新型城镇化规划（2021-2035）编制所需费用</w:t>
            </w:r>
          </w:p>
        </w:tc>
        <w:tc>
          <w:tcPr>
            <w:tcW w:w="1276" w:type="dxa"/>
            <w:vAlign w:val="center"/>
          </w:tcPr>
          <w:p>
            <w:pPr>
              <w:pStyle w:val="14"/>
            </w:pPr>
            <w:r>
              <w:t>15万元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指导作用</w:t>
            </w:r>
          </w:p>
        </w:tc>
        <w:tc>
          <w:tcPr>
            <w:tcW w:w="2891" w:type="dxa"/>
            <w:vAlign w:val="center"/>
          </w:tcPr>
          <w:p>
            <w:pPr>
              <w:pStyle w:val="14"/>
            </w:pPr>
            <w:r>
              <w:t>指导鹿泉区达到全国新型城镇化建设示范区水平</w:t>
            </w:r>
          </w:p>
        </w:tc>
        <w:tc>
          <w:tcPr>
            <w:tcW w:w="1276" w:type="dxa"/>
            <w:vAlign w:val="center"/>
          </w:tcPr>
          <w:p>
            <w:pPr>
              <w:pStyle w:val="14"/>
            </w:pPr>
            <w:r>
              <w:t>达到全国示范区水平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规划持续发挥作用时间</w:t>
            </w:r>
          </w:p>
        </w:tc>
        <w:tc>
          <w:tcPr>
            <w:tcW w:w="2891" w:type="dxa"/>
            <w:vAlign w:val="center"/>
          </w:tcPr>
          <w:p>
            <w:pPr>
              <w:pStyle w:val="14"/>
            </w:pPr>
            <w:r>
              <w:t>规划编制可持续期限</w:t>
            </w:r>
          </w:p>
        </w:tc>
        <w:tc>
          <w:tcPr>
            <w:tcW w:w="1276" w:type="dxa"/>
            <w:vAlign w:val="center"/>
          </w:tcPr>
          <w:p>
            <w:pPr>
              <w:pStyle w:val="14"/>
            </w:pPr>
            <w:r>
              <w:t>13年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群众对规划编制的满意率</w:t>
            </w:r>
          </w:p>
        </w:tc>
        <w:tc>
          <w:tcPr>
            <w:tcW w:w="1276" w:type="dxa"/>
            <w:vAlign w:val="center"/>
          </w:tcPr>
          <w:p>
            <w:pPr>
              <w:pStyle w:val="14"/>
            </w:pPr>
            <w:r>
              <w:t>≥90%</w:t>
            </w:r>
          </w:p>
        </w:tc>
        <w:tc>
          <w:tcPr>
            <w:tcW w:w="1843" w:type="dxa"/>
            <w:vAlign w:val="center"/>
          </w:tcPr>
          <w:p>
            <w:pPr>
              <w:pStyle w:val="14"/>
            </w:pPr>
            <w:r>
              <w:t>问卷调查</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4" w:name="_Toc_4_4_0000000033"/>
      <w:r>
        <w:rPr>
          <w:rFonts w:ascii="方正仿宋_GBK" w:hAnsi="方正仿宋_GBK" w:eastAsia="方正仿宋_GBK" w:cs="方正仿宋_GBK"/>
          <w:color w:val="000000"/>
          <w:sz w:val="28"/>
        </w:rPr>
        <w:t>30.2026年石家庄西部上庄污水处理厂扩建工程绩效目标表</w:t>
      </w:r>
      <w:bookmarkEnd w:id="44"/>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13011026P00155610179D</w:t>
            </w:r>
          </w:p>
        </w:tc>
        <w:tc>
          <w:tcPr>
            <w:tcW w:w="1587" w:type="dxa"/>
            <w:vAlign w:val="center"/>
          </w:tcPr>
          <w:p>
            <w:pPr>
              <w:pStyle w:val="12"/>
            </w:pPr>
            <w:r>
              <w:t>项目名称</w:t>
            </w:r>
          </w:p>
        </w:tc>
        <w:tc>
          <w:tcPr>
            <w:tcW w:w="4423" w:type="dxa"/>
            <w:gridSpan w:val="3"/>
            <w:vAlign w:val="center"/>
          </w:tcPr>
          <w:p>
            <w:pPr>
              <w:pStyle w:val="14"/>
            </w:pPr>
            <w:r>
              <w:t>2026年石家庄西部上庄污水处理厂扩建工程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100.90</w:t>
            </w:r>
          </w:p>
        </w:tc>
        <w:tc>
          <w:tcPr>
            <w:tcW w:w="1587" w:type="dxa"/>
            <w:vAlign w:val="center"/>
          </w:tcPr>
          <w:p>
            <w:pPr>
              <w:pStyle w:val="12"/>
            </w:pPr>
            <w:r>
              <w:t>其中：财政    资金</w:t>
            </w:r>
          </w:p>
        </w:tc>
        <w:tc>
          <w:tcPr>
            <w:tcW w:w="1304" w:type="dxa"/>
            <w:vAlign w:val="center"/>
          </w:tcPr>
          <w:p>
            <w:pPr>
              <w:pStyle w:val="14"/>
            </w:pPr>
            <w:r>
              <w:t>100.90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在原有 5 万立方米/日的基础上扩建 5 万立方米/日（即建成后处理规模 10 万立方米/日），污水厂扩建后提高了污水处理能力，能有效防止污水外溢，保护环境。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1.在原有 5 万立方米/日的基础上扩建 5 万立方米/日（即建成后处理规模 10 万立方米/日），污水厂扩建后提高了污水处理能力，能有效防止污水外溢，保护环境。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扩建增加每日的污水处理量</w:t>
            </w:r>
          </w:p>
        </w:tc>
        <w:tc>
          <w:tcPr>
            <w:tcW w:w="2891" w:type="dxa"/>
            <w:vAlign w:val="center"/>
          </w:tcPr>
          <w:p>
            <w:pPr>
              <w:pStyle w:val="14"/>
            </w:pPr>
            <w:r>
              <w:t>该项目扩建的污水处理每日的总量</w:t>
            </w:r>
          </w:p>
        </w:tc>
        <w:tc>
          <w:tcPr>
            <w:tcW w:w="1276" w:type="dxa"/>
            <w:vAlign w:val="center"/>
          </w:tcPr>
          <w:p>
            <w:pPr>
              <w:pStyle w:val="14"/>
            </w:pPr>
            <w:r>
              <w:t>5万立方米/日</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建设工程质量合格率（%）</w:t>
            </w:r>
          </w:p>
        </w:tc>
        <w:tc>
          <w:tcPr>
            <w:tcW w:w="2891" w:type="dxa"/>
            <w:vAlign w:val="center"/>
          </w:tcPr>
          <w:p>
            <w:pPr>
              <w:pStyle w:val="14"/>
            </w:pPr>
            <w:r>
              <w:t>项目完工验收合格数/项目总数*100%</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项目完成及时率</w:t>
            </w:r>
          </w:p>
        </w:tc>
        <w:tc>
          <w:tcPr>
            <w:tcW w:w="2891" w:type="dxa"/>
            <w:vAlign w:val="center"/>
          </w:tcPr>
          <w:p>
            <w:pPr>
              <w:pStyle w:val="14"/>
            </w:pPr>
            <w:r>
              <w:t>及时完成工程量占需要完成工程量的比例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工程建设成本</w:t>
            </w:r>
          </w:p>
        </w:tc>
        <w:tc>
          <w:tcPr>
            <w:tcW w:w="2891" w:type="dxa"/>
            <w:vAlign w:val="center"/>
          </w:tcPr>
          <w:p>
            <w:pPr>
              <w:pStyle w:val="14"/>
            </w:pPr>
            <w:r>
              <w:t>工程建设成本</w:t>
            </w:r>
          </w:p>
        </w:tc>
        <w:tc>
          <w:tcPr>
            <w:tcW w:w="1276" w:type="dxa"/>
            <w:vAlign w:val="center"/>
          </w:tcPr>
          <w:p>
            <w:pPr>
              <w:pStyle w:val="14"/>
            </w:pPr>
            <w:r>
              <w:t>≤11780.67万元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污水处理厂使用年限</w:t>
            </w:r>
          </w:p>
        </w:tc>
        <w:tc>
          <w:tcPr>
            <w:tcW w:w="2891" w:type="dxa"/>
            <w:vAlign w:val="center"/>
          </w:tcPr>
          <w:p>
            <w:pPr>
              <w:pStyle w:val="14"/>
            </w:pPr>
            <w:r>
              <w:t>污水处理厂使用年限</w:t>
            </w:r>
          </w:p>
        </w:tc>
        <w:tc>
          <w:tcPr>
            <w:tcW w:w="1276" w:type="dxa"/>
            <w:vAlign w:val="center"/>
          </w:tcPr>
          <w:p>
            <w:pPr>
              <w:pStyle w:val="14"/>
            </w:pPr>
            <w:r>
              <w:t>≥20年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居民满意度</w:t>
            </w:r>
          </w:p>
        </w:tc>
        <w:tc>
          <w:tcPr>
            <w:tcW w:w="2891" w:type="dxa"/>
            <w:vAlign w:val="center"/>
          </w:tcPr>
          <w:p>
            <w:pPr>
              <w:pStyle w:val="14"/>
            </w:pPr>
            <w:r>
              <w:t>反映项目实施后受益人群的满意度情况</w:t>
            </w:r>
          </w:p>
        </w:tc>
        <w:tc>
          <w:tcPr>
            <w:tcW w:w="1276" w:type="dxa"/>
            <w:vAlign w:val="center"/>
          </w:tcPr>
          <w:p>
            <w:pPr>
              <w:pStyle w:val="14"/>
            </w:pPr>
            <w:r>
              <w:t>≥80%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5" w:name="_Toc_4_4_0000000034"/>
      <w:r>
        <w:rPr>
          <w:rFonts w:ascii="方正仿宋_GBK" w:hAnsi="方正仿宋_GBK" w:eastAsia="方正仿宋_GBK" w:cs="方正仿宋_GBK"/>
          <w:color w:val="000000"/>
          <w:sz w:val="28"/>
        </w:rPr>
        <w:t>31.2026年石家庄西部上庄污水处理厂扩建运营费绩效目标表</w:t>
      </w:r>
      <w:bookmarkEnd w:id="4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13011026P00155610178R</w:t>
            </w:r>
          </w:p>
        </w:tc>
        <w:tc>
          <w:tcPr>
            <w:tcW w:w="1587" w:type="dxa"/>
            <w:vAlign w:val="center"/>
          </w:tcPr>
          <w:p>
            <w:pPr>
              <w:pStyle w:val="12"/>
            </w:pPr>
            <w:r>
              <w:t>项目名称</w:t>
            </w:r>
          </w:p>
        </w:tc>
        <w:tc>
          <w:tcPr>
            <w:tcW w:w="4423" w:type="dxa"/>
            <w:gridSpan w:val="3"/>
            <w:vAlign w:val="center"/>
          </w:tcPr>
          <w:p>
            <w:pPr>
              <w:pStyle w:val="14"/>
            </w:pPr>
            <w:r>
              <w:t>2026年石家庄西部上庄污水处理厂扩建运营费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500.00</w:t>
            </w:r>
          </w:p>
        </w:tc>
        <w:tc>
          <w:tcPr>
            <w:tcW w:w="1587" w:type="dxa"/>
            <w:vAlign w:val="center"/>
          </w:tcPr>
          <w:p>
            <w:pPr>
              <w:pStyle w:val="12"/>
            </w:pPr>
            <w:r>
              <w:t>其中：财政    资金</w:t>
            </w:r>
          </w:p>
        </w:tc>
        <w:tc>
          <w:tcPr>
            <w:tcW w:w="1304" w:type="dxa"/>
            <w:vAlign w:val="center"/>
          </w:tcPr>
          <w:p>
            <w:pPr>
              <w:pStyle w:val="14"/>
            </w:pPr>
            <w:r>
              <w:t>500.00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完成污水处理厂运营服务费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1.完成污水处理厂运营服务费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提交成果报告</w:t>
            </w:r>
          </w:p>
        </w:tc>
        <w:tc>
          <w:tcPr>
            <w:tcW w:w="2891" w:type="dxa"/>
            <w:vAlign w:val="center"/>
          </w:tcPr>
          <w:p>
            <w:pPr>
              <w:pStyle w:val="14"/>
            </w:pPr>
            <w:r>
              <w:t>提交成果报告</w:t>
            </w:r>
          </w:p>
        </w:tc>
        <w:tc>
          <w:tcPr>
            <w:tcW w:w="1276" w:type="dxa"/>
            <w:vAlign w:val="center"/>
          </w:tcPr>
          <w:p>
            <w:pPr>
              <w:pStyle w:val="14"/>
            </w:pPr>
            <w:r>
              <w:t>3套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提交成果报告质量</w:t>
            </w:r>
          </w:p>
        </w:tc>
        <w:tc>
          <w:tcPr>
            <w:tcW w:w="2891" w:type="dxa"/>
            <w:vAlign w:val="center"/>
          </w:tcPr>
          <w:p>
            <w:pPr>
              <w:pStyle w:val="14"/>
            </w:pPr>
            <w:r>
              <w:t>提交成果报告质量</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任务完成时间</w:t>
            </w:r>
          </w:p>
        </w:tc>
        <w:tc>
          <w:tcPr>
            <w:tcW w:w="2891" w:type="dxa"/>
            <w:vAlign w:val="center"/>
          </w:tcPr>
          <w:p>
            <w:pPr>
              <w:pStyle w:val="14"/>
            </w:pPr>
            <w:r>
              <w:t>任务完成时间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预算控制</w:t>
            </w:r>
          </w:p>
        </w:tc>
        <w:tc>
          <w:tcPr>
            <w:tcW w:w="2891" w:type="dxa"/>
            <w:vAlign w:val="center"/>
          </w:tcPr>
          <w:p>
            <w:pPr>
              <w:pStyle w:val="14"/>
            </w:pPr>
            <w:r>
              <w:t>预算控制</w:t>
            </w:r>
          </w:p>
        </w:tc>
        <w:tc>
          <w:tcPr>
            <w:tcW w:w="1276" w:type="dxa"/>
            <w:vAlign w:val="center"/>
          </w:tcPr>
          <w:p>
            <w:pPr>
              <w:pStyle w:val="14"/>
            </w:pPr>
            <w:r>
              <w:t>≤1080万元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可持续使用时间</w:t>
            </w:r>
          </w:p>
        </w:tc>
        <w:tc>
          <w:tcPr>
            <w:tcW w:w="2891" w:type="dxa"/>
            <w:vAlign w:val="center"/>
          </w:tcPr>
          <w:p>
            <w:pPr>
              <w:pStyle w:val="14"/>
            </w:pPr>
            <w:r>
              <w:t>运营时间</w:t>
            </w:r>
          </w:p>
        </w:tc>
        <w:tc>
          <w:tcPr>
            <w:tcW w:w="1276" w:type="dxa"/>
            <w:vAlign w:val="center"/>
          </w:tcPr>
          <w:p>
            <w:pPr>
              <w:pStyle w:val="14"/>
            </w:pPr>
            <w:r>
              <w:t>≥3年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群众满意数量占总数的比例</w:t>
            </w:r>
          </w:p>
        </w:tc>
        <w:tc>
          <w:tcPr>
            <w:tcW w:w="1276" w:type="dxa"/>
            <w:vAlign w:val="center"/>
          </w:tcPr>
          <w:p>
            <w:pPr>
              <w:pStyle w:val="14"/>
            </w:pPr>
            <w:r>
              <w:t>≥90%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6" w:name="_Toc_4_4_0000000035"/>
      <w:r>
        <w:rPr>
          <w:rFonts w:ascii="方正仿宋_GBK" w:hAnsi="方正仿宋_GBK" w:eastAsia="方正仿宋_GBK" w:cs="方正仿宋_GBK"/>
          <w:color w:val="000000"/>
          <w:sz w:val="28"/>
        </w:rPr>
        <w:t>32.2026年污水处理代征服务费及管网附属管护费绩效目标表</w:t>
      </w:r>
      <w:bookmarkEnd w:id="4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13011026P00155610176J</w:t>
            </w:r>
          </w:p>
        </w:tc>
        <w:tc>
          <w:tcPr>
            <w:tcW w:w="1587" w:type="dxa"/>
            <w:vAlign w:val="center"/>
          </w:tcPr>
          <w:p>
            <w:pPr>
              <w:pStyle w:val="12"/>
            </w:pPr>
            <w:r>
              <w:t>项目名称</w:t>
            </w:r>
          </w:p>
        </w:tc>
        <w:tc>
          <w:tcPr>
            <w:tcW w:w="4423" w:type="dxa"/>
            <w:gridSpan w:val="3"/>
            <w:vAlign w:val="center"/>
          </w:tcPr>
          <w:p>
            <w:pPr>
              <w:pStyle w:val="14"/>
            </w:pPr>
            <w:r>
              <w:t>2026年污水处理代征服务费及管网附属管护费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50.00</w:t>
            </w:r>
          </w:p>
        </w:tc>
        <w:tc>
          <w:tcPr>
            <w:tcW w:w="1587" w:type="dxa"/>
            <w:vAlign w:val="center"/>
          </w:tcPr>
          <w:p>
            <w:pPr>
              <w:pStyle w:val="12"/>
            </w:pPr>
            <w:r>
              <w:t>其中：财政    资金</w:t>
            </w:r>
          </w:p>
        </w:tc>
        <w:tc>
          <w:tcPr>
            <w:tcW w:w="1304" w:type="dxa"/>
            <w:vAlign w:val="center"/>
          </w:tcPr>
          <w:p>
            <w:pPr>
              <w:pStyle w:val="14"/>
            </w:pPr>
            <w:r>
              <w:t>50.00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共雇佣30人对50公里的管网和泵站进行巡护和维护疏通管理，给予代征单位污水处理费3%的服务费。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1.共雇佣30人对50公里的管网和泵站进行巡护和维护疏通管理，给予代征单位污水处理费3%的服务费。</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雇佣人数</w:t>
            </w:r>
          </w:p>
        </w:tc>
        <w:tc>
          <w:tcPr>
            <w:tcW w:w="2891" w:type="dxa"/>
            <w:vAlign w:val="center"/>
          </w:tcPr>
          <w:p>
            <w:pPr>
              <w:pStyle w:val="14"/>
            </w:pPr>
            <w:r>
              <w:t>维护泵站管网运行人员</w:t>
            </w:r>
          </w:p>
        </w:tc>
        <w:tc>
          <w:tcPr>
            <w:tcW w:w="1276" w:type="dxa"/>
            <w:vAlign w:val="center"/>
          </w:tcPr>
          <w:p>
            <w:pPr>
              <w:pStyle w:val="14"/>
            </w:pPr>
            <w:r>
              <w:t>≥30人</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维护管网长度</w:t>
            </w:r>
          </w:p>
        </w:tc>
        <w:tc>
          <w:tcPr>
            <w:tcW w:w="2891" w:type="dxa"/>
            <w:vAlign w:val="center"/>
          </w:tcPr>
          <w:p>
            <w:pPr>
              <w:pStyle w:val="14"/>
            </w:pPr>
            <w:r>
              <w:t>维护泵站污水管网管护长度</w:t>
            </w:r>
          </w:p>
        </w:tc>
        <w:tc>
          <w:tcPr>
            <w:tcW w:w="1276" w:type="dxa"/>
            <w:vAlign w:val="center"/>
          </w:tcPr>
          <w:p>
            <w:pPr>
              <w:pStyle w:val="14"/>
            </w:pPr>
            <w:r>
              <w:t>≥50公里</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维护污水管网及时率</w:t>
            </w:r>
          </w:p>
        </w:tc>
        <w:tc>
          <w:tcPr>
            <w:tcW w:w="2891" w:type="dxa"/>
            <w:vAlign w:val="center"/>
          </w:tcPr>
          <w:p>
            <w:pPr>
              <w:pStyle w:val="14"/>
            </w:pPr>
            <w:r>
              <w:t>维护污水管道损坏及修复及时率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维护泵站管网成本</w:t>
            </w:r>
          </w:p>
        </w:tc>
        <w:tc>
          <w:tcPr>
            <w:tcW w:w="2891" w:type="dxa"/>
            <w:vAlign w:val="center"/>
          </w:tcPr>
          <w:p>
            <w:pPr>
              <w:pStyle w:val="14"/>
            </w:pPr>
            <w:r>
              <w:t>维护泵站、管网日常运行、维修、管护、工资、电费等</w:t>
            </w:r>
          </w:p>
        </w:tc>
        <w:tc>
          <w:tcPr>
            <w:tcW w:w="1276" w:type="dxa"/>
            <w:vAlign w:val="center"/>
          </w:tcPr>
          <w:p>
            <w:pPr>
              <w:pStyle w:val="14"/>
            </w:pPr>
            <w:r>
              <w:t>138万</w:t>
            </w:r>
          </w:p>
        </w:tc>
        <w:tc>
          <w:tcPr>
            <w:tcW w:w="1843"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污水处理费待征服务费</w:t>
            </w:r>
          </w:p>
        </w:tc>
        <w:tc>
          <w:tcPr>
            <w:tcW w:w="2891" w:type="dxa"/>
            <w:vAlign w:val="center"/>
          </w:tcPr>
          <w:p>
            <w:pPr>
              <w:pStyle w:val="14"/>
            </w:pPr>
            <w:r>
              <w:t>保障污水处理费征收工作正常收缴</w:t>
            </w:r>
          </w:p>
        </w:tc>
        <w:tc>
          <w:tcPr>
            <w:tcW w:w="1276" w:type="dxa"/>
            <w:vAlign w:val="center"/>
          </w:tcPr>
          <w:p>
            <w:pPr>
              <w:pStyle w:val="14"/>
            </w:pPr>
            <w:r>
              <w:t>支付污水处理费代征费3%</w:t>
            </w:r>
          </w:p>
        </w:tc>
        <w:tc>
          <w:tcPr>
            <w:tcW w:w="1843"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维护泵站管网完成率</w:t>
            </w:r>
          </w:p>
        </w:tc>
        <w:tc>
          <w:tcPr>
            <w:tcW w:w="2891" w:type="dxa"/>
            <w:vAlign w:val="center"/>
          </w:tcPr>
          <w:p>
            <w:pPr>
              <w:pStyle w:val="14"/>
            </w:pPr>
            <w:r>
              <w:t>维护泵站管网全年合格率达到百分比</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解决周边企业居民污水收集处理</w:t>
            </w:r>
          </w:p>
        </w:tc>
        <w:tc>
          <w:tcPr>
            <w:tcW w:w="2891" w:type="dxa"/>
            <w:vAlign w:val="center"/>
          </w:tcPr>
          <w:p>
            <w:pPr>
              <w:pStyle w:val="14"/>
            </w:pPr>
            <w:r>
              <w:t>解决主管网周边居民生活污水集中收集处理问题</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收益群众满意度（%）</w:t>
            </w:r>
          </w:p>
        </w:tc>
        <w:tc>
          <w:tcPr>
            <w:tcW w:w="2891" w:type="dxa"/>
            <w:vAlign w:val="center"/>
          </w:tcPr>
          <w:p>
            <w:pPr>
              <w:pStyle w:val="14"/>
            </w:pPr>
            <w:r>
              <w:t>收水范围内收益群众满意度</w:t>
            </w:r>
          </w:p>
        </w:tc>
        <w:tc>
          <w:tcPr>
            <w:tcW w:w="1276" w:type="dxa"/>
            <w:vAlign w:val="center"/>
          </w:tcPr>
          <w:p>
            <w:pPr>
              <w:pStyle w:val="14"/>
            </w:pPr>
            <w:r>
              <w:t>≥95%</w:t>
            </w:r>
          </w:p>
        </w:tc>
        <w:tc>
          <w:tcPr>
            <w:tcW w:w="1843" w:type="dxa"/>
            <w:vAlign w:val="center"/>
          </w:tcPr>
          <w:p>
            <w:pPr>
              <w:pStyle w:val="14"/>
            </w:pPr>
            <w:r>
              <w:t>计划标准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7" w:name="_Toc_4_4_0000000036"/>
      <w:r>
        <w:rPr>
          <w:rFonts w:ascii="方正仿宋_GBK" w:hAnsi="方正仿宋_GBK" w:eastAsia="方正仿宋_GBK" w:cs="方正仿宋_GBK"/>
          <w:color w:val="000000"/>
          <w:sz w:val="28"/>
        </w:rPr>
        <w:t>33.2026年物业公司审计费绩效目标表</w:t>
      </w:r>
      <w:bookmarkEnd w:id="4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13011026P00160610009L</w:t>
            </w:r>
          </w:p>
        </w:tc>
        <w:tc>
          <w:tcPr>
            <w:tcW w:w="1587" w:type="dxa"/>
            <w:vAlign w:val="center"/>
          </w:tcPr>
          <w:p>
            <w:pPr>
              <w:pStyle w:val="12"/>
            </w:pPr>
            <w:r>
              <w:t>项目名称</w:t>
            </w:r>
          </w:p>
        </w:tc>
        <w:tc>
          <w:tcPr>
            <w:tcW w:w="4423" w:type="dxa"/>
            <w:gridSpan w:val="3"/>
            <w:vAlign w:val="center"/>
          </w:tcPr>
          <w:p>
            <w:pPr>
              <w:pStyle w:val="14"/>
            </w:pPr>
            <w:r>
              <w:t>2026年物业公司审计费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1.05</w:t>
            </w:r>
          </w:p>
        </w:tc>
        <w:tc>
          <w:tcPr>
            <w:tcW w:w="1587" w:type="dxa"/>
            <w:vAlign w:val="center"/>
          </w:tcPr>
          <w:p>
            <w:pPr>
              <w:pStyle w:val="12"/>
            </w:pPr>
            <w:r>
              <w:t>其中：财政    资金</w:t>
            </w:r>
          </w:p>
        </w:tc>
        <w:tc>
          <w:tcPr>
            <w:tcW w:w="1304" w:type="dxa"/>
            <w:vAlign w:val="center"/>
          </w:tcPr>
          <w:p>
            <w:pPr>
              <w:pStyle w:val="14"/>
            </w:pPr>
            <w:r>
              <w:t>1.05</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审查物业公司费用专款专用，杜绝资金抽逃。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1.审查物业公司费用专款专用，杜绝资金抽逃。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监督检查覆盖率</w:t>
            </w:r>
          </w:p>
        </w:tc>
        <w:tc>
          <w:tcPr>
            <w:tcW w:w="2891" w:type="dxa"/>
            <w:vAlign w:val="center"/>
          </w:tcPr>
          <w:p>
            <w:pPr>
              <w:pStyle w:val="14"/>
            </w:pPr>
            <w:r>
              <w:t>反映监督检查覆盖情况。</w:t>
            </w:r>
          </w:p>
        </w:tc>
        <w:tc>
          <w:tcPr>
            <w:tcW w:w="1276" w:type="dxa"/>
            <w:vAlign w:val="center"/>
          </w:tcPr>
          <w:p>
            <w:pPr>
              <w:pStyle w:val="14"/>
            </w:pPr>
            <w:r>
              <w:t>全区重点物业公司</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问题整改率</w:t>
            </w:r>
          </w:p>
        </w:tc>
        <w:tc>
          <w:tcPr>
            <w:tcW w:w="2891" w:type="dxa"/>
            <w:vAlign w:val="center"/>
          </w:tcPr>
          <w:p>
            <w:pPr>
              <w:pStyle w:val="14"/>
            </w:pPr>
            <w:r>
              <w:t>反映问题整改情况。</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审计时间</w:t>
            </w:r>
          </w:p>
        </w:tc>
        <w:tc>
          <w:tcPr>
            <w:tcW w:w="2891" w:type="dxa"/>
            <w:vAlign w:val="center"/>
          </w:tcPr>
          <w:p>
            <w:pPr>
              <w:pStyle w:val="14"/>
            </w:pPr>
            <w:r>
              <w:t>审计工作时间情况。</w:t>
            </w:r>
          </w:p>
        </w:tc>
        <w:tc>
          <w:tcPr>
            <w:tcW w:w="1276" w:type="dxa"/>
            <w:vAlign w:val="center"/>
          </w:tcPr>
          <w:p>
            <w:pPr>
              <w:pStyle w:val="14"/>
            </w:pPr>
            <w:r>
              <w:t>本年度</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预算成本</w:t>
            </w:r>
          </w:p>
        </w:tc>
        <w:tc>
          <w:tcPr>
            <w:tcW w:w="2891" w:type="dxa"/>
            <w:vAlign w:val="center"/>
          </w:tcPr>
          <w:p>
            <w:pPr>
              <w:pStyle w:val="14"/>
            </w:pPr>
            <w:r>
              <w:t>预算成本</w:t>
            </w:r>
          </w:p>
        </w:tc>
        <w:tc>
          <w:tcPr>
            <w:tcW w:w="1276" w:type="dxa"/>
            <w:vAlign w:val="center"/>
          </w:tcPr>
          <w:p>
            <w:pPr>
              <w:pStyle w:val="14"/>
            </w:pPr>
            <w:r>
              <w:t>预算批复</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审计建议采纳率</w:t>
            </w:r>
          </w:p>
        </w:tc>
        <w:tc>
          <w:tcPr>
            <w:tcW w:w="2891" w:type="dxa"/>
            <w:vAlign w:val="center"/>
          </w:tcPr>
          <w:p>
            <w:pPr>
              <w:pStyle w:val="14"/>
            </w:pPr>
            <w:r>
              <w:t>反映审计建议采纳情况。</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满意率</w:t>
            </w:r>
          </w:p>
        </w:tc>
        <w:tc>
          <w:tcPr>
            <w:tcW w:w="2891" w:type="dxa"/>
            <w:vAlign w:val="center"/>
          </w:tcPr>
          <w:p>
            <w:pPr>
              <w:pStyle w:val="14"/>
            </w:pPr>
            <w:r>
              <w:t>满意率</w:t>
            </w:r>
          </w:p>
        </w:tc>
        <w:tc>
          <w:tcPr>
            <w:tcW w:w="1276" w:type="dxa"/>
            <w:vAlign w:val="center"/>
          </w:tcPr>
          <w:p>
            <w:pPr>
              <w:pStyle w:val="14"/>
            </w:pPr>
            <w:r>
              <w:t>≥80%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8" w:name="_Toc_4_4_0000000037"/>
      <w:r>
        <w:rPr>
          <w:rFonts w:ascii="方正仿宋_GBK" w:hAnsi="方正仿宋_GBK" w:eastAsia="方正仿宋_GBK" w:cs="方正仿宋_GBK"/>
          <w:color w:val="000000"/>
          <w:sz w:val="28"/>
        </w:rPr>
        <w:t>34.2026年县城建设三年成效宣传片绩效目标表</w:t>
      </w:r>
      <w:bookmarkEnd w:id="4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13011026P001606100127</w:t>
            </w:r>
          </w:p>
        </w:tc>
        <w:tc>
          <w:tcPr>
            <w:tcW w:w="1587" w:type="dxa"/>
            <w:vAlign w:val="center"/>
          </w:tcPr>
          <w:p>
            <w:pPr>
              <w:pStyle w:val="12"/>
            </w:pPr>
            <w:r>
              <w:t>项目名称</w:t>
            </w:r>
          </w:p>
        </w:tc>
        <w:tc>
          <w:tcPr>
            <w:tcW w:w="4423" w:type="dxa"/>
            <w:gridSpan w:val="3"/>
            <w:vAlign w:val="center"/>
          </w:tcPr>
          <w:p>
            <w:pPr>
              <w:pStyle w:val="14"/>
            </w:pPr>
            <w:r>
              <w:t>2026年县城建设三年成效宣传片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0.21</w:t>
            </w:r>
          </w:p>
        </w:tc>
        <w:tc>
          <w:tcPr>
            <w:tcW w:w="1587" w:type="dxa"/>
            <w:vAlign w:val="center"/>
          </w:tcPr>
          <w:p>
            <w:pPr>
              <w:pStyle w:val="12"/>
            </w:pPr>
            <w:r>
              <w:t>其中：财政    资金</w:t>
            </w:r>
          </w:p>
        </w:tc>
        <w:tc>
          <w:tcPr>
            <w:tcW w:w="1304" w:type="dxa"/>
            <w:vAlign w:val="center"/>
          </w:tcPr>
          <w:p>
            <w:pPr>
              <w:pStyle w:val="14"/>
            </w:pPr>
            <w:r>
              <w:t>0.21</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通过宣传片制作1次、媒体宣传报道，提高我区县城建设美誉度和知名度。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1.通过宣传片制作1次、媒体宣传报道，提高我区县城建设美誉度和知名度。</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纪实片制作次数</w:t>
            </w:r>
          </w:p>
        </w:tc>
        <w:tc>
          <w:tcPr>
            <w:tcW w:w="2891" w:type="dxa"/>
            <w:vAlign w:val="center"/>
          </w:tcPr>
          <w:p>
            <w:pPr>
              <w:pStyle w:val="14"/>
            </w:pPr>
            <w:r>
              <w:t>制作县城建设纪实片，召开全市县城建设工作会议时进行播放。</w:t>
            </w:r>
          </w:p>
        </w:tc>
        <w:tc>
          <w:tcPr>
            <w:tcW w:w="1276" w:type="dxa"/>
            <w:vAlign w:val="center"/>
          </w:tcPr>
          <w:p>
            <w:pPr>
              <w:pStyle w:val="14"/>
            </w:pPr>
            <w:r>
              <w:t>1次</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宣传成本</w:t>
            </w:r>
          </w:p>
        </w:tc>
        <w:tc>
          <w:tcPr>
            <w:tcW w:w="2891" w:type="dxa"/>
            <w:vAlign w:val="center"/>
          </w:tcPr>
          <w:p>
            <w:pPr>
              <w:pStyle w:val="14"/>
            </w:pPr>
            <w:r>
              <w:t>电视台宣传费用</w:t>
            </w:r>
          </w:p>
        </w:tc>
        <w:tc>
          <w:tcPr>
            <w:tcW w:w="1276" w:type="dxa"/>
            <w:vAlign w:val="center"/>
          </w:tcPr>
          <w:p>
            <w:pPr>
              <w:pStyle w:val="14"/>
            </w:pPr>
            <w:r>
              <w:t>3万元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各项业务工作完成率（%）</w:t>
            </w:r>
          </w:p>
        </w:tc>
        <w:tc>
          <w:tcPr>
            <w:tcW w:w="2891" w:type="dxa"/>
            <w:vAlign w:val="center"/>
          </w:tcPr>
          <w:p>
            <w:pPr>
              <w:pStyle w:val="14"/>
            </w:pPr>
            <w:r>
              <w:t>实际工作完成占应完成工作的比率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完成宣传报道的时间</w:t>
            </w:r>
          </w:p>
        </w:tc>
        <w:tc>
          <w:tcPr>
            <w:tcW w:w="2891" w:type="dxa"/>
            <w:vAlign w:val="center"/>
          </w:tcPr>
          <w:p>
            <w:pPr>
              <w:pStyle w:val="14"/>
            </w:pPr>
            <w:r>
              <w:t>在7月、完成宣传报道</w:t>
            </w:r>
          </w:p>
        </w:tc>
        <w:tc>
          <w:tcPr>
            <w:tcW w:w="1276" w:type="dxa"/>
            <w:vAlign w:val="center"/>
          </w:tcPr>
          <w:p>
            <w:pPr>
              <w:pStyle w:val="14"/>
            </w:pPr>
            <w:r>
              <w:t>7月完成</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提升县城建设品质</w:t>
            </w:r>
          </w:p>
        </w:tc>
        <w:tc>
          <w:tcPr>
            <w:tcW w:w="2891" w:type="dxa"/>
            <w:vAlign w:val="center"/>
          </w:tcPr>
          <w:p>
            <w:pPr>
              <w:pStyle w:val="14"/>
            </w:pPr>
            <w:r>
              <w:t>展示我区县城建设良好形象和工作成效。提高我区美誉度和知名度。</w:t>
            </w:r>
          </w:p>
        </w:tc>
        <w:tc>
          <w:tcPr>
            <w:tcW w:w="1276" w:type="dxa"/>
            <w:vAlign w:val="center"/>
          </w:tcPr>
          <w:p>
            <w:pPr>
              <w:pStyle w:val="14"/>
            </w:pPr>
            <w:r>
              <w:t>显著提高</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群众对县城建设基本满意。</w:t>
            </w:r>
          </w:p>
        </w:tc>
        <w:tc>
          <w:tcPr>
            <w:tcW w:w="1276" w:type="dxa"/>
            <w:vAlign w:val="center"/>
          </w:tcPr>
          <w:p>
            <w:pPr>
              <w:pStyle w:val="14"/>
            </w:pPr>
            <w:r>
              <w:t>≥90%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9" w:name="_Toc_4_4_0000000038"/>
      <w:r>
        <w:rPr>
          <w:rFonts w:ascii="方正仿宋_GBK" w:hAnsi="方正仿宋_GBK" w:eastAsia="方正仿宋_GBK" w:cs="方正仿宋_GBK"/>
          <w:color w:val="000000"/>
          <w:sz w:val="28"/>
        </w:rPr>
        <w:t>35.2026年一案两书编制费用绩效目标表</w:t>
      </w:r>
      <w:bookmarkEnd w:id="4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13011026P00160610004J</w:t>
            </w:r>
          </w:p>
        </w:tc>
        <w:tc>
          <w:tcPr>
            <w:tcW w:w="1587" w:type="dxa"/>
            <w:vAlign w:val="center"/>
          </w:tcPr>
          <w:p>
            <w:pPr>
              <w:pStyle w:val="12"/>
            </w:pPr>
            <w:r>
              <w:t>项目名称</w:t>
            </w:r>
          </w:p>
        </w:tc>
        <w:tc>
          <w:tcPr>
            <w:tcW w:w="4423" w:type="dxa"/>
            <w:gridSpan w:val="3"/>
            <w:vAlign w:val="center"/>
          </w:tcPr>
          <w:p>
            <w:pPr>
              <w:pStyle w:val="14"/>
            </w:pPr>
            <w:r>
              <w:t>2026年一案两书编制费用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3.92</w:t>
            </w:r>
          </w:p>
        </w:tc>
        <w:tc>
          <w:tcPr>
            <w:tcW w:w="1587" w:type="dxa"/>
            <w:vAlign w:val="center"/>
          </w:tcPr>
          <w:p>
            <w:pPr>
              <w:pStyle w:val="12"/>
            </w:pPr>
            <w:r>
              <w:t>其中：财政    资金</w:t>
            </w:r>
          </w:p>
        </w:tc>
        <w:tc>
          <w:tcPr>
            <w:tcW w:w="1304" w:type="dxa"/>
            <w:vAlign w:val="center"/>
          </w:tcPr>
          <w:p>
            <w:pPr>
              <w:pStyle w:val="14"/>
            </w:pPr>
            <w:r>
              <w:t>3.92</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完成项目一案两书编制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1.完成项目一案两书编制</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提交成果报告</w:t>
            </w:r>
          </w:p>
        </w:tc>
        <w:tc>
          <w:tcPr>
            <w:tcW w:w="2891" w:type="dxa"/>
            <w:vAlign w:val="center"/>
          </w:tcPr>
          <w:p>
            <w:pPr>
              <w:pStyle w:val="14"/>
            </w:pPr>
            <w:r>
              <w:t>提交成果报告</w:t>
            </w:r>
          </w:p>
        </w:tc>
        <w:tc>
          <w:tcPr>
            <w:tcW w:w="1276" w:type="dxa"/>
            <w:vAlign w:val="center"/>
          </w:tcPr>
          <w:p>
            <w:pPr>
              <w:pStyle w:val="14"/>
            </w:pPr>
            <w:r>
              <w:t>3套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提交成果报告质量</w:t>
            </w:r>
          </w:p>
        </w:tc>
        <w:tc>
          <w:tcPr>
            <w:tcW w:w="2891" w:type="dxa"/>
            <w:vAlign w:val="center"/>
          </w:tcPr>
          <w:p>
            <w:pPr>
              <w:pStyle w:val="14"/>
            </w:pPr>
            <w:r>
              <w:t>提交成果报告质量</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任务完成时间</w:t>
            </w:r>
          </w:p>
        </w:tc>
        <w:tc>
          <w:tcPr>
            <w:tcW w:w="2891" w:type="dxa"/>
            <w:vAlign w:val="center"/>
          </w:tcPr>
          <w:p>
            <w:pPr>
              <w:pStyle w:val="14"/>
            </w:pPr>
            <w:r>
              <w:t>任务完成时间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预算控制</w:t>
            </w:r>
          </w:p>
        </w:tc>
        <w:tc>
          <w:tcPr>
            <w:tcW w:w="2891" w:type="dxa"/>
            <w:vAlign w:val="center"/>
          </w:tcPr>
          <w:p>
            <w:pPr>
              <w:pStyle w:val="14"/>
            </w:pPr>
            <w:r>
              <w:t>预算控制</w:t>
            </w:r>
          </w:p>
        </w:tc>
        <w:tc>
          <w:tcPr>
            <w:tcW w:w="1276" w:type="dxa"/>
            <w:vAlign w:val="center"/>
          </w:tcPr>
          <w:p>
            <w:pPr>
              <w:pStyle w:val="14"/>
            </w:pPr>
            <w:r>
              <w:t>≤56万元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可持续使用时间</w:t>
            </w:r>
          </w:p>
        </w:tc>
        <w:tc>
          <w:tcPr>
            <w:tcW w:w="2891" w:type="dxa"/>
            <w:vAlign w:val="center"/>
          </w:tcPr>
          <w:p>
            <w:pPr>
              <w:pStyle w:val="14"/>
            </w:pPr>
            <w:r>
              <w:t>文本使用的时间（2022-2035）</w:t>
            </w:r>
          </w:p>
        </w:tc>
        <w:tc>
          <w:tcPr>
            <w:tcW w:w="1276" w:type="dxa"/>
            <w:vAlign w:val="center"/>
          </w:tcPr>
          <w:p>
            <w:pPr>
              <w:pStyle w:val="14"/>
            </w:pPr>
            <w:r>
              <w:t>≥13年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群众满意数量占总数的比例</w:t>
            </w:r>
          </w:p>
        </w:tc>
        <w:tc>
          <w:tcPr>
            <w:tcW w:w="1276" w:type="dxa"/>
            <w:vAlign w:val="center"/>
          </w:tcPr>
          <w:p>
            <w:pPr>
              <w:pStyle w:val="14"/>
            </w:pPr>
            <w:r>
              <w:t>≥90%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0" w:name="_Toc_4_4_0000000039"/>
      <w:r>
        <w:rPr>
          <w:rFonts w:ascii="方正仿宋_GBK" w:hAnsi="方正仿宋_GBK" w:eastAsia="方正仿宋_GBK" w:cs="方正仿宋_GBK"/>
          <w:color w:val="000000"/>
          <w:sz w:val="28"/>
        </w:rPr>
        <w:t>36.2026年一街村城中村改造项目（海山馨苑）回迁安置房建安成本返还绩效目标表</w:t>
      </w:r>
      <w:bookmarkEnd w:id="5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13011026P000008100012</w:t>
            </w:r>
          </w:p>
        </w:tc>
        <w:tc>
          <w:tcPr>
            <w:tcW w:w="1587" w:type="dxa"/>
            <w:vAlign w:val="center"/>
          </w:tcPr>
          <w:p>
            <w:pPr>
              <w:pStyle w:val="12"/>
            </w:pPr>
            <w:r>
              <w:t>项目名称</w:t>
            </w:r>
          </w:p>
        </w:tc>
        <w:tc>
          <w:tcPr>
            <w:tcW w:w="4423" w:type="dxa"/>
            <w:gridSpan w:val="3"/>
            <w:vAlign w:val="center"/>
          </w:tcPr>
          <w:p>
            <w:pPr>
              <w:pStyle w:val="14"/>
            </w:pPr>
            <w:r>
              <w:t>2026年一街村城中村改造项目（海山馨苑）回迁安置房建安成本返还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731.91</w:t>
            </w:r>
          </w:p>
        </w:tc>
        <w:tc>
          <w:tcPr>
            <w:tcW w:w="1587" w:type="dxa"/>
            <w:vAlign w:val="center"/>
          </w:tcPr>
          <w:p>
            <w:pPr>
              <w:pStyle w:val="12"/>
            </w:pPr>
            <w:r>
              <w:t>其中：财政    资金</w:t>
            </w:r>
          </w:p>
        </w:tc>
        <w:tc>
          <w:tcPr>
            <w:tcW w:w="1304" w:type="dxa"/>
            <w:vAlign w:val="center"/>
          </w:tcPr>
          <w:p>
            <w:pPr>
              <w:pStyle w:val="14"/>
            </w:pPr>
            <w:r>
              <w:t>731.91</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建设回迁安置用房，解决群众住房问题。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1.建设回迁安置用房，解决群众住房问题。</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回迁安置房建设总面积</w:t>
            </w:r>
          </w:p>
        </w:tc>
        <w:tc>
          <w:tcPr>
            <w:tcW w:w="2891" w:type="dxa"/>
            <w:vAlign w:val="center"/>
          </w:tcPr>
          <w:p>
            <w:pPr>
              <w:pStyle w:val="14"/>
            </w:pPr>
            <w:r>
              <w:t>回迁安置房建设总面积</w:t>
            </w:r>
          </w:p>
        </w:tc>
        <w:tc>
          <w:tcPr>
            <w:tcW w:w="1276" w:type="dxa"/>
            <w:vAlign w:val="center"/>
          </w:tcPr>
          <w:p>
            <w:pPr>
              <w:pStyle w:val="14"/>
            </w:pPr>
            <w:r>
              <w:t>97778平方米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项目验收通过率（%）</w:t>
            </w:r>
          </w:p>
        </w:tc>
        <w:tc>
          <w:tcPr>
            <w:tcW w:w="2891" w:type="dxa"/>
            <w:vAlign w:val="center"/>
          </w:tcPr>
          <w:p>
            <w:pPr>
              <w:pStyle w:val="14"/>
            </w:pPr>
            <w:r>
              <w:t>项目验收通过率（%）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工期完工时间</w:t>
            </w:r>
          </w:p>
        </w:tc>
        <w:tc>
          <w:tcPr>
            <w:tcW w:w="2891" w:type="dxa"/>
            <w:vAlign w:val="center"/>
          </w:tcPr>
          <w:p>
            <w:pPr>
              <w:pStyle w:val="14"/>
            </w:pPr>
            <w:r>
              <w:t>工期完工时间</w:t>
            </w:r>
          </w:p>
        </w:tc>
        <w:tc>
          <w:tcPr>
            <w:tcW w:w="1276" w:type="dxa"/>
            <w:vAlign w:val="center"/>
          </w:tcPr>
          <w:p>
            <w:pPr>
              <w:pStyle w:val="14"/>
            </w:pPr>
            <w:r>
              <w:t>已完工</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资金成本</w:t>
            </w:r>
          </w:p>
        </w:tc>
        <w:tc>
          <w:tcPr>
            <w:tcW w:w="2891" w:type="dxa"/>
            <w:vAlign w:val="center"/>
          </w:tcPr>
          <w:p>
            <w:pPr>
              <w:pStyle w:val="14"/>
            </w:pPr>
            <w:r>
              <w:t>资金成本</w:t>
            </w:r>
          </w:p>
        </w:tc>
        <w:tc>
          <w:tcPr>
            <w:tcW w:w="1276" w:type="dxa"/>
            <w:vAlign w:val="center"/>
          </w:tcPr>
          <w:p>
            <w:pPr>
              <w:pStyle w:val="14"/>
            </w:pPr>
            <w:r>
              <w:t>10159.62万元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工程使用年限</w:t>
            </w:r>
          </w:p>
        </w:tc>
        <w:tc>
          <w:tcPr>
            <w:tcW w:w="2891" w:type="dxa"/>
            <w:vAlign w:val="center"/>
          </w:tcPr>
          <w:p>
            <w:pPr>
              <w:pStyle w:val="14"/>
            </w:pPr>
            <w:r>
              <w:t>工程使用年限</w:t>
            </w:r>
          </w:p>
        </w:tc>
        <w:tc>
          <w:tcPr>
            <w:tcW w:w="1276" w:type="dxa"/>
            <w:vAlign w:val="center"/>
          </w:tcPr>
          <w:p>
            <w:pPr>
              <w:pStyle w:val="14"/>
            </w:pPr>
            <w:r>
              <w:t>≥70年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群众满意度</w:t>
            </w:r>
          </w:p>
        </w:tc>
        <w:tc>
          <w:tcPr>
            <w:tcW w:w="1276" w:type="dxa"/>
            <w:vAlign w:val="center"/>
          </w:tcPr>
          <w:p>
            <w:pPr>
              <w:pStyle w:val="14"/>
            </w:pPr>
            <w:r>
              <w:t>≥90%</w:t>
            </w:r>
          </w:p>
        </w:tc>
        <w:tc>
          <w:tcPr>
            <w:tcW w:w="1843" w:type="dxa"/>
            <w:vAlign w:val="center"/>
          </w:tcPr>
          <w:p>
            <w:pPr>
              <w:pStyle w:val="14"/>
            </w:pPr>
            <w:r>
              <w:t>随机走访</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1" w:name="_Toc_4_4_0000000040"/>
      <w:r>
        <w:rPr>
          <w:rFonts w:ascii="方正仿宋_GBK" w:hAnsi="方正仿宋_GBK" w:eastAsia="方正仿宋_GBK" w:cs="方正仿宋_GBK"/>
          <w:color w:val="000000"/>
          <w:sz w:val="28"/>
        </w:rPr>
        <w:t>37.2026年纵二街征地费用绩效目标表</w:t>
      </w:r>
      <w:bookmarkEnd w:id="5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13011026P00000810005G</w:t>
            </w:r>
          </w:p>
        </w:tc>
        <w:tc>
          <w:tcPr>
            <w:tcW w:w="1587" w:type="dxa"/>
            <w:vAlign w:val="center"/>
          </w:tcPr>
          <w:p>
            <w:pPr>
              <w:pStyle w:val="12"/>
            </w:pPr>
            <w:r>
              <w:t>项目名称</w:t>
            </w:r>
          </w:p>
        </w:tc>
        <w:tc>
          <w:tcPr>
            <w:tcW w:w="4423" w:type="dxa"/>
            <w:gridSpan w:val="3"/>
            <w:vAlign w:val="center"/>
          </w:tcPr>
          <w:p>
            <w:pPr>
              <w:pStyle w:val="14"/>
            </w:pPr>
            <w:r>
              <w:t>2026年纵二街征地费用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28.00</w:t>
            </w:r>
          </w:p>
        </w:tc>
        <w:tc>
          <w:tcPr>
            <w:tcW w:w="1587" w:type="dxa"/>
            <w:vAlign w:val="center"/>
          </w:tcPr>
          <w:p>
            <w:pPr>
              <w:pStyle w:val="12"/>
            </w:pPr>
            <w:r>
              <w:t>其中：财政    资金</w:t>
            </w:r>
          </w:p>
        </w:tc>
        <w:tc>
          <w:tcPr>
            <w:tcW w:w="1304" w:type="dxa"/>
            <w:vAlign w:val="center"/>
          </w:tcPr>
          <w:p>
            <w:pPr>
              <w:pStyle w:val="14"/>
            </w:pPr>
            <w:r>
              <w:t>28.00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完成纵二街项目征地费用支付工作，确保资金及时拨付。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1.完成纵二街项目征地费用支付工作，确保资金及时拨付。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征地亩数</w:t>
            </w:r>
          </w:p>
        </w:tc>
        <w:tc>
          <w:tcPr>
            <w:tcW w:w="2891" w:type="dxa"/>
            <w:vAlign w:val="center"/>
          </w:tcPr>
          <w:p>
            <w:pPr>
              <w:pStyle w:val="14"/>
            </w:pPr>
            <w:r>
              <w:t>征用土地数量</w:t>
            </w:r>
          </w:p>
        </w:tc>
        <w:tc>
          <w:tcPr>
            <w:tcW w:w="1276" w:type="dxa"/>
            <w:vAlign w:val="center"/>
          </w:tcPr>
          <w:p>
            <w:pPr>
              <w:pStyle w:val="14"/>
            </w:pPr>
            <w:r>
              <w:t>10.65亩</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征地费用发放准确率</w:t>
            </w:r>
          </w:p>
        </w:tc>
        <w:tc>
          <w:tcPr>
            <w:tcW w:w="2891" w:type="dxa"/>
            <w:vAlign w:val="center"/>
          </w:tcPr>
          <w:p>
            <w:pPr>
              <w:pStyle w:val="14"/>
            </w:pPr>
            <w:r>
              <w:t>征地费发放准确率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征地费用支付率</w:t>
            </w:r>
          </w:p>
        </w:tc>
        <w:tc>
          <w:tcPr>
            <w:tcW w:w="2891" w:type="dxa"/>
            <w:vAlign w:val="center"/>
          </w:tcPr>
          <w:p>
            <w:pPr>
              <w:pStyle w:val="14"/>
            </w:pPr>
            <w:r>
              <w:t>征地费用按时支付率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征地费用成本</w:t>
            </w:r>
          </w:p>
        </w:tc>
        <w:tc>
          <w:tcPr>
            <w:tcW w:w="2891" w:type="dxa"/>
            <w:vAlign w:val="center"/>
          </w:tcPr>
          <w:p>
            <w:pPr>
              <w:pStyle w:val="14"/>
            </w:pPr>
            <w:r>
              <w:t>征用单位成本</w:t>
            </w:r>
          </w:p>
        </w:tc>
        <w:tc>
          <w:tcPr>
            <w:tcW w:w="1276" w:type="dxa"/>
            <w:vAlign w:val="center"/>
          </w:tcPr>
          <w:p>
            <w:pPr>
              <w:pStyle w:val="14"/>
            </w:pPr>
            <w:r>
              <w:t>≤360万元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完成征地面积的建设完成率</w:t>
            </w:r>
          </w:p>
        </w:tc>
        <w:tc>
          <w:tcPr>
            <w:tcW w:w="2891" w:type="dxa"/>
            <w:vAlign w:val="center"/>
          </w:tcPr>
          <w:p>
            <w:pPr>
              <w:pStyle w:val="14"/>
            </w:pPr>
            <w:r>
              <w:t>实际收到征地费用户数占征地农户数的比例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各项工作任务按时完成率</w:t>
            </w:r>
          </w:p>
        </w:tc>
        <w:tc>
          <w:tcPr>
            <w:tcW w:w="2891" w:type="dxa"/>
            <w:vAlign w:val="center"/>
          </w:tcPr>
          <w:p>
            <w:pPr>
              <w:pStyle w:val="14"/>
            </w:pPr>
            <w:r>
              <w:t>各项工作任务按时完成率</w:t>
            </w:r>
          </w:p>
        </w:tc>
        <w:tc>
          <w:tcPr>
            <w:tcW w:w="1276" w:type="dxa"/>
            <w:vAlign w:val="center"/>
          </w:tcPr>
          <w:p>
            <w:pPr>
              <w:pStyle w:val="14"/>
            </w:pPr>
            <w:r>
              <w:t>按要求及时完成各项工程</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满意和较满意人数占被征地人数的比例</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2" w:name="_Toc_4_4_0000000041"/>
      <w:r>
        <w:rPr>
          <w:rFonts w:ascii="方正仿宋_GBK" w:hAnsi="方正仿宋_GBK" w:eastAsia="方正仿宋_GBK" w:cs="方正仿宋_GBK"/>
          <w:color w:val="000000"/>
          <w:sz w:val="28"/>
        </w:rPr>
        <w:t>38.2026年租地费绩效目标表</w:t>
      </w:r>
      <w:bookmarkEnd w:id="52"/>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13011026P000006100397</w:t>
            </w:r>
          </w:p>
        </w:tc>
        <w:tc>
          <w:tcPr>
            <w:tcW w:w="1587" w:type="dxa"/>
            <w:vAlign w:val="center"/>
          </w:tcPr>
          <w:p>
            <w:pPr>
              <w:pStyle w:val="12"/>
            </w:pPr>
            <w:r>
              <w:t>项目名称</w:t>
            </w:r>
          </w:p>
        </w:tc>
        <w:tc>
          <w:tcPr>
            <w:tcW w:w="4423" w:type="dxa"/>
            <w:gridSpan w:val="3"/>
            <w:vAlign w:val="center"/>
          </w:tcPr>
          <w:p>
            <w:pPr>
              <w:pStyle w:val="14"/>
            </w:pPr>
            <w:r>
              <w:t>2026年租地费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174.00</w:t>
            </w:r>
          </w:p>
        </w:tc>
        <w:tc>
          <w:tcPr>
            <w:tcW w:w="1587" w:type="dxa"/>
            <w:vAlign w:val="center"/>
          </w:tcPr>
          <w:p>
            <w:pPr>
              <w:pStyle w:val="12"/>
            </w:pPr>
            <w:r>
              <w:t>其中：财政    资金</w:t>
            </w:r>
          </w:p>
        </w:tc>
        <w:tc>
          <w:tcPr>
            <w:tcW w:w="1304" w:type="dxa"/>
            <w:vAlign w:val="center"/>
          </w:tcPr>
          <w:p>
            <w:pPr>
              <w:pStyle w:val="14"/>
            </w:pPr>
            <w:r>
              <w:t>174.00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完成建设租地费用补偿工作，确保资金及时拨付。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1.完成建设租地费用补偿工作，确保资金及时拨付。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租地亩数</w:t>
            </w:r>
          </w:p>
        </w:tc>
        <w:tc>
          <w:tcPr>
            <w:tcW w:w="2891" w:type="dxa"/>
            <w:vAlign w:val="center"/>
          </w:tcPr>
          <w:p>
            <w:pPr>
              <w:pStyle w:val="14"/>
            </w:pPr>
            <w:r>
              <w:t>租用土地数量</w:t>
            </w:r>
          </w:p>
        </w:tc>
        <w:tc>
          <w:tcPr>
            <w:tcW w:w="1276" w:type="dxa"/>
            <w:vAlign w:val="center"/>
          </w:tcPr>
          <w:p>
            <w:pPr>
              <w:pStyle w:val="14"/>
            </w:pPr>
            <w:r>
              <w:t>537.13亩</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租地补偿费发放标准达标率</w:t>
            </w:r>
          </w:p>
        </w:tc>
        <w:tc>
          <w:tcPr>
            <w:tcW w:w="2891" w:type="dxa"/>
            <w:vAlign w:val="center"/>
          </w:tcPr>
          <w:p>
            <w:pPr>
              <w:pStyle w:val="14"/>
            </w:pPr>
            <w:r>
              <w:t>补偿费发放标准达标率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租地费支付</w:t>
            </w:r>
          </w:p>
        </w:tc>
        <w:tc>
          <w:tcPr>
            <w:tcW w:w="2891" w:type="dxa"/>
            <w:vAlign w:val="center"/>
          </w:tcPr>
          <w:p>
            <w:pPr>
              <w:pStyle w:val="14"/>
            </w:pPr>
            <w:r>
              <w:t>每年租地费用支付按合同约定期限</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租地标准</w:t>
            </w:r>
          </w:p>
        </w:tc>
        <w:tc>
          <w:tcPr>
            <w:tcW w:w="2891" w:type="dxa"/>
            <w:vAlign w:val="center"/>
          </w:tcPr>
          <w:p>
            <w:pPr>
              <w:pStyle w:val="14"/>
            </w:pPr>
            <w:r>
              <w:t>每亩地补贴标准</w:t>
            </w:r>
          </w:p>
        </w:tc>
        <w:tc>
          <w:tcPr>
            <w:tcW w:w="1276" w:type="dxa"/>
            <w:vAlign w:val="center"/>
          </w:tcPr>
          <w:p>
            <w:pPr>
              <w:pStyle w:val="14"/>
            </w:pPr>
            <w:r>
              <w:t>1440元/亩</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完成租地面积的建设完成率</w:t>
            </w:r>
          </w:p>
        </w:tc>
        <w:tc>
          <w:tcPr>
            <w:tcW w:w="2891" w:type="dxa"/>
            <w:vAlign w:val="center"/>
          </w:tcPr>
          <w:p>
            <w:pPr>
              <w:pStyle w:val="14"/>
            </w:pPr>
            <w:r>
              <w:t>实际收到租地补贴户数占租地农户数的比例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各项工作任务按时完成率</w:t>
            </w:r>
          </w:p>
        </w:tc>
        <w:tc>
          <w:tcPr>
            <w:tcW w:w="2891" w:type="dxa"/>
            <w:vAlign w:val="center"/>
          </w:tcPr>
          <w:p>
            <w:pPr>
              <w:pStyle w:val="14"/>
            </w:pPr>
            <w:r>
              <w:t>各项工作任务按时完成率</w:t>
            </w:r>
          </w:p>
        </w:tc>
        <w:tc>
          <w:tcPr>
            <w:tcW w:w="1276" w:type="dxa"/>
            <w:vAlign w:val="center"/>
          </w:tcPr>
          <w:p>
            <w:pPr>
              <w:pStyle w:val="14"/>
            </w:pPr>
            <w:r>
              <w:t>按要求及时完成各项工程</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满意和较满意人数占被补贴人数的比例</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3" w:name="_Toc_4_4_0000000042"/>
      <w:r>
        <w:rPr>
          <w:rFonts w:ascii="方正仿宋_GBK" w:hAnsi="方正仿宋_GBK" w:eastAsia="方正仿宋_GBK" w:cs="方正仿宋_GBK"/>
          <w:color w:val="000000"/>
          <w:sz w:val="28"/>
        </w:rPr>
        <w:t>39.630台账绩效目标表</w:t>
      </w:r>
      <w:bookmarkEnd w:id="5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13011025P00156410465C</w:t>
            </w:r>
          </w:p>
        </w:tc>
        <w:tc>
          <w:tcPr>
            <w:tcW w:w="1587" w:type="dxa"/>
            <w:vAlign w:val="center"/>
          </w:tcPr>
          <w:p>
            <w:pPr>
              <w:pStyle w:val="12"/>
            </w:pPr>
            <w:r>
              <w:t>项目名称</w:t>
            </w:r>
          </w:p>
        </w:tc>
        <w:tc>
          <w:tcPr>
            <w:tcW w:w="4423" w:type="dxa"/>
            <w:gridSpan w:val="3"/>
            <w:vAlign w:val="center"/>
          </w:tcPr>
          <w:p>
            <w:pPr>
              <w:pStyle w:val="14"/>
            </w:pPr>
            <w:r>
              <w:t>630台账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13.59</w:t>
            </w:r>
          </w:p>
        </w:tc>
        <w:tc>
          <w:tcPr>
            <w:tcW w:w="1587" w:type="dxa"/>
            <w:vAlign w:val="center"/>
          </w:tcPr>
          <w:p>
            <w:pPr>
              <w:pStyle w:val="12"/>
            </w:pPr>
            <w:r>
              <w:t>其中：财政    资金</w:t>
            </w:r>
          </w:p>
        </w:tc>
        <w:tc>
          <w:tcPr>
            <w:tcW w:w="1304" w:type="dxa"/>
            <w:vAlign w:val="center"/>
          </w:tcPr>
          <w:p>
            <w:pPr>
              <w:pStyle w:val="14"/>
            </w:pPr>
            <w:r>
              <w:t>13.59</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完成177个项目工程款，完善基础设施建设，提升城市形象。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1.完成177个项目工程款，完善基础设施建设，提升城市形象。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清理建设工程项目数</w:t>
            </w:r>
          </w:p>
        </w:tc>
        <w:tc>
          <w:tcPr>
            <w:tcW w:w="2891" w:type="dxa"/>
            <w:vAlign w:val="center"/>
          </w:tcPr>
          <w:p>
            <w:pPr>
              <w:pStyle w:val="14"/>
            </w:pPr>
            <w:r>
              <w:t>清理旧建设工程项目数量</w:t>
            </w:r>
          </w:p>
        </w:tc>
        <w:tc>
          <w:tcPr>
            <w:tcW w:w="1276" w:type="dxa"/>
            <w:vAlign w:val="center"/>
          </w:tcPr>
          <w:p>
            <w:pPr>
              <w:pStyle w:val="14"/>
            </w:pPr>
            <w:r>
              <w:t>177个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清欠工作完成率</w:t>
            </w:r>
          </w:p>
        </w:tc>
        <w:tc>
          <w:tcPr>
            <w:tcW w:w="2891" w:type="dxa"/>
            <w:vAlign w:val="center"/>
          </w:tcPr>
          <w:p>
            <w:pPr>
              <w:pStyle w:val="14"/>
            </w:pPr>
            <w:r>
              <w:t>清理工程旧欠完成占总旧欠工程德总量</w:t>
            </w:r>
          </w:p>
        </w:tc>
        <w:tc>
          <w:tcPr>
            <w:tcW w:w="1276" w:type="dxa"/>
            <w:vAlign w:val="center"/>
          </w:tcPr>
          <w:p>
            <w:pPr>
              <w:pStyle w:val="14"/>
            </w:pPr>
            <w:r>
              <w:t>≥90%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清欠工作完成及时率</w:t>
            </w:r>
          </w:p>
        </w:tc>
        <w:tc>
          <w:tcPr>
            <w:tcW w:w="2891" w:type="dxa"/>
            <w:vAlign w:val="center"/>
          </w:tcPr>
          <w:p>
            <w:pPr>
              <w:pStyle w:val="14"/>
            </w:pPr>
            <w:r>
              <w:t>清理完成的工作量占旧欠总工程量的比率</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清欠项目成本</w:t>
            </w:r>
          </w:p>
        </w:tc>
        <w:tc>
          <w:tcPr>
            <w:tcW w:w="2891" w:type="dxa"/>
            <w:vAlign w:val="center"/>
          </w:tcPr>
          <w:p>
            <w:pPr>
              <w:pStyle w:val="14"/>
            </w:pPr>
            <w:r>
              <w:t>支付工程旧欠的金额</w:t>
            </w:r>
          </w:p>
        </w:tc>
        <w:tc>
          <w:tcPr>
            <w:tcW w:w="1276" w:type="dxa"/>
            <w:vAlign w:val="center"/>
          </w:tcPr>
          <w:p>
            <w:pPr>
              <w:pStyle w:val="14"/>
            </w:pPr>
            <w:r>
              <w:t>≤19770.15万元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清欠工作完成率</w:t>
            </w:r>
          </w:p>
        </w:tc>
        <w:tc>
          <w:tcPr>
            <w:tcW w:w="2891" w:type="dxa"/>
            <w:vAlign w:val="center"/>
          </w:tcPr>
          <w:p>
            <w:pPr>
              <w:pStyle w:val="14"/>
            </w:pPr>
            <w:r>
              <w:t>各项工作任务按时完成率</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服务对象满意度</w:t>
            </w:r>
          </w:p>
        </w:tc>
        <w:tc>
          <w:tcPr>
            <w:tcW w:w="1276" w:type="dxa"/>
            <w:vAlign w:val="center"/>
          </w:tcPr>
          <w:p>
            <w:pPr>
              <w:pStyle w:val="14"/>
            </w:pPr>
            <w:r>
              <w:t>≥90%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4" w:name="_Toc_4_4_0000000043"/>
      <w:r>
        <w:rPr>
          <w:rFonts w:ascii="方正仿宋_GBK" w:hAnsi="方正仿宋_GBK" w:eastAsia="方正仿宋_GBK" w:cs="方正仿宋_GBK"/>
          <w:color w:val="000000"/>
          <w:sz w:val="28"/>
        </w:rPr>
        <w:t>40.关于提前下达2025年部分中央财政城镇保障性安居工程补助资金绩效目标表</w:t>
      </w:r>
      <w:bookmarkEnd w:id="54"/>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13011025P00161710008F</w:t>
            </w:r>
          </w:p>
        </w:tc>
        <w:tc>
          <w:tcPr>
            <w:tcW w:w="1587" w:type="dxa"/>
            <w:vAlign w:val="center"/>
          </w:tcPr>
          <w:p>
            <w:pPr>
              <w:pStyle w:val="12"/>
            </w:pPr>
            <w:r>
              <w:t>项目名称</w:t>
            </w:r>
          </w:p>
        </w:tc>
        <w:tc>
          <w:tcPr>
            <w:tcW w:w="4423" w:type="dxa"/>
            <w:gridSpan w:val="3"/>
            <w:vAlign w:val="center"/>
          </w:tcPr>
          <w:p>
            <w:pPr>
              <w:pStyle w:val="14"/>
            </w:pPr>
            <w:r>
              <w:t>关于提前下达2025年部分中央财政城镇保障性安居工程补助资金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67.00</w:t>
            </w:r>
          </w:p>
        </w:tc>
        <w:tc>
          <w:tcPr>
            <w:tcW w:w="1587" w:type="dxa"/>
            <w:vAlign w:val="center"/>
          </w:tcPr>
          <w:p>
            <w:pPr>
              <w:pStyle w:val="12"/>
            </w:pPr>
            <w:r>
              <w:t>其中：财政    资金</w:t>
            </w:r>
          </w:p>
        </w:tc>
        <w:tc>
          <w:tcPr>
            <w:tcW w:w="1304" w:type="dxa"/>
            <w:vAlign w:val="center"/>
          </w:tcPr>
          <w:p>
            <w:pPr>
              <w:pStyle w:val="14"/>
            </w:pPr>
            <w:r>
              <w:t>67.00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按时完成鹿泉区城市危旧房改造项目用地面积为10758.44平方米，改善居民居住环境。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1.按时完成鹿泉区城市危旧房改造项目用地面积为10758.44平方米，改善居民居住环境。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危旧房改造项目用地面积</w:t>
            </w:r>
          </w:p>
        </w:tc>
        <w:tc>
          <w:tcPr>
            <w:tcW w:w="2891" w:type="dxa"/>
            <w:vAlign w:val="center"/>
          </w:tcPr>
          <w:p>
            <w:pPr>
              <w:pStyle w:val="14"/>
            </w:pPr>
            <w:r>
              <w:t>危旧房改造项目用地面积29485.36平方米</w:t>
            </w:r>
          </w:p>
        </w:tc>
        <w:tc>
          <w:tcPr>
            <w:tcW w:w="1276" w:type="dxa"/>
            <w:vAlign w:val="center"/>
          </w:tcPr>
          <w:p>
            <w:pPr>
              <w:pStyle w:val="14"/>
            </w:pPr>
            <w:r>
              <w:t>10758.44平方米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危旧房改造项目完成率</w:t>
            </w:r>
          </w:p>
        </w:tc>
        <w:tc>
          <w:tcPr>
            <w:tcW w:w="2891" w:type="dxa"/>
            <w:vAlign w:val="center"/>
          </w:tcPr>
          <w:p>
            <w:pPr>
              <w:pStyle w:val="14"/>
            </w:pPr>
            <w:r>
              <w:t>危旧房改造项目完成率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危旧房改造项目按时完成率</w:t>
            </w:r>
          </w:p>
        </w:tc>
        <w:tc>
          <w:tcPr>
            <w:tcW w:w="2891" w:type="dxa"/>
            <w:vAlign w:val="center"/>
          </w:tcPr>
          <w:p>
            <w:pPr>
              <w:pStyle w:val="14"/>
            </w:pPr>
            <w:r>
              <w:t>危旧房改造项目按时完成率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危旧房改造项目成本</w:t>
            </w:r>
          </w:p>
        </w:tc>
        <w:tc>
          <w:tcPr>
            <w:tcW w:w="2891" w:type="dxa"/>
            <w:vAlign w:val="center"/>
          </w:tcPr>
          <w:p>
            <w:pPr>
              <w:pStyle w:val="14"/>
            </w:pPr>
            <w:r>
              <w:t>危旧房改造项目成本</w:t>
            </w:r>
          </w:p>
        </w:tc>
        <w:tc>
          <w:tcPr>
            <w:tcW w:w="1276" w:type="dxa"/>
            <w:vAlign w:val="center"/>
          </w:tcPr>
          <w:p>
            <w:pPr>
              <w:pStyle w:val="14"/>
            </w:pPr>
            <w:r>
              <w:t>67万元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危旧房改造项目长期使用性</w:t>
            </w:r>
          </w:p>
        </w:tc>
        <w:tc>
          <w:tcPr>
            <w:tcW w:w="2891" w:type="dxa"/>
            <w:vAlign w:val="center"/>
          </w:tcPr>
          <w:p>
            <w:pPr>
              <w:pStyle w:val="14"/>
            </w:pPr>
            <w:r>
              <w:t>危旧房改造项目长期使用性</w:t>
            </w:r>
          </w:p>
        </w:tc>
        <w:tc>
          <w:tcPr>
            <w:tcW w:w="1276" w:type="dxa"/>
            <w:vAlign w:val="center"/>
          </w:tcPr>
          <w:p>
            <w:pPr>
              <w:pStyle w:val="14"/>
            </w:pPr>
            <w:r>
              <w:t>≥5年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危旧房改造项目受益户数</w:t>
            </w:r>
          </w:p>
        </w:tc>
        <w:tc>
          <w:tcPr>
            <w:tcW w:w="2891" w:type="dxa"/>
            <w:vAlign w:val="center"/>
          </w:tcPr>
          <w:p>
            <w:pPr>
              <w:pStyle w:val="14"/>
            </w:pPr>
            <w:r>
              <w:t>危旧房改造项目社会效益受益户数</w:t>
            </w:r>
          </w:p>
        </w:tc>
        <w:tc>
          <w:tcPr>
            <w:tcW w:w="1276" w:type="dxa"/>
            <w:vAlign w:val="center"/>
          </w:tcPr>
          <w:p>
            <w:pPr>
              <w:pStyle w:val="14"/>
            </w:pPr>
            <w:r>
              <w:t>151户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危旧房改造项目群众满意度</w:t>
            </w:r>
          </w:p>
        </w:tc>
        <w:tc>
          <w:tcPr>
            <w:tcW w:w="2891" w:type="dxa"/>
            <w:vAlign w:val="center"/>
          </w:tcPr>
          <w:p>
            <w:pPr>
              <w:pStyle w:val="14"/>
            </w:pPr>
            <w:r>
              <w:t>危旧房改造项目群众满意度数量满意占比</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5" w:name="_Toc_4_4_0000000044"/>
      <w:r>
        <w:rPr>
          <w:rFonts w:ascii="方正仿宋_GBK" w:hAnsi="方正仿宋_GBK" w:eastAsia="方正仿宋_GBK" w:cs="方正仿宋_GBK"/>
          <w:color w:val="000000"/>
          <w:sz w:val="28"/>
        </w:rPr>
        <w:t>41.关于提前下达2025年省级城镇保障性安居工程补助资金绩效目标表</w:t>
      </w:r>
      <w:bookmarkEnd w:id="5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13011025P001617100093</w:t>
            </w:r>
          </w:p>
        </w:tc>
        <w:tc>
          <w:tcPr>
            <w:tcW w:w="1587" w:type="dxa"/>
            <w:vAlign w:val="center"/>
          </w:tcPr>
          <w:p>
            <w:pPr>
              <w:pStyle w:val="12"/>
            </w:pPr>
            <w:r>
              <w:t>项目名称</w:t>
            </w:r>
          </w:p>
        </w:tc>
        <w:tc>
          <w:tcPr>
            <w:tcW w:w="4423" w:type="dxa"/>
            <w:gridSpan w:val="3"/>
            <w:vAlign w:val="center"/>
          </w:tcPr>
          <w:p>
            <w:pPr>
              <w:pStyle w:val="14"/>
            </w:pPr>
            <w:r>
              <w:t>关于提前下达2025年省级城镇保障性安居工程补助资金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71.00</w:t>
            </w:r>
          </w:p>
        </w:tc>
        <w:tc>
          <w:tcPr>
            <w:tcW w:w="1587" w:type="dxa"/>
            <w:vAlign w:val="center"/>
          </w:tcPr>
          <w:p>
            <w:pPr>
              <w:pStyle w:val="12"/>
            </w:pPr>
            <w:r>
              <w:t>其中：财政    资金</w:t>
            </w:r>
          </w:p>
        </w:tc>
        <w:tc>
          <w:tcPr>
            <w:tcW w:w="1304" w:type="dxa"/>
            <w:vAlign w:val="center"/>
          </w:tcPr>
          <w:p>
            <w:pPr>
              <w:pStyle w:val="14"/>
            </w:pPr>
            <w:r>
              <w:t>71.00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按时完成鹿泉区城市危旧房改造项目用地面积为10785.44平方米，改善居民居住环境。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1.按时完成鹿泉区城市危旧房改造项目用地面积为10785.44平方米，改善居民居住环境。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危旧房改造项目用地面积</w:t>
            </w:r>
          </w:p>
        </w:tc>
        <w:tc>
          <w:tcPr>
            <w:tcW w:w="2891" w:type="dxa"/>
            <w:vAlign w:val="center"/>
          </w:tcPr>
          <w:p>
            <w:pPr>
              <w:pStyle w:val="14"/>
            </w:pPr>
            <w:r>
              <w:t>危旧房改造项目用地面积29485.36平方米</w:t>
            </w:r>
          </w:p>
        </w:tc>
        <w:tc>
          <w:tcPr>
            <w:tcW w:w="1276" w:type="dxa"/>
            <w:vAlign w:val="center"/>
          </w:tcPr>
          <w:p>
            <w:pPr>
              <w:pStyle w:val="14"/>
            </w:pPr>
            <w:r>
              <w:t>10758.44平方米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危旧房改造项目完成率</w:t>
            </w:r>
          </w:p>
        </w:tc>
        <w:tc>
          <w:tcPr>
            <w:tcW w:w="2891" w:type="dxa"/>
            <w:vAlign w:val="center"/>
          </w:tcPr>
          <w:p>
            <w:pPr>
              <w:pStyle w:val="14"/>
            </w:pPr>
            <w:r>
              <w:t>危旧房改造项目完成率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危旧房改造项目按时完成率</w:t>
            </w:r>
          </w:p>
        </w:tc>
        <w:tc>
          <w:tcPr>
            <w:tcW w:w="2891" w:type="dxa"/>
            <w:vAlign w:val="center"/>
          </w:tcPr>
          <w:p>
            <w:pPr>
              <w:pStyle w:val="14"/>
            </w:pPr>
            <w:r>
              <w:t>危旧房改造项目按时完成率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危旧房改造项目成本</w:t>
            </w:r>
          </w:p>
        </w:tc>
        <w:tc>
          <w:tcPr>
            <w:tcW w:w="2891" w:type="dxa"/>
            <w:vAlign w:val="center"/>
          </w:tcPr>
          <w:p>
            <w:pPr>
              <w:pStyle w:val="14"/>
            </w:pPr>
            <w:r>
              <w:t>危旧房改造项目成本</w:t>
            </w:r>
          </w:p>
        </w:tc>
        <w:tc>
          <w:tcPr>
            <w:tcW w:w="1276" w:type="dxa"/>
            <w:vAlign w:val="center"/>
          </w:tcPr>
          <w:p>
            <w:pPr>
              <w:pStyle w:val="14"/>
            </w:pPr>
            <w:r>
              <w:t>71万元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危旧房改造项目长期使用性</w:t>
            </w:r>
          </w:p>
        </w:tc>
        <w:tc>
          <w:tcPr>
            <w:tcW w:w="2891" w:type="dxa"/>
            <w:vAlign w:val="center"/>
          </w:tcPr>
          <w:p>
            <w:pPr>
              <w:pStyle w:val="14"/>
            </w:pPr>
            <w:r>
              <w:t>危旧房改造项目长期使用性</w:t>
            </w:r>
          </w:p>
        </w:tc>
        <w:tc>
          <w:tcPr>
            <w:tcW w:w="1276" w:type="dxa"/>
            <w:vAlign w:val="center"/>
          </w:tcPr>
          <w:p>
            <w:pPr>
              <w:pStyle w:val="14"/>
            </w:pPr>
            <w:r>
              <w:t>≥5年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危旧房改造项目受益户数</w:t>
            </w:r>
          </w:p>
        </w:tc>
        <w:tc>
          <w:tcPr>
            <w:tcW w:w="2891" w:type="dxa"/>
            <w:vAlign w:val="center"/>
          </w:tcPr>
          <w:p>
            <w:pPr>
              <w:pStyle w:val="14"/>
            </w:pPr>
            <w:r>
              <w:t>危旧房改造项目社会效益受益户数</w:t>
            </w:r>
          </w:p>
        </w:tc>
        <w:tc>
          <w:tcPr>
            <w:tcW w:w="1276" w:type="dxa"/>
            <w:vAlign w:val="center"/>
          </w:tcPr>
          <w:p>
            <w:pPr>
              <w:pStyle w:val="14"/>
            </w:pPr>
            <w:r>
              <w:t>151户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危旧房改造项目群众满意度</w:t>
            </w:r>
          </w:p>
        </w:tc>
        <w:tc>
          <w:tcPr>
            <w:tcW w:w="2891" w:type="dxa"/>
            <w:vAlign w:val="center"/>
          </w:tcPr>
          <w:p>
            <w:pPr>
              <w:pStyle w:val="14"/>
            </w:pPr>
            <w:r>
              <w:t>危旧房改造项目群众满意度数量满意占比</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6" w:name="_Toc_4_4_0000000045"/>
      <w:r>
        <w:rPr>
          <w:rFonts w:ascii="方正仿宋_GBK" w:hAnsi="方正仿宋_GBK" w:eastAsia="方正仿宋_GBK" w:cs="方正仿宋_GBK"/>
          <w:color w:val="000000"/>
          <w:sz w:val="28"/>
        </w:rPr>
        <w:t>42.关于提前下达2025年中央大气污染防治资金（用于农村地区气代煤改造任务运行补贴）绩效目标表</w:t>
      </w:r>
      <w:bookmarkEnd w:id="5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13011025P00152610017H</w:t>
            </w:r>
          </w:p>
        </w:tc>
        <w:tc>
          <w:tcPr>
            <w:tcW w:w="1587" w:type="dxa"/>
            <w:vAlign w:val="center"/>
          </w:tcPr>
          <w:p>
            <w:pPr>
              <w:pStyle w:val="12"/>
            </w:pPr>
            <w:r>
              <w:t>项目名称</w:t>
            </w:r>
          </w:p>
        </w:tc>
        <w:tc>
          <w:tcPr>
            <w:tcW w:w="4423" w:type="dxa"/>
            <w:gridSpan w:val="3"/>
            <w:vAlign w:val="center"/>
          </w:tcPr>
          <w:p>
            <w:pPr>
              <w:pStyle w:val="14"/>
            </w:pPr>
            <w:r>
              <w:t>关于提前下达2025年中央大气污染防治资金（用于农村地区气代煤改造任务运行补贴）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351.00</w:t>
            </w:r>
          </w:p>
        </w:tc>
        <w:tc>
          <w:tcPr>
            <w:tcW w:w="1587" w:type="dxa"/>
            <w:vAlign w:val="center"/>
          </w:tcPr>
          <w:p>
            <w:pPr>
              <w:pStyle w:val="12"/>
            </w:pPr>
            <w:r>
              <w:t>其中：财政    资金</w:t>
            </w:r>
          </w:p>
        </w:tc>
        <w:tc>
          <w:tcPr>
            <w:tcW w:w="1304" w:type="dxa"/>
            <w:vAlign w:val="center"/>
          </w:tcPr>
          <w:p>
            <w:pPr>
              <w:pStyle w:val="14"/>
            </w:pPr>
            <w:r>
              <w:t>351.00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2017年</w:t>
            </w:r>
            <w:r>
              <w:rPr>
                <w:rFonts w:hint="eastAsia"/>
                <w:lang w:val="en-US" w:eastAsia="zh-CN"/>
              </w:rPr>
              <w:t>全</w:t>
            </w:r>
            <w:r>
              <w:t>区双代运行补贴户数</w:t>
            </w:r>
          </w:p>
        </w:tc>
        <w:tc>
          <w:tcPr>
            <w:tcW w:w="1276" w:type="dxa"/>
            <w:vAlign w:val="center"/>
          </w:tcPr>
          <w:p>
            <w:pPr>
              <w:pStyle w:val="14"/>
            </w:pPr>
            <w:r>
              <w:t>≤82082户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已发放双代运行补贴占应补贴完成率</w:t>
            </w:r>
          </w:p>
        </w:tc>
        <w:tc>
          <w:tcPr>
            <w:tcW w:w="1276" w:type="dxa"/>
            <w:vAlign w:val="center"/>
          </w:tcPr>
          <w:p>
            <w:pPr>
              <w:pStyle w:val="14"/>
            </w:pPr>
            <w:r>
              <w:t>100%</w:t>
            </w:r>
          </w:p>
        </w:tc>
        <w:tc>
          <w:tcPr>
            <w:tcW w:w="1843" w:type="dxa"/>
            <w:vAlign w:val="center"/>
          </w:tcPr>
          <w:p>
            <w:pPr>
              <w:pStyle w:val="14"/>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2017年度煤改气用户发放2025-2026年天然气用户均补贴标准</w:t>
            </w:r>
          </w:p>
        </w:tc>
        <w:tc>
          <w:tcPr>
            <w:tcW w:w="1276" w:type="dxa"/>
            <w:vAlign w:val="center"/>
          </w:tcPr>
          <w:p>
            <w:pPr>
              <w:pStyle w:val="14"/>
            </w:pPr>
            <w:r>
              <w:t>160元/户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2017年度煤改电用户发放2025-2026年煤改电用户均补贴标准</w:t>
            </w:r>
          </w:p>
        </w:tc>
        <w:tc>
          <w:tcPr>
            <w:tcW w:w="1276" w:type="dxa"/>
            <w:vAlign w:val="center"/>
          </w:tcPr>
          <w:p>
            <w:pPr>
              <w:pStyle w:val="14"/>
            </w:pPr>
            <w:r>
              <w:t>200元/户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2017年双代补贴户数</w:t>
            </w:r>
          </w:p>
        </w:tc>
        <w:tc>
          <w:tcPr>
            <w:tcW w:w="1276" w:type="dxa"/>
            <w:vAlign w:val="center"/>
          </w:tcPr>
          <w:p>
            <w:pPr>
              <w:pStyle w:val="14"/>
            </w:pPr>
            <w:r>
              <w:t>82082户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到期后，按实际制定政策</w:t>
            </w:r>
          </w:p>
        </w:tc>
        <w:tc>
          <w:tcPr>
            <w:tcW w:w="2891" w:type="dxa"/>
            <w:vAlign w:val="center"/>
          </w:tcPr>
          <w:p>
            <w:pPr>
              <w:pStyle w:val="14"/>
            </w:pPr>
            <w:r>
              <w:t>2017年双代补贴户数</w:t>
            </w:r>
          </w:p>
        </w:tc>
        <w:tc>
          <w:tcPr>
            <w:tcW w:w="1276" w:type="dxa"/>
            <w:vAlign w:val="center"/>
          </w:tcPr>
          <w:p>
            <w:pPr>
              <w:pStyle w:val="14"/>
            </w:pPr>
            <w:r>
              <w:t>根据石财建【2021】77号文</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w:t>
            </w:r>
            <w:r>
              <w:rPr>
                <w:rFonts w:hint="eastAsia"/>
                <w:lang w:val="en-US" w:eastAsia="zh-CN"/>
              </w:rPr>
              <w:t>被</w:t>
            </w:r>
            <w:r>
              <w:t>调查人数比例</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7" w:name="_Toc_4_4_0000000046"/>
      <w:r>
        <w:rPr>
          <w:rFonts w:ascii="方正仿宋_GBK" w:hAnsi="方正仿宋_GBK" w:eastAsia="方正仿宋_GBK" w:cs="方正仿宋_GBK"/>
          <w:color w:val="000000"/>
          <w:sz w:val="28"/>
        </w:rPr>
        <w:t>43.关于提前下达2025年中央大气污染防治资金（用于区级承担补贴资金）绩效目标表</w:t>
      </w:r>
      <w:bookmarkEnd w:id="5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13011025P001526100204</w:t>
            </w:r>
          </w:p>
        </w:tc>
        <w:tc>
          <w:tcPr>
            <w:tcW w:w="1587" w:type="dxa"/>
            <w:vAlign w:val="center"/>
          </w:tcPr>
          <w:p>
            <w:pPr>
              <w:pStyle w:val="12"/>
            </w:pPr>
            <w:r>
              <w:t>项目名称</w:t>
            </w:r>
          </w:p>
        </w:tc>
        <w:tc>
          <w:tcPr>
            <w:tcW w:w="4423" w:type="dxa"/>
            <w:gridSpan w:val="3"/>
            <w:vAlign w:val="center"/>
          </w:tcPr>
          <w:p>
            <w:pPr>
              <w:pStyle w:val="14"/>
            </w:pPr>
            <w:r>
              <w:t>关于提前下达2025年中央大气污染防治资金（用于区级承担补贴资金）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333.00</w:t>
            </w:r>
          </w:p>
        </w:tc>
        <w:tc>
          <w:tcPr>
            <w:tcW w:w="1587" w:type="dxa"/>
            <w:vAlign w:val="center"/>
          </w:tcPr>
          <w:p>
            <w:pPr>
              <w:pStyle w:val="12"/>
            </w:pPr>
            <w:r>
              <w:t>其中：财政    资金</w:t>
            </w:r>
          </w:p>
        </w:tc>
        <w:tc>
          <w:tcPr>
            <w:tcW w:w="1304" w:type="dxa"/>
            <w:vAlign w:val="center"/>
          </w:tcPr>
          <w:p>
            <w:pPr>
              <w:pStyle w:val="14"/>
            </w:pPr>
            <w:r>
              <w:t>333.00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2016、2017年区区双代运行补贴户数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已发放双代运行补贴占应补贴完成率</w:t>
            </w:r>
          </w:p>
        </w:tc>
        <w:tc>
          <w:tcPr>
            <w:tcW w:w="1276" w:type="dxa"/>
            <w:vAlign w:val="center"/>
          </w:tcPr>
          <w:p>
            <w:pPr>
              <w:pStyle w:val="14"/>
            </w:pPr>
            <w:r>
              <w:t>100%</w:t>
            </w:r>
          </w:p>
        </w:tc>
        <w:tc>
          <w:tcPr>
            <w:tcW w:w="1843" w:type="dxa"/>
            <w:vAlign w:val="center"/>
          </w:tcPr>
          <w:p>
            <w:pPr>
              <w:pStyle w:val="14"/>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2016、2017年度煤改气用户发放2025-2026年天然气用户均补贴标准</w:t>
            </w:r>
          </w:p>
        </w:tc>
        <w:tc>
          <w:tcPr>
            <w:tcW w:w="1276" w:type="dxa"/>
            <w:vAlign w:val="center"/>
          </w:tcPr>
          <w:p>
            <w:pPr>
              <w:pStyle w:val="14"/>
            </w:pPr>
            <w:r>
              <w:t>160元/户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2016、2017年度煤改电用户发放2025-2026年煤改电用户均补贴标准</w:t>
            </w:r>
          </w:p>
        </w:tc>
        <w:tc>
          <w:tcPr>
            <w:tcW w:w="1276" w:type="dxa"/>
            <w:vAlign w:val="center"/>
          </w:tcPr>
          <w:p>
            <w:pPr>
              <w:pStyle w:val="14"/>
            </w:pPr>
            <w:r>
              <w:t>200元/户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2016、2017年双代补贴户数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到期后，按实际制定政策</w:t>
            </w:r>
          </w:p>
        </w:tc>
        <w:tc>
          <w:tcPr>
            <w:tcW w:w="2891" w:type="dxa"/>
            <w:vAlign w:val="center"/>
          </w:tcPr>
          <w:p>
            <w:pPr>
              <w:pStyle w:val="14"/>
            </w:pPr>
            <w:r>
              <w:t>2016、2017年双代补贴户数</w:t>
            </w:r>
          </w:p>
        </w:tc>
        <w:tc>
          <w:tcPr>
            <w:tcW w:w="1276" w:type="dxa"/>
            <w:vAlign w:val="center"/>
          </w:tcPr>
          <w:p>
            <w:pPr>
              <w:pStyle w:val="14"/>
            </w:pPr>
            <w:r>
              <w:t>根据石财建【2021】77号文</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群众满意数量占别调查人数比例</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8" w:name="_Toc_4_4_0000000047"/>
      <w:r>
        <w:rPr>
          <w:rFonts w:ascii="方正仿宋_GBK" w:hAnsi="方正仿宋_GBK" w:eastAsia="方正仿宋_GBK" w:cs="方正仿宋_GBK"/>
          <w:color w:val="000000"/>
          <w:sz w:val="28"/>
        </w:rPr>
        <w:t>44.关于提前下达2025年中央大气污染防治资金（用于市级承担补贴资金）绩效目标表</w:t>
      </w:r>
      <w:bookmarkEnd w:id="5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13011025P00152610019Q</w:t>
            </w:r>
          </w:p>
        </w:tc>
        <w:tc>
          <w:tcPr>
            <w:tcW w:w="1587" w:type="dxa"/>
            <w:vAlign w:val="center"/>
          </w:tcPr>
          <w:p>
            <w:pPr>
              <w:pStyle w:val="12"/>
            </w:pPr>
            <w:r>
              <w:t>项目名称</w:t>
            </w:r>
          </w:p>
        </w:tc>
        <w:tc>
          <w:tcPr>
            <w:tcW w:w="4423" w:type="dxa"/>
            <w:gridSpan w:val="3"/>
            <w:vAlign w:val="center"/>
          </w:tcPr>
          <w:p>
            <w:pPr>
              <w:pStyle w:val="14"/>
            </w:pPr>
            <w:r>
              <w:t>关于提前下达2025年中央大气污染防治资金（用于市级承担补贴资金）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466.00</w:t>
            </w:r>
          </w:p>
        </w:tc>
        <w:tc>
          <w:tcPr>
            <w:tcW w:w="1587" w:type="dxa"/>
            <w:vAlign w:val="center"/>
          </w:tcPr>
          <w:p>
            <w:pPr>
              <w:pStyle w:val="12"/>
            </w:pPr>
            <w:r>
              <w:t>其中：财政    资金</w:t>
            </w:r>
          </w:p>
        </w:tc>
        <w:tc>
          <w:tcPr>
            <w:tcW w:w="1304" w:type="dxa"/>
            <w:vAlign w:val="center"/>
          </w:tcPr>
          <w:p>
            <w:pPr>
              <w:pStyle w:val="14"/>
            </w:pPr>
            <w:r>
              <w:t>466.00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2016、2017年区区双代运行补贴户数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已发放双代运行补贴占应补贴完成率</w:t>
            </w:r>
          </w:p>
        </w:tc>
        <w:tc>
          <w:tcPr>
            <w:tcW w:w="1276" w:type="dxa"/>
            <w:vAlign w:val="center"/>
          </w:tcPr>
          <w:p>
            <w:pPr>
              <w:pStyle w:val="14"/>
            </w:pPr>
            <w:r>
              <w:t>100%</w:t>
            </w:r>
          </w:p>
        </w:tc>
        <w:tc>
          <w:tcPr>
            <w:tcW w:w="1843" w:type="dxa"/>
            <w:vAlign w:val="center"/>
          </w:tcPr>
          <w:p>
            <w:pPr>
              <w:pStyle w:val="14"/>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2016、2017年度煤改气用户发放2025-2026年天然气用户均补贴标准</w:t>
            </w:r>
          </w:p>
        </w:tc>
        <w:tc>
          <w:tcPr>
            <w:tcW w:w="1276" w:type="dxa"/>
            <w:vAlign w:val="center"/>
          </w:tcPr>
          <w:p>
            <w:pPr>
              <w:pStyle w:val="14"/>
            </w:pPr>
            <w:r>
              <w:t>160元/户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2016、2017年度煤改电用户发放2025-2026年煤改电用户均补贴标准</w:t>
            </w:r>
          </w:p>
        </w:tc>
        <w:tc>
          <w:tcPr>
            <w:tcW w:w="1276" w:type="dxa"/>
            <w:vAlign w:val="center"/>
          </w:tcPr>
          <w:p>
            <w:pPr>
              <w:pStyle w:val="14"/>
            </w:pPr>
            <w:r>
              <w:t>200元/户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2016、2017年双代补贴户数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到期后，按实际制定政策</w:t>
            </w:r>
          </w:p>
        </w:tc>
        <w:tc>
          <w:tcPr>
            <w:tcW w:w="2891" w:type="dxa"/>
            <w:vAlign w:val="center"/>
          </w:tcPr>
          <w:p>
            <w:pPr>
              <w:pStyle w:val="14"/>
            </w:pPr>
            <w:r>
              <w:t>2016、2017年双代补贴户数</w:t>
            </w:r>
          </w:p>
        </w:tc>
        <w:tc>
          <w:tcPr>
            <w:tcW w:w="1276" w:type="dxa"/>
            <w:vAlign w:val="center"/>
          </w:tcPr>
          <w:p>
            <w:pPr>
              <w:pStyle w:val="14"/>
            </w:pPr>
            <w:r>
              <w:t>根据石财建【2021】77号文</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群众满意数量占别调查人数比例</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9" w:name="_Toc_4_4_0000000048"/>
      <w:r>
        <w:rPr>
          <w:rFonts w:ascii="方正仿宋_GBK" w:hAnsi="方正仿宋_GBK" w:eastAsia="方正仿宋_GBK" w:cs="方正仿宋_GBK"/>
          <w:color w:val="000000"/>
          <w:sz w:val="28"/>
        </w:rPr>
        <w:t>45.关于提前下达2026年省级城镇保障性安居工程补助资金绩效目标表</w:t>
      </w:r>
      <w:bookmarkEnd w:id="5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13011026P00161710019D</w:t>
            </w:r>
          </w:p>
        </w:tc>
        <w:tc>
          <w:tcPr>
            <w:tcW w:w="1587" w:type="dxa"/>
            <w:vAlign w:val="center"/>
          </w:tcPr>
          <w:p>
            <w:pPr>
              <w:pStyle w:val="12"/>
            </w:pPr>
            <w:r>
              <w:t>项目名称</w:t>
            </w:r>
          </w:p>
        </w:tc>
        <w:tc>
          <w:tcPr>
            <w:tcW w:w="4423" w:type="dxa"/>
            <w:gridSpan w:val="3"/>
            <w:vAlign w:val="center"/>
          </w:tcPr>
          <w:p>
            <w:pPr>
              <w:pStyle w:val="14"/>
            </w:pPr>
            <w:r>
              <w:t>关于提前下达2026年省级城镇保障性安居工程补助资金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11.00</w:t>
            </w:r>
          </w:p>
        </w:tc>
        <w:tc>
          <w:tcPr>
            <w:tcW w:w="1587" w:type="dxa"/>
            <w:vAlign w:val="center"/>
          </w:tcPr>
          <w:p>
            <w:pPr>
              <w:pStyle w:val="12"/>
            </w:pPr>
            <w:r>
              <w:t>其中：财政    资金</w:t>
            </w:r>
          </w:p>
        </w:tc>
        <w:tc>
          <w:tcPr>
            <w:tcW w:w="1304" w:type="dxa"/>
            <w:vAlign w:val="center"/>
          </w:tcPr>
          <w:p>
            <w:pPr>
              <w:pStyle w:val="14"/>
            </w:pPr>
            <w:r>
              <w:t>11.00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按时完成鹿泉区城市危旧房改造项目用地面积为10758.44平方米，改善居民居住环境。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1.按时完成鹿泉区城市危旧房改造项目用地面积为10758.44平方米，改善居民居住环境。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危旧房改造项目用地面积</w:t>
            </w:r>
          </w:p>
        </w:tc>
        <w:tc>
          <w:tcPr>
            <w:tcW w:w="2891" w:type="dxa"/>
            <w:vAlign w:val="center"/>
          </w:tcPr>
          <w:p>
            <w:pPr>
              <w:pStyle w:val="14"/>
            </w:pPr>
            <w:r>
              <w:t>危旧房改造项目用地面积29485.36平方米</w:t>
            </w:r>
          </w:p>
        </w:tc>
        <w:tc>
          <w:tcPr>
            <w:tcW w:w="1276" w:type="dxa"/>
            <w:vAlign w:val="center"/>
          </w:tcPr>
          <w:p>
            <w:pPr>
              <w:pStyle w:val="14"/>
            </w:pPr>
            <w:r>
              <w:t>10758.44平方米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危旧房改造项目完成率</w:t>
            </w:r>
          </w:p>
        </w:tc>
        <w:tc>
          <w:tcPr>
            <w:tcW w:w="2891" w:type="dxa"/>
            <w:vAlign w:val="center"/>
          </w:tcPr>
          <w:p>
            <w:pPr>
              <w:pStyle w:val="14"/>
            </w:pPr>
            <w:r>
              <w:t>危旧房改造项目完成率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危旧房改造项目按时完成率</w:t>
            </w:r>
          </w:p>
        </w:tc>
        <w:tc>
          <w:tcPr>
            <w:tcW w:w="2891" w:type="dxa"/>
            <w:vAlign w:val="center"/>
          </w:tcPr>
          <w:p>
            <w:pPr>
              <w:pStyle w:val="14"/>
            </w:pPr>
            <w:r>
              <w:t>危旧房改造项目按时完成率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危旧房改造项目成本</w:t>
            </w:r>
          </w:p>
        </w:tc>
        <w:tc>
          <w:tcPr>
            <w:tcW w:w="2891" w:type="dxa"/>
            <w:vAlign w:val="center"/>
          </w:tcPr>
          <w:p>
            <w:pPr>
              <w:pStyle w:val="14"/>
            </w:pPr>
            <w:r>
              <w:t>危旧房改造项目成本</w:t>
            </w:r>
          </w:p>
        </w:tc>
        <w:tc>
          <w:tcPr>
            <w:tcW w:w="1276" w:type="dxa"/>
            <w:vAlign w:val="center"/>
          </w:tcPr>
          <w:p>
            <w:pPr>
              <w:pStyle w:val="14"/>
            </w:pPr>
            <w:r>
              <w:t>11万元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危旧房改造项目长期使用性</w:t>
            </w:r>
          </w:p>
        </w:tc>
        <w:tc>
          <w:tcPr>
            <w:tcW w:w="2891" w:type="dxa"/>
            <w:vAlign w:val="center"/>
          </w:tcPr>
          <w:p>
            <w:pPr>
              <w:pStyle w:val="14"/>
            </w:pPr>
            <w:r>
              <w:t>危旧房改造项目长期使用性</w:t>
            </w:r>
          </w:p>
        </w:tc>
        <w:tc>
          <w:tcPr>
            <w:tcW w:w="1276" w:type="dxa"/>
            <w:vAlign w:val="center"/>
          </w:tcPr>
          <w:p>
            <w:pPr>
              <w:pStyle w:val="14"/>
            </w:pPr>
            <w:r>
              <w:t>≥5年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危旧房改造项目受益户数</w:t>
            </w:r>
          </w:p>
        </w:tc>
        <w:tc>
          <w:tcPr>
            <w:tcW w:w="2891" w:type="dxa"/>
            <w:vAlign w:val="center"/>
          </w:tcPr>
          <w:p>
            <w:pPr>
              <w:pStyle w:val="14"/>
            </w:pPr>
            <w:r>
              <w:t>危旧房改造项目社会效益受益户数</w:t>
            </w:r>
          </w:p>
        </w:tc>
        <w:tc>
          <w:tcPr>
            <w:tcW w:w="1276" w:type="dxa"/>
            <w:vAlign w:val="center"/>
          </w:tcPr>
          <w:p>
            <w:pPr>
              <w:pStyle w:val="14"/>
            </w:pPr>
            <w:r>
              <w:t>151户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危旧房改造项目群众满意度</w:t>
            </w:r>
          </w:p>
        </w:tc>
        <w:tc>
          <w:tcPr>
            <w:tcW w:w="2891" w:type="dxa"/>
            <w:vAlign w:val="center"/>
          </w:tcPr>
          <w:p>
            <w:pPr>
              <w:pStyle w:val="14"/>
            </w:pPr>
            <w:r>
              <w:t>危旧房改造项目群众满意度数量满意占比</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0" w:name="_Toc_4_4_0000000049"/>
      <w:r>
        <w:rPr>
          <w:rFonts w:ascii="方正仿宋_GBK" w:hAnsi="方正仿宋_GBK" w:eastAsia="方正仿宋_GBK" w:cs="方正仿宋_GBK"/>
          <w:color w:val="000000"/>
          <w:sz w:val="28"/>
        </w:rPr>
        <w:t>46.关于提前下达2026年省级大气污染防治（建筑节能补助）专项资金绩效目标表</w:t>
      </w:r>
      <w:bookmarkEnd w:id="6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13011026P000001104945</w:t>
            </w:r>
          </w:p>
        </w:tc>
        <w:tc>
          <w:tcPr>
            <w:tcW w:w="1587" w:type="dxa"/>
            <w:vAlign w:val="center"/>
          </w:tcPr>
          <w:p>
            <w:pPr>
              <w:pStyle w:val="12"/>
            </w:pPr>
            <w:r>
              <w:t>项目名称</w:t>
            </w:r>
          </w:p>
        </w:tc>
        <w:tc>
          <w:tcPr>
            <w:tcW w:w="4423" w:type="dxa"/>
            <w:gridSpan w:val="3"/>
            <w:vAlign w:val="center"/>
          </w:tcPr>
          <w:p>
            <w:pPr>
              <w:pStyle w:val="14"/>
            </w:pPr>
            <w:r>
              <w:t>关于提前下达2026年省级大气污染防治（建筑节能补助）专项资金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830.90</w:t>
            </w:r>
          </w:p>
        </w:tc>
        <w:tc>
          <w:tcPr>
            <w:tcW w:w="1587" w:type="dxa"/>
            <w:vAlign w:val="center"/>
          </w:tcPr>
          <w:p>
            <w:pPr>
              <w:pStyle w:val="12"/>
            </w:pPr>
            <w:r>
              <w:t>其中：财政    资金</w:t>
            </w:r>
          </w:p>
        </w:tc>
        <w:tc>
          <w:tcPr>
            <w:tcW w:w="1304" w:type="dxa"/>
            <w:vAlign w:val="center"/>
          </w:tcPr>
          <w:p>
            <w:pPr>
              <w:pStyle w:val="14"/>
            </w:pPr>
            <w:r>
              <w:t>830.90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通过补助建筑节能项目，推动建筑节能减排。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1.通过补助建筑节能项目，推动建筑节能减排。</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资金补助超低能耗建筑面积</w:t>
            </w:r>
          </w:p>
        </w:tc>
        <w:tc>
          <w:tcPr>
            <w:tcW w:w="2891" w:type="dxa"/>
            <w:vAlign w:val="center"/>
          </w:tcPr>
          <w:p>
            <w:pPr>
              <w:pStyle w:val="14"/>
            </w:pPr>
            <w:r>
              <w:t>资金补助超低能耗建筑面积</w:t>
            </w:r>
          </w:p>
        </w:tc>
        <w:tc>
          <w:tcPr>
            <w:tcW w:w="1276" w:type="dxa"/>
            <w:vAlign w:val="center"/>
          </w:tcPr>
          <w:p>
            <w:pPr>
              <w:pStyle w:val="14"/>
            </w:pPr>
            <w:r>
              <w:t>82925.16平方米</w:t>
            </w:r>
          </w:p>
        </w:tc>
        <w:tc>
          <w:tcPr>
            <w:tcW w:w="1843" w:type="dxa"/>
            <w:vAlign w:val="center"/>
          </w:tcPr>
          <w:p>
            <w:pPr>
              <w:pStyle w:val="14"/>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补助超低能耗建筑符合被动式超低能耗建筑设计标准</w:t>
            </w:r>
          </w:p>
        </w:tc>
        <w:tc>
          <w:tcPr>
            <w:tcW w:w="2891" w:type="dxa"/>
            <w:vAlign w:val="center"/>
          </w:tcPr>
          <w:p>
            <w:pPr>
              <w:pStyle w:val="14"/>
            </w:pPr>
            <w:r>
              <w:t>补助超低能耗建筑符合被动式超低能耗建筑设计标准</w:t>
            </w:r>
          </w:p>
        </w:tc>
        <w:tc>
          <w:tcPr>
            <w:tcW w:w="1276" w:type="dxa"/>
            <w:vAlign w:val="center"/>
          </w:tcPr>
          <w:p>
            <w:pPr>
              <w:pStyle w:val="14"/>
            </w:pPr>
            <w:r>
              <w:t>符合被动式超低能耗建筑设计标准</w:t>
            </w:r>
          </w:p>
        </w:tc>
        <w:tc>
          <w:tcPr>
            <w:tcW w:w="1843" w:type="dxa"/>
            <w:vAlign w:val="center"/>
          </w:tcPr>
          <w:p>
            <w:pPr>
              <w:pStyle w:val="14"/>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完成年度建设任务时限</w:t>
            </w:r>
          </w:p>
        </w:tc>
        <w:tc>
          <w:tcPr>
            <w:tcW w:w="2891" w:type="dxa"/>
            <w:vAlign w:val="center"/>
          </w:tcPr>
          <w:p>
            <w:pPr>
              <w:pStyle w:val="14"/>
            </w:pPr>
            <w:r>
              <w:t>完成年度建设任务时限</w:t>
            </w:r>
          </w:p>
        </w:tc>
        <w:tc>
          <w:tcPr>
            <w:tcW w:w="1276" w:type="dxa"/>
            <w:vAlign w:val="center"/>
          </w:tcPr>
          <w:p>
            <w:pPr>
              <w:pStyle w:val="14"/>
            </w:pPr>
            <w:r>
              <w:t>2027年12月底</w:t>
            </w:r>
          </w:p>
        </w:tc>
        <w:tc>
          <w:tcPr>
            <w:tcW w:w="1843" w:type="dxa"/>
            <w:vAlign w:val="center"/>
          </w:tcPr>
          <w:p>
            <w:pPr>
              <w:pStyle w:val="14"/>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补助超低能耗建筑项目补助标准符合专项资金管理办法要求</w:t>
            </w:r>
          </w:p>
        </w:tc>
        <w:tc>
          <w:tcPr>
            <w:tcW w:w="2891" w:type="dxa"/>
            <w:vAlign w:val="center"/>
          </w:tcPr>
          <w:p>
            <w:pPr>
              <w:pStyle w:val="14"/>
            </w:pPr>
            <w:r>
              <w:t>补助超低能耗建筑项目补助标准符合专项资金管理办法要求</w:t>
            </w:r>
          </w:p>
        </w:tc>
        <w:tc>
          <w:tcPr>
            <w:tcW w:w="1276" w:type="dxa"/>
            <w:vAlign w:val="center"/>
          </w:tcPr>
          <w:p>
            <w:pPr>
              <w:pStyle w:val="14"/>
            </w:pPr>
            <w:r>
              <w:t>≤500万元</w:t>
            </w:r>
          </w:p>
        </w:tc>
        <w:tc>
          <w:tcPr>
            <w:tcW w:w="1843" w:type="dxa"/>
            <w:vAlign w:val="center"/>
          </w:tcPr>
          <w:p>
            <w:pPr>
              <w:pStyle w:val="14"/>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推动超低能耗建筑发展</w:t>
            </w:r>
          </w:p>
        </w:tc>
        <w:tc>
          <w:tcPr>
            <w:tcW w:w="2891" w:type="dxa"/>
            <w:vAlign w:val="center"/>
          </w:tcPr>
          <w:p>
            <w:pPr>
              <w:pStyle w:val="14"/>
            </w:pPr>
            <w:r>
              <w:t>推动超低能耗建筑发展</w:t>
            </w:r>
          </w:p>
        </w:tc>
        <w:tc>
          <w:tcPr>
            <w:tcW w:w="1276" w:type="dxa"/>
            <w:vAlign w:val="center"/>
          </w:tcPr>
          <w:p>
            <w:pPr>
              <w:pStyle w:val="14"/>
            </w:pPr>
            <w:r>
              <w:t>通过补助超低能耗建筑示范项目，推动本地超低能耗建筑发展。</w:t>
            </w:r>
          </w:p>
        </w:tc>
        <w:tc>
          <w:tcPr>
            <w:tcW w:w="1843" w:type="dxa"/>
            <w:vAlign w:val="center"/>
          </w:tcPr>
          <w:p>
            <w:pPr>
              <w:pStyle w:val="14"/>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推动超低能耗建筑发展</w:t>
            </w:r>
          </w:p>
        </w:tc>
        <w:tc>
          <w:tcPr>
            <w:tcW w:w="2891" w:type="dxa"/>
            <w:vAlign w:val="center"/>
          </w:tcPr>
          <w:p>
            <w:pPr>
              <w:pStyle w:val="14"/>
            </w:pPr>
            <w:r>
              <w:t>推动超低能耗建筑发展</w:t>
            </w:r>
          </w:p>
        </w:tc>
        <w:tc>
          <w:tcPr>
            <w:tcW w:w="1276" w:type="dxa"/>
            <w:vAlign w:val="center"/>
          </w:tcPr>
          <w:p>
            <w:pPr>
              <w:pStyle w:val="14"/>
            </w:pPr>
            <w:r>
              <w:t>通过补助超低能耗建筑示范项目，推动本地超低能耗建筑发展。</w:t>
            </w:r>
          </w:p>
        </w:tc>
        <w:tc>
          <w:tcPr>
            <w:tcW w:w="1843" w:type="dxa"/>
            <w:vAlign w:val="center"/>
          </w:tcPr>
          <w:p>
            <w:pPr>
              <w:pStyle w:val="14"/>
            </w:pPr>
            <w:r>
              <w:t>石财建（2025）56号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满意率</w:t>
            </w:r>
          </w:p>
        </w:tc>
        <w:tc>
          <w:tcPr>
            <w:tcW w:w="2891" w:type="dxa"/>
            <w:vAlign w:val="center"/>
          </w:tcPr>
          <w:p>
            <w:pPr>
              <w:pStyle w:val="14"/>
            </w:pPr>
            <w:r>
              <w:t>满意率</w:t>
            </w:r>
          </w:p>
        </w:tc>
        <w:tc>
          <w:tcPr>
            <w:tcW w:w="1276" w:type="dxa"/>
            <w:vAlign w:val="center"/>
          </w:tcPr>
          <w:p>
            <w:pPr>
              <w:pStyle w:val="14"/>
            </w:pPr>
            <w:r>
              <w:t>≥90%</w:t>
            </w:r>
          </w:p>
        </w:tc>
        <w:tc>
          <w:tcPr>
            <w:tcW w:w="1843" w:type="dxa"/>
            <w:vAlign w:val="center"/>
          </w:tcPr>
          <w:p>
            <w:pPr>
              <w:pStyle w:val="14"/>
            </w:pPr>
            <w:r>
              <w:t>随机走访</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1" w:name="_Toc_4_4_0000000050"/>
      <w:r>
        <w:rPr>
          <w:rFonts w:ascii="方正仿宋_GBK" w:hAnsi="方正仿宋_GBK" w:eastAsia="方正仿宋_GBK" w:cs="方正仿宋_GBK"/>
          <w:color w:val="000000"/>
          <w:sz w:val="28"/>
        </w:rPr>
        <w:t>47.关于提前下达2026年省级乡村振兴专项资金绩效目标表</w:t>
      </w:r>
      <w:bookmarkEnd w:id="6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13011026P00002110053B</w:t>
            </w:r>
          </w:p>
        </w:tc>
        <w:tc>
          <w:tcPr>
            <w:tcW w:w="1587" w:type="dxa"/>
            <w:vAlign w:val="center"/>
          </w:tcPr>
          <w:p>
            <w:pPr>
              <w:pStyle w:val="12"/>
            </w:pPr>
            <w:r>
              <w:t>项目名称</w:t>
            </w:r>
          </w:p>
        </w:tc>
        <w:tc>
          <w:tcPr>
            <w:tcW w:w="4423" w:type="dxa"/>
            <w:gridSpan w:val="3"/>
            <w:vAlign w:val="center"/>
          </w:tcPr>
          <w:p>
            <w:pPr>
              <w:pStyle w:val="14"/>
            </w:pPr>
            <w:r>
              <w:t>关于提前下达2026年省级乡村振兴专项资金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49.00</w:t>
            </w:r>
          </w:p>
        </w:tc>
        <w:tc>
          <w:tcPr>
            <w:tcW w:w="1587" w:type="dxa"/>
            <w:vAlign w:val="center"/>
          </w:tcPr>
          <w:p>
            <w:pPr>
              <w:pStyle w:val="12"/>
            </w:pPr>
            <w:r>
              <w:t>其中：财政    资金</w:t>
            </w:r>
          </w:p>
        </w:tc>
        <w:tc>
          <w:tcPr>
            <w:tcW w:w="1304" w:type="dxa"/>
            <w:vAlign w:val="center"/>
          </w:tcPr>
          <w:p>
            <w:pPr>
              <w:pStyle w:val="14"/>
            </w:pPr>
            <w:r>
              <w:t>49.00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补助的装配式农房数量</w:t>
            </w:r>
          </w:p>
        </w:tc>
        <w:tc>
          <w:tcPr>
            <w:tcW w:w="2891" w:type="dxa"/>
            <w:vAlign w:val="center"/>
          </w:tcPr>
          <w:p>
            <w:pPr>
              <w:pStyle w:val="14"/>
            </w:pPr>
            <w:r>
              <w:t>县（区）2026年装配式农房建设试点户数</w:t>
            </w:r>
          </w:p>
        </w:tc>
        <w:tc>
          <w:tcPr>
            <w:tcW w:w="1276" w:type="dxa"/>
            <w:vAlign w:val="center"/>
          </w:tcPr>
          <w:p>
            <w:pPr>
              <w:pStyle w:val="14"/>
            </w:pPr>
            <w:r>
              <w:t>49户</w:t>
            </w:r>
          </w:p>
        </w:tc>
        <w:tc>
          <w:tcPr>
            <w:tcW w:w="1843" w:type="dxa"/>
            <w:vAlign w:val="center"/>
          </w:tcPr>
          <w:p>
            <w:pPr>
              <w:pStyle w:val="14"/>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补助户选用装配式建筑方式</w:t>
            </w:r>
          </w:p>
        </w:tc>
        <w:tc>
          <w:tcPr>
            <w:tcW w:w="2891" w:type="dxa"/>
            <w:vAlign w:val="center"/>
          </w:tcPr>
          <w:p>
            <w:pPr>
              <w:pStyle w:val="14"/>
            </w:pPr>
            <w:r>
              <w:t>装配式农村住房建设完成后验收合格率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完成时限</w:t>
            </w:r>
          </w:p>
        </w:tc>
        <w:tc>
          <w:tcPr>
            <w:tcW w:w="2891" w:type="dxa"/>
            <w:vAlign w:val="center"/>
          </w:tcPr>
          <w:p>
            <w:pPr>
              <w:pStyle w:val="14"/>
            </w:pPr>
            <w:r>
              <w:t>当年建设完成占需建设完成的比例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补助装配式农房标准</w:t>
            </w:r>
          </w:p>
        </w:tc>
        <w:tc>
          <w:tcPr>
            <w:tcW w:w="2891" w:type="dxa"/>
            <w:vAlign w:val="center"/>
          </w:tcPr>
          <w:p>
            <w:pPr>
              <w:pStyle w:val="14"/>
            </w:pPr>
            <w:r>
              <w:t>对装配式农村住房建设示范户我区补助不得少于1万元</w:t>
            </w:r>
          </w:p>
        </w:tc>
        <w:tc>
          <w:tcPr>
            <w:tcW w:w="1276" w:type="dxa"/>
            <w:vAlign w:val="center"/>
          </w:tcPr>
          <w:p>
            <w:pPr>
              <w:pStyle w:val="14"/>
            </w:pPr>
            <w:r>
              <w:t>1万元/户</w:t>
            </w:r>
          </w:p>
        </w:tc>
        <w:tc>
          <w:tcPr>
            <w:tcW w:w="1843" w:type="dxa"/>
            <w:vAlign w:val="center"/>
          </w:tcPr>
          <w:p>
            <w:pPr>
              <w:pStyle w:val="14"/>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引导提高农房建设水平</w:t>
            </w:r>
          </w:p>
        </w:tc>
        <w:tc>
          <w:tcPr>
            <w:tcW w:w="2891" w:type="dxa"/>
            <w:vAlign w:val="center"/>
          </w:tcPr>
          <w:p>
            <w:pPr>
              <w:pStyle w:val="14"/>
            </w:pPr>
            <w:r>
              <w:t>引导提高农房建设水平</w:t>
            </w:r>
          </w:p>
        </w:tc>
        <w:tc>
          <w:tcPr>
            <w:tcW w:w="1276" w:type="dxa"/>
            <w:vAlign w:val="center"/>
          </w:tcPr>
          <w:p>
            <w:pPr>
              <w:pStyle w:val="14"/>
            </w:pPr>
            <w:r>
              <w:t>15年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受益群众满意度</w:t>
            </w:r>
          </w:p>
        </w:tc>
        <w:tc>
          <w:tcPr>
            <w:tcW w:w="2891" w:type="dxa"/>
            <w:vAlign w:val="center"/>
          </w:tcPr>
          <w:p>
            <w:pPr>
              <w:pStyle w:val="14"/>
            </w:pPr>
            <w:r>
              <w:t>新建装配式农村住房示范户满意度</w:t>
            </w:r>
          </w:p>
        </w:tc>
        <w:tc>
          <w:tcPr>
            <w:tcW w:w="1276" w:type="dxa"/>
            <w:vAlign w:val="center"/>
          </w:tcPr>
          <w:p>
            <w:pPr>
              <w:pStyle w:val="14"/>
            </w:pPr>
            <w:r>
              <w:t>≥90%</w:t>
            </w:r>
          </w:p>
        </w:tc>
        <w:tc>
          <w:tcPr>
            <w:tcW w:w="1843" w:type="dxa"/>
            <w:vAlign w:val="center"/>
          </w:tcPr>
          <w:p>
            <w:pPr>
              <w:pStyle w:val="14"/>
            </w:pPr>
            <w:r>
              <w:t>现场走访</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2" w:name="_Toc_4_4_0000000051"/>
      <w:r>
        <w:rPr>
          <w:rFonts w:ascii="方正仿宋_GBK" w:hAnsi="方正仿宋_GBK" w:eastAsia="方正仿宋_GBK" w:cs="方正仿宋_GBK"/>
          <w:color w:val="000000"/>
          <w:sz w:val="28"/>
        </w:rPr>
        <w:t>48.关于提前下达2026年中央大气污染防治资金绩效目标表</w:t>
      </w:r>
      <w:bookmarkEnd w:id="62"/>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13011026P00152610020J</w:t>
            </w:r>
          </w:p>
        </w:tc>
        <w:tc>
          <w:tcPr>
            <w:tcW w:w="1587" w:type="dxa"/>
            <w:vAlign w:val="center"/>
          </w:tcPr>
          <w:p>
            <w:pPr>
              <w:pStyle w:val="12"/>
            </w:pPr>
            <w:r>
              <w:t>项目名称</w:t>
            </w:r>
          </w:p>
        </w:tc>
        <w:tc>
          <w:tcPr>
            <w:tcW w:w="4423" w:type="dxa"/>
            <w:gridSpan w:val="3"/>
            <w:vAlign w:val="center"/>
          </w:tcPr>
          <w:p>
            <w:pPr>
              <w:pStyle w:val="14"/>
            </w:pPr>
            <w:r>
              <w:t>关于提前下达2026年中央大气污染防治资金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591.00</w:t>
            </w:r>
          </w:p>
        </w:tc>
        <w:tc>
          <w:tcPr>
            <w:tcW w:w="1587" w:type="dxa"/>
            <w:vAlign w:val="center"/>
          </w:tcPr>
          <w:p>
            <w:pPr>
              <w:pStyle w:val="12"/>
            </w:pPr>
            <w:r>
              <w:t>其中：财政    资金</w:t>
            </w:r>
          </w:p>
        </w:tc>
        <w:tc>
          <w:tcPr>
            <w:tcW w:w="1304" w:type="dxa"/>
            <w:vAlign w:val="center"/>
          </w:tcPr>
          <w:p>
            <w:pPr>
              <w:pStyle w:val="14"/>
            </w:pPr>
            <w:r>
              <w:t>591.00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20%</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2016、2017年区区双代运行补贴户数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已发放双代运行补贴占应补贴完成率</w:t>
            </w:r>
          </w:p>
        </w:tc>
        <w:tc>
          <w:tcPr>
            <w:tcW w:w="1276" w:type="dxa"/>
            <w:vAlign w:val="center"/>
          </w:tcPr>
          <w:p>
            <w:pPr>
              <w:pStyle w:val="14"/>
            </w:pPr>
            <w:r>
              <w:t>100%</w:t>
            </w:r>
          </w:p>
        </w:tc>
        <w:tc>
          <w:tcPr>
            <w:tcW w:w="1843" w:type="dxa"/>
            <w:vAlign w:val="center"/>
          </w:tcPr>
          <w:p>
            <w:pPr>
              <w:pStyle w:val="14"/>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2016、2017年度煤改气用户发放2026-2027年天然气用户均补贴标准</w:t>
            </w:r>
          </w:p>
        </w:tc>
        <w:tc>
          <w:tcPr>
            <w:tcW w:w="1276" w:type="dxa"/>
            <w:vAlign w:val="center"/>
          </w:tcPr>
          <w:p>
            <w:pPr>
              <w:pStyle w:val="14"/>
            </w:pPr>
            <w:r>
              <w:t>160元/户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2016、2017年度煤改电用户发放2026-2027年煤改电用户均补贴标准</w:t>
            </w:r>
          </w:p>
        </w:tc>
        <w:tc>
          <w:tcPr>
            <w:tcW w:w="1276" w:type="dxa"/>
            <w:vAlign w:val="center"/>
          </w:tcPr>
          <w:p>
            <w:pPr>
              <w:pStyle w:val="14"/>
            </w:pPr>
            <w:r>
              <w:t>200元/户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2016、2017年双代补贴户数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到期后，按实际制定政策</w:t>
            </w:r>
          </w:p>
        </w:tc>
        <w:tc>
          <w:tcPr>
            <w:tcW w:w="2891" w:type="dxa"/>
            <w:vAlign w:val="center"/>
          </w:tcPr>
          <w:p>
            <w:pPr>
              <w:pStyle w:val="14"/>
            </w:pPr>
            <w:r>
              <w:t>2016、2017年双代补贴户数</w:t>
            </w:r>
          </w:p>
        </w:tc>
        <w:tc>
          <w:tcPr>
            <w:tcW w:w="1276" w:type="dxa"/>
            <w:vAlign w:val="center"/>
          </w:tcPr>
          <w:p>
            <w:pPr>
              <w:pStyle w:val="14"/>
            </w:pPr>
            <w:r>
              <w:t>根据石财建【2021】77号文</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群众满意数量占别调查人数比例</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3" w:name="_Toc_4_4_0000000052"/>
      <w:r>
        <w:rPr>
          <w:rFonts w:ascii="方正仿宋_GBK" w:hAnsi="方正仿宋_GBK" w:eastAsia="方正仿宋_GBK" w:cs="方正仿宋_GBK"/>
          <w:color w:val="000000"/>
          <w:sz w:val="28"/>
        </w:rPr>
        <w:t>49.关于提前下达2026年中央大气污染防治资金绩效目标表</w:t>
      </w:r>
      <w:bookmarkEnd w:id="6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13011026P001526100216</w:t>
            </w:r>
          </w:p>
        </w:tc>
        <w:tc>
          <w:tcPr>
            <w:tcW w:w="1587" w:type="dxa"/>
            <w:vAlign w:val="center"/>
          </w:tcPr>
          <w:p>
            <w:pPr>
              <w:pStyle w:val="12"/>
            </w:pPr>
            <w:r>
              <w:t>项目名称</w:t>
            </w:r>
          </w:p>
        </w:tc>
        <w:tc>
          <w:tcPr>
            <w:tcW w:w="4423" w:type="dxa"/>
            <w:gridSpan w:val="3"/>
            <w:vAlign w:val="center"/>
          </w:tcPr>
          <w:p>
            <w:pPr>
              <w:pStyle w:val="14"/>
            </w:pPr>
            <w:r>
              <w:t>关于提前下达2026年中央大气污染防治资金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394.00</w:t>
            </w:r>
          </w:p>
        </w:tc>
        <w:tc>
          <w:tcPr>
            <w:tcW w:w="1587" w:type="dxa"/>
            <w:vAlign w:val="center"/>
          </w:tcPr>
          <w:p>
            <w:pPr>
              <w:pStyle w:val="12"/>
            </w:pPr>
            <w:r>
              <w:t>其中：财政    资金</w:t>
            </w:r>
          </w:p>
        </w:tc>
        <w:tc>
          <w:tcPr>
            <w:tcW w:w="1304" w:type="dxa"/>
            <w:vAlign w:val="center"/>
          </w:tcPr>
          <w:p>
            <w:pPr>
              <w:pStyle w:val="14"/>
            </w:pPr>
            <w:r>
              <w:t>394.00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2016、2017年区区双代运行补贴户数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已发放双代运行补贴占应补贴完成率</w:t>
            </w:r>
          </w:p>
        </w:tc>
        <w:tc>
          <w:tcPr>
            <w:tcW w:w="1276" w:type="dxa"/>
            <w:vAlign w:val="center"/>
          </w:tcPr>
          <w:p>
            <w:pPr>
              <w:pStyle w:val="14"/>
            </w:pPr>
            <w:r>
              <w:t>100%</w:t>
            </w:r>
          </w:p>
        </w:tc>
        <w:tc>
          <w:tcPr>
            <w:tcW w:w="1843" w:type="dxa"/>
            <w:vAlign w:val="center"/>
          </w:tcPr>
          <w:p>
            <w:pPr>
              <w:pStyle w:val="14"/>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2016、2017年度煤改气用户发放2026-2027年天然气用户均补贴标准</w:t>
            </w:r>
          </w:p>
        </w:tc>
        <w:tc>
          <w:tcPr>
            <w:tcW w:w="1276" w:type="dxa"/>
            <w:vAlign w:val="center"/>
          </w:tcPr>
          <w:p>
            <w:pPr>
              <w:pStyle w:val="14"/>
            </w:pPr>
            <w:r>
              <w:t>160元/户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2016、2017年度煤改电用户发放2026-2027年煤改电用户均补贴标准</w:t>
            </w:r>
          </w:p>
        </w:tc>
        <w:tc>
          <w:tcPr>
            <w:tcW w:w="1276" w:type="dxa"/>
            <w:vAlign w:val="center"/>
          </w:tcPr>
          <w:p>
            <w:pPr>
              <w:pStyle w:val="14"/>
            </w:pPr>
            <w:r>
              <w:t>200元/户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2016、2017年双代补贴户数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到期后，按实际制定政策</w:t>
            </w:r>
          </w:p>
        </w:tc>
        <w:tc>
          <w:tcPr>
            <w:tcW w:w="2891" w:type="dxa"/>
            <w:vAlign w:val="center"/>
          </w:tcPr>
          <w:p>
            <w:pPr>
              <w:pStyle w:val="14"/>
            </w:pPr>
            <w:r>
              <w:t>2016、2017年双代补贴户数</w:t>
            </w:r>
          </w:p>
        </w:tc>
        <w:tc>
          <w:tcPr>
            <w:tcW w:w="1276" w:type="dxa"/>
            <w:vAlign w:val="center"/>
          </w:tcPr>
          <w:p>
            <w:pPr>
              <w:pStyle w:val="14"/>
            </w:pPr>
            <w:r>
              <w:t>根据石财建【2021】77号文</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群众满意数量占别调查人数比例</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4" w:name="_Toc_4_4_0000000053"/>
      <w:r>
        <w:rPr>
          <w:rFonts w:ascii="方正仿宋_GBK" w:hAnsi="方正仿宋_GBK" w:eastAsia="方正仿宋_GBK" w:cs="方正仿宋_GBK"/>
          <w:color w:val="000000"/>
          <w:sz w:val="28"/>
        </w:rPr>
        <w:t>50.关于下达2024年第十批新增政府债券资金（棚户区改造）绩效目标表</w:t>
      </w:r>
      <w:bookmarkEnd w:id="64"/>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13011024P00000110444W</w:t>
            </w:r>
          </w:p>
        </w:tc>
        <w:tc>
          <w:tcPr>
            <w:tcW w:w="1587" w:type="dxa"/>
            <w:vAlign w:val="center"/>
          </w:tcPr>
          <w:p>
            <w:pPr>
              <w:pStyle w:val="12"/>
            </w:pPr>
            <w:r>
              <w:t>项目名称</w:t>
            </w:r>
          </w:p>
        </w:tc>
        <w:tc>
          <w:tcPr>
            <w:tcW w:w="4423" w:type="dxa"/>
            <w:gridSpan w:val="3"/>
            <w:vAlign w:val="center"/>
          </w:tcPr>
          <w:p>
            <w:pPr>
              <w:pStyle w:val="14"/>
            </w:pPr>
            <w:r>
              <w:t>关于下达2024年第十批新增政府债券资金（棚户区改造）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2000.00</w:t>
            </w:r>
          </w:p>
        </w:tc>
        <w:tc>
          <w:tcPr>
            <w:tcW w:w="1587" w:type="dxa"/>
            <w:vAlign w:val="center"/>
          </w:tcPr>
          <w:p>
            <w:pPr>
              <w:pStyle w:val="12"/>
            </w:pPr>
            <w:r>
              <w:t>其中：财政    资金</w:t>
            </w:r>
          </w:p>
        </w:tc>
        <w:tc>
          <w:tcPr>
            <w:tcW w:w="1304" w:type="dxa"/>
            <w:vAlign w:val="center"/>
          </w:tcPr>
          <w:p>
            <w:pPr>
              <w:pStyle w:val="14"/>
            </w:pPr>
            <w:r>
              <w:t>2000.00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按时完成鹿泉区车站区域集中安置棚户区改造项目用地面积为29485.36平方米，改善居民居住环境。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1.按时完成鹿泉区车站区域集中安置棚户区改造项目用地面积为29485.36平方米，改善居民居住环境。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棚户区改造项目用地面积</w:t>
            </w:r>
          </w:p>
        </w:tc>
        <w:tc>
          <w:tcPr>
            <w:tcW w:w="2891" w:type="dxa"/>
            <w:vAlign w:val="center"/>
          </w:tcPr>
          <w:p>
            <w:pPr>
              <w:pStyle w:val="14"/>
            </w:pPr>
            <w:r>
              <w:t>棚户区改造项目用地面积29485.36平方米</w:t>
            </w:r>
          </w:p>
        </w:tc>
        <w:tc>
          <w:tcPr>
            <w:tcW w:w="1276" w:type="dxa"/>
            <w:vAlign w:val="center"/>
          </w:tcPr>
          <w:p>
            <w:pPr>
              <w:pStyle w:val="14"/>
            </w:pPr>
            <w:r>
              <w:t>≥29485.36平方米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棚户区改造项目完成率</w:t>
            </w:r>
          </w:p>
        </w:tc>
        <w:tc>
          <w:tcPr>
            <w:tcW w:w="2891" w:type="dxa"/>
            <w:vAlign w:val="center"/>
          </w:tcPr>
          <w:p>
            <w:pPr>
              <w:pStyle w:val="14"/>
            </w:pPr>
            <w:r>
              <w:t>棚户区改造项目完成率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棚户区改造项目按时完成率</w:t>
            </w:r>
          </w:p>
        </w:tc>
        <w:tc>
          <w:tcPr>
            <w:tcW w:w="2891" w:type="dxa"/>
            <w:vAlign w:val="center"/>
          </w:tcPr>
          <w:p>
            <w:pPr>
              <w:pStyle w:val="14"/>
            </w:pPr>
            <w:r>
              <w:t>棚户区改造项目按时完成率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棚户区改造项目部分成本</w:t>
            </w:r>
          </w:p>
        </w:tc>
        <w:tc>
          <w:tcPr>
            <w:tcW w:w="2891" w:type="dxa"/>
            <w:vAlign w:val="center"/>
          </w:tcPr>
          <w:p>
            <w:pPr>
              <w:pStyle w:val="14"/>
            </w:pPr>
            <w:r>
              <w:t>棚户区改造项目部分成本</w:t>
            </w:r>
          </w:p>
        </w:tc>
        <w:tc>
          <w:tcPr>
            <w:tcW w:w="1276" w:type="dxa"/>
            <w:vAlign w:val="center"/>
          </w:tcPr>
          <w:p>
            <w:pPr>
              <w:pStyle w:val="14"/>
            </w:pPr>
            <w:r>
              <w:t>2000万元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棚户区改造项目长期使用性</w:t>
            </w:r>
          </w:p>
        </w:tc>
        <w:tc>
          <w:tcPr>
            <w:tcW w:w="2891" w:type="dxa"/>
            <w:vAlign w:val="center"/>
          </w:tcPr>
          <w:p>
            <w:pPr>
              <w:pStyle w:val="14"/>
            </w:pPr>
            <w:r>
              <w:t>棚户区改造项目长期使用性</w:t>
            </w:r>
          </w:p>
        </w:tc>
        <w:tc>
          <w:tcPr>
            <w:tcW w:w="1276" w:type="dxa"/>
            <w:vAlign w:val="center"/>
          </w:tcPr>
          <w:p>
            <w:pPr>
              <w:pStyle w:val="14"/>
            </w:pPr>
            <w:r>
              <w:t>≥5年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棚户区改造项目受益户数</w:t>
            </w:r>
          </w:p>
        </w:tc>
        <w:tc>
          <w:tcPr>
            <w:tcW w:w="2891" w:type="dxa"/>
            <w:vAlign w:val="center"/>
          </w:tcPr>
          <w:p>
            <w:pPr>
              <w:pStyle w:val="14"/>
            </w:pPr>
            <w:r>
              <w:t>棚户区改造项目社会效益受益户数</w:t>
            </w:r>
          </w:p>
        </w:tc>
        <w:tc>
          <w:tcPr>
            <w:tcW w:w="1276" w:type="dxa"/>
            <w:vAlign w:val="center"/>
          </w:tcPr>
          <w:p>
            <w:pPr>
              <w:pStyle w:val="14"/>
            </w:pPr>
            <w:r>
              <w:t>484户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棚户区改造项目群众满意度</w:t>
            </w:r>
          </w:p>
        </w:tc>
        <w:tc>
          <w:tcPr>
            <w:tcW w:w="2891" w:type="dxa"/>
            <w:vAlign w:val="center"/>
          </w:tcPr>
          <w:p>
            <w:pPr>
              <w:pStyle w:val="14"/>
            </w:pPr>
            <w:r>
              <w:t>棚户区改造项目群众满意度数量满意占比</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5" w:name="_Toc_4_4_0000000054"/>
      <w:r>
        <w:rPr>
          <w:rFonts w:ascii="方正仿宋_GBK" w:hAnsi="方正仿宋_GBK" w:eastAsia="方正仿宋_GBK" w:cs="方正仿宋_GBK"/>
          <w:color w:val="000000"/>
          <w:sz w:val="28"/>
        </w:rPr>
        <w:t>51.关于下达2024年第五批新增政府债券资金（棚户区改造）绩效目标表</w:t>
      </w:r>
      <w:bookmarkEnd w:id="6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13011024P000001104174</w:t>
            </w:r>
          </w:p>
        </w:tc>
        <w:tc>
          <w:tcPr>
            <w:tcW w:w="1587" w:type="dxa"/>
            <w:vAlign w:val="center"/>
          </w:tcPr>
          <w:p>
            <w:pPr>
              <w:pStyle w:val="12"/>
            </w:pPr>
            <w:r>
              <w:t>项目名称</w:t>
            </w:r>
          </w:p>
        </w:tc>
        <w:tc>
          <w:tcPr>
            <w:tcW w:w="4423" w:type="dxa"/>
            <w:gridSpan w:val="3"/>
            <w:vAlign w:val="center"/>
          </w:tcPr>
          <w:p>
            <w:pPr>
              <w:pStyle w:val="14"/>
            </w:pPr>
            <w:r>
              <w:t>关于下达2024年第五批新增政府债券资金（棚户区改造）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115.00</w:t>
            </w:r>
          </w:p>
        </w:tc>
        <w:tc>
          <w:tcPr>
            <w:tcW w:w="1587" w:type="dxa"/>
            <w:vAlign w:val="center"/>
          </w:tcPr>
          <w:p>
            <w:pPr>
              <w:pStyle w:val="12"/>
            </w:pPr>
            <w:r>
              <w:t>其中：财政    资金</w:t>
            </w:r>
          </w:p>
        </w:tc>
        <w:tc>
          <w:tcPr>
            <w:tcW w:w="1304" w:type="dxa"/>
            <w:vAlign w:val="center"/>
          </w:tcPr>
          <w:p>
            <w:pPr>
              <w:pStyle w:val="14"/>
            </w:pPr>
            <w:r>
              <w:t>115.00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按时完成鹿泉区车站区域集中安置棚户区改造项目用地面积为29485.36平方米，改善居民居住环境。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1.按时完成鹿泉区车站区域集中安置棚户区改造项目用地面积为29485.36平方米，改善居民居住环境。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棚户区改造项目用地面积</w:t>
            </w:r>
          </w:p>
        </w:tc>
        <w:tc>
          <w:tcPr>
            <w:tcW w:w="2891" w:type="dxa"/>
            <w:vAlign w:val="center"/>
          </w:tcPr>
          <w:p>
            <w:pPr>
              <w:pStyle w:val="14"/>
            </w:pPr>
            <w:r>
              <w:t>棚户区改造项目用地面积29485.36平方米</w:t>
            </w:r>
          </w:p>
        </w:tc>
        <w:tc>
          <w:tcPr>
            <w:tcW w:w="1276" w:type="dxa"/>
            <w:vAlign w:val="center"/>
          </w:tcPr>
          <w:p>
            <w:pPr>
              <w:pStyle w:val="14"/>
            </w:pPr>
            <w:r>
              <w:t>≥29485.36平方米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棚户区改造项目完成率</w:t>
            </w:r>
          </w:p>
        </w:tc>
        <w:tc>
          <w:tcPr>
            <w:tcW w:w="2891" w:type="dxa"/>
            <w:vAlign w:val="center"/>
          </w:tcPr>
          <w:p>
            <w:pPr>
              <w:pStyle w:val="14"/>
            </w:pPr>
            <w:r>
              <w:t>棚户区改造项目完成率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棚户区改造项目按时完成率</w:t>
            </w:r>
          </w:p>
        </w:tc>
        <w:tc>
          <w:tcPr>
            <w:tcW w:w="2891" w:type="dxa"/>
            <w:vAlign w:val="center"/>
          </w:tcPr>
          <w:p>
            <w:pPr>
              <w:pStyle w:val="14"/>
            </w:pPr>
            <w:r>
              <w:t>棚户区改造项目按时完成率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棚户区改造项目部分成本</w:t>
            </w:r>
          </w:p>
        </w:tc>
        <w:tc>
          <w:tcPr>
            <w:tcW w:w="2891" w:type="dxa"/>
            <w:vAlign w:val="center"/>
          </w:tcPr>
          <w:p>
            <w:pPr>
              <w:pStyle w:val="14"/>
            </w:pPr>
            <w:r>
              <w:t>棚户区改造项目部分成本</w:t>
            </w:r>
          </w:p>
        </w:tc>
        <w:tc>
          <w:tcPr>
            <w:tcW w:w="1276" w:type="dxa"/>
            <w:vAlign w:val="center"/>
          </w:tcPr>
          <w:p>
            <w:pPr>
              <w:pStyle w:val="14"/>
            </w:pPr>
            <w:r>
              <w:t>≥2000万元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棚户区改造项目长期使用性</w:t>
            </w:r>
          </w:p>
        </w:tc>
        <w:tc>
          <w:tcPr>
            <w:tcW w:w="2891" w:type="dxa"/>
            <w:vAlign w:val="center"/>
          </w:tcPr>
          <w:p>
            <w:pPr>
              <w:pStyle w:val="14"/>
            </w:pPr>
            <w:r>
              <w:t>棚户区改造项目长期使用性</w:t>
            </w:r>
          </w:p>
        </w:tc>
        <w:tc>
          <w:tcPr>
            <w:tcW w:w="1276" w:type="dxa"/>
            <w:vAlign w:val="center"/>
          </w:tcPr>
          <w:p>
            <w:pPr>
              <w:pStyle w:val="14"/>
            </w:pPr>
            <w:r>
              <w:t>≥5年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棚户区改造项目受益户数</w:t>
            </w:r>
          </w:p>
        </w:tc>
        <w:tc>
          <w:tcPr>
            <w:tcW w:w="2891" w:type="dxa"/>
            <w:vAlign w:val="center"/>
          </w:tcPr>
          <w:p>
            <w:pPr>
              <w:pStyle w:val="14"/>
            </w:pPr>
            <w:r>
              <w:t>棚户区改造项目社会效益受益户数</w:t>
            </w:r>
          </w:p>
        </w:tc>
        <w:tc>
          <w:tcPr>
            <w:tcW w:w="1276" w:type="dxa"/>
            <w:vAlign w:val="center"/>
          </w:tcPr>
          <w:p>
            <w:pPr>
              <w:pStyle w:val="14"/>
            </w:pPr>
            <w:r>
              <w:t>≥484户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棚户区改造项目群众满意度</w:t>
            </w:r>
          </w:p>
        </w:tc>
        <w:tc>
          <w:tcPr>
            <w:tcW w:w="2891" w:type="dxa"/>
            <w:vAlign w:val="center"/>
          </w:tcPr>
          <w:p>
            <w:pPr>
              <w:pStyle w:val="14"/>
            </w:pPr>
            <w:r>
              <w:t>棚户区改造项目群众满意度数量满意占比</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6" w:name="_Toc_4_4_0000000055"/>
      <w:r>
        <w:rPr>
          <w:rFonts w:ascii="方正仿宋_GBK" w:hAnsi="方正仿宋_GBK" w:eastAsia="方正仿宋_GBK" w:cs="方正仿宋_GBK"/>
          <w:color w:val="000000"/>
          <w:sz w:val="28"/>
        </w:rPr>
        <w:t>52.关于下达2025年省级城镇保障性安居工程补助资金绩效目标表</w:t>
      </w:r>
      <w:bookmarkEnd w:id="6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13011025P001617100139</w:t>
            </w:r>
          </w:p>
        </w:tc>
        <w:tc>
          <w:tcPr>
            <w:tcW w:w="1587" w:type="dxa"/>
            <w:vAlign w:val="center"/>
          </w:tcPr>
          <w:p>
            <w:pPr>
              <w:pStyle w:val="12"/>
            </w:pPr>
            <w:r>
              <w:t>项目名称</w:t>
            </w:r>
          </w:p>
        </w:tc>
        <w:tc>
          <w:tcPr>
            <w:tcW w:w="4423" w:type="dxa"/>
            <w:gridSpan w:val="3"/>
            <w:vAlign w:val="center"/>
          </w:tcPr>
          <w:p>
            <w:pPr>
              <w:pStyle w:val="14"/>
            </w:pPr>
            <w:r>
              <w:t>关于下达2025年省级城镇保障性安居工程补助资金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8.00</w:t>
            </w:r>
          </w:p>
        </w:tc>
        <w:tc>
          <w:tcPr>
            <w:tcW w:w="1587" w:type="dxa"/>
            <w:vAlign w:val="center"/>
          </w:tcPr>
          <w:p>
            <w:pPr>
              <w:pStyle w:val="12"/>
            </w:pPr>
            <w:r>
              <w:t>其中：财政    资金</w:t>
            </w:r>
          </w:p>
        </w:tc>
        <w:tc>
          <w:tcPr>
            <w:tcW w:w="1304" w:type="dxa"/>
            <w:vAlign w:val="center"/>
          </w:tcPr>
          <w:p>
            <w:pPr>
              <w:pStyle w:val="14"/>
            </w:pPr>
            <w:r>
              <w:t>8.00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按时完成鹿泉区城市危旧房改造项目用地面积为10785.44平方米，改善居民居住环境。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1.按时完成鹿泉区城市危旧房改造项目用地面积为10785.44平方米，改善居民居住环境。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危旧房改造项目用地面积</w:t>
            </w:r>
          </w:p>
        </w:tc>
        <w:tc>
          <w:tcPr>
            <w:tcW w:w="2891" w:type="dxa"/>
            <w:vAlign w:val="center"/>
          </w:tcPr>
          <w:p>
            <w:pPr>
              <w:pStyle w:val="14"/>
            </w:pPr>
            <w:r>
              <w:t>危旧房改造项目用地面积29485.36平方米</w:t>
            </w:r>
          </w:p>
        </w:tc>
        <w:tc>
          <w:tcPr>
            <w:tcW w:w="1276" w:type="dxa"/>
            <w:vAlign w:val="center"/>
          </w:tcPr>
          <w:p>
            <w:pPr>
              <w:pStyle w:val="14"/>
            </w:pPr>
            <w:r>
              <w:t>10758.44平方米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危旧房改造项目完成率</w:t>
            </w:r>
          </w:p>
        </w:tc>
        <w:tc>
          <w:tcPr>
            <w:tcW w:w="2891" w:type="dxa"/>
            <w:vAlign w:val="center"/>
          </w:tcPr>
          <w:p>
            <w:pPr>
              <w:pStyle w:val="14"/>
            </w:pPr>
            <w:r>
              <w:t>危旧房改造项目完成率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危旧房改造项目按时完成率</w:t>
            </w:r>
          </w:p>
        </w:tc>
        <w:tc>
          <w:tcPr>
            <w:tcW w:w="2891" w:type="dxa"/>
            <w:vAlign w:val="center"/>
          </w:tcPr>
          <w:p>
            <w:pPr>
              <w:pStyle w:val="14"/>
            </w:pPr>
            <w:r>
              <w:t>危旧房改造项目按时完成率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危旧房改造项目成本</w:t>
            </w:r>
          </w:p>
        </w:tc>
        <w:tc>
          <w:tcPr>
            <w:tcW w:w="2891" w:type="dxa"/>
            <w:vAlign w:val="center"/>
          </w:tcPr>
          <w:p>
            <w:pPr>
              <w:pStyle w:val="14"/>
            </w:pPr>
            <w:r>
              <w:t>危旧房改造项目成本</w:t>
            </w:r>
          </w:p>
        </w:tc>
        <w:tc>
          <w:tcPr>
            <w:tcW w:w="1276" w:type="dxa"/>
            <w:vAlign w:val="center"/>
          </w:tcPr>
          <w:p>
            <w:pPr>
              <w:pStyle w:val="14"/>
            </w:pPr>
            <w:r>
              <w:t>8万元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危旧房改造项目长期使用性</w:t>
            </w:r>
          </w:p>
        </w:tc>
        <w:tc>
          <w:tcPr>
            <w:tcW w:w="2891" w:type="dxa"/>
            <w:vAlign w:val="center"/>
          </w:tcPr>
          <w:p>
            <w:pPr>
              <w:pStyle w:val="14"/>
            </w:pPr>
            <w:r>
              <w:t>危旧房改造项目长期使用性</w:t>
            </w:r>
          </w:p>
        </w:tc>
        <w:tc>
          <w:tcPr>
            <w:tcW w:w="1276" w:type="dxa"/>
            <w:vAlign w:val="center"/>
          </w:tcPr>
          <w:p>
            <w:pPr>
              <w:pStyle w:val="14"/>
            </w:pPr>
            <w:r>
              <w:t>≥5年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危旧房改造项目受益户数</w:t>
            </w:r>
          </w:p>
        </w:tc>
        <w:tc>
          <w:tcPr>
            <w:tcW w:w="2891" w:type="dxa"/>
            <w:vAlign w:val="center"/>
          </w:tcPr>
          <w:p>
            <w:pPr>
              <w:pStyle w:val="14"/>
            </w:pPr>
            <w:r>
              <w:t>危旧房改造项目社会效益受益户数</w:t>
            </w:r>
          </w:p>
        </w:tc>
        <w:tc>
          <w:tcPr>
            <w:tcW w:w="1276" w:type="dxa"/>
            <w:vAlign w:val="center"/>
          </w:tcPr>
          <w:p>
            <w:pPr>
              <w:pStyle w:val="14"/>
            </w:pPr>
            <w:r>
              <w:t>151户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危旧房改造项目群众满意度</w:t>
            </w:r>
          </w:p>
        </w:tc>
        <w:tc>
          <w:tcPr>
            <w:tcW w:w="2891" w:type="dxa"/>
            <w:vAlign w:val="center"/>
          </w:tcPr>
          <w:p>
            <w:pPr>
              <w:pStyle w:val="14"/>
            </w:pPr>
            <w:r>
              <w:t>危旧房改造项目群众满意度数量满意占比</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7" w:name="_Toc_4_4_0000000056"/>
      <w:r>
        <w:rPr>
          <w:rFonts w:ascii="方正仿宋_GBK" w:hAnsi="方正仿宋_GBK" w:eastAsia="方正仿宋_GBK" w:cs="方正仿宋_GBK"/>
          <w:color w:val="000000"/>
          <w:sz w:val="28"/>
        </w:rPr>
        <w:t>53.关于下达2025年中央财政城镇保障性安居工程补助资金绩效目标表</w:t>
      </w:r>
      <w:bookmarkEnd w:id="6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13011025P00161710015G</w:t>
            </w:r>
          </w:p>
        </w:tc>
        <w:tc>
          <w:tcPr>
            <w:tcW w:w="1587" w:type="dxa"/>
            <w:vAlign w:val="center"/>
          </w:tcPr>
          <w:p>
            <w:pPr>
              <w:pStyle w:val="12"/>
            </w:pPr>
            <w:r>
              <w:t>项目名称</w:t>
            </w:r>
          </w:p>
        </w:tc>
        <w:tc>
          <w:tcPr>
            <w:tcW w:w="4423" w:type="dxa"/>
            <w:gridSpan w:val="3"/>
            <w:vAlign w:val="center"/>
          </w:tcPr>
          <w:p>
            <w:pPr>
              <w:pStyle w:val="14"/>
            </w:pPr>
            <w:r>
              <w:t>关于下达2025年中央财政城镇保障性安居工程补助资金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31.00</w:t>
            </w:r>
          </w:p>
        </w:tc>
        <w:tc>
          <w:tcPr>
            <w:tcW w:w="1587" w:type="dxa"/>
            <w:vAlign w:val="center"/>
          </w:tcPr>
          <w:p>
            <w:pPr>
              <w:pStyle w:val="12"/>
            </w:pPr>
            <w:r>
              <w:t>其中：财政    资金</w:t>
            </w:r>
          </w:p>
        </w:tc>
        <w:tc>
          <w:tcPr>
            <w:tcW w:w="1304" w:type="dxa"/>
            <w:vAlign w:val="center"/>
          </w:tcPr>
          <w:p>
            <w:pPr>
              <w:pStyle w:val="14"/>
            </w:pPr>
            <w:r>
              <w:t>31.00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按时完成鹿泉区城市危旧房改造项目用地面积为10758.44平方米，改善居民居住环境。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1.按时完成鹿泉区城市危旧房改造项目用地面积为10758.44平方米，改善居民居住环境。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危旧房改造项目用地面积</w:t>
            </w:r>
          </w:p>
        </w:tc>
        <w:tc>
          <w:tcPr>
            <w:tcW w:w="2891" w:type="dxa"/>
            <w:vAlign w:val="center"/>
          </w:tcPr>
          <w:p>
            <w:pPr>
              <w:pStyle w:val="14"/>
            </w:pPr>
            <w:r>
              <w:t>危旧房改造项目用地面积29485.36平方米</w:t>
            </w:r>
          </w:p>
        </w:tc>
        <w:tc>
          <w:tcPr>
            <w:tcW w:w="1276" w:type="dxa"/>
            <w:vAlign w:val="center"/>
          </w:tcPr>
          <w:p>
            <w:pPr>
              <w:pStyle w:val="14"/>
            </w:pPr>
            <w:r>
              <w:t>10758.44平方米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危旧房改造项目完成率</w:t>
            </w:r>
          </w:p>
        </w:tc>
        <w:tc>
          <w:tcPr>
            <w:tcW w:w="2891" w:type="dxa"/>
            <w:vAlign w:val="center"/>
          </w:tcPr>
          <w:p>
            <w:pPr>
              <w:pStyle w:val="14"/>
            </w:pPr>
            <w:r>
              <w:t>危旧房改造项目完成率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危旧房改造项目按时完成率</w:t>
            </w:r>
          </w:p>
        </w:tc>
        <w:tc>
          <w:tcPr>
            <w:tcW w:w="2891" w:type="dxa"/>
            <w:vAlign w:val="center"/>
          </w:tcPr>
          <w:p>
            <w:pPr>
              <w:pStyle w:val="14"/>
            </w:pPr>
            <w:r>
              <w:t>危旧房改造项目按时完成率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危旧房改造项目成本</w:t>
            </w:r>
          </w:p>
        </w:tc>
        <w:tc>
          <w:tcPr>
            <w:tcW w:w="2891" w:type="dxa"/>
            <w:vAlign w:val="center"/>
          </w:tcPr>
          <w:p>
            <w:pPr>
              <w:pStyle w:val="14"/>
            </w:pPr>
            <w:r>
              <w:t>危旧房改造项目成本</w:t>
            </w:r>
          </w:p>
        </w:tc>
        <w:tc>
          <w:tcPr>
            <w:tcW w:w="1276" w:type="dxa"/>
            <w:vAlign w:val="center"/>
          </w:tcPr>
          <w:p>
            <w:pPr>
              <w:pStyle w:val="14"/>
            </w:pPr>
            <w:r>
              <w:t>1681万元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危旧房改造项目长期使用性</w:t>
            </w:r>
          </w:p>
        </w:tc>
        <w:tc>
          <w:tcPr>
            <w:tcW w:w="2891" w:type="dxa"/>
            <w:vAlign w:val="center"/>
          </w:tcPr>
          <w:p>
            <w:pPr>
              <w:pStyle w:val="14"/>
            </w:pPr>
            <w:r>
              <w:t>危旧房改造项目长期使用性</w:t>
            </w:r>
          </w:p>
        </w:tc>
        <w:tc>
          <w:tcPr>
            <w:tcW w:w="1276" w:type="dxa"/>
            <w:vAlign w:val="center"/>
          </w:tcPr>
          <w:p>
            <w:pPr>
              <w:pStyle w:val="14"/>
            </w:pPr>
            <w:r>
              <w:t>≥5年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危旧房改造项目受益户数</w:t>
            </w:r>
          </w:p>
        </w:tc>
        <w:tc>
          <w:tcPr>
            <w:tcW w:w="2891" w:type="dxa"/>
            <w:vAlign w:val="center"/>
          </w:tcPr>
          <w:p>
            <w:pPr>
              <w:pStyle w:val="14"/>
            </w:pPr>
            <w:r>
              <w:t>危旧房改造项目社会效益受益户数</w:t>
            </w:r>
          </w:p>
        </w:tc>
        <w:tc>
          <w:tcPr>
            <w:tcW w:w="1276" w:type="dxa"/>
            <w:vAlign w:val="center"/>
          </w:tcPr>
          <w:p>
            <w:pPr>
              <w:pStyle w:val="14"/>
            </w:pPr>
            <w:r>
              <w:t>151户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危旧房改造项目群众满意度</w:t>
            </w:r>
          </w:p>
        </w:tc>
        <w:tc>
          <w:tcPr>
            <w:tcW w:w="2891" w:type="dxa"/>
            <w:vAlign w:val="center"/>
          </w:tcPr>
          <w:p>
            <w:pPr>
              <w:pStyle w:val="14"/>
            </w:pPr>
            <w:r>
              <w:t>危旧房改造项目群众满意度数量满意占比</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8" w:name="_Toc_4_4_0000000057"/>
      <w:r>
        <w:rPr>
          <w:rFonts w:ascii="方正仿宋_GBK" w:hAnsi="方正仿宋_GBK" w:eastAsia="方正仿宋_GBK" w:cs="方正仿宋_GBK"/>
          <w:color w:val="000000"/>
          <w:sz w:val="28"/>
        </w:rPr>
        <w:t>54.关于下达石家庄液化气居民用户安装物联燃气报警器和自动切断装置项目（国债）绩效目标表</w:t>
      </w:r>
      <w:bookmarkEnd w:id="6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13011025P00000110472P</w:t>
            </w:r>
          </w:p>
        </w:tc>
        <w:tc>
          <w:tcPr>
            <w:tcW w:w="1587" w:type="dxa"/>
            <w:vAlign w:val="center"/>
          </w:tcPr>
          <w:p>
            <w:pPr>
              <w:pStyle w:val="12"/>
            </w:pPr>
            <w:r>
              <w:t>项目名称</w:t>
            </w:r>
          </w:p>
        </w:tc>
        <w:tc>
          <w:tcPr>
            <w:tcW w:w="4423" w:type="dxa"/>
            <w:gridSpan w:val="3"/>
            <w:vAlign w:val="center"/>
          </w:tcPr>
          <w:p>
            <w:pPr>
              <w:pStyle w:val="14"/>
            </w:pPr>
            <w:r>
              <w:t>关于下达石家庄液化气居民用户安装物联燃气报警器和自动切断装置项目（国债）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9.28</w:t>
            </w:r>
          </w:p>
        </w:tc>
        <w:tc>
          <w:tcPr>
            <w:tcW w:w="1587" w:type="dxa"/>
            <w:vAlign w:val="center"/>
          </w:tcPr>
          <w:p>
            <w:pPr>
              <w:pStyle w:val="12"/>
            </w:pPr>
            <w:r>
              <w:t>其中：财政    资金</w:t>
            </w:r>
          </w:p>
        </w:tc>
        <w:tc>
          <w:tcPr>
            <w:tcW w:w="1304" w:type="dxa"/>
            <w:vAlign w:val="center"/>
          </w:tcPr>
          <w:p>
            <w:pPr>
              <w:pStyle w:val="14"/>
            </w:pPr>
            <w:r>
              <w:t>9.28</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为切实提升液化气居民用户安全用气水平和燃气泄漏预警检测能力，从根本上预防和减少事故发生。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1.为切实提升液化气居民用户安全用气水平和燃气泄漏预警检测能力，从根本上预防和减少事故发生。</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全区液化气居民户数</w:t>
            </w:r>
          </w:p>
        </w:tc>
        <w:tc>
          <w:tcPr>
            <w:tcW w:w="2891" w:type="dxa"/>
            <w:vAlign w:val="center"/>
          </w:tcPr>
          <w:p>
            <w:pPr>
              <w:pStyle w:val="14"/>
            </w:pPr>
            <w:r>
              <w:t>全区居民液化气使用户数</w:t>
            </w:r>
          </w:p>
        </w:tc>
        <w:tc>
          <w:tcPr>
            <w:tcW w:w="1276" w:type="dxa"/>
            <w:vAlign w:val="center"/>
          </w:tcPr>
          <w:p>
            <w:pPr>
              <w:pStyle w:val="14"/>
            </w:pPr>
            <w:r>
              <w:t>3823户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完成率</w:t>
            </w:r>
          </w:p>
        </w:tc>
        <w:tc>
          <w:tcPr>
            <w:tcW w:w="2891" w:type="dxa"/>
            <w:vAlign w:val="center"/>
          </w:tcPr>
          <w:p>
            <w:pPr>
              <w:pStyle w:val="14"/>
            </w:pPr>
            <w:r>
              <w:t>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工作任务完成及时率</w:t>
            </w:r>
          </w:p>
        </w:tc>
        <w:tc>
          <w:tcPr>
            <w:tcW w:w="2891" w:type="dxa"/>
            <w:vAlign w:val="center"/>
          </w:tcPr>
          <w:p>
            <w:pPr>
              <w:pStyle w:val="14"/>
            </w:pPr>
            <w:r>
              <w:t>工作任务完成及时率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完成工作目标所需要资金</w:t>
            </w:r>
          </w:p>
          <w:p>
            <w:pPr>
              <w:pStyle w:val="14"/>
            </w:pPr>
          </w:p>
        </w:tc>
        <w:tc>
          <w:tcPr>
            <w:tcW w:w="2891" w:type="dxa"/>
            <w:vAlign w:val="center"/>
          </w:tcPr>
          <w:p>
            <w:pPr>
              <w:pStyle w:val="14"/>
            </w:pPr>
            <w:r>
              <w:t>完成工作目标所需要资金</w:t>
            </w:r>
          </w:p>
          <w:p>
            <w:pPr>
              <w:pStyle w:val="14"/>
            </w:pPr>
          </w:p>
        </w:tc>
        <w:tc>
          <w:tcPr>
            <w:tcW w:w="1276" w:type="dxa"/>
            <w:vAlign w:val="center"/>
          </w:tcPr>
          <w:p>
            <w:pPr>
              <w:pStyle w:val="14"/>
            </w:pPr>
            <w:r>
              <w:t>30.94万元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综合利用率</w:t>
            </w:r>
          </w:p>
        </w:tc>
        <w:tc>
          <w:tcPr>
            <w:tcW w:w="2891" w:type="dxa"/>
            <w:vAlign w:val="center"/>
          </w:tcPr>
          <w:p>
            <w:pPr>
              <w:pStyle w:val="14"/>
            </w:pPr>
            <w:r>
              <w:t>综合利用率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满意程度</w:t>
            </w:r>
          </w:p>
        </w:tc>
        <w:tc>
          <w:tcPr>
            <w:tcW w:w="2891" w:type="dxa"/>
            <w:vAlign w:val="center"/>
          </w:tcPr>
          <w:p>
            <w:pPr>
              <w:pStyle w:val="14"/>
            </w:pPr>
            <w:r>
              <w:t>满意程度</w:t>
            </w:r>
          </w:p>
        </w:tc>
        <w:tc>
          <w:tcPr>
            <w:tcW w:w="1276" w:type="dxa"/>
            <w:vAlign w:val="center"/>
          </w:tcPr>
          <w:p>
            <w:pPr>
              <w:pStyle w:val="14"/>
            </w:pPr>
            <w:r>
              <w:t>≥90%</w:t>
            </w:r>
          </w:p>
        </w:tc>
        <w:tc>
          <w:tcPr>
            <w:tcW w:w="1843" w:type="dxa"/>
            <w:vAlign w:val="center"/>
          </w:tcPr>
          <w:p>
            <w:pPr>
              <w:pStyle w:val="14"/>
            </w:pPr>
            <w:r>
              <w:t>走访调查</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9" w:name="_Toc_4_4_0000000058"/>
      <w:r>
        <w:rPr>
          <w:rFonts w:ascii="方正仿宋_GBK" w:hAnsi="方正仿宋_GBK" w:eastAsia="方正仿宋_GBK" w:cs="方正仿宋_GBK"/>
          <w:color w:val="000000"/>
          <w:sz w:val="28"/>
        </w:rPr>
        <w:t>55.关于下达中央大气污染防治资金绩效目标表</w:t>
      </w:r>
      <w:bookmarkEnd w:id="6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13011025P00152610024J</w:t>
            </w:r>
          </w:p>
        </w:tc>
        <w:tc>
          <w:tcPr>
            <w:tcW w:w="1587" w:type="dxa"/>
            <w:vAlign w:val="center"/>
          </w:tcPr>
          <w:p>
            <w:pPr>
              <w:pStyle w:val="12"/>
            </w:pPr>
            <w:r>
              <w:t>项目名称</w:t>
            </w:r>
          </w:p>
        </w:tc>
        <w:tc>
          <w:tcPr>
            <w:tcW w:w="4423" w:type="dxa"/>
            <w:gridSpan w:val="3"/>
            <w:vAlign w:val="center"/>
          </w:tcPr>
          <w:p>
            <w:pPr>
              <w:pStyle w:val="14"/>
            </w:pPr>
            <w:r>
              <w:t>关于下达中央大气污染防治资金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259.00</w:t>
            </w:r>
          </w:p>
        </w:tc>
        <w:tc>
          <w:tcPr>
            <w:tcW w:w="1587" w:type="dxa"/>
            <w:vAlign w:val="center"/>
          </w:tcPr>
          <w:p>
            <w:pPr>
              <w:pStyle w:val="12"/>
            </w:pPr>
            <w:r>
              <w:t>其中：财政    资金</w:t>
            </w:r>
          </w:p>
        </w:tc>
        <w:tc>
          <w:tcPr>
            <w:tcW w:w="1304" w:type="dxa"/>
            <w:vAlign w:val="center"/>
          </w:tcPr>
          <w:p>
            <w:pPr>
              <w:pStyle w:val="14"/>
            </w:pPr>
            <w:r>
              <w:t>259.00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采暖季后对农村双代用户进行补贴，鼓励农户使用清洁能源取暖，减轻农户采暖费用，有效减少大气污染物排放。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2016、2017年区区双代运行补贴户数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已发放双代运行补贴占应补贴完成率</w:t>
            </w:r>
          </w:p>
        </w:tc>
        <w:tc>
          <w:tcPr>
            <w:tcW w:w="1276" w:type="dxa"/>
            <w:vAlign w:val="center"/>
          </w:tcPr>
          <w:p>
            <w:pPr>
              <w:pStyle w:val="14"/>
            </w:pPr>
            <w:r>
              <w:t>100%</w:t>
            </w:r>
          </w:p>
        </w:tc>
        <w:tc>
          <w:tcPr>
            <w:tcW w:w="1843" w:type="dxa"/>
            <w:vAlign w:val="center"/>
          </w:tcPr>
          <w:p>
            <w:pPr>
              <w:pStyle w:val="14"/>
            </w:pPr>
            <w:r>
              <w:t>相关企业提供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2016、2017年度煤改气用户发放2025-2026年天然气用户均补贴标准</w:t>
            </w:r>
          </w:p>
        </w:tc>
        <w:tc>
          <w:tcPr>
            <w:tcW w:w="1276" w:type="dxa"/>
            <w:vAlign w:val="center"/>
          </w:tcPr>
          <w:p>
            <w:pPr>
              <w:pStyle w:val="14"/>
            </w:pPr>
            <w:r>
              <w:t>160元/户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2016、2017年度煤改电用户发放2025-2026年煤改电用户均补贴标准</w:t>
            </w:r>
          </w:p>
        </w:tc>
        <w:tc>
          <w:tcPr>
            <w:tcW w:w="1276" w:type="dxa"/>
            <w:vAlign w:val="center"/>
          </w:tcPr>
          <w:p>
            <w:pPr>
              <w:pStyle w:val="14"/>
            </w:pPr>
            <w:r>
              <w:t>200元/户</w:t>
            </w:r>
          </w:p>
        </w:tc>
        <w:tc>
          <w:tcPr>
            <w:tcW w:w="1843" w:type="dxa"/>
            <w:vAlign w:val="center"/>
          </w:tcPr>
          <w:p>
            <w:pPr>
              <w:pStyle w:val="14"/>
            </w:pPr>
            <w:r>
              <w:t>石财建【2021】77号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2016、2017年双代补贴户数</w:t>
            </w:r>
          </w:p>
        </w:tc>
        <w:tc>
          <w:tcPr>
            <w:tcW w:w="1276" w:type="dxa"/>
            <w:vAlign w:val="center"/>
          </w:tcPr>
          <w:p>
            <w:pPr>
              <w:pStyle w:val="14"/>
            </w:pPr>
            <w:r>
              <w:t>≤85619户</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到期后，按实际制定政策</w:t>
            </w:r>
          </w:p>
        </w:tc>
        <w:tc>
          <w:tcPr>
            <w:tcW w:w="2891" w:type="dxa"/>
            <w:vAlign w:val="center"/>
          </w:tcPr>
          <w:p>
            <w:pPr>
              <w:pStyle w:val="14"/>
            </w:pPr>
            <w:r>
              <w:t>2016、2017年双代补贴户数</w:t>
            </w:r>
          </w:p>
        </w:tc>
        <w:tc>
          <w:tcPr>
            <w:tcW w:w="1276" w:type="dxa"/>
            <w:vAlign w:val="center"/>
          </w:tcPr>
          <w:p>
            <w:pPr>
              <w:pStyle w:val="14"/>
            </w:pPr>
            <w:r>
              <w:t>根据石财建【2021】77号文</w:t>
            </w:r>
          </w:p>
        </w:tc>
        <w:tc>
          <w:tcPr>
            <w:tcW w:w="1843" w:type="dxa"/>
            <w:vAlign w:val="center"/>
          </w:tcPr>
          <w:p>
            <w:pPr>
              <w:pStyle w:val="14"/>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群众满意数量占别调查人数比例</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0" w:name="_Toc_4_4_0000000059"/>
      <w:r>
        <w:rPr>
          <w:rFonts w:ascii="方正仿宋_GBK" w:hAnsi="方正仿宋_GBK" w:eastAsia="方正仿宋_GBK" w:cs="方正仿宋_GBK"/>
          <w:color w:val="000000"/>
          <w:sz w:val="28"/>
        </w:rPr>
        <w:t>56.鹿泉区车站区域基础设施综合建设工程（2023Z）绩效目标表</w:t>
      </w:r>
      <w:bookmarkEnd w:id="7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13011026P00162110076Y</w:t>
            </w:r>
          </w:p>
        </w:tc>
        <w:tc>
          <w:tcPr>
            <w:tcW w:w="1587" w:type="dxa"/>
            <w:vAlign w:val="center"/>
          </w:tcPr>
          <w:p>
            <w:pPr>
              <w:pStyle w:val="12"/>
            </w:pPr>
            <w:r>
              <w:t>项目名称</w:t>
            </w:r>
          </w:p>
        </w:tc>
        <w:tc>
          <w:tcPr>
            <w:tcW w:w="4423" w:type="dxa"/>
            <w:gridSpan w:val="3"/>
            <w:vAlign w:val="center"/>
          </w:tcPr>
          <w:p>
            <w:pPr>
              <w:pStyle w:val="14"/>
            </w:pPr>
            <w:r>
              <w:t>鹿泉区车站区域基础设施综合建设工程（2023Z）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498.00</w:t>
            </w:r>
          </w:p>
        </w:tc>
        <w:tc>
          <w:tcPr>
            <w:tcW w:w="1587" w:type="dxa"/>
            <w:vAlign w:val="center"/>
          </w:tcPr>
          <w:p>
            <w:pPr>
              <w:pStyle w:val="12"/>
            </w:pPr>
            <w:r>
              <w:t>其中：财政    资金</w:t>
            </w:r>
          </w:p>
        </w:tc>
        <w:tc>
          <w:tcPr>
            <w:tcW w:w="1304" w:type="dxa"/>
            <w:vAlign w:val="center"/>
          </w:tcPr>
          <w:p>
            <w:pPr>
              <w:pStyle w:val="14"/>
            </w:pPr>
            <w:r>
              <w:t>498.00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按时完成鹿泉区车站区域基础设施综合建设项目用地面积为26411.28平方米，改善站前街附近居民的便民服务基础设施。</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1.按时完成鹿泉区车站区域基础设施综合建设项目用地面积为26411.28平方米，改善站前街附近居民的便民服务基础设施。</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基础设施项目用地面积</w:t>
            </w:r>
          </w:p>
        </w:tc>
        <w:tc>
          <w:tcPr>
            <w:tcW w:w="2891" w:type="dxa"/>
            <w:vAlign w:val="center"/>
          </w:tcPr>
          <w:p>
            <w:pPr>
              <w:pStyle w:val="14"/>
            </w:pPr>
            <w:r>
              <w:t>基础设施项目用地面积</w:t>
            </w:r>
          </w:p>
        </w:tc>
        <w:tc>
          <w:tcPr>
            <w:tcW w:w="1276" w:type="dxa"/>
            <w:vAlign w:val="center"/>
          </w:tcPr>
          <w:p>
            <w:pPr>
              <w:pStyle w:val="14"/>
            </w:pPr>
            <w:r>
              <w:t>26411.28平方米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基础设施项目完成率</w:t>
            </w:r>
          </w:p>
        </w:tc>
        <w:tc>
          <w:tcPr>
            <w:tcW w:w="2891" w:type="dxa"/>
            <w:vAlign w:val="center"/>
          </w:tcPr>
          <w:p>
            <w:pPr>
              <w:pStyle w:val="14"/>
            </w:pPr>
            <w:r>
              <w:t>基础设施项目完成率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基础设施项目按时完成率</w:t>
            </w:r>
          </w:p>
        </w:tc>
        <w:tc>
          <w:tcPr>
            <w:tcW w:w="2891" w:type="dxa"/>
            <w:vAlign w:val="center"/>
          </w:tcPr>
          <w:p>
            <w:pPr>
              <w:pStyle w:val="14"/>
            </w:pPr>
            <w:r>
              <w:t>基础设施项目按时完成率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基础设施项目部分成本</w:t>
            </w:r>
          </w:p>
        </w:tc>
        <w:tc>
          <w:tcPr>
            <w:tcW w:w="2891" w:type="dxa"/>
            <w:vAlign w:val="center"/>
          </w:tcPr>
          <w:p>
            <w:pPr>
              <w:pStyle w:val="14"/>
            </w:pPr>
            <w:r>
              <w:t>基础设施项目部分成本</w:t>
            </w:r>
          </w:p>
        </w:tc>
        <w:tc>
          <w:tcPr>
            <w:tcW w:w="1276" w:type="dxa"/>
            <w:vAlign w:val="center"/>
          </w:tcPr>
          <w:p>
            <w:pPr>
              <w:pStyle w:val="14"/>
            </w:pPr>
            <w:r>
              <w:t>498万元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基础设施项目长期使用性</w:t>
            </w:r>
          </w:p>
        </w:tc>
        <w:tc>
          <w:tcPr>
            <w:tcW w:w="2891" w:type="dxa"/>
            <w:vAlign w:val="center"/>
          </w:tcPr>
          <w:p>
            <w:pPr>
              <w:pStyle w:val="14"/>
            </w:pPr>
            <w:r>
              <w:t>基础设施项目长期使用性</w:t>
            </w:r>
          </w:p>
        </w:tc>
        <w:tc>
          <w:tcPr>
            <w:tcW w:w="1276" w:type="dxa"/>
            <w:vAlign w:val="center"/>
          </w:tcPr>
          <w:p>
            <w:pPr>
              <w:pStyle w:val="14"/>
            </w:pPr>
            <w:r>
              <w:t>≥5年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基础设施项目受益户数</w:t>
            </w:r>
          </w:p>
        </w:tc>
        <w:tc>
          <w:tcPr>
            <w:tcW w:w="2891" w:type="dxa"/>
            <w:vAlign w:val="center"/>
          </w:tcPr>
          <w:p>
            <w:pPr>
              <w:pStyle w:val="14"/>
            </w:pPr>
            <w:r>
              <w:t>基础设施项目社会效益受益户数</w:t>
            </w:r>
          </w:p>
        </w:tc>
        <w:tc>
          <w:tcPr>
            <w:tcW w:w="1276" w:type="dxa"/>
            <w:vAlign w:val="center"/>
          </w:tcPr>
          <w:p>
            <w:pPr>
              <w:pStyle w:val="14"/>
            </w:pPr>
            <w:r>
              <w:t>≥100户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服务对象满意度指标</w:t>
            </w:r>
          </w:p>
        </w:tc>
        <w:tc>
          <w:tcPr>
            <w:tcW w:w="2891" w:type="dxa"/>
            <w:vAlign w:val="center"/>
          </w:tcPr>
          <w:p>
            <w:pPr>
              <w:pStyle w:val="14"/>
            </w:pPr>
            <w:r>
              <w:t>基础设施项目群众满意度数量满意占比</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1" w:name="_Toc_4_4_0000000060"/>
      <w:r>
        <w:rPr>
          <w:rFonts w:ascii="方正仿宋_GBK" w:hAnsi="方正仿宋_GBK" w:eastAsia="方正仿宋_GBK" w:cs="方正仿宋_GBK"/>
          <w:color w:val="000000"/>
          <w:sz w:val="28"/>
        </w:rPr>
        <w:t>57.双代用户2025-2026年采暖季运行补贴费用绩效目标表</w:t>
      </w:r>
      <w:bookmarkEnd w:id="7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13011026P00152610040A</w:t>
            </w:r>
          </w:p>
        </w:tc>
        <w:tc>
          <w:tcPr>
            <w:tcW w:w="1587" w:type="dxa"/>
            <w:vAlign w:val="center"/>
          </w:tcPr>
          <w:p>
            <w:pPr>
              <w:pStyle w:val="12"/>
            </w:pPr>
            <w:r>
              <w:t>项目名称</w:t>
            </w:r>
          </w:p>
        </w:tc>
        <w:tc>
          <w:tcPr>
            <w:tcW w:w="4423" w:type="dxa"/>
            <w:gridSpan w:val="3"/>
            <w:vAlign w:val="center"/>
          </w:tcPr>
          <w:p>
            <w:pPr>
              <w:pStyle w:val="14"/>
            </w:pPr>
            <w:r>
              <w:t>双代用户2025-2026年采暖季运行补贴费用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1420.46</w:t>
            </w:r>
          </w:p>
        </w:tc>
        <w:tc>
          <w:tcPr>
            <w:tcW w:w="1587" w:type="dxa"/>
            <w:vAlign w:val="center"/>
          </w:tcPr>
          <w:p>
            <w:pPr>
              <w:pStyle w:val="12"/>
            </w:pPr>
            <w:r>
              <w:t>其中：财政    资金</w:t>
            </w:r>
          </w:p>
        </w:tc>
        <w:tc>
          <w:tcPr>
            <w:tcW w:w="1304" w:type="dxa"/>
            <w:vAlign w:val="center"/>
          </w:tcPr>
          <w:p>
            <w:pPr>
              <w:pStyle w:val="14"/>
            </w:pPr>
            <w:r>
              <w:t>1420.46</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采暖季后对2016-2020年农村煤改气和煤改电使用进行补贴，鼓励农户使用清洁能源取暖，减轻农户采暖费用，有效减少大气污染物排放。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1.采暖季后对2016-2020年农村煤改气和煤改电使用进行补贴，鼓励农户使用清洁能源取暖，减轻农户采暖费用，有效减少大气污染物排放。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已经发放双代补贴占应补贴完成率</w:t>
            </w:r>
          </w:p>
        </w:tc>
        <w:tc>
          <w:tcPr>
            <w:tcW w:w="1276" w:type="dxa"/>
            <w:vAlign w:val="center"/>
          </w:tcPr>
          <w:p>
            <w:pPr>
              <w:pStyle w:val="14"/>
            </w:pPr>
            <w:r>
              <w:t>100%</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煤改气用户发放2025—2026年天然气用户均补贴标准</w:t>
            </w:r>
          </w:p>
        </w:tc>
        <w:tc>
          <w:tcPr>
            <w:tcW w:w="1276" w:type="dxa"/>
            <w:vAlign w:val="center"/>
          </w:tcPr>
          <w:p>
            <w:pPr>
              <w:pStyle w:val="14"/>
            </w:pPr>
            <w:r>
              <w:t>200元/户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煤改电用户发放2025—2026年煤改电用户均补贴标准</w:t>
            </w:r>
          </w:p>
        </w:tc>
        <w:tc>
          <w:tcPr>
            <w:tcW w:w="1276" w:type="dxa"/>
            <w:vAlign w:val="center"/>
          </w:tcPr>
          <w:p>
            <w:pPr>
              <w:pStyle w:val="14"/>
            </w:pPr>
            <w:r>
              <w:t>250元/户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全区双代运行补贴户数</w:t>
            </w:r>
          </w:p>
        </w:tc>
        <w:tc>
          <w:tcPr>
            <w:tcW w:w="1276" w:type="dxa"/>
            <w:vAlign w:val="center"/>
          </w:tcPr>
          <w:p>
            <w:pPr>
              <w:pStyle w:val="14"/>
            </w:pPr>
            <w:r>
              <w:t>≤101435户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双代补贴户数</w:t>
            </w:r>
          </w:p>
        </w:tc>
        <w:tc>
          <w:tcPr>
            <w:tcW w:w="1276" w:type="dxa"/>
            <w:vAlign w:val="center"/>
          </w:tcPr>
          <w:p>
            <w:pPr>
              <w:pStyle w:val="14"/>
            </w:pPr>
            <w:r>
              <w:t>≤101435户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三年到期后，根据实际制定补贴政策</w:t>
            </w:r>
          </w:p>
        </w:tc>
        <w:tc>
          <w:tcPr>
            <w:tcW w:w="2891" w:type="dxa"/>
            <w:vAlign w:val="center"/>
          </w:tcPr>
          <w:p>
            <w:pPr>
              <w:pStyle w:val="14"/>
            </w:pPr>
            <w:r>
              <w:t>双代补贴户数</w:t>
            </w:r>
          </w:p>
        </w:tc>
        <w:tc>
          <w:tcPr>
            <w:tcW w:w="1276" w:type="dxa"/>
            <w:vAlign w:val="center"/>
          </w:tcPr>
          <w:p>
            <w:pPr>
              <w:pStyle w:val="14"/>
            </w:pPr>
            <w:r>
              <w:t>根据（石财建【2019】75号文件要求</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≥95%</w:t>
            </w:r>
          </w:p>
        </w:tc>
        <w:tc>
          <w:tcPr>
            <w:tcW w:w="1843" w:type="dxa"/>
            <w:vAlign w:val="center"/>
          </w:tcPr>
          <w:p>
            <w:pPr>
              <w:pStyle w:val="14"/>
            </w:pPr>
            <w:r>
              <w:t>调查问卷</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2" w:name="_Toc_4_4_0000000061"/>
      <w:r>
        <w:rPr>
          <w:rFonts w:ascii="方正仿宋_GBK" w:hAnsi="方正仿宋_GBK" w:eastAsia="方正仿宋_GBK" w:cs="方正仿宋_GBK"/>
          <w:color w:val="000000"/>
          <w:sz w:val="28"/>
        </w:rPr>
        <w:t>58.下达2025-2026年采暖季煤改气煤改电运行补贴绩效目标表</w:t>
      </w:r>
      <w:bookmarkEnd w:id="72"/>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13011026P00152610041X</w:t>
            </w:r>
          </w:p>
        </w:tc>
        <w:tc>
          <w:tcPr>
            <w:tcW w:w="1587" w:type="dxa"/>
            <w:vAlign w:val="center"/>
          </w:tcPr>
          <w:p>
            <w:pPr>
              <w:pStyle w:val="12"/>
            </w:pPr>
            <w:r>
              <w:t>项目名称</w:t>
            </w:r>
          </w:p>
        </w:tc>
        <w:tc>
          <w:tcPr>
            <w:tcW w:w="4423" w:type="dxa"/>
            <w:gridSpan w:val="3"/>
            <w:vAlign w:val="center"/>
          </w:tcPr>
          <w:p>
            <w:pPr>
              <w:pStyle w:val="14"/>
            </w:pPr>
            <w:r>
              <w:t>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74.26</w:t>
            </w:r>
          </w:p>
        </w:tc>
        <w:tc>
          <w:tcPr>
            <w:tcW w:w="1587" w:type="dxa"/>
            <w:vAlign w:val="center"/>
          </w:tcPr>
          <w:p>
            <w:pPr>
              <w:pStyle w:val="12"/>
            </w:pPr>
            <w:r>
              <w:t>其中：财政    资金</w:t>
            </w:r>
          </w:p>
        </w:tc>
        <w:tc>
          <w:tcPr>
            <w:tcW w:w="1304" w:type="dxa"/>
            <w:vAlign w:val="center"/>
          </w:tcPr>
          <w:p>
            <w:pPr>
              <w:pStyle w:val="14"/>
            </w:pPr>
            <w:r>
              <w:t>74.26</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采暖季后对2016-2020年农村煤改气和煤改电使用进行补贴，鼓励农户使用清洁能源取暖，减轻农户采暖费用，有效减少大气污染物排放。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1.采暖季后对2016-2020年农村煤改气和煤改电使用进行补贴，鼓励农户使用清洁能源取暖，减轻农户采暖费用，有效减少大气污染物排放。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已经发放双代补贴占应补贴完成率</w:t>
            </w:r>
          </w:p>
        </w:tc>
        <w:tc>
          <w:tcPr>
            <w:tcW w:w="1276" w:type="dxa"/>
            <w:vAlign w:val="center"/>
          </w:tcPr>
          <w:p>
            <w:pPr>
              <w:pStyle w:val="14"/>
            </w:pPr>
            <w:r>
              <w:t>100%</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煤改气用户发放2025—2026年天然气用户均补贴标准</w:t>
            </w:r>
          </w:p>
        </w:tc>
        <w:tc>
          <w:tcPr>
            <w:tcW w:w="1276" w:type="dxa"/>
            <w:vAlign w:val="center"/>
          </w:tcPr>
          <w:p>
            <w:pPr>
              <w:pStyle w:val="14"/>
            </w:pPr>
            <w:r>
              <w:t>200元/户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煤改电用户发放2025—2026年煤改电用户均补贴标准</w:t>
            </w:r>
          </w:p>
        </w:tc>
        <w:tc>
          <w:tcPr>
            <w:tcW w:w="1276" w:type="dxa"/>
            <w:vAlign w:val="center"/>
          </w:tcPr>
          <w:p>
            <w:pPr>
              <w:pStyle w:val="14"/>
            </w:pPr>
            <w:r>
              <w:t>250元/户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全区双代运行补贴户数</w:t>
            </w:r>
          </w:p>
        </w:tc>
        <w:tc>
          <w:tcPr>
            <w:tcW w:w="1276" w:type="dxa"/>
            <w:vAlign w:val="center"/>
          </w:tcPr>
          <w:p>
            <w:pPr>
              <w:pStyle w:val="14"/>
            </w:pPr>
            <w:r>
              <w:t>≤101435户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双代补贴户数</w:t>
            </w:r>
          </w:p>
        </w:tc>
        <w:tc>
          <w:tcPr>
            <w:tcW w:w="1276" w:type="dxa"/>
            <w:vAlign w:val="center"/>
          </w:tcPr>
          <w:p>
            <w:pPr>
              <w:pStyle w:val="14"/>
            </w:pPr>
            <w:r>
              <w:t>≤101435户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三年到期后，根据实际制定补贴政策</w:t>
            </w:r>
          </w:p>
        </w:tc>
        <w:tc>
          <w:tcPr>
            <w:tcW w:w="2891" w:type="dxa"/>
            <w:vAlign w:val="center"/>
          </w:tcPr>
          <w:p>
            <w:pPr>
              <w:pStyle w:val="14"/>
            </w:pPr>
            <w:r>
              <w:t>双代补贴户数</w:t>
            </w:r>
          </w:p>
        </w:tc>
        <w:tc>
          <w:tcPr>
            <w:tcW w:w="1276" w:type="dxa"/>
            <w:vAlign w:val="center"/>
          </w:tcPr>
          <w:p>
            <w:pPr>
              <w:pStyle w:val="14"/>
            </w:pPr>
            <w:r>
              <w:t>根据（石财建【2019】75号文件要求</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≥95%</w:t>
            </w:r>
          </w:p>
        </w:tc>
        <w:tc>
          <w:tcPr>
            <w:tcW w:w="1843" w:type="dxa"/>
            <w:vAlign w:val="center"/>
          </w:tcPr>
          <w:p>
            <w:pPr>
              <w:pStyle w:val="14"/>
            </w:pPr>
            <w:r>
              <w:t>调查问卷</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3" w:name="_Toc_4_4_0000000062"/>
      <w:r>
        <w:rPr>
          <w:rFonts w:ascii="方正仿宋_GBK" w:hAnsi="方正仿宋_GBK" w:eastAsia="方正仿宋_GBK" w:cs="方正仿宋_GBK"/>
          <w:color w:val="000000"/>
          <w:sz w:val="28"/>
        </w:rPr>
        <w:t>59.下达2025-2026年采暖季煤改气煤改电运行补贴绩效目标表</w:t>
      </w:r>
      <w:bookmarkEnd w:id="7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13011026P00152610042H</w:t>
            </w:r>
          </w:p>
        </w:tc>
        <w:tc>
          <w:tcPr>
            <w:tcW w:w="1587" w:type="dxa"/>
            <w:vAlign w:val="center"/>
          </w:tcPr>
          <w:p>
            <w:pPr>
              <w:pStyle w:val="12"/>
            </w:pPr>
            <w:r>
              <w:t>项目名称</w:t>
            </w:r>
          </w:p>
        </w:tc>
        <w:tc>
          <w:tcPr>
            <w:tcW w:w="4423" w:type="dxa"/>
            <w:gridSpan w:val="3"/>
            <w:vAlign w:val="center"/>
          </w:tcPr>
          <w:p>
            <w:pPr>
              <w:pStyle w:val="14"/>
            </w:pPr>
            <w:r>
              <w:t>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612.10</w:t>
            </w:r>
          </w:p>
        </w:tc>
        <w:tc>
          <w:tcPr>
            <w:tcW w:w="1587" w:type="dxa"/>
            <w:vAlign w:val="center"/>
          </w:tcPr>
          <w:p>
            <w:pPr>
              <w:pStyle w:val="12"/>
            </w:pPr>
            <w:r>
              <w:t>其中：财政    资金</w:t>
            </w:r>
          </w:p>
        </w:tc>
        <w:tc>
          <w:tcPr>
            <w:tcW w:w="1304" w:type="dxa"/>
            <w:vAlign w:val="center"/>
          </w:tcPr>
          <w:p>
            <w:pPr>
              <w:pStyle w:val="14"/>
            </w:pPr>
            <w:r>
              <w:t>612.10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采暖季后对2016-2020年农村煤改气和煤改电使用进行补贴，鼓励农户使用清洁能源取暖，减轻农户采暖费用，有效减少大气污染物排放。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1.采暖季后对2016-2020年农村煤改气和煤改电使用进行补贴，鼓励农户使用清洁能源取暖，减轻农户采暖费用，有效减少大气污染物排放。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已经发放双代补贴占应补贴完成率</w:t>
            </w:r>
          </w:p>
        </w:tc>
        <w:tc>
          <w:tcPr>
            <w:tcW w:w="1276" w:type="dxa"/>
            <w:vAlign w:val="center"/>
          </w:tcPr>
          <w:p>
            <w:pPr>
              <w:pStyle w:val="14"/>
            </w:pPr>
            <w:r>
              <w:t>100%</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煤改气用户发放2025—2026年天然气用户均补贴标准</w:t>
            </w:r>
          </w:p>
        </w:tc>
        <w:tc>
          <w:tcPr>
            <w:tcW w:w="1276" w:type="dxa"/>
            <w:vAlign w:val="center"/>
          </w:tcPr>
          <w:p>
            <w:pPr>
              <w:pStyle w:val="14"/>
            </w:pPr>
            <w:r>
              <w:t>200元/户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煤改电用户发放2025—2026年煤改电用户均补贴标准</w:t>
            </w:r>
          </w:p>
        </w:tc>
        <w:tc>
          <w:tcPr>
            <w:tcW w:w="1276" w:type="dxa"/>
            <w:vAlign w:val="center"/>
          </w:tcPr>
          <w:p>
            <w:pPr>
              <w:pStyle w:val="14"/>
            </w:pPr>
            <w:r>
              <w:t>250元/户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全区双代运行补贴户数</w:t>
            </w:r>
          </w:p>
        </w:tc>
        <w:tc>
          <w:tcPr>
            <w:tcW w:w="1276" w:type="dxa"/>
            <w:vAlign w:val="center"/>
          </w:tcPr>
          <w:p>
            <w:pPr>
              <w:pStyle w:val="14"/>
            </w:pPr>
            <w:r>
              <w:t>≤101435户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双代补贴户数</w:t>
            </w:r>
          </w:p>
        </w:tc>
        <w:tc>
          <w:tcPr>
            <w:tcW w:w="1276" w:type="dxa"/>
            <w:vAlign w:val="center"/>
          </w:tcPr>
          <w:p>
            <w:pPr>
              <w:pStyle w:val="14"/>
            </w:pPr>
            <w:r>
              <w:t>≤101435户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三年到期后，根据实际制定补贴政策</w:t>
            </w:r>
          </w:p>
        </w:tc>
        <w:tc>
          <w:tcPr>
            <w:tcW w:w="2891" w:type="dxa"/>
            <w:vAlign w:val="center"/>
          </w:tcPr>
          <w:p>
            <w:pPr>
              <w:pStyle w:val="14"/>
            </w:pPr>
            <w:r>
              <w:t>双代补贴户数</w:t>
            </w:r>
          </w:p>
        </w:tc>
        <w:tc>
          <w:tcPr>
            <w:tcW w:w="1276" w:type="dxa"/>
            <w:vAlign w:val="center"/>
          </w:tcPr>
          <w:p>
            <w:pPr>
              <w:pStyle w:val="14"/>
            </w:pPr>
            <w:r>
              <w:t>根据（石财建【2019】75号文件要求</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≥95%</w:t>
            </w:r>
          </w:p>
        </w:tc>
        <w:tc>
          <w:tcPr>
            <w:tcW w:w="1843" w:type="dxa"/>
            <w:vAlign w:val="center"/>
          </w:tcPr>
          <w:p>
            <w:pPr>
              <w:pStyle w:val="14"/>
            </w:pPr>
            <w:r>
              <w:t>调查问卷</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4" w:name="_Toc_4_4_0000000063"/>
      <w:r>
        <w:rPr>
          <w:rFonts w:ascii="方正仿宋_GBK" w:hAnsi="方正仿宋_GBK" w:eastAsia="方正仿宋_GBK" w:cs="方正仿宋_GBK"/>
          <w:color w:val="000000"/>
          <w:sz w:val="28"/>
        </w:rPr>
        <w:t>60.下达2025-2026年采暖季煤改气煤改电运行补贴绩效目标表</w:t>
      </w:r>
      <w:bookmarkEnd w:id="74"/>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13011026P001526100435</w:t>
            </w:r>
          </w:p>
        </w:tc>
        <w:tc>
          <w:tcPr>
            <w:tcW w:w="1587" w:type="dxa"/>
            <w:vAlign w:val="center"/>
          </w:tcPr>
          <w:p>
            <w:pPr>
              <w:pStyle w:val="12"/>
            </w:pPr>
            <w:r>
              <w:t>项目名称</w:t>
            </w:r>
          </w:p>
        </w:tc>
        <w:tc>
          <w:tcPr>
            <w:tcW w:w="4423" w:type="dxa"/>
            <w:gridSpan w:val="3"/>
            <w:vAlign w:val="center"/>
          </w:tcPr>
          <w:p>
            <w:pPr>
              <w:pStyle w:val="14"/>
            </w:pPr>
            <w:r>
              <w:t>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103.14</w:t>
            </w:r>
          </w:p>
        </w:tc>
        <w:tc>
          <w:tcPr>
            <w:tcW w:w="1587" w:type="dxa"/>
            <w:vAlign w:val="center"/>
          </w:tcPr>
          <w:p>
            <w:pPr>
              <w:pStyle w:val="12"/>
            </w:pPr>
            <w:r>
              <w:t>其中：财政    资金</w:t>
            </w:r>
          </w:p>
        </w:tc>
        <w:tc>
          <w:tcPr>
            <w:tcW w:w="1304" w:type="dxa"/>
            <w:vAlign w:val="center"/>
          </w:tcPr>
          <w:p>
            <w:pPr>
              <w:pStyle w:val="14"/>
            </w:pPr>
            <w:r>
              <w:t>103.14</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采暖季后对2016-2020年农村煤改气和煤改电使用进行补贴，鼓励农户使用清洁能源取暖，减轻农户采暖费用，有效减少大气污染物排放。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1.采暖季后对2016-2020年农村煤改气和煤改电使用进行补贴，鼓励农户使用清洁能源取暖，减轻农户采暖费用，有效减少大气污染物排放。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双代补贴任务完成率</w:t>
            </w:r>
          </w:p>
        </w:tc>
        <w:tc>
          <w:tcPr>
            <w:tcW w:w="2891" w:type="dxa"/>
            <w:vAlign w:val="center"/>
          </w:tcPr>
          <w:p>
            <w:pPr>
              <w:pStyle w:val="14"/>
            </w:pPr>
            <w:r>
              <w:t>已经发放双代补贴占应补贴完成率</w:t>
            </w:r>
          </w:p>
        </w:tc>
        <w:tc>
          <w:tcPr>
            <w:tcW w:w="1276" w:type="dxa"/>
            <w:vAlign w:val="center"/>
          </w:tcPr>
          <w:p>
            <w:pPr>
              <w:pStyle w:val="14"/>
            </w:pPr>
            <w:r>
              <w:t>100%</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发放双代运行补贴时间</w:t>
            </w:r>
          </w:p>
        </w:tc>
        <w:tc>
          <w:tcPr>
            <w:tcW w:w="2891" w:type="dxa"/>
            <w:vAlign w:val="center"/>
          </w:tcPr>
          <w:p>
            <w:pPr>
              <w:pStyle w:val="14"/>
            </w:pPr>
            <w:r>
              <w:t>采暖季结束后督促相关燃气企业、供电公司发放天然气运行补贴</w:t>
            </w:r>
          </w:p>
        </w:tc>
        <w:tc>
          <w:tcPr>
            <w:tcW w:w="1276" w:type="dxa"/>
            <w:vAlign w:val="center"/>
          </w:tcPr>
          <w:p>
            <w:pPr>
              <w:pStyle w:val="14"/>
            </w:pPr>
            <w:r>
              <w:t>≤3月</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天然气补贴标准</w:t>
            </w:r>
          </w:p>
        </w:tc>
        <w:tc>
          <w:tcPr>
            <w:tcW w:w="2891" w:type="dxa"/>
            <w:vAlign w:val="center"/>
          </w:tcPr>
          <w:p>
            <w:pPr>
              <w:pStyle w:val="14"/>
            </w:pPr>
            <w:r>
              <w:t>煤改气用户发放2025—2026年天然气用户均补贴标准</w:t>
            </w:r>
          </w:p>
        </w:tc>
        <w:tc>
          <w:tcPr>
            <w:tcW w:w="1276" w:type="dxa"/>
            <w:vAlign w:val="center"/>
          </w:tcPr>
          <w:p>
            <w:pPr>
              <w:pStyle w:val="14"/>
            </w:pPr>
            <w:r>
              <w:t>200元/户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煤改电补贴标准</w:t>
            </w:r>
          </w:p>
        </w:tc>
        <w:tc>
          <w:tcPr>
            <w:tcW w:w="2891" w:type="dxa"/>
            <w:vAlign w:val="center"/>
          </w:tcPr>
          <w:p>
            <w:pPr>
              <w:pStyle w:val="14"/>
            </w:pPr>
            <w:r>
              <w:t>煤改电用户发放2025—2026年煤改电用户均补贴标准</w:t>
            </w:r>
          </w:p>
        </w:tc>
        <w:tc>
          <w:tcPr>
            <w:tcW w:w="1276" w:type="dxa"/>
            <w:vAlign w:val="center"/>
          </w:tcPr>
          <w:p>
            <w:pPr>
              <w:pStyle w:val="14"/>
            </w:pPr>
            <w:r>
              <w:t>250元/户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双代运行补贴户数</w:t>
            </w:r>
          </w:p>
        </w:tc>
        <w:tc>
          <w:tcPr>
            <w:tcW w:w="2891" w:type="dxa"/>
            <w:vAlign w:val="center"/>
          </w:tcPr>
          <w:p>
            <w:pPr>
              <w:pStyle w:val="14"/>
            </w:pPr>
            <w:r>
              <w:t>全区双代运行补贴户数</w:t>
            </w:r>
          </w:p>
        </w:tc>
        <w:tc>
          <w:tcPr>
            <w:tcW w:w="1276" w:type="dxa"/>
            <w:vAlign w:val="center"/>
          </w:tcPr>
          <w:p>
            <w:pPr>
              <w:pStyle w:val="14"/>
            </w:pPr>
            <w:r>
              <w:t>≤101435户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双代补贴受益户数</w:t>
            </w:r>
          </w:p>
        </w:tc>
        <w:tc>
          <w:tcPr>
            <w:tcW w:w="2891" w:type="dxa"/>
            <w:vAlign w:val="center"/>
          </w:tcPr>
          <w:p>
            <w:pPr>
              <w:pStyle w:val="14"/>
            </w:pPr>
            <w:r>
              <w:t>双代补贴户数</w:t>
            </w:r>
          </w:p>
        </w:tc>
        <w:tc>
          <w:tcPr>
            <w:tcW w:w="1276" w:type="dxa"/>
            <w:vAlign w:val="center"/>
          </w:tcPr>
          <w:p>
            <w:pPr>
              <w:pStyle w:val="14"/>
            </w:pPr>
            <w:r>
              <w:t>≤101435户</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三年到期后，根据实际制定补贴政策</w:t>
            </w:r>
          </w:p>
        </w:tc>
        <w:tc>
          <w:tcPr>
            <w:tcW w:w="2891" w:type="dxa"/>
            <w:vAlign w:val="center"/>
          </w:tcPr>
          <w:p>
            <w:pPr>
              <w:pStyle w:val="14"/>
            </w:pPr>
            <w:r>
              <w:t>双代补贴户数</w:t>
            </w:r>
          </w:p>
        </w:tc>
        <w:tc>
          <w:tcPr>
            <w:tcW w:w="1276" w:type="dxa"/>
            <w:vAlign w:val="center"/>
          </w:tcPr>
          <w:p>
            <w:pPr>
              <w:pStyle w:val="14"/>
            </w:pPr>
            <w:r>
              <w:t>根据（石财建【2019】75号文件要求</w:t>
            </w:r>
          </w:p>
        </w:tc>
        <w:tc>
          <w:tcPr>
            <w:tcW w:w="1843" w:type="dxa"/>
            <w:vAlign w:val="center"/>
          </w:tcPr>
          <w:p>
            <w:pPr>
              <w:pStyle w:val="14"/>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群众满意数量占被调查人数的比例</w:t>
            </w:r>
          </w:p>
        </w:tc>
        <w:tc>
          <w:tcPr>
            <w:tcW w:w="1276" w:type="dxa"/>
            <w:vAlign w:val="center"/>
          </w:tcPr>
          <w:p>
            <w:pPr>
              <w:pStyle w:val="14"/>
            </w:pPr>
            <w:r>
              <w:t>≥95%</w:t>
            </w:r>
          </w:p>
        </w:tc>
        <w:tc>
          <w:tcPr>
            <w:tcW w:w="1843" w:type="dxa"/>
            <w:vAlign w:val="center"/>
          </w:tcPr>
          <w:p>
            <w:pPr>
              <w:pStyle w:val="14"/>
            </w:pPr>
            <w:r>
              <w:t>调查问卷</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5" w:name="_Toc_4_4_0000000064"/>
      <w:r>
        <w:rPr>
          <w:rFonts w:ascii="方正仿宋_GBK" w:hAnsi="方正仿宋_GBK" w:eastAsia="方正仿宋_GBK" w:cs="方正仿宋_GBK"/>
          <w:color w:val="000000"/>
          <w:sz w:val="28"/>
        </w:rPr>
        <w:t>61.玉石路桥梁建设项目（2025Z）绩效目标表</w:t>
      </w:r>
      <w:bookmarkEnd w:id="7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333001石家庄市鹿泉区住房和城乡建设局本级</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13011026P00162110075B</w:t>
            </w:r>
          </w:p>
        </w:tc>
        <w:tc>
          <w:tcPr>
            <w:tcW w:w="1587" w:type="dxa"/>
            <w:vAlign w:val="center"/>
          </w:tcPr>
          <w:p>
            <w:pPr>
              <w:pStyle w:val="12"/>
            </w:pPr>
            <w:r>
              <w:t>项目名称</w:t>
            </w:r>
          </w:p>
        </w:tc>
        <w:tc>
          <w:tcPr>
            <w:tcW w:w="4423" w:type="dxa"/>
            <w:gridSpan w:val="3"/>
            <w:vAlign w:val="center"/>
          </w:tcPr>
          <w:p>
            <w:pPr>
              <w:pStyle w:val="14"/>
            </w:pPr>
            <w:r>
              <w:t>玉石路桥梁建设项目（2025Z）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1000.00</w:t>
            </w:r>
          </w:p>
        </w:tc>
        <w:tc>
          <w:tcPr>
            <w:tcW w:w="1587" w:type="dxa"/>
            <w:vAlign w:val="center"/>
          </w:tcPr>
          <w:p>
            <w:pPr>
              <w:pStyle w:val="12"/>
            </w:pPr>
            <w:r>
              <w:t>其中：财政    资金</w:t>
            </w:r>
          </w:p>
        </w:tc>
        <w:tc>
          <w:tcPr>
            <w:tcW w:w="1304" w:type="dxa"/>
            <w:vAlign w:val="center"/>
          </w:tcPr>
          <w:p>
            <w:pPr>
              <w:pStyle w:val="14"/>
            </w:pPr>
            <w:r>
              <w:t>1000.00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1、新建道路285米，桥梁两座分别为70米和16米。2、为城市发展提供基础设施建设。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1.1、新建道路285米，桥梁两座分别为70米和16米。2、为城市发展提供基础设施建设。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修建桥梁长度</w:t>
            </w:r>
          </w:p>
        </w:tc>
        <w:tc>
          <w:tcPr>
            <w:tcW w:w="2891" w:type="dxa"/>
            <w:vAlign w:val="center"/>
          </w:tcPr>
          <w:p>
            <w:pPr>
              <w:pStyle w:val="14"/>
            </w:pPr>
            <w:r>
              <w:t>修建桥梁长度</w:t>
            </w:r>
          </w:p>
        </w:tc>
        <w:tc>
          <w:tcPr>
            <w:tcW w:w="1276" w:type="dxa"/>
            <w:vAlign w:val="center"/>
          </w:tcPr>
          <w:p>
            <w:pPr>
              <w:pStyle w:val="14"/>
            </w:pPr>
            <w:r>
              <w:t>70米</w:t>
            </w:r>
          </w:p>
        </w:tc>
        <w:tc>
          <w:tcPr>
            <w:tcW w:w="1843" w:type="dxa"/>
            <w:vAlign w:val="center"/>
          </w:tcPr>
          <w:p>
            <w:pPr>
              <w:pStyle w:val="14"/>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修建桥梁长度</w:t>
            </w:r>
          </w:p>
        </w:tc>
        <w:tc>
          <w:tcPr>
            <w:tcW w:w="2891" w:type="dxa"/>
            <w:vAlign w:val="center"/>
          </w:tcPr>
          <w:p>
            <w:pPr>
              <w:pStyle w:val="14"/>
            </w:pPr>
            <w:r>
              <w:t>修建桥梁长度</w:t>
            </w:r>
          </w:p>
        </w:tc>
        <w:tc>
          <w:tcPr>
            <w:tcW w:w="1276" w:type="dxa"/>
            <w:vAlign w:val="center"/>
          </w:tcPr>
          <w:p>
            <w:pPr>
              <w:pStyle w:val="14"/>
            </w:pPr>
            <w:r>
              <w:t>16米</w:t>
            </w:r>
          </w:p>
        </w:tc>
        <w:tc>
          <w:tcPr>
            <w:tcW w:w="1843" w:type="dxa"/>
            <w:vAlign w:val="center"/>
          </w:tcPr>
          <w:p>
            <w:pPr>
              <w:pStyle w:val="14"/>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新建玉石路道路285米</w:t>
            </w:r>
          </w:p>
        </w:tc>
        <w:tc>
          <w:tcPr>
            <w:tcW w:w="2891" w:type="dxa"/>
            <w:vAlign w:val="center"/>
          </w:tcPr>
          <w:p>
            <w:pPr>
              <w:pStyle w:val="14"/>
            </w:pPr>
            <w:r>
              <w:t>新建道路总长度</w:t>
            </w:r>
          </w:p>
        </w:tc>
        <w:tc>
          <w:tcPr>
            <w:tcW w:w="1276" w:type="dxa"/>
            <w:vAlign w:val="center"/>
          </w:tcPr>
          <w:p>
            <w:pPr>
              <w:pStyle w:val="14"/>
            </w:pPr>
            <w:r>
              <w:t>285米</w:t>
            </w:r>
          </w:p>
        </w:tc>
        <w:tc>
          <w:tcPr>
            <w:tcW w:w="1843" w:type="dxa"/>
            <w:vAlign w:val="center"/>
          </w:tcPr>
          <w:p>
            <w:pPr>
              <w:pStyle w:val="14"/>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建设工程质量合格率（%）</w:t>
            </w:r>
          </w:p>
        </w:tc>
        <w:tc>
          <w:tcPr>
            <w:tcW w:w="2891" w:type="dxa"/>
            <w:vAlign w:val="center"/>
          </w:tcPr>
          <w:p>
            <w:pPr>
              <w:pStyle w:val="14"/>
            </w:pPr>
            <w:r>
              <w:t>项目完工验收合格数/项目总数*100%</w:t>
            </w:r>
          </w:p>
        </w:tc>
        <w:tc>
          <w:tcPr>
            <w:tcW w:w="1276" w:type="dxa"/>
            <w:vAlign w:val="center"/>
          </w:tcPr>
          <w:p>
            <w:pPr>
              <w:pStyle w:val="14"/>
            </w:pPr>
            <w:r>
              <w:t>100%</w:t>
            </w:r>
          </w:p>
        </w:tc>
        <w:tc>
          <w:tcPr>
            <w:tcW w:w="1843" w:type="dxa"/>
            <w:vAlign w:val="center"/>
          </w:tcPr>
          <w:p>
            <w:pPr>
              <w:pStyle w:val="14"/>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项目完成及时率</w:t>
            </w:r>
          </w:p>
        </w:tc>
        <w:tc>
          <w:tcPr>
            <w:tcW w:w="2891" w:type="dxa"/>
            <w:vAlign w:val="center"/>
          </w:tcPr>
          <w:p>
            <w:pPr>
              <w:pStyle w:val="14"/>
            </w:pPr>
            <w:r>
              <w:t>及时完成工程量占需要完成工程量的比例</w:t>
            </w:r>
          </w:p>
        </w:tc>
        <w:tc>
          <w:tcPr>
            <w:tcW w:w="1276" w:type="dxa"/>
            <w:vAlign w:val="center"/>
          </w:tcPr>
          <w:p>
            <w:pPr>
              <w:pStyle w:val="14"/>
            </w:pPr>
            <w:r>
              <w:t>100%</w:t>
            </w:r>
          </w:p>
        </w:tc>
        <w:tc>
          <w:tcPr>
            <w:tcW w:w="1843" w:type="dxa"/>
            <w:vAlign w:val="center"/>
          </w:tcPr>
          <w:p>
            <w:pPr>
              <w:pStyle w:val="14"/>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工程建设成本</w:t>
            </w:r>
          </w:p>
        </w:tc>
        <w:tc>
          <w:tcPr>
            <w:tcW w:w="2891" w:type="dxa"/>
            <w:vAlign w:val="center"/>
          </w:tcPr>
          <w:p>
            <w:pPr>
              <w:pStyle w:val="14"/>
            </w:pPr>
            <w:r>
              <w:t>工程建设总成本</w:t>
            </w:r>
          </w:p>
        </w:tc>
        <w:tc>
          <w:tcPr>
            <w:tcW w:w="1276" w:type="dxa"/>
            <w:vAlign w:val="center"/>
          </w:tcPr>
          <w:p>
            <w:pPr>
              <w:pStyle w:val="14"/>
            </w:pPr>
            <w:r>
              <w:t>≤2700万元</w:t>
            </w:r>
          </w:p>
        </w:tc>
        <w:tc>
          <w:tcPr>
            <w:tcW w:w="1843" w:type="dxa"/>
            <w:vAlign w:val="center"/>
          </w:tcPr>
          <w:p>
            <w:pPr>
              <w:pStyle w:val="14"/>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道路使用时间</w:t>
            </w:r>
          </w:p>
        </w:tc>
        <w:tc>
          <w:tcPr>
            <w:tcW w:w="2891" w:type="dxa"/>
            <w:vAlign w:val="center"/>
          </w:tcPr>
          <w:p>
            <w:pPr>
              <w:pStyle w:val="14"/>
            </w:pPr>
            <w:r>
              <w:t>道路使用年限</w:t>
            </w:r>
          </w:p>
        </w:tc>
        <w:tc>
          <w:tcPr>
            <w:tcW w:w="1276" w:type="dxa"/>
            <w:vAlign w:val="center"/>
          </w:tcPr>
          <w:p>
            <w:pPr>
              <w:pStyle w:val="14"/>
            </w:pPr>
            <w:r>
              <w:t>≥10年</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桥梁使用时间</w:t>
            </w:r>
          </w:p>
        </w:tc>
        <w:tc>
          <w:tcPr>
            <w:tcW w:w="2891" w:type="dxa"/>
            <w:vAlign w:val="center"/>
          </w:tcPr>
          <w:p>
            <w:pPr>
              <w:pStyle w:val="14"/>
            </w:pPr>
            <w:r>
              <w:t>桥梁使用时间</w:t>
            </w:r>
          </w:p>
        </w:tc>
        <w:tc>
          <w:tcPr>
            <w:tcW w:w="1276" w:type="dxa"/>
            <w:vAlign w:val="center"/>
          </w:tcPr>
          <w:p>
            <w:pPr>
              <w:pStyle w:val="14"/>
            </w:pPr>
            <w:r>
              <w:t>≥50年</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居民满意度</w:t>
            </w:r>
          </w:p>
        </w:tc>
        <w:tc>
          <w:tcPr>
            <w:tcW w:w="2891" w:type="dxa"/>
            <w:vAlign w:val="center"/>
          </w:tcPr>
          <w:p>
            <w:pPr>
              <w:pStyle w:val="14"/>
            </w:pPr>
            <w:r>
              <w:t>反映项目实施后受益人群的满意度情况</w:t>
            </w:r>
          </w:p>
        </w:tc>
        <w:tc>
          <w:tcPr>
            <w:tcW w:w="1276" w:type="dxa"/>
            <w:vAlign w:val="center"/>
          </w:tcPr>
          <w:p>
            <w:pPr>
              <w:pStyle w:val="14"/>
            </w:pPr>
            <w:r>
              <w:t>≥80%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6" w:name="_Toc_4_4_0000000065"/>
      <w:r>
        <w:rPr>
          <w:rFonts w:ascii="方正仿宋_GBK" w:hAnsi="方正仿宋_GBK" w:eastAsia="方正仿宋_GBK" w:cs="方正仿宋_GBK"/>
          <w:color w:val="000000"/>
          <w:sz w:val="28"/>
        </w:rPr>
        <w:t>62.2026年涉军人员工资及社保绩效目标表</w:t>
      </w:r>
      <w:bookmarkEnd w:id="7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333003石家庄市鹿泉区建筑业服务中心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13011026P00154010055L</w:t>
            </w:r>
          </w:p>
        </w:tc>
        <w:tc>
          <w:tcPr>
            <w:tcW w:w="1587" w:type="dxa"/>
            <w:vAlign w:val="center"/>
          </w:tcPr>
          <w:p>
            <w:pPr>
              <w:pStyle w:val="12"/>
            </w:pPr>
            <w:r>
              <w:t>项目名称</w:t>
            </w:r>
          </w:p>
        </w:tc>
        <w:tc>
          <w:tcPr>
            <w:tcW w:w="4423" w:type="dxa"/>
            <w:gridSpan w:val="3"/>
            <w:vAlign w:val="center"/>
          </w:tcPr>
          <w:p>
            <w:pPr>
              <w:pStyle w:val="14"/>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100.74</w:t>
            </w:r>
          </w:p>
        </w:tc>
        <w:tc>
          <w:tcPr>
            <w:tcW w:w="1587" w:type="dxa"/>
            <w:vAlign w:val="center"/>
          </w:tcPr>
          <w:p>
            <w:pPr>
              <w:pStyle w:val="12"/>
            </w:pPr>
            <w:r>
              <w:t>其中：财政    资金</w:t>
            </w:r>
          </w:p>
        </w:tc>
        <w:tc>
          <w:tcPr>
            <w:tcW w:w="1304" w:type="dxa"/>
            <w:vAlign w:val="center"/>
          </w:tcPr>
          <w:p>
            <w:pPr>
              <w:pStyle w:val="14"/>
            </w:pPr>
            <w:r>
              <w:t>100.74</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对符合条件的退役军人17人，实行公益岗位托管安置，帮扶到位，加大就业援助力度。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1.对符合条件的退役军人，实行公益岗位托管安置，帮扶到位，加大就业援助力度。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资金发放率</w:t>
            </w:r>
          </w:p>
        </w:tc>
        <w:tc>
          <w:tcPr>
            <w:tcW w:w="2891" w:type="dxa"/>
            <w:vAlign w:val="center"/>
          </w:tcPr>
          <w:p>
            <w:pPr>
              <w:pStyle w:val="14"/>
            </w:pPr>
            <w:r>
              <w:t>资金发放率</w:t>
            </w:r>
          </w:p>
        </w:tc>
        <w:tc>
          <w:tcPr>
            <w:tcW w:w="1276" w:type="dxa"/>
            <w:vAlign w:val="center"/>
          </w:tcPr>
          <w:p>
            <w:pPr>
              <w:pStyle w:val="14"/>
            </w:pPr>
            <w:r>
              <w:t>100百分比</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退役人数</w:t>
            </w:r>
          </w:p>
        </w:tc>
        <w:tc>
          <w:tcPr>
            <w:tcW w:w="2891" w:type="dxa"/>
            <w:vAlign w:val="center"/>
          </w:tcPr>
          <w:p>
            <w:pPr>
              <w:pStyle w:val="14"/>
            </w:pPr>
            <w:r>
              <w:t>单位退役实际人数</w:t>
            </w:r>
          </w:p>
        </w:tc>
        <w:tc>
          <w:tcPr>
            <w:tcW w:w="1276" w:type="dxa"/>
            <w:vAlign w:val="center"/>
          </w:tcPr>
          <w:p>
            <w:pPr>
              <w:pStyle w:val="14"/>
            </w:pPr>
            <w:r>
              <w:t>17个</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退役人员资金发放标准</w:t>
            </w:r>
          </w:p>
        </w:tc>
        <w:tc>
          <w:tcPr>
            <w:tcW w:w="2891" w:type="dxa"/>
            <w:vAlign w:val="center"/>
          </w:tcPr>
          <w:p>
            <w:pPr>
              <w:pStyle w:val="14"/>
            </w:pPr>
            <w:r>
              <w:t>对符合条件的退役军人发放特金额</w:t>
            </w:r>
          </w:p>
        </w:tc>
        <w:tc>
          <w:tcPr>
            <w:tcW w:w="1276" w:type="dxa"/>
            <w:vAlign w:val="center"/>
          </w:tcPr>
          <w:p>
            <w:pPr>
              <w:pStyle w:val="14"/>
            </w:pPr>
            <w:r>
              <w:t>100.74万元</w:t>
            </w:r>
          </w:p>
        </w:tc>
        <w:tc>
          <w:tcPr>
            <w:tcW w:w="1843"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退役人员工资发放及时率</w:t>
            </w:r>
          </w:p>
        </w:tc>
        <w:tc>
          <w:tcPr>
            <w:tcW w:w="2891" w:type="dxa"/>
            <w:vAlign w:val="center"/>
          </w:tcPr>
          <w:p>
            <w:pPr>
              <w:pStyle w:val="14"/>
            </w:pPr>
            <w:r>
              <w:t>工资发放完成及时率</w:t>
            </w:r>
          </w:p>
        </w:tc>
        <w:tc>
          <w:tcPr>
            <w:tcW w:w="1276" w:type="dxa"/>
            <w:vAlign w:val="center"/>
          </w:tcPr>
          <w:p>
            <w:pPr>
              <w:pStyle w:val="14"/>
            </w:pPr>
            <w:r>
              <w:t>100百分比</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托管安置帮扶人数</w:t>
            </w:r>
          </w:p>
        </w:tc>
        <w:tc>
          <w:tcPr>
            <w:tcW w:w="2891" w:type="dxa"/>
            <w:vAlign w:val="center"/>
          </w:tcPr>
          <w:p>
            <w:pPr>
              <w:pStyle w:val="14"/>
            </w:pPr>
            <w:r>
              <w:t>对退役托管安置帮扶到位的人数</w:t>
            </w:r>
          </w:p>
        </w:tc>
        <w:tc>
          <w:tcPr>
            <w:tcW w:w="1276" w:type="dxa"/>
            <w:vAlign w:val="center"/>
          </w:tcPr>
          <w:p>
            <w:pPr>
              <w:pStyle w:val="14"/>
            </w:pPr>
            <w:r>
              <w:t>17个</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退役安置满意度</w:t>
            </w:r>
          </w:p>
        </w:tc>
        <w:tc>
          <w:tcPr>
            <w:tcW w:w="2891" w:type="dxa"/>
            <w:vAlign w:val="center"/>
          </w:tcPr>
          <w:p>
            <w:pPr>
              <w:pStyle w:val="14"/>
            </w:pPr>
            <w:r>
              <w:t>对退役安置满意和较满意的人数</w:t>
            </w:r>
          </w:p>
        </w:tc>
        <w:tc>
          <w:tcPr>
            <w:tcW w:w="1276" w:type="dxa"/>
            <w:vAlign w:val="center"/>
          </w:tcPr>
          <w:p>
            <w:pPr>
              <w:pStyle w:val="14"/>
            </w:pPr>
            <w:r>
              <w:t>17个</w:t>
            </w:r>
          </w:p>
        </w:tc>
        <w:tc>
          <w:tcPr>
            <w:tcW w:w="1843" w:type="dxa"/>
            <w:vAlign w:val="center"/>
          </w:tcPr>
          <w:p>
            <w:pPr>
              <w:pStyle w:val="14"/>
            </w:pPr>
            <w:r>
              <w:t>鹿办文【2017】31号文</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7" w:name="_Toc_4_4_0000000066"/>
      <w:r>
        <w:rPr>
          <w:rFonts w:ascii="方正仿宋_GBK" w:hAnsi="方正仿宋_GBK" w:eastAsia="方正仿宋_GBK" w:cs="方正仿宋_GBK"/>
          <w:color w:val="000000"/>
          <w:sz w:val="28"/>
        </w:rPr>
        <w:t>63.建设工程实体及原材料质量抽测及安全监督专项费2026绩效目标表</w:t>
      </w:r>
      <w:bookmarkEnd w:id="7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333003石家庄市鹿泉区建筑业服务中心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13011026P00001110044U</w:t>
            </w:r>
          </w:p>
        </w:tc>
        <w:tc>
          <w:tcPr>
            <w:tcW w:w="1587" w:type="dxa"/>
            <w:vAlign w:val="center"/>
          </w:tcPr>
          <w:p>
            <w:pPr>
              <w:pStyle w:val="12"/>
            </w:pPr>
            <w:r>
              <w:t>项目名称</w:t>
            </w:r>
          </w:p>
        </w:tc>
        <w:tc>
          <w:tcPr>
            <w:tcW w:w="4423" w:type="dxa"/>
            <w:gridSpan w:val="3"/>
            <w:vAlign w:val="center"/>
          </w:tcPr>
          <w:p>
            <w:pPr>
              <w:pStyle w:val="14"/>
            </w:pPr>
            <w:r>
              <w:t>建设工程实体及原材料质量抽测及安全监督专项费2026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10.00</w:t>
            </w:r>
          </w:p>
        </w:tc>
        <w:tc>
          <w:tcPr>
            <w:tcW w:w="1587" w:type="dxa"/>
            <w:vAlign w:val="center"/>
          </w:tcPr>
          <w:p>
            <w:pPr>
              <w:pStyle w:val="12"/>
            </w:pPr>
            <w:r>
              <w:t>其中：财政    资金</w:t>
            </w:r>
          </w:p>
        </w:tc>
        <w:tc>
          <w:tcPr>
            <w:tcW w:w="1304" w:type="dxa"/>
            <w:vAlign w:val="center"/>
          </w:tcPr>
          <w:p>
            <w:pPr>
              <w:pStyle w:val="14"/>
            </w:pPr>
            <w:r>
              <w:t>10.00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对全区工程原材、实体不定期抽测，严格控制不合格材料进入施工现场，对全区项目进行监管，覆盖面到达百分百，减少工程安全隐患的发生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1.对全区工程原材、实体不定期抽测，严格控制不合格材料进入施工现场，对全区项目进行监管，覆盖面到达百分百，减少工程安全隐患的发生</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工程原材料抽检数量</w:t>
            </w:r>
          </w:p>
        </w:tc>
        <w:tc>
          <w:tcPr>
            <w:tcW w:w="2891" w:type="dxa"/>
            <w:vAlign w:val="center"/>
          </w:tcPr>
          <w:p>
            <w:pPr>
              <w:pStyle w:val="14"/>
            </w:pPr>
            <w:r>
              <w:t>对全区工程原材料抽检</w:t>
            </w:r>
          </w:p>
        </w:tc>
        <w:tc>
          <w:tcPr>
            <w:tcW w:w="1276" w:type="dxa"/>
            <w:vAlign w:val="center"/>
          </w:tcPr>
          <w:p>
            <w:pPr>
              <w:pStyle w:val="14"/>
            </w:pPr>
            <w:r>
              <w:t>100个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工程质量覆盖率</w:t>
            </w:r>
          </w:p>
        </w:tc>
        <w:tc>
          <w:tcPr>
            <w:tcW w:w="2891" w:type="dxa"/>
            <w:vAlign w:val="center"/>
          </w:tcPr>
          <w:p>
            <w:pPr>
              <w:pStyle w:val="14"/>
            </w:pPr>
            <w:r>
              <w:t>对工程质量实体、行为进行监督</w:t>
            </w:r>
          </w:p>
        </w:tc>
        <w:tc>
          <w:tcPr>
            <w:tcW w:w="1276" w:type="dxa"/>
            <w:vAlign w:val="center"/>
          </w:tcPr>
          <w:p>
            <w:pPr>
              <w:pStyle w:val="14"/>
            </w:pPr>
            <w:r>
              <w:t>100%</w:t>
            </w:r>
          </w:p>
        </w:tc>
        <w:tc>
          <w:tcPr>
            <w:tcW w:w="1843"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专家排查隐患项目率</w:t>
            </w:r>
          </w:p>
        </w:tc>
        <w:tc>
          <w:tcPr>
            <w:tcW w:w="2891" w:type="dxa"/>
            <w:vAlign w:val="center"/>
          </w:tcPr>
          <w:p>
            <w:pPr>
              <w:pStyle w:val="14"/>
            </w:pPr>
            <w:r>
              <w:t>专家排查施工现场安全隐患数量</w:t>
            </w:r>
          </w:p>
        </w:tc>
        <w:tc>
          <w:tcPr>
            <w:tcW w:w="1276" w:type="dxa"/>
            <w:vAlign w:val="center"/>
          </w:tcPr>
          <w:p>
            <w:pPr>
              <w:pStyle w:val="14"/>
            </w:pPr>
            <w:r>
              <w:t>100个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委托第三方所需要成本</w:t>
            </w:r>
          </w:p>
        </w:tc>
        <w:tc>
          <w:tcPr>
            <w:tcW w:w="2891" w:type="dxa"/>
            <w:vAlign w:val="center"/>
          </w:tcPr>
          <w:p>
            <w:pPr>
              <w:pStyle w:val="14"/>
            </w:pPr>
            <w:r>
              <w:t>委托第三方对原材、实体检测发生的成本</w:t>
            </w:r>
          </w:p>
        </w:tc>
        <w:tc>
          <w:tcPr>
            <w:tcW w:w="1276" w:type="dxa"/>
            <w:vAlign w:val="center"/>
          </w:tcPr>
          <w:p>
            <w:pPr>
              <w:pStyle w:val="14"/>
            </w:pPr>
            <w:r>
              <w:t>254.22万元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社会影响</w:t>
            </w:r>
          </w:p>
        </w:tc>
        <w:tc>
          <w:tcPr>
            <w:tcW w:w="2891" w:type="dxa"/>
            <w:vAlign w:val="center"/>
          </w:tcPr>
          <w:p>
            <w:pPr>
              <w:pStyle w:val="14"/>
            </w:pPr>
            <w:r>
              <w:t>排查治理施工现场质量和安全生产隐患，监督各方责任主体履行施工质量和安全生产职责，控制隐患数量</w:t>
            </w:r>
          </w:p>
        </w:tc>
        <w:tc>
          <w:tcPr>
            <w:tcW w:w="1276" w:type="dxa"/>
            <w:vAlign w:val="center"/>
          </w:tcPr>
          <w:p>
            <w:pPr>
              <w:pStyle w:val="14"/>
            </w:pPr>
            <w:r>
              <w:t>1个</w:t>
            </w:r>
          </w:p>
        </w:tc>
        <w:tc>
          <w:tcPr>
            <w:tcW w:w="1843"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群众满意数量占总数的比例。</w:t>
            </w:r>
          </w:p>
        </w:tc>
        <w:tc>
          <w:tcPr>
            <w:tcW w:w="1276" w:type="dxa"/>
            <w:vAlign w:val="center"/>
          </w:tcPr>
          <w:p>
            <w:pPr>
              <w:pStyle w:val="14"/>
            </w:pPr>
            <w:r>
              <w:t>≥100%</w:t>
            </w:r>
          </w:p>
        </w:tc>
        <w:tc>
          <w:tcPr>
            <w:tcW w:w="1843" w:type="dxa"/>
            <w:vAlign w:val="center"/>
          </w:tcPr>
          <w:p>
            <w:pPr>
              <w:pStyle w:val="14"/>
            </w:pPr>
            <w:r>
              <w:t>工作经验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8" w:name="_Toc_4_4_0000000067"/>
      <w:r>
        <w:rPr>
          <w:rFonts w:ascii="方正仿宋_GBK" w:hAnsi="方正仿宋_GBK" w:eastAsia="方正仿宋_GBK" w:cs="方正仿宋_GBK"/>
          <w:color w:val="000000"/>
          <w:sz w:val="28"/>
        </w:rPr>
        <w:t>64.聘请消防专家费用2026绩效目标表</w:t>
      </w:r>
      <w:bookmarkEnd w:id="7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333003石家庄市鹿泉区建筑业服务中心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13011026P00001110045F</w:t>
            </w:r>
          </w:p>
        </w:tc>
        <w:tc>
          <w:tcPr>
            <w:tcW w:w="1587" w:type="dxa"/>
            <w:vAlign w:val="center"/>
          </w:tcPr>
          <w:p>
            <w:pPr>
              <w:pStyle w:val="12"/>
            </w:pPr>
            <w:r>
              <w:t>项目名称</w:t>
            </w:r>
          </w:p>
        </w:tc>
        <w:tc>
          <w:tcPr>
            <w:tcW w:w="4423" w:type="dxa"/>
            <w:gridSpan w:val="3"/>
            <w:vAlign w:val="center"/>
          </w:tcPr>
          <w:p>
            <w:pPr>
              <w:pStyle w:val="14"/>
            </w:pPr>
            <w:r>
              <w:t>聘请消防专家费用2026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5.00</w:t>
            </w:r>
          </w:p>
        </w:tc>
        <w:tc>
          <w:tcPr>
            <w:tcW w:w="1587" w:type="dxa"/>
            <w:vAlign w:val="center"/>
          </w:tcPr>
          <w:p>
            <w:pPr>
              <w:pStyle w:val="12"/>
            </w:pPr>
            <w:r>
              <w:t>其中：财政    资金</w:t>
            </w:r>
          </w:p>
        </w:tc>
        <w:tc>
          <w:tcPr>
            <w:tcW w:w="1304" w:type="dxa"/>
            <w:vAlign w:val="center"/>
          </w:tcPr>
          <w:p>
            <w:pPr>
              <w:pStyle w:val="14"/>
            </w:pPr>
            <w:r>
              <w:t>5.00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对全区竣工建设工程项目消防验收质量提供保证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 对全区竣工建设工程项目消防验收质量提供保证</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第三方服务机构服务项数</w:t>
            </w:r>
          </w:p>
        </w:tc>
        <w:tc>
          <w:tcPr>
            <w:tcW w:w="2891" w:type="dxa"/>
            <w:vAlign w:val="center"/>
          </w:tcPr>
          <w:p>
            <w:pPr>
              <w:pStyle w:val="14"/>
            </w:pPr>
            <w:r>
              <w:t>计划聘请第三方服务机构对全区竣工建设工程项目消防验收</w:t>
            </w:r>
          </w:p>
        </w:tc>
        <w:tc>
          <w:tcPr>
            <w:tcW w:w="1276" w:type="dxa"/>
            <w:vAlign w:val="center"/>
          </w:tcPr>
          <w:p>
            <w:pPr>
              <w:pStyle w:val="14"/>
            </w:pPr>
            <w:r>
              <w:t>1项</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第三方服务机构消防验收工作保障率</w:t>
            </w:r>
          </w:p>
        </w:tc>
        <w:tc>
          <w:tcPr>
            <w:tcW w:w="2891" w:type="dxa"/>
            <w:vAlign w:val="center"/>
          </w:tcPr>
          <w:p>
            <w:pPr>
              <w:pStyle w:val="14"/>
            </w:pPr>
            <w:r>
              <w:t>对全区竣工建设工程项目消防验收工作保障率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消防验收时限</w:t>
            </w:r>
          </w:p>
        </w:tc>
        <w:tc>
          <w:tcPr>
            <w:tcW w:w="2891" w:type="dxa"/>
            <w:vAlign w:val="center"/>
          </w:tcPr>
          <w:p>
            <w:pPr>
              <w:pStyle w:val="14"/>
            </w:pPr>
            <w:r>
              <w:t>建设单位提交消防验收申请之日起到消防验收完毕的时间</w:t>
            </w:r>
          </w:p>
        </w:tc>
        <w:tc>
          <w:tcPr>
            <w:tcW w:w="1276" w:type="dxa"/>
            <w:vAlign w:val="center"/>
          </w:tcPr>
          <w:p>
            <w:pPr>
              <w:pStyle w:val="14"/>
            </w:pPr>
            <w:r>
              <w:t>10天</w:t>
            </w:r>
          </w:p>
        </w:tc>
        <w:tc>
          <w:tcPr>
            <w:tcW w:w="1843" w:type="dxa"/>
            <w:vAlign w:val="center"/>
          </w:tcPr>
          <w:p>
            <w:pPr>
              <w:pStyle w:val="14"/>
            </w:pPr>
            <w:r>
              <w:t>河北省建设工程消防设计审查验收管理暂行办法</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消防验收所需要资金</w:t>
            </w:r>
          </w:p>
          <w:p>
            <w:pPr>
              <w:pStyle w:val="14"/>
            </w:pPr>
          </w:p>
        </w:tc>
        <w:tc>
          <w:tcPr>
            <w:tcW w:w="2891" w:type="dxa"/>
            <w:vAlign w:val="center"/>
          </w:tcPr>
          <w:p>
            <w:pPr>
              <w:pStyle w:val="14"/>
            </w:pPr>
            <w:r>
              <w:t>完成消防验收所需要资金</w:t>
            </w:r>
          </w:p>
          <w:p>
            <w:pPr>
              <w:pStyle w:val="14"/>
            </w:pPr>
            <w:r>
              <w:t>(含2022年就欠和2023年资金）</w:t>
            </w:r>
          </w:p>
        </w:tc>
        <w:tc>
          <w:tcPr>
            <w:tcW w:w="1276" w:type="dxa"/>
            <w:vAlign w:val="center"/>
          </w:tcPr>
          <w:p>
            <w:pPr>
              <w:pStyle w:val="14"/>
            </w:pPr>
            <w:r>
              <w:t>≤158.4万元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消防验收隐患整改率</w:t>
            </w:r>
          </w:p>
        </w:tc>
        <w:tc>
          <w:tcPr>
            <w:tcW w:w="2891" w:type="dxa"/>
            <w:vAlign w:val="center"/>
          </w:tcPr>
          <w:p>
            <w:pPr>
              <w:pStyle w:val="14"/>
            </w:pPr>
            <w:r>
              <w:t>对全区竣工建设工程项目消防验收存在问题隐患整改率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消防验收技术服务满意率</w:t>
            </w:r>
          </w:p>
        </w:tc>
        <w:tc>
          <w:tcPr>
            <w:tcW w:w="2891" w:type="dxa"/>
            <w:vAlign w:val="center"/>
          </w:tcPr>
          <w:p>
            <w:pPr>
              <w:pStyle w:val="14"/>
            </w:pPr>
            <w:r>
              <w:t>对全区竣工建设工程项目消防验收服务对象满意率</w:t>
            </w:r>
          </w:p>
        </w:tc>
        <w:tc>
          <w:tcPr>
            <w:tcW w:w="1276" w:type="dxa"/>
            <w:vAlign w:val="center"/>
          </w:tcPr>
          <w:p>
            <w:pPr>
              <w:pStyle w:val="14"/>
            </w:pPr>
            <w:r>
              <w:t>&lt;100%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9" w:name="_Toc_4_4_0000000068"/>
      <w:r>
        <w:rPr>
          <w:rFonts w:ascii="方正仿宋_GBK" w:hAnsi="方正仿宋_GBK" w:eastAsia="方正仿宋_GBK" w:cs="方正仿宋_GBK"/>
          <w:color w:val="000000"/>
          <w:sz w:val="28"/>
        </w:rPr>
        <w:t>65.消防业务执法经费2026绩效目标表</w:t>
      </w:r>
      <w:bookmarkEnd w:id="7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333003石家庄市鹿泉区建筑业服务中心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13011026P000011100438</w:t>
            </w:r>
          </w:p>
        </w:tc>
        <w:tc>
          <w:tcPr>
            <w:tcW w:w="1587" w:type="dxa"/>
            <w:vAlign w:val="center"/>
          </w:tcPr>
          <w:p>
            <w:pPr>
              <w:pStyle w:val="12"/>
            </w:pPr>
            <w:r>
              <w:t>项目名称</w:t>
            </w:r>
          </w:p>
        </w:tc>
        <w:tc>
          <w:tcPr>
            <w:tcW w:w="4423" w:type="dxa"/>
            <w:gridSpan w:val="3"/>
            <w:vAlign w:val="center"/>
          </w:tcPr>
          <w:p>
            <w:pPr>
              <w:pStyle w:val="14"/>
            </w:pPr>
            <w:r>
              <w:t>消防业务执法经费2026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1.40</w:t>
            </w:r>
          </w:p>
        </w:tc>
        <w:tc>
          <w:tcPr>
            <w:tcW w:w="1587" w:type="dxa"/>
            <w:vAlign w:val="center"/>
          </w:tcPr>
          <w:p>
            <w:pPr>
              <w:pStyle w:val="12"/>
            </w:pPr>
            <w:r>
              <w:t>其中：财政    资金</w:t>
            </w:r>
          </w:p>
        </w:tc>
        <w:tc>
          <w:tcPr>
            <w:tcW w:w="1304" w:type="dxa"/>
            <w:vAlign w:val="center"/>
          </w:tcPr>
          <w:p>
            <w:pPr>
              <w:pStyle w:val="14"/>
            </w:pPr>
            <w:r>
              <w:t>1.40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保障符合消防设计审查验收条件的建设工程项目的消防设计审查、验收备案工作正常开展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1.保障符合消防设计审查验收条件的建设工程项目的消防设计审查、验收备案工作正常开展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监管消防设计审查、验收建设工程数量</w:t>
            </w:r>
          </w:p>
        </w:tc>
        <w:tc>
          <w:tcPr>
            <w:tcW w:w="2891" w:type="dxa"/>
            <w:vAlign w:val="center"/>
          </w:tcPr>
          <w:p>
            <w:pPr>
              <w:pStyle w:val="14"/>
            </w:pPr>
            <w:r>
              <w:t>全区工程项目数量</w:t>
            </w:r>
          </w:p>
        </w:tc>
        <w:tc>
          <w:tcPr>
            <w:tcW w:w="1276" w:type="dxa"/>
            <w:vAlign w:val="center"/>
          </w:tcPr>
          <w:p>
            <w:pPr>
              <w:pStyle w:val="14"/>
            </w:pPr>
            <w:r>
              <w:t>≥100个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消防设计审查计完成率</w:t>
            </w:r>
          </w:p>
        </w:tc>
        <w:tc>
          <w:tcPr>
            <w:tcW w:w="2891" w:type="dxa"/>
            <w:vAlign w:val="center"/>
          </w:tcPr>
          <w:p>
            <w:pPr>
              <w:pStyle w:val="14"/>
            </w:pPr>
            <w:r>
              <w:t>实际建设工程消防设计审查项目占申报消防设计审查项目比率</w:t>
            </w:r>
          </w:p>
        </w:tc>
        <w:tc>
          <w:tcPr>
            <w:tcW w:w="1276" w:type="dxa"/>
            <w:vAlign w:val="center"/>
          </w:tcPr>
          <w:p>
            <w:pPr>
              <w:pStyle w:val="14"/>
            </w:pPr>
            <w:r>
              <w:t>100%</w:t>
            </w:r>
          </w:p>
        </w:tc>
        <w:tc>
          <w:tcPr>
            <w:tcW w:w="1843" w:type="dxa"/>
            <w:vAlign w:val="center"/>
          </w:tcPr>
          <w:p>
            <w:pPr>
              <w:pStyle w:val="14"/>
            </w:pPr>
            <w:r>
              <w:t>工作计划</w:t>
            </w:r>
          </w:p>
        </w:tc>
      </w:tr>
      <w:tr>
        <w:tblPrEx>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消防审查验收完成及时率</w:t>
            </w:r>
          </w:p>
        </w:tc>
        <w:tc>
          <w:tcPr>
            <w:tcW w:w="2891" w:type="dxa"/>
            <w:vAlign w:val="center"/>
          </w:tcPr>
          <w:p>
            <w:pPr>
              <w:pStyle w:val="14"/>
            </w:pPr>
            <w:r>
              <w:t>全区建设工程项目各项任务完成及时率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消防验收通过备案率</w:t>
            </w:r>
          </w:p>
        </w:tc>
        <w:tc>
          <w:tcPr>
            <w:tcW w:w="2891" w:type="dxa"/>
            <w:vAlign w:val="center"/>
          </w:tcPr>
          <w:p>
            <w:pPr>
              <w:pStyle w:val="14"/>
            </w:pPr>
            <w:r>
              <w:t>实际通过消防验收备案建设工程项目数量占应该验收备案建设工程项目的比率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排查隐患，避免安全事故发生</w:t>
            </w:r>
          </w:p>
        </w:tc>
        <w:tc>
          <w:tcPr>
            <w:tcW w:w="2891" w:type="dxa"/>
            <w:vAlign w:val="center"/>
          </w:tcPr>
          <w:p>
            <w:pPr>
              <w:pStyle w:val="14"/>
            </w:pPr>
            <w:r>
              <w:t>审查验收通过项目发生消防事故数量</w:t>
            </w:r>
          </w:p>
        </w:tc>
        <w:tc>
          <w:tcPr>
            <w:tcW w:w="1276" w:type="dxa"/>
            <w:vAlign w:val="center"/>
          </w:tcPr>
          <w:p>
            <w:pPr>
              <w:pStyle w:val="14"/>
            </w:pPr>
            <w:r>
              <w:t>≤2起</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w:t>
            </w:r>
          </w:p>
        </w:tc>
        <w:tc>
          <w:tcPr>
            <w:tcW w:w="2891" w:type="dxa"/>
            <w:vAlign w:val="center"/>
          </w:tcPr>
          <w:p>
            <w:pPr>
              <w:pStyle w:val="14"/>
            </w:pPr>
            <w:r>
              <w:t>群众满意数量占总数的比例</w:t>
            </w:r>
          </w:p>
        </w:tc>
        <w:tc>
          <w:tcPr>
            <w:tcW w:w="1276" w:type="dxa"/>
            <w:vAlign w:val="center"/>
          </w:tcPr>
          <w:p>
            <w:pPr>
              <w:pStyle w:val="14"/>
            </w:pPr>
            <w:r>
              <w:t>100%</w:t>
            </w:r>
          </w:p>
        </w:tc>
        <w:tc>
          <w:tcPr>
            <w:tcW w:w="1843" w:type="dxa"/>
            <w:vAlign w:val="center"/>
          </w:tcPr>
          <w:p>
            <w:pPr>
              <w:pStyle w:val="14"/>
            </w:pPr>
            <w:r>
              <w:t>工作经验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0" w:name="_Toc_4_4_0000000069"/>
      <w:r>
        <w:rPr>
          <w:rFonts w:ascii="方正仿宋_GBK" w:hAnsi="方正仿宋_GBK" w:eastAsia="方正仿宋_GBK" w:cs="方正仿宋_GBK"/>
          <w:color w:val="000000"/>
          <w:sz w:val="28"/>
        </w:rPr>
        <w:t>66.业务费2026绩效目标表</w:t>
      </w:r>
      <w:bookmarkEnd w:id="8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333003石家庄市鹿泉区建筑业服务中心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13011026P00001110042L</w:t>
            </w:r>
          </w:p>
        </w:tc>
        <w:tc>
          <w:tcPr>
            <w:tcW w:w="1587" w:type="dxa"/>
            <w:vAlign w:val="center"/>
          </w:tcPr>
          <w:p>
            <w:pPr>
              <w:pStyle w:val="12"/>
            </w:pPr>
            <w:r>
              <w:t>项目名称</w:t>
            </w:r>
          </w:p>
        </w:tc>
        <w:tc>
          <w:tcPr>
            <w:tcW w:w="4423" w:type="dxa"/>
            <w:gridSpan w:val="3"/>
            <w:vAlign w:val="center"/>
          </w:tcPr>
          <w:p>
            <w:pPr>
              <w:pStyle w:val="14"/>
            </w:pPr>
            <w:r>
              <w:t>业务费2026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w:t>
            </w:r>
          </w:p>
        </w:tc>
        <w:tc>
          <w:tcPr>
            <w:tcW w:w="1587" w:type="dxa"/>
            <w:vAlign w:val="center"/>
          </w:tcPr>
          <w:p>
            <w:pPr>
              <w:pStyle w:val="12"/>
            </w:pPr>
            <w:r>
              <w:t>其中：财政    资金</w:t>
            </w:r>
          </w:p>
        </w:tc>
        <w:tc>
          <w:tcPr>
            <w:tcW w:w="1304" w:type="dxa"/>
            <w:vAlign w:val="center"/>
          </w:tcPr>
          <w:p>
            <w:pPr>
              <w:pStyle w:val="14"/>
            </w:pPr>
            <w:r>
              <w:t>20.00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负责工地工程质量安全管理、监督工程质量，提高合格率，达到百分百，减少工地工程质量安全隐患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50%</w:t>
            </w:r>
          </w:p>
        </w:tc>
        <w:tc>
          <w:tcPr>
            <w:tcW w:w="1587" w:type="dxa"/>
            <w:vAlign w:val="center"/>
          </w:tcPr>
          <w:p>
            <w:pPr>
              <w:pStyle w:val="15"/>
            </w:pPr>
            <w:r>
              <w:t>25%</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1.负责工地工程质量安全管理、监督工程质量，提高合格率，达到百分百，减少工地工程质量安全隐患</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监管全区工地整治</w:t>
            </w:r>
          </w:p>
        </w:tc>
        <w:tc>
          <w:tcPr>
            <w:tcW w:w="2891" w:type="dxa"/>
            <w:vAlign w:val="center"/>
          </w:tcPr>
          <w:p>
            <w:pPr>
              <w:pStyle w:val="14"/>
            </w:pPr>
            <w:r>
              <w:t>监管全区工地数量</w:t>
            </w:r>
          </w:p>
        </w:tc>
        <w:tc>
          <w:tcPr>
            <w:tcW w:w="1276" w:type="dxa"/>
            <w:vAlign w:val="center"/>
          </w:tcPr>
          <w:p>
            <w:pPr>
              <w:pStyle w:val="14"/>
            </w:pPr>
            <w:r>
              <w:t>≥100个</w:t>
            </w:r>
          </w:p>
        </w:tc>
        <w:tc>
          <w:tcPr>
            <w:tcW w:w="1843"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建筑工程质量监管率</w:t>
            </w:r>
          </w:p>
        </w:tc>
        <w:tc>
          <w:tcPr>
            <w:tcW w:w="2891" w:type="dxa"/>
            <w:vAlign w:val="center"/>
          </w:tcPr>
          <w:p>
            <w:pPr>
              <w:pStyle w:val="14"/>
            </w:pPr>
            <w:r>
              <w:t>实际监管工程数量占全部工程数量的比率</w:t>
            </w:r>
          </w:p>
        </w:tc>
        <w:tc>
          <w:tcPr>
            <w:tcW w:w="1276" w:type="dxa"/>
            <w:vAlign w:val="center"/>
          </w:tcPr>
          <w:p>
            <w:pPr>
              <w:pStyle w:val="14"/>
            </w:pPr>
            <w:r>
              <w:t>100%</w:t>
            </w:r>
          </w:p>
        </w:tc>
        <w:tc>
          <w:tcPr>
            <w:tcW w:w="1843" w:type="dxa"/>
            <w:vAlign w:val="center"/>
          </w:tcPr>
          <w:p>
            <w:pPr>
              <w:pStyle w:val="14"/>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工地地标牌、围挡广告牌发放率</w:t>
            </w:r>
          </w:p>
        </w:tc>
        <w:tc>
          <w:tcPr>
            <w:tcW w:w="2891" w:type="dxa"/>
            <w:vAlign w:val="center"/>
          </w:tcPr>
          <w:p>
            <w:pPr>
              <w:pStyle w:val="14"/>
            </w:pPr>
            <w:r>
              <w:t>发放地标牌、围挡工地数量占监管工地总量的比例</w:t>
            </w:r>
          </w:p>
        </w:tc>
        <w:tc>
          <w:tcPr>
            <w:tcW w:w="1276" w:type="dxa"/>
            <w:vAlign w:val="center"/>
          </w:tcPr>
          <w:p>
            <w:pPr>
              <w:pStyle w:val="14"/>
            </w:pPr>
            <w:r>
              <w:t>100%</w:t>
            </w:r>
          </w:p>
        </w:tc>
        <w:tc>
          <w:tcPr>
            <w:tcW w:w="1843"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工程质量合格率</w:t>
            </w:r>
          </w:p>
        </w:tc>
        <w:tc>
          <w:tcPr>
            <w:tcW w:w="2891" w:type="dxa"/>
            <w:vAlign w:val="center"/>
          </w:tcPr>
          <w:p>
            <w:pPr>
              <w:pStyle w:val="14"/>
            </w:pPr>
            <w:r>
              <w:t>实际合格工程数量占全部工程数量的比率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工程质量隐患率</w:t>
            </w:r>
          </w:p>
        </w:tc>
        <w:tc>
          <w:tcPr>
            <w:tcW w:w="2891" w:type="dxa"/>
            <w:vAlign w:val="center"/>
          </w:tcPr>
          <w:p>
            <w:pPr>
              <w:pStyle w:val="14"/>
            </w:pPr>
            <w:r>
              <w:t>实际产生的质量隐患数量占全部工程数量的比率</w:t>
            </w:r>
          </w:p>
        </w:tc>
        <w:tc>
          <w:tcPr>
            <w:tcW w:w="1276" w:type="dxa"/>
            <w:vAlign w:val="center"/>
          </w:tcPr>
          <w:p>
            <w:pPr>
              <w:pStyle w:val="14"/>
            </w:pPr>
            <w:r>
              <w:t>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群众对建筑市场的整体满意度</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1" w:name="_Toc_4_4_0000000070"/>
      <w:r>
        <w:rPr>
          <w:rFonts w:ascii="方正仿宋_GBK" w:hAnsi="方正仿宋_GBK" w:eastAsia="方正仿宋_GBK" w:cs="方正仿宋_GBK"/>
          <w:color w:val="000000"/>
          <w:sz w:val="28"/>
        </w:rPr>
        <w:t>67.2026年北斗路回迁楼不动产登记证遗留问题办证费绩效目标表</w:t>
      </w:r>
      <w:bookmarkEnd w:id="8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333005石家庄市鹿泉区房屋征收中心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13011026P00160610002B</w:t>
            </w:r>
          </w:p>
        </w:tc>
        <w:tc>
          <w:tcPr>
            <w:tcW w:w="1587" w:type="dxa"/>
            <w:vAlign w:val="center"/>
          </w:tcPr>
          <w:p>
            <w:pPr>
              <w:pStyle w:val="12"/>
            </w:pPr>
            <w:r>
              <w:t>项目名称</w:t>
            </w:r>
          </w:p>
        </w:tc>
        <w:tc>
          <w:tcPr>
            <w:tcW w:w="4423" w:type="dxa"/>
            <w:gridSpan w:val="3"/>
            <w:vAlign w:val="center"/>
          </w:tcPr>
          <w:p>
            <w:pPr>
              <w:pStyle w:val="14"/>
            </w:pPr>
            <w:r>
              <w:t>2026年北斗路回迁楼不动产登记证遗留问题办证费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0.07</w:t>
            </w:r>
          </w:p>
        </w:tc>
        <w:tc>
          <w:tcPr>
            <w:tcW w:w="1587" w:type="dxa"/>
            <w:vAlign w:val="center"/>
          </w:tcPr>
          <w:p>
            <w:pPr>
              <w:pStyle w:val="12"/>
            </w:pPr>
            <w:r>
              <w:t>其中：财政    资金</w:t>
            </w:r>
          </w:p>
        </w:tc>
        <w:tc>
          <w:tcPr>
            <w:tcW w:w="1304" w:type="dxa"/>
            <w:vAlign w:val="center"/>
          </w:tcPr>
          <w:p>
            <w:pPr>
              <w:pStyle w:val="14"/>
            </w:pPr>
            <w:r>
              <w:t>0.07</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解决北斗路拆迁改造工程涉及的一街、二街、八街和水务局回迁户办理不动产登记证遗留问题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1.解决北斗路拆迁改造工程涉及的一街、二街、八街和水务局回迁户办理不动产登记证遗留问题</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退费人数</w:t>
            </w:r>
          </w:p>
        </w:tc>
        <w:tc>
          <w:tcPr>
            <w:tcW w:w="2891" w:type="dxa"/>
            <w:vAlign w:val="center"/>
          </w:tcPr>
          <w:p>
            <w:pPr>
              <w:pStyle w:val="14"/>
            </w:pPr>
            <w:r>
              <w:t>手续齐全可报销人数</w:t>
            </w:r>
          </w:p>
        </w:tc>
        <w:tc>
          <w:tcPr>
            <w:tcW w:w="1276" w:type="dxa"/>
            <w:vAlign w:val="center"/>
          </w:tcPr>
          <w:p>
            <w:pPr>
              <w:pStyle w:val="14"/>
            </w:pPr>
            <w:r>
              <w:t>按实际可报销人数为准</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退费完成率</w:t>
            </w:r>
          </w:p>
        </w:tc>
        <w:tc>
          <w:tcPr>
            <w:tcW w:w="2891" w:type="dxa"/>
            <w:vAlign w:val="center"/>
          </w:tcPr>
          <w:p>
            <w:pPr>
              <w:pStyle w:val="14"/>
            </w:pPr>
            <w:r>
              <w:t>实际退费占手续齐全的回迁户比率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退费时间</w:t>
            </w:r>
          </w:p>
        </w:tc>
        <w:tc>
          <w:tcPr>
            <w:tcW w:w="2891" w:type="dxa"/>
            <w:vAlign w:val="center"/>
          </w:tcPr>
          <w:p>
            <w:pPr>
              <w:pStyle w:val="14"/>
            </w:pPr>
            <w:r>
              <w:t>手续齐全的回迁户提供报销手续及时退费</w:t>
            </w:r>
          </w:p>
        </w:tc>
        <w:tc>
          <w:tcPr>
            <w:tcW w:w="1276" w:type="dxa"/>
            <w:vAlign w:val="center"/>
          </w:tcPr>
          <w:p>
            <w:pPr>
              <w:pStyle w:val="14"/>
            </w:pPr>
            <w:r>
              <w:t>≤7工作日</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退费金额标准</w:t>
            </w:r>
          </w:p>
        </w:tc>
        <w:tc>
          <w:tcPr>
            <w:tcW w:w="2891" w:type="dxa"/>
            <w:vAlign w:val="center"/>
          </w:tcPr>
          <w:p>
            <w:pPr>
              <w:pStyle w:val="14"/>
            </w:pPr>
            <w:r>
              <w:t>以可报销税票上的金额为准</w:t>
            </w:r>
          </w:p>
        </w:tc>
        <w:tc>
          <w:tcPr>
            <w:tcW w:w="1276" w:type="dxa"/>
            <w:vAlign w:val="center"/>
          </w:tcPr>
          <w:p>
            <w:pPr>
              <w:pStyle w:val="14"/>
            </w:pPr>
            <w:r>
              <w:t>可报销税票上的金额为准</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办理退费手续完成率</w:t>
            </w:r>
          </w:p>
        </w:tc>
        <w:tc>
          <w:tcPr>
            <w:tcW w:w="2891" w:type="dxa"/>
            <w:vAlign w:val="center"/>
          </w:tcPr>
          <w:p>
            <w:pPr>
              <w:pStyle w:val="14"/>
            </w:pPr>
            <w:r>
              <w:t>正常有序、及时办理退费手续率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回迁户满意度</w:t>
            </w:r>
          </w:p>
        </w:tc>
        <w:tc>
          <w:tcPr>
            <w:tcW w:w="2891" w:type="dxa"/>
            <w:vAlign w:val="center"/>
          </w:tcPr>
          <w:p>
            <w:pPr>
              <w:pStyle w:val="14"/>
            </w:pPr>
            <w:r>
              <w:t>北斗路拆迁改造工程涉及的一街、二街、八街和水务局回迁户满意度</w:t>
            </w:r>
          </w:p>
        </w:tc>
        <w:tc>
          <w:tcPr>
            <w:tcW w:w="1276" w:type="dxa"/>
            <w:vAlign w:val="center"/>
          </w:tcPr>
          <w:p>
            <w:pPr>
              <w:pStyle w:val="14"/>
            </w:pPr>
            <w:r>
              <w:t>≥90%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2" w:name="_Toc_4_4_0000000071"/>
      <w:r>
        <w:rPr>
          <w:rFonts w:ascii="方正仿宋_GBK" w:hAnsi="方正仿宋_GBK" w:eastAsia="方正仿宋_GBK" w:cs="方正仿宋_GBK"/>
          <w:color w:val="000000"/>
          <w:sz w:val="28"/>
        </w:rPr>
        <w:t>68.2026年龙泉片区旧城改造拆迁成本（一期）绩效目标表</w:t>
      </w:r>
      <w:bookmarkEnd w:id="82"/>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333005石家庄市鹿泉区房屋征收中心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13011026P000008100064</w:t>
            </w:r>
          </w:p>
        </w:tc>
        <w:tc>
          <w:tcPr>
            <w:tcW w:w="1587" w:type="dxa"/>
            <w:vAlign w:val="center"/>
          </w:tcPr>
          <w:p>
            <w:pPr>
              <w:pStyle w:val="12"/>
            </w:pPr>
            <w:r>
              <w:t>项目名称</w:t>
            </w:r>
          </w:p>
        </w:tc>
        <w:tc>
          <w:tcPr>
            <w:tcW w:w="4423" w:type="dxa"/>
            <w:gridSpan w:val="3"/>
            <w:vAlign w:val="center"/>
          </w:tcPr>
          <w:p>
            <w:pPr>
              <w:pStyle w:val="14"/>
            </w:pPr>
            <w:r>
              <w:t>2026年龙泉片区旧城改造拆迁成本（一期）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91.69</w:t>
            </w:r>
          </w:p>
        </w:tc>
        <w:tc>
          <w:tcPr>
            <w:tcW w:w="1587" w:type="dxa"/>
            <w:vAlign w:val="center"/>
          </w:tcPr>
          <w:p>
            <w:pPr>
              <w:pStyle w:val="12"/>
            </w:pPr>
            <w:r>
              <w:t>其中：财政    资金</w:t>
            </w:r>
          </w:p>
        </w:tc>
        <w:tc>
          <w:tcPr>
            <w:tcW w:w="1304" w:type="dxa"/>
            <w:vAlign w:val="center"/>
          </w:tcPr>
          <w:p>
            <w:pPr>
              <w:pStyle w:val="14"/>
            </w:pPr>
            <w:r>
              <w:t>91.69</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主要用于回迁楼建设支出，保障回迁楼建设如期完工</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1.主要用于回迁楼建设支出，保障回迁楼建设如期完工</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征收项目数量</w:t>
            </w:r>
          </w:p>
        </w:tc>
        <w:tc>
          <w:tcPr>
            <w:tcW w:w="2891" w:type="dxa"/>
            <w:vAlign w:val="center"/>
          </w:tcPr>
          <w:p>
            <w:pPr>
              <w:pStyle w:val="14"/>
            </w:pPr>
            <w:r>
              <w:t>拆迁成本用于征收项目数量</w:t>
            </w:r>
          </w:p>
        </w:tc>
        <w:tc>
          <w:tcPr>
            <w:tcW w:w="1276" w:type="dxa"/>
            <w:vAlign w:val="center"/>
          </w:tcPr>
          <w:p>
            <w:pPr>
              <w:pStyle w:val="14"/>
            </w:pPr>
            <w:r>
              <w:t>1个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保障回迁楼建设完成率</w:t>
            </w:r>
          </w:p>
        </w:tc>
        <w:tc>
          <w:tcPr>
            <w:tcW w:w="2891" w:type="dxa"/>
            <w:vAlign w:val="center"/>
          </w:tcPr>
          <w:p>
            <w:pPr>
              <w:pStyle w:val="14"/>
            </w:pPr>
            <w:r>
              <w:t>保障回迁楼建设完成率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及时支付拆迁成本</w:t>
            </w:r>
          </w:p>
        </w:tc>
        <w:tc>
          <w:tcPr>
            <w:tcW w:w="2891" w:type="dxa"/>
            <w:vAlign w:val="center"/>
          </w:tcPr>
          <w:p>
            <w:pPr>
              <w:pStyle w:val="14"/>
            </w:pPr>
            <w:r>
              <w:t>根据审核通过的申请及时支付拆迁成本</w:t>
            </w:r>
          </w:p>
        </w:tc>
        <w:tc>
          <w:tcPr>
            <w:tcW w:w="1276" w:type="dxa"/>
            <w:vAlign w:val="center"/>
          </w:tcPr>
          <w:p>
            <w:pPr>
              <w:pStyle w:val="14"/>
            </w:pPr>
            <w:r>
              <w:t>≤3工作日</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拆迁成本</w:t>
            </w:r>
          </w:p>
        </w:tc>
        <w:tc>
          <w:tcPr>
            <w:tcW w:w="2891" w:type="dxa"/>
            <w:vAlign w:val="center"/>
          </w:tcPr>
          <w:p>
            <w:pPr>
              <w:pStyle w:val="14"/>
            </w:pPr>
            <w:r>
              <w:t>拆迁成本</w:t>
            </w:r>
          </w:p>
        </w:tc>
        <w:tc>
          <w:tcPr>
            <w:tcW w:w="1276" w:type="dxa"/>
            <w:vAlign w:val="center"/>
          </w:tcPr>
          <w:p>
            <w:pPr>
              <w:pStyle w:val="14"/>
            </w:pPr>
            <w:r>
              <w:t>91.69万元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交房期限</w:t>
            </w:r>
          </w:p>
        </w:tc>
        <w:tc>
          <w:tcPr>
            <w:tcW w:w="2891" w:type="dxa"/>
            <w:vAlign w:val="center"/>
          </w:tcPr>
          <w:p>
            <w:pPr>
              <w:pStyle w:val="14"/>
            </w:pPr>
            <w:r>
              <w:t>回迁楼交房期限</w:t>
            </w:r>
          </w:p>
        </w:tc>
        <w:tc>
          <w:tcPr>
            <w:tcW w:w="1276" w:type="dxa"/>
            <w:vAlign w:val="center"/>
          </w:tcPr>
          <w:p>
            <w:pPr>
              <w:pStyle w:val="14"/>
            </w:pPr>
            <w:r>
              <w:t>≤2年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受益群体满意度</w:t>
            </w:r>
          </w:p>
        </w:tc>
        <w:tc>
          <w:tcPr>
            <w:tcW w:w="2891" w:type="dxa"/>
            <w:vAlign w:val="center"/>
          </w:tcPr>
          <w:p>
            <w:pPr>
              <w:pStyle w:val="14"/>
            </w:pPr>
            <w:r>
              <w:t>受益群体满意度</w:t>
            </w:r>
          </w:p>
        </w:tc>
        <w:tc>
          <w:tcPr>
            <w:tcW w:w="1276" w:type="dxa"/>
            <w:vAlign w:val="center"/>
          </w:tcPr>
          <w:p>
            <w:pPr>
              <w:pStyle w:val="14"/>
            </w:pPr>
            <w:r>
              <w:t>≥100%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3" w:name="_Toc_4_4_0000000072"/>
      <w:r>
        <w:rPr>
          <w:rFonts w:ascii="方正仿宋_GBK" w:hAnsi="方正仿宋_GBK" w:eastAsia="方正仿宋_GBK" w:cs="方正仿宋_GBK"/>
          <w:color w:val="000000"/>
          <w:sz w:val="28"/>
        </w:rPr>
        <w:t>69.2026年龙泉片区旧城改造项目拆迁成本（一期）绩效目标表</w:t>
      </w:r>
      <w:bookmarkEnd w:id="8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333005石家庄市鹿泉区房屋征收中心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13011026P00000810012H</w:t>
            </w:r>
          </w:p>
        </w:tc>
        <w:tc>
          <w:tcPr>
            <w:tcW w:w="1587" w:type="dxa"/>
            <w:vAlign w:val="center"/>
          </w:tcPr>
          <w:p>
            <w:pPr>
              <w:pStyle w:val="12"/>
            </w:pPr>
            <w:r>
              <w:t>项目名称</w:t>
            </w:r>
          </w:p>
        </w:tc>
        <w:tc>
          <w:tcPr>
            <w:tcW w:w="4423" w:type="dxa"/>
            <w:gridSpan w:val="3"/>
            <w:vAlign w:val="center"/>
          </w:tcPr>
          <w:p>
            <w:pPr>
              <w:pStyle w:val="14"/>
            </w:pPr>
            <w:r>
              <w:t>2026年龙泉片区旧城改造项目拆迁成本（一期）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430.00</w:t>
            </w:r>
          </w:p>
        </w:tc>
        <w:tc>
          <w:tcPr>
            <w:tcW w:w="1587" w:type="dxa"/>
            <w:vAlign w:val="center"/>
          </w:tcPr>
          <w:p>
            <w:pPr>
              <w:pStyle w:val="12"/>
            </w:pPr>
            <w:r>
              <w:t>其中：财政    资金</w:t>
            </w:r>
          </w:p>
        </w:tc>
        <w:tc>
          <w:tcPr>
            <w:tcW w:w="1304" w:type="dxa"/>
            <w:vAlign w:val="center"/>
          </w:tcPr>
          <w:p>
            <w:pPr>
              <w:pStyle w:val="14"/>
            </w:pPr>
            <w:r>
              <w:t>430.00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主要用于回迁楼建设支出，保障回迁楼建设如期完工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1.主要用于回迁楼建设支出，保障回迁楼建设如期完工</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征收项目数量</w:t>
            </w:r>
          </w:p>
        </w:tc>
        <w:tc>
          <w:tcPr>
            <w:tcW w:w="2891" w:type="dxa"/>
            <w:vAlign w:val="center"/>
          </w:tcPr>
          <w:p>
            <w:pPr>
              <w:pStyle w:val="14"/>
            </w:pPr>
            <w:r>
              <w:t>拆迁成本用于征收项目数量</w:t>
            </w:r>
          </w:p>
        </w:tc>
        <w:tc>
          <w:tcPr>
            <w:tcW w:w="1276" w:type="dxa"/>
            <w:vAlign w:val="center"/>
          </w:tcPr>
          <w:p>
            <w:pPr>
              <w:pStyle w:val="14"/>
            </w:pPr>
            <w:r>
              <w:t>1个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保障回迁楼建设完成率</w:t>
            </w:r>
          </w:p>
        </w:tc>
        <w:tc>
          <w:tcPr>
            <w:tcW w:w="2891" w:type="dxa"/>
            <w:vAlign w:val="center"/>
          </w:tcPr>
          <w:p>
            <w:pPr>
              <w:pStyle w:val="14"/>
            </w:pPr>
            <w:r>
              <w:t>保障回迁楼建设完成率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支付拆迁成本的时间</w:t>
            </w:r>
          </w:p>
        </w:tc>
        <w:tc>
          <w:tcPr>
            <w:tcW w:w="2891" w:type="dxa"/>
            <w:vAlign w:val="center"/>
          </w:tcPr>
          <w:p>
            <w:pPr>
              <w:pStyle w:val="14"/>
            </w:pPr>
            <w:r>
              <w:t>根据审核通过的申请及时支付拆迁成本</w:t>
            </w:r>
          </w:p>
        </w:tc>
        <w:tc>
          <w:tcPr>
            <w:tcW w:w="1276" w:type="dxa"/>
            <w:vAlign w:val="center"/>
          </w:tcPr>
          <w:p>
            <w:pPr>
              <w:pStyle w:val="14"/>
            </w:pPr>
            <w:r>
              <w:t>≤3工作日</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拆迁成本</w:t>
            </w:r>
          </w:p>
        </w:tc>
        <w:tc>
          <w:tcPr>
            <w:tcW w:w="2891" w:type="dxa"/>
            <w:vAlign w:val="center"/>
          </w:tcPr>
          <w:p>
            <w:pPr>
              <w:pStyle w:val="14"/>
            </w:pPr>
            <w:r>
              <w:t>拆迁成本</w:t>
            </w:r>
          </w:p>
        </w:tc>
        <w:tc>
          <w:tcPr>
            <w:tcW w:w="1276" w:type="dxa"/>
            <w:vAlign w:val="center"/>
          </w:tcPr>
          <w:p>
            <w:pPr>
              <w:pStyle w:val="14"/>
            </w:pPr>
            <w:r>
              <w:t>430万元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交房期限</w:t>
            </w:r>
          </w:p>
        </w:tc>
        <w:tc>
          <w:tcPr>
            <w:tcW w:w="2891" w:type="dxa"/>
            <w:vAlign w:val="center"/>
          </w:tcPr>
          <w:p>
            <w:pPr>
              <w:pStyle w:val="14"/>
            </w:pPr>
            <w:r>
              <w:t>回迁楼交房期限</w:t>
            </w:r>
          </w:p>
        </w:tc>
        <w:tc>
          <w:tcPr>
            <w:tcW w:w="1276" w:type="dxa"/>
            <w:vAlign w:val="center"/>
          </w:tcPr>
          <w:p>
            <w:pPr>
              <w:pStyle w:val="14"/>
            </w:pPr>
            <w:r>
              <w:t>≤2年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受益群体满意度</w:t>
            </w:r>
          </w:p>
        </w:tc>
        <w:tc>
          <w:tcPr>
            <w:tcW w:w="2891" w:type="dxa"/>
            <w:vAlign w:val="center"/>
          </w:tcPr>
          <w:p>
            <w:pPr>
              <w:pStyle w:val="14"/>
            </w:pPr>
            <w:r>
              <w:t>受益群体满意度</w:t>
            </w:r>
          </w:p>
        </w:tc>
        <w:tc>
          <w:tcPr>
            <w:tcW w:w="1276" w:type="dxa"/>
            <w:vAlign w:val="center"/>
          </w:tcPr>
          <w:p>
            <w:pPr>
              <w:pStyle w:val="14"/>
            </w:pPr>
            <w:r>
              <w:t>≥100%</w:t>
            </w:r>
          </w:p>
        </w:tc>
        <w:tc>
          <w:tcPr>
            <w:tcW w:w="1843" w:type="dxa"/>
            <w:vAlign w:val="center"/>
          </w:tcPr>
          <w:p>
            <w:pPr>
              <w:pStyle w:val="14"/>
            </w:pPr>
            <w:r>
              <w:t>历史经验</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4" w:name="_Toc_4_4_0000000073"/>
      <w:r>
        <w:rPr>
          <w:rFonts w:ascii="方正仿宋_GBK" w:hAnsi="方正仿宋_GBK" w:eastAsia="方正仿宋_GBK" w:cs="方正仿宋_GBK"/>
          <w:color w:val="000000"/>
          <w:sz w:val="28"/>
        </w:rPr>
        <w:t>70.2026年涉军人员工资及社保绩效目标表</w:t>
      </w:r>
      <w:bookmarkEnd w:id="84"/>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333005石家庄市鹿泉区房屋征收中心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13011026P001540100516</w:t>
            </w:r>
          </w:p>
        </w:tc>
        <w:tc>
          <w:tcPr>
            <w:tcW w:w="1587" w:type="dxa"/>
            <w:vAlign w:val="center"/>
          </w:tcPr>
          <w:p>
            <w:pPr>
              <w:pStyle w:val="12"/>
            </w:pPr>
            <w:r>
              <w:t>项目名称</w:t>
            </w:r>
          </w:p>
        </w:tc>
        <w:tc>
          <w:tcPr>
            <w:tcW w:w="4423" w:type="dxa"/>
            <w:gridSpan w:val="3"/>
            <w:vAlign w:val="center"/>
          </w:tcPr>
          <w:p>
            <w:pPr>
              <w:pStyle w:val="14"/>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5.80</w:t>
            </w:r>
          </w:p>
        </w:tc>
        <w:tc>
          <w:tcPr>
            <w:tcW w:w="1587" w:type="dxa"/>
            <w:vAlign w:val="center"/>
          </w:tcPr>
          <w:p>
            <w:pPr>
              <w:pStyle w:val="12"/>
            </w:pPr>
            <w:r>
              <w:t>其中：财政    资金</w:t>
            </w:r>
          </w:p>
        </w:tc>
        <w:tc>
          <w:tcPr>
            <w:tcW w:w="1304" w:type="dxa"/>
            <w:vAlign w:val="center"/>
          </w:tcPr>
          <w:p>
            <w:pPr>
              <w:pStyle w:val="14"/>
            </w:pPr>
            <w:r>
              <w:t>5.80</w:t>
            </w:r>
          </w:p>
        </w:tc>
        <w:tc>
          <w:tcPr>
            <w:tcW w:w="1276" w:type="dxa"/>
            <w:vAlign w:val="center"/>
          </w:tcPr>
          <w:p>
            <w:pPr>
              <w:pStyle w:val="12"/>
            </w:pPr>
            <w:r>
              <w:t>其他资金</w:t>
            </w:r>
          </w:p>
        </w:tc>
        <w:tc>
          <w:tcPr>
            <w:tcW w:w="1843"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涉军人员工资及社保费用支出</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1.对符合条件的退役军人1人，实行托管安置，帮扶到位，加大就业援助力度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退役人数</w:t>
            </w:r>
          </w:p>
        </w:tc>
        <w:tc>
          <w:tcPr>
            <w:tcW w:w="2891" w:type="dxa"/>
            <w:vAlign w:val="center"/>
          </w:tcPr>
          <w:p>
            <w:pPr>
              <w:pStyle w:val="14"/>
            </w:pPr>
            <w:r>
              <w:t>单位退役实际人数</w:t>
            </w:r>
          </w:p>
        </w:tc>
        <w:tc>
          <w:tcPr>
            <w:tcW w:w="1276" w:type="dxa"/>
            <w:vAlign w:val="center"/>
          </w:tcPr>
          <w:p>
            <w:pPr>
              <w:pStyle w:val="14"/>
            </w:pPr>
            <w:r>
              <w:t>1人</w:t>
            </w:r>
          </w:p>
        </w:tc>
        <w:tc>
          <w:tcPr>
            <w:tcW w:w="1843"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资金发放率</w:t>
            </w:r>
          </w:p>
        </w:tc>
        <w:tc>
          <w:tcPr>
            <w:tcW w:w="2891" w:type="dxa"/>
            <w:vAlign w:val="center"/>
          </w:tcPr>
          <w:p>
            <w:pPr>
              <w:pStyle w:val="14"/>
            </w:pPr>
            <w:r>
              <w:t>资金发放率</w:t>
            </w:r>
          </w:p>
        </w:tc>
        <w:tc>
          <w:tcPr>
            <w:tcW w:w="1276" w:type="dxa"/>
            <w:vAlign w:val="center"/>
          </w:tcPr>
          <w:p>
            <w:pPr>
              <w:pStyle w:val="14"/>
            </w:pPr>
            <w:r>
              <w:t>100%</w:t>
            </w:r>
          </w:p>
        </w:tc>
        <w:tc>
          <w:tcPr>
            <w:tcW w:w="1843"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及时发放时间</w:t>
            </w:r>
          </w:p>
        </w:tc>
        <w:tc>
          <w:tcPr>
            <w:tcW w:w="2891" w:type="dxa"/>
            <w:vAlign w:val="center"/>
          </w:tcPr>
          <w:p>
            <w:pPr>
              <w:pStyle w:val="14"/>
            </w:pPr>
            <w:r>
              <w:t>资金到位后及时发放</w:t>
            </w:r>
          </w:p>
        </w:tc>
        <w:tc>
          <w:tcPr>
            <w:tcW w:w="1276" w:type="dxa"/>
            <w:vAlign w:val="center"/>
          </w:tcPr>
          <w:p>
            <w:pPr>
              <w:pStyle w:val="14"/>
            </w:pPr>
            <w:r>
              <w:t>≤7工作日</w:t>
            </w:r>
          </w:p>
        </w:tc>
        <w:tc>
          <w:tcPr>
            <w:tcW w:w="1843"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退役人员工资发放标准</w:t>
            </w:r>
          </w:p>
        </w:tc>
        <w:tc>
          <w:tcPr>
            <w:tcW w:w="2891" w:type="dxa"/>
            <w:vAlign w:val="center"/>
          </w:tcPr>
          <w:p>
            <w:pPr>
              <w:pStyle w:val="14"/>
            </w:pPr>
            <w:r>
              <w:t>对符合条件的退役人员发放工资标准</w:t>
            </w:r>
          </w:p>
        </w:tc>
        <w:tc>
          <w:tcPr>
            <w:tcW w:w="1276" w:type="dxa"/>
            <w:vAlign w:val="center"/>
          </w:tcPr>
          <w:p>
            <w:pPr>
              <w:pStyle w:val="14"/>
            </w:pPr>
            <w:r>
              <w:t>5.8万元</w:t>
            </w:r>
          </w:p>
        </w:tc>
        <w:tc>
          <w:tcPr>
            <w:tcW w:w="1843" w:type="dxa"/>
            <w:vAlign w:val="center"/>
          </w:tcPr>
          <w:p>
            <w:pPr>
              <w:pStyle w:val="14"/>
            </w:pPr>
            <w:r>
              <w:t>年初预收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托管安置帮扶人数</w:t>
            </w:r>
          </w:p>
        </w:tc>
        <w:tc>
          <w:tcPr>
            <w:tcW w:w="2891" w:type="dxa"/>
            <w:vAlign w:val="center"/>
          </w:tcPr>
          <w:p>
            <w:pPr>
              <w:pStyle w:val="14"/>
            </w:pPr>
            <w:r>
              <w:t>对退役帮扶安置人员到位的人数</w:t>
            </w:r>
          </w:p>
        </w:tc>
        <w:tc>
          <w:tcPr>
            <w:tcW w:w="1276" w:type="dxa"/>
            <w:vAlign w:val="center"/>
          </w:tcPr>
          <w:p>
            <w:pPr>
              <w:pStyle w:val="14"/>
            </w:pPr>
            <w:r>
              <w:t>1人</w:t>
            </w:r>
          </w:p>
        </w:tc>
        <w:tc>
          <w:tcPr>
            <w:tcW w:w="1843"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退役安置满意度</w:t>
            </w:r>
          </w:p>
        </w:tc>
        <w:tc>
          <w:tcPr>
            <w:tcW w:w="2891" w:type="dxa"/>
            <w:vAlign w:val="center"/>
          </w:tcPr>
          <w:p>
            <w:pPr>
              <w:pStyle w:val="14"/>
            </w:pPr>
            <w:r>
              <w:t>对退役安置满意和较满意的人数</w:t>
            </w:r>
          </w:p>
        </w:tc>
        <w:tc>
          <w:tcPr>
            <w:tcW w:w="1276" w:type="dxa"/>
            <w:vAlign w:val="center"/>
          </w:tcPr>
          <w:p>
            <w:pPr>
              <w:pStyle w:val="14"/>
            </w:pPr>
            <w:r>
              <w:t>1人</w:t>
            </w:r>
          </w:p>
        </w:tc>
        <w:tc>
          <w:tcPr>
            <w:tcW w:w="1843" w:type="dxa"/>
            <w:vAlign w:val="center"/>
          </w:tcPr>
          <w:p>
            <w:pPr>
              <w:pStyle w:val="14"/>
            </w:pPr>
            <w:r>
              <w:t>鹿办文[2017]31号</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5" w:name="_Toc_4_4_0000000074"/>
      <w:r>
        <w:rPr>
          <w:rFonts w:ascii="方正仿宋_GBK" w:hAnsi="方正仿宋_GBK" w:eastAsia="方正仿宋_GBK" w:cs="方正仿宋_GBK"/>
          <w:color w:val="000000"/>
          <w:sz w:val="28"/>
        </w:rPr>
        <w:t>71.2026年水泥厂生活区和原防疫站旧城改建项目征收成本绩效目标表</w:t>
      </w:r>
      <w:bookmarkEnd w:id="8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333005石家庄市鹿泉区房屋征收中心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13011026P00000810007P</w:t>
            </w:r>
          </w:p>
        </w:tc>
        <w:tc>
          <w:tcPr>
            <w:tcW w:w="1587" w:type="dxa"/>
            <w:vAlign w:val="center"/>
          </w:tcPr>
          <w:p>
            <w:pPr>
              <w:pStyle w:val="12"/>
            </w:pPr>
            <w:r>
              <w:t>项目名称</w:t>
            </w:r>
          </w:p>
        </w:tc>
        <w:tc>
          <w:tcPr>
            <w:tcW w:w="4423" w:type="dxa"/>
            <w:gridSpan w:val="3"/>
            <w:vAlign w:val="center"/>
          </w:tcPr>
          <w:p>
            <w:pPr>
              <w:pStyle w:val="14"/>
            </w:pPr>
            <w:r>
              <w:t>2026年水泥厂生活区和原防疫站旧城改建项目征收成本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1395.08</w:t>
            </w:r>
          </w:p>
        </w:tc>
        <w:tc>
          <w:tcPr>
            <w:tcW w:w="1587" w:type="dxa"/>
            <w:vAlign w:val="center"/>
          </w:tcPr>
          <w:p>
            <w:pPr>
              <w:pStyle w:val="12"/>
            </w:pPr>
            <w:r>
              <w:t>其中：财政    资金</w:t>
            </w:r>
          </w:p>
        </w:tc>
        <w:tc>
          <w:tcPr>
            <w:tcW w:w="1304" w:type="dxa"/>
            <w:vAlign w:val="center"/>
          </w:tcPr>
          <w:p>
            <w:pPr>
              <w:pStyle w:val="14"/>
            </w:pPr>
            <w:r>
              <w:t>1395.08</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主要用于房屋征收及回迁楼建安成本支出</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1.主要用于房屋征收及回迁楼建安成本支出</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拆迁面积</w:t>
            </w:r>
          </w:p>
        </w:tc>
        <w:tc>
          <w:tcPr>
            <w:tcW w:w="2891" w:type="dxa"/>
            <w:vAlign w:val="center"/>
          </w:tcPr>
          <w:p>
            <w:pPr>
              <w:pStyle w:val="14"/>
            </w:pPr>
            <w:r>
              <w:t>项目拆迁面积</w:t>
            </w:r>
          </w:p>
        </w:tc>
        <w:tc>
          <w:tcPr>
            <w:tcW w:w="1276" w:type="dxa"/>
            <w:vAlign w:val="center"/>
          </w:tcPr>
          <w:p>
            <w:pPr>
              <w:pStyle w:val="14"/>
            </w:pPr>
            <w:r>
              <w:t>3.5万平米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回迁面积</w:t>
            </w:r>
          </w:p>
        </w:tc>
        <w:tc>
          <w:tcPr>
            <w:tcW w:w="2891" w:type="dxa"/>
            <w:vAlign w:val="center"/>
          </w:tcPr>
          <w:p>
            <w:pPr>
              <w:pStyle w:val="14"/>
            </w:pPr>
            <w:r>
              <w:t>回迁楼建筑面积</w:t>
            </w:r>
          </w:p>
        </w:tc>
        <w:tc>
          <w:tcPr>
            <w:tcW w:w="1276" w:type="dxa"/>
            <w:vAlign w:val="center"/>
          </w:tcPr>
          <w:p>
            <w:pPr>
              <w:pStyle w:val="14"/>
            </w:pPr>
            <w:r>
              <w:t>4535平方米</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拆迁及回迁建设完成率</w:t>
            </w:r>
          </w:p>
        </w:tc>
        <w:tc>
          <w:tcPr>
            <w:tcW w:w="2891" w:type="dxa"/>
            <w:vAlign w:val="center"/>
          </w:tcPr>
          <w:p>
            <w:pPr>
              <w:pStyle w:val="14"/>
            </w:pPr>
            <w:r>
              <w:t>拆迁及回迁建设完成率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按时完成率</w:t>
            </w:r>
          </w:p>
        </w:tc>
        <w:tc>
          <w:tcPr>
            <w:tcW w:w="2891" w:type="dxa"/>
            <w:vAlign w:val="center"/>
          </w:tcPr>
          <w:p>
            <w:pPr>
              <w:pStyle w:val="14"/>
            </w:pPr>
            <w:r>
              <w:t>拆迁及回迁建设工作按时完成率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建设成本</w:t>
            </w:r>
          </w:p>
        </w:tc>
        <w:tc>
          <w:tcPr>
            <w:tcW w:w="2891" w:type="dxa"/>
            <w:vAlign w:val="center"/>
          </w:tcPr>
          <w:p>
            <w:pPr>
              <w:pStyle w:val="14"/>
            </w:pPr>
            <w:r>
              <w:t>拆迁及回迁建设部分成本</w:t>
            </w:r>
          </w:p>
        </w:tc>
        <w:tc>
          <w:tcPr>
            <w:tcW w:w="1276" w:type="dxa"/>
            <w:vAlign w:val="center"/>
          </w:tcPr>
          <w:p>
            <w:pPr>
              <w:pStyle w:val="14"/>
            </w:pPr>
            <w:r>
              <w:t>1395.08万元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回迁楼户数</w:t>
            </w:r>
          </w:p>
        </w:tc>
        <w:tc>
          <w:tcPr>
            <w:tcW w:w="2891" w:type="dxa"/>
            <w:vAlign w:val="center"/>
          </w:tcPr>
          <w:p>
            <w:pPr>
              <w:pStyle w:val="14"/>
            </w:pPr>
            <w:r>
              <w:t>回迁楼可安置户数</w:t>
            </w:r>
          </w:p>
        </w:tc>
        <w:tc>
          <w:tcPr>
            <w:tcW w:w="1276" w:type="dxa"/>
            <w:vAlign w:val="center"/>
          </w:tcPr>
          <w:p>
            <w:pPr>
              <w:pStyle w:val="14"/>
            </w:pPr>
            <w:r>
              <w:t>440户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交房期限</w:t>
            </w:r>
          </w:p>
        </w:tc>
        <w:tc>
          <w:tcPr>
            <w:tcW w:w="2891" w:type="dxa"/>
            <w:vAlign w:val="center"/>
          </w:tcPr>
          <w:p>
            <w:pPr>
              <w:pStyle w:val="14"/>
            </w:pPr>
            <w:r>
              <w:t>回迁楼交房期限</w:t>
            </w:r>
          </w:p>
        </w:tc>
        <w:tc>
          <w:tcPr>
            <w:tcW w:w="1276" w:type="dxa"/>
            <w:vAlign w:val="center"/>
          </w:tcPr>
          <w:p>
            <w:pPr>
              <w:pStyle w:val="14"/>
            </w:pPr>
            <w:r>
              <w:t>≤2年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受益群众满意度</w:t>
            </w:r>
          </w:p>
        </w:tc>
        <w:tc>
          <w:tcPr>
            <w:tcW w:w="2891" w:type="dxa"/>
            <w:vAlign w:val="center"/>
          </w:tcPr>
          <w:p>
            <w:pPr>
              <w:pStyle w:val="14"/>
            </w:pPr>
            <w:r>
              <w:t>受益群众满意度</w:t>
            </w:r>
          </w:p>
        </w:tc>
        <w:tc>
          <w:tcPr>
            <w:tcW w:w="1276" w:type="dxa"/>
            <w:vAlign w:val="center"/>
          </w:tcPr>
          <w:p>
            <w:pPr>
              <w:pStyle w:val="14"/>
            </w:pPr>
            <w:r>
              <w:t>≥95%</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6" w:name="_Toc_4_4_0000000075"/>
      <w:r>
        <w:rPr>
          <w:rFonts w:ascii="方正仿宋_GBK" w:hAnsi="方正仿宋_GBK" w:eastAsia="方正仿宋_GBK" w:cs="方正仿宋_GBK"/>
          <w:color w:val="000000"/>
          <w:sz w:val="28"/>
        </w:rPr>
        <w:t>72.2026年涉军人员工资及社保绩效目标表</w:t>
      </w:r>
      <w:bookmarkEnd w:id="8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333006石家庄市鹿泉区住房和建设监管综合服务中心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13011026P001540100541</w:t>
            </w:r>
          </w:p>
        </w:tc>
        <w:tc>
          <w:tcPr>
            <w:tcW w:w="1587" w:type="dxa"/>
            <w:vAlign w:val="center"/>
          </w:tcPr>
          <w:p>
            <w:pPr>
              <w:pStyle w:val="12"/>
            </w:pPr>
            <w:r>
              <w:t>项目名称</w:t>
            </w:r>
          </w:p>
        </w:tc>
        <w:tc>
          <w:tcPr>
            <w:tcW w:w="4423" w:type="dxa"/>
            <w:gridSpan w:val="3"/>
            <w:vAlign w:val="center"/>
          </w:tcPr>
          <w:p>
            <w:pPr>
              <w:pStyle w:val="14"/>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47.14</w:t>
            </w:r>
          </w:p>
        </w:tc>
        <w:tc>
          <w:tcPr>
            <w:tcW w:w="1587" w:type="dxa"/>
            <w:vAlign w:val="center"/>
          </w:tcPr>
          <w:p>
            <w:pPr>
              <w:pStyle w:val="12"/>
            </w:pPr>
            <w:r>
              <w:t>其中：财政    资金</w:t>
            </w:r>
          </w:p>
        </w:tc>
        <w:tc>
          <w:tcPr>
            <w:tcW w:w="1304" w:type="dxa"/>
            <w:vAlign w:val="center"/>
          </w:tcPr>
          <w:p>
            <w:pPr>
              <w:pStyle w:val="14"/>
            </w:pPr>
            <w:r>
              <w:t>47.14</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"""对符合政府安排工作条件的8名退役士兵，因下岗失业，生活困难的帮扶救助到位，加大就业援助工作力度，通过公益性岗位予以托管安置。</w:t>
            </w:r>
            <w:r>
              <w:tab/>
            </w:r>
          </w:p>
          <w:p>
            <w:pPr>
              <w:pStyle w:val="14"/>
            </w:pP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1."对符合政府安排工作条件的8名退役士兵，因下岗失业，生活困难的帮扶救助到位，加大就业援助工作力度，通过公益性岗位予以托管安置。</w:t>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退役军人公益性岗位工资发放到位率</w:t>
            </w:r>
          </w:p>
        </w:tc>
        <w:tc>
          <w:tcPr>
            <w:tcW w:w="2891" w:type="dxa"/>
            <w:vAlign w:val="center"/>
          </w:tcPr>
          <w:p>
            <w:pPr>
              <w:pStyle w:val="14"/>
            </w:pPr>
            <w:r>
              <w:t>保障退役军人公益性岗位工资按时足额发放人数占应发放人数的比例</w:t>
            </w:r>
          </w:p>
        </w:tc>
        <w:tc>
          <w:tcPr>
            <w:tcW w:w="1276" w:type="dxa"/>
            <w:vAlign w:val="center"/>
          </w:tcPr>
          <w:p>
            <w:pPr>
              <w:pStyle w:val="14"/>
            </w:pPr>
            <w:r>
              <w:t>100%</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退役军人公益性岗位工资的发放人数</w:t>
            </w:r>
          </w:p>
        </w:tc>
        <w:tc>
          <w:tcPr>
            <w:tcW w:w="2891" w:type="dxa"/>
            <w:vAlign w:val="center"/>
          </w:tcPr>
          <w:p>
            <w:pPr>
              <w:pStyle w:val="14"/>
            </w:pPr>
            <w:r>
              <w:t>单位安置退役军人公益性岗位的实际人数</w:t>
            </w:r>
          </w:p>
        </w:tc>
        <w:tc>
          <w:tcPr>
            <w:tcW w:w="1276" w:type="dxa"/>
            <w:vAlign w:val="center"/>
          </w:tcPr>
          <w:p>
            <w:pPr>
              <w:pStyle w:val="14"/>
            </w:pPr>
            <w:r>
              <w:t>8个数</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退役军人公益性岗位工资发放及时率</w:t>
            </w:r>
          </w:p>
        </w:tc>
        <w:tc>
          <w:tcPr>
            <w:tcW w:w="2891" w:type="dxa"/>
            <w:vAlign w:val="center"/>
          </w:tcPr>
          <w:p>
            <w:pPr>
              <w:pStyle w:val="14"/>
            </w:pPr>
            <w:r>
              <w:t>保障退役军人公益性岗位工资发放及时发放的人数占应发放总人数的比率</w:t>
            </w:r>
          </w:p>
        </w:tc>
        <w:tc>
          <w:tcPr>
            <w:tcW w:w="1276" w:type="dxa"/>
            <w:vAlign w:val="center"/>
          </w:tcPr>
          <w:p>
            <w:pPr>
              <w:pStyle w:val="14"/>
            </w:pPr>
            <w:r>
              <w:t>100%</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退役军人公益性岗位工资发放标准</w:t>
            </w:r>
          </w:p>
        </w:tc>
        <w:tc>
          <w:tcPr>
            <w:tcW w:w="2891" w:type="dxa"/>
            <w:vAlign w:val="center"/>
          </w:tcPr>
          <w:p>
            <w:pPr>
              <w:pStyle w:val="14"/>
            </w:pPr>
            <w:r>
              <w:t>对符合条件的退役军人公益性岗位发放的金额。</w:t>
            </w:r>
          </w:p>
        </w:tc>
        <w:tc>
          <w:tcPr>
            <w:tcW w:w="1276" w:type="dxa"/>
            <w:vAlign w:val="center"/>
          </w:tcPr>
          <w:p>
            <w:pPr>
              <w:pStyle w:val="14"/>
            </w:pPr>
            <w:r>
              <w:t>统一按照规定执行</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托管安置帮扶到位率</w:t>
            </w:r>
          </w:p>
        </w:tc>
        <w:tc>
          <w:tcPr>
            <w:tcW w:w="2891" w:type="dxa"/>
            <w:vAlign w:val="center"/>
          </w:tcPr>
          <w:p>
            <w:pPr>
              <w:pStyle w:val="14"/>
            </w:pPr>
            <w:r>
              <w:t>对退役托管帮扶到位的人数比率</w:t>
            </w:r>
          </w:p>
        </w:tc>
        <w:tc>
          <w:tcPr>
            <w:tcW w:w="1276" w:type="dxa"/>
            <w:vAlign w:val="center"/>
          </w:tcPr>
          <w:p>
            <w:pPr>
              <w:pStyle w:val="14"/>
            </w:pPr>
            <w:r>
              <w:t>100%</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退役安置满意度</w:t>
            </w:r>
          </w:p>
        </w:tc>
        <w:tc>
          <w:tcPr>
            <w:tcW w:w="2891" w:type="dxa"/>
            <w:vAlign w:val="center"/>
          </w:tcPr>
          <w:p>
            <w:pPr>
              <w:pStyle w:val="14"/>
            </w:pPr>
            <w:r>
              <w:t>对退役安置满意和较满意的人数占总人数的比率</w:t>
            </w:r>
          </w:p>
        </w:tc>
        <w:tc>
          <w:tcPr>
            <w:tcW w:w="1276" w:type="dxa"/>
            <w:vAlign w:val="center"/>
          </w:tcPr>
          <w:p>
            <w:pPr>
              <w:pStyle w:val="14"/>
            </w:pPr>
            <w:r>
              <w:t>100%</w:t>
            </w:r>
          </w:p>
        </w:tc>
        <w:tc>
          <w:tcPr>
            <w:tcW w:w="1843" w:type="dxa"/>
            <w:vAlign w:val="center"/>
          </w:tcPr>
          <w:p>
            <w:pPr>
              <w:pStyle w:val="14"/>
            </w:pPr>
            <w:r>
              <w:t>鹿办文[2017]31号文</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7" w:name="_Toc_4_4_0000000076"/>
      <w:r>
        <w:rPr>
          <w:rFonts w:ascii="方正仿宋_GBK" w:hAnsi="方正仿宋_GBK" w:eastAsia="方正仿宋_GBK" w:cs="方正仿宋_GBK"/>
          <w:color w:val="000000"/>
          <w:sz w:val="28"/>
        </w:rPr>
        <w:t>73.执法业务费2026绩效目标表</w:t>
      </w:r>
      <w:bookmarkEnd w:id="8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333006石家庄市鹿泉区住房和建设监管综合服务中心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13011026P000011100411</w:t>
            </w:r>
          </w:p>
        </w:tc>
        <w:tc>
          <w:tcPr>
            <w:tcW w:w="1587" w:type="dxa"/>
            <w:vAlign w:val="center"/>
          </w:tcPr>
          <w:p>
            <w:pPr>
              <w:pStyle w:val="12"/>
            </w:pPr>
            <w:r>
              <w:t>项目名称</w:t>
            </w:r>
          </w:p>
        </w:tc>
        <w:tc>
          <w:tcPr>
            <w:tcW w:w="4423" w:type="dxa"/>
            <w:gridSpan w:val="3"/>
            <w:vAlign w:val="center"/>
          </w:tcPr>
          <w:p>
            <w:pPr>
              <w:pStyle w:val="14"/>
            </w:pPr>
            <w:r>
              <w:t>执法业务费2026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90.00</w:t>
            </w:r>
          </w:p>
        </w:tc>
        <w:tc>
          <w:tcPr>
            <w:tcW w:w="1587" w:type="dxa"/>
            <w:vAlign w:val="center"/>
          </w:tcPr>
          <w:p>
            <w:pPr>
              <w:pStyle w:val="12"/>
            </w:pPr>
            <w:r>
              <w:t>其中：财政    资金</w:t>
            </w:r>
          </w:p>
        </w:tc>
        <w:tc>
          <w:tcPr>
            <w:tcW w:w="1304" w:type="dxa"/>
            <w:vAlign w:val="center"/>
          </w:tcPr>
          <w:p>
            <w:pPr>
              <w:pStyle w:val="14"/>
            </w:pPr>
            <w:r>
              <w:t>90.00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"""确保28人的经费保障工作并通过对35个房地产销售项目、100个在建项目进行的执法检查，杜绝全区违规建设、销售行为，确保不发生违规建设及销售行为，保障房地产市场健康有序发展。"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1."确保28人的经费保障工作并通过对35个房地产销售项目、100个在建项目进行的执法检查，杜绝全区违规建设、销售行为，确保不发生违规建设及销售行为，保障房地产市场健康有序发展。</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保障办公人数</w:t>
            </w:r>
          </w:p>
        </w:tc>
        <w:tc>
          <w:tcPr>
            <w:tcW w:w="2891" w:type="dxa"/>
            <w:vAlign w:val="center"/>
          </w:tcPr>
          <w:p>
            <w:pPr>
              <w:pStyle w:val="14"/>
            </w:pPr>
            <w:r>
              <w:t>保障办公人数。</w:t>
            </w:r>
          </w:p>
        </w:tc>
        <w:tc>
          <w:tcPr>
            <w:tcW w:w="1276" w:type="dxa"/>
            <w:vAlign w:val="center"/>
          </w:tcPr>
          <w:p>
            <w:pPr>
              <w:pStyle w:val="14"/>
            </w:pPr>
            <w:r>
              <w:t>28人</w:t>
            </w:r>
          </w:p>
        </w:tc>
        <w:tc>
          <w:tcPr>
            <w:tcW w:w="1843" w:type="dxa"/>
            <w:vAlign w:val="center"/>
          </w:tcPr>
          <w:p>
            <w:pPr>
              <w:pStyle w:val="14"/>
            </w:pPr>
            <w:r>
              <w:t>根据鹿政办[2012]1号文件</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日常公用经费支出</w:t>
            </w:r>
          </w:p>
        </w:tc>
        <w:tc>
          <w:tcPr>
            <w:tcW w:w="2891" w:type="dxa"/>
            <w:vAlign w:val="center"/>
          </w:tcPr>
          <w:p>
            <w:pPr>
              <w:pStyle w:val="14"/>
            </w:pPr>
            <w:r>
              <w:t>办公费、交通费、水电费、及其他公用经费的支出。</w:t>
            </w:r>
          </w:p>
        </w:tc>
        <w:tc>
          <w:tcPr>
            <w:tcW w:w="1276" w:type="dxa"/>
            <w:vAlign w:val="center"/>
          </w:tcPr>
          <w:p>
            <w:pPr>
              <w:pStyle w:val="14"/>
            </w:pPr>
            <w:r>
              <w:t>按统一规定执行</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经费保障及时性</w:t>
            </w:r>
          </w:p>
        </w:tc>
        <w:tc>
          <w:tcPr>
            <w:tcW w:w="2891" w:type="dxa"/>
            <w:vAlign w:val="center"/>
          </w:tcPr>
          <w:p>
            <w:pPr>
              <w:pStyle w:val="14"/>
            </w:pPr>
            <w:r>
              <w:t>及时保障各项日常办公需要。</w:t>
            </w:r>
          </w:p>
        </w:tc>
        <w:tc>
          <w:tcPr>
            <w:tcW w:w="1276" w:type="dxa"/>
            <w:vAlign w:val="center"/>
          </w:tcPr>
          <w:p>
            <w:pPr>
              <w:pStyle w:val="14"/>
            </w:pPr>
            <w:r>
              <w:t>及时保障</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运转保障率</w:t>
            </w:r>
          </w:p>
        </w:tc>
        <w:tc>
          <w:tcPr>
            <w:tcW w:w="2891" w:type="dxa"/>
            <w:vAlign w:val="center"/>
          </w:tcPr>
          <w:p>
            <w:pPr>
              <w:pStyle w:val="14"/>
            </w:pPr>
            <w:r>
              <w:t>各项日常工作保障率。</w:t>
            </w:r>
          </w:p>
        </w:tc>
        <w:tc>
          <w:tcPr>
            <w:tcW w:w="1276" w:type="dxa"/>
            <w:vAlign w:val="center"/>
          </w:tcPr>
          <w:p>
            <w:pPr>
              <w:pStyle w:val="14"/>
            </w:pPr>
            <w:r>
              <w:t>100%</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行政检查项目的数量</w:t>
            </w:r>
          </w:p>
        </w:tc>
        <w:tc>
          <w:tcPr>
            <w:tcW w:w="2891" w:type="dxa"/>
            <w:vAlign w:val="center"/>
          </w:tcPr>
          <w:p>
            <w:pPr>
              <w:pStyle w:val="14"/>
            </w:pPr>
            <w:r>
              <w:t>实际检查房地产销售项目的个数。</w:t>
            </w:r>
          </w:p>
        </w:tc>
        <w:tc>
          <w:tcPr>
            <w:tcW w:w="1276" w:type="dxa"/>
            <w:vAlign w:val="center"/>
          </w:tcPr>
          <w:p>
            <w:pPr>
              <w:pStyle w:val="14"/>
            </w:pPr>
            <w:r>
              <w:t>35个数</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监督检查建立劳务实名制到位率</w:t>
            </w:r>
          </w:p>
        </w:tc>
        <w:tc>
          <w:tcPr>
            <w:tcW w:w="2891" w:type="dxa"/>
            <w:vAlign w:val="center"/>
          </w:tcPr>
          <w:p>
            <w:pPr>
              <w:pStyle w:val="14"/>
            </w:pPr>
            <w:r>
              <w:t>实际建立劳务实名制的项目数量占应建立劳务实名制项目数量的比例。</w:t>
            </w:r>
          </w:p>
        </w:tc>
        <w:tc>
          <w:tcPr>
            <w:tcW w:w="1276" w:type="dxa"/>
            <w:vAlign w:val="center"/>
          </w:tcPr>
          <w:p>
            <w:pPr>
              <w:pStyle w:val="14"/>
            </w:pPr>
            <w:r>
              <w:t>100%</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监督招标完成率</w:t>
            </w:r>
          </w:p>
        </w:tc>
        <w:tc>
          <w:tcPr>
            <w:tcW w:w="2891" w:type="dxa"/>
            <w:vAlign w:val="center"/>
          </w:tcPr>
          <w:p>
            <w:pPr>
              <w:pStyle w:val="14"/>
            </w:pPr>
            <w:r>
              <w:t>实际监管招标项目个数占招标项目个数的比例。</w:t>
            </w:r>
          </w:p>
        </w:tc>
        <w:tc>
          <w:tcPr>
            <w:tcW w:w="1276" w:type="dxa"/>
            <w:vAlign w:val="center"/>
          </w:tcPr>
          <w:p>
            <w:pPr>
              <w:pStyle w:val="14"/>
            </w:pPr>
            <w:r>
              <w:t>100%</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行政检查项目的及时率</w:t>
            </w:r>
          </w:p>
        </w:tc>
        <w:tc>
          <w:tcPr>
            <w:tcW w:w="2891" w:type="dxa"/>
            <w:vAlign w:val="center"/>
          </w:tcPr>
          <w:p>
            <w:pPr>
              <w:pStyle w:val="14"/>
            </w:pPr>
            <w:r>
              <w:t>实际行政检查在建项目个数占应执法检查在建项目个数的比例。</w:t>
            </w:r>
          </w:p>
        </w:tc>
        <w:tc>
          <w:tcPr>
            <w:tcW w:w="1276" w:type="dxa"/>
            <w:vAlign w:val="center"/>
          </w:tcPr>
          <w:p>
            <w:pPr>
              <w:pStyle w:val="14"/>
            </w:pPr>
            <w:r>
              <w:t>100%</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行政检查项目的数量</w:t>
            </w:r>
          </w:p>
        </w:tc>
        <w:tc>
          <w:tcPr>
            <w:tcW w:w="2891" w:type="dxa"/>
            <w:vAlign w:val="center"/>
          </w:tcPr>
          <w:p>
            <w:pPr>
              <w:pStyle w:val="14"/>
            </w:pPr>
            <w:r>
              <w:t>实际行政检查在建工程项目的个数。</w:t>
            </w:r>
          </w:p>
        </w:tc>
        <w:tc>
          <w:tcPr>
            <w:tcW w:w="1276" w:type="dxa"/>
            <w:vAlign w:val="center"/>
          </w:tcPr>
          <w:p>
            <w:pPr>
              <w:pStyle w:val="14"/>
            </w:pPr>
            <w:r>
              <w:t>100个数</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行政检查建设工程项目违规建设率</w:t>
            </w:r>
          </w:p>
        </w:tc>
        <w:tc>
          <w:tcPr>
            <w:tcW w:w="2891" w:type="dxa"/>
            <w:vAlign w:val="center"/>
          </w:tcPr>
          <w:p>
            <w:pPr>
              <w:pStyle w:val="14"/>
            </w:pPr>
            <w:r>
              <w:t>实际发生违规建设的数量占全部建设工程项目数量的比例。</w:t>
            </w:r>
          </w:p>
        </w:tc>
        <w:tc>
          <w:tcPr>
            <w:tcW w:w="1276" w:type="dxa"/>
            <w:vAlign w:val="center"/>
          </w:tcPr>
          <w:p>
            <w:pPr>
              <w:pStyle w:val="14"/>
            </w:pPr>
            <w:r>
              <w:t>1%</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行政检查房地产项目违规销售率</w:t>
            </w:r>
          </w:p>
        </w:tc>
        <w:tc>
          <w:tcPr>
            <w:tcW w:w="2891" w:type="dxa"/>
            <w:vAlign w:val="center"/>
          </w:tcPr>
          <w:p>
            <w:pPr>
              <w:pStyle w:val="14"/>
            </w:pPr>
            <w:r>
              <w:t>实际发生违规销售的数量占全部在售数量的比例。</w:t>
            </w:r>
          </w:p>
        </w:tc>
        <w:tc>
          <w:tcPr>
            <w:tcW w:w="1276" w:type="dxa"/>
            <w:vAlign w:val="center"/>
          </w:tcPr>
          <w:p>
            <w:pPr>
              <w:pStyle w:val="14"/>
            </w:pPr>
            <w:r>
              <w:t>1%</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产生拖欠农民工工资的发生率</w:t>
            </w:r>
          </w:p>
        </w:tc>
        <w:tc>
          <w:tcPr>
            <w:tcW w:w="2891" w:type="dxa"/>
            <w:vAlign w:val="center"/>
          </w:tcPr>
          <w:p>
            <w:pPr>
              <w:pStyle w:val="14"/>
            </w:pPr>
            <w:r>
              <w:t>实际产生拖欠农民工工资现象的数量占全部建设工程项目数量的比例。</w:t>
            </w:r>
          </w:p>
        </w:tc>
        <w:tc>
          <w:tcPr>
            <w:tcW w:w="1276" w:type="dxa"/>
            <w:vAlign w:val="center"/>
          </w:tcPr>
          <w:p>
            <w:pPr>
              <w:pStyle w:val="14"/>
            </w:pPr>
            <w:r>
              <w:t>1%</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保障日常办公需要，维持单位正常运转</w:t>
            </w:r>
          </w:p>
        </w:tc>
        <w:tc>
          <w:tcPr>
            <w:tcW w:w="2891" w:type="dxa"/>
            <w:vAlign w:val="center"/>
          </w:tcPr>
          <w:p>
            <w:pPr>
              <w:pStyle w:val="14"/>
            </w:pPr>
            <w:r>
              <w:t>保障日常办公需要，维持单位正常运转。</w:t>
            </w:r>
          </w:p>
        </w:tc>
        <w:tc>
          <w:tcPr>
            <w:tcW w:w="1276" w:type="dxa"/>
            <w:vAlign w:val="center"/>
          </w:tcPr>
          <w:p>
            <w:pPr>
              <w:pStyle w:val="14"/>
            </w:pPr>
            <w:r>
              <w:t>100%</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监督检查招标程序不合格、不规范率</w:t>
            </w:r>
          </w:p>
        </w:tc>
        <w:tc>
          <w:tcPr>
            <w:tcW w:w="2891" w:type="dxa"/>
            <w:vAlign w:val="center"/>
          </w:tcPr>
          <w:p>
            <w:pPr>
              <w:pStyle w:val="14"/>
            </w:pPr>
            <w:r>
              <w:t>实际产生招标项目不规范的数量占全部应招标项目数量的比例。</w:t>
            </w:r>
          </w:p>
        </w:tc>
        <w:tc>
          <w:tcPr>
            <w:tcW w:w="1276" w:type="dxa"/>
            <w:vAlign w:val="center"/>
          </w:tcPr>
          <w:p>
            <w:pPr>
              <w:pStyle w:val="14"/>
            </w:pPr>
            <w:r>
              <w:t>1%</w:t>
            </w:r>
          </w:p>
        </w:tc>
        <w:tc>
          <w:tcPr>
            <w:tcW w:w="1843" w:type="dxa"/>
            <w:vAlign w:val="center"/>
          </w:tcPr>
          <w:p>
            <w:pPr>
              <w:pStyle w:val="14"/>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群众对建筑和房地产市场管理的满意度。</w:t>
            </w:r>
          </w:p>
        </w:tc>
        <w:tc>
          <w:tcPr>
            <w:tcW w:w="1276" w:type="dxa"/>
            <w:vAlign w:val="center"/>
          </w:tcPr>
          <w:p>
            <w:pPr>
              <w:pStyle w:val="14"/>
            </w:pPr>
            <w:r>
              <w:t>100%</w:t>
            </w:r>
          </w:p>
        </w:tc>
        <w:tc>
          <w:tcPr>
            <w:tcW w:w="1843" w:type="dxa"/>
            <w:vAlign w:val="center"/>
          </w:tcPr>
          <w:p>
            <w:pPr>
              <w:pStyle w:val="14"/>
            </w:pPr>
            <w:r>
              <w:t>根据鹿政办[2012]1号文件</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8" w:name="_Toc_4_4_0000000077"/>
      <w:r>
        <w:rPr>
          <w:rFonts w:ascii="方正仿宋_GBK" w:hAnsi="方正仿宋_GBK" w:eastAsia="方正仿宋_GBK" w:cs="方正仿宋_GBK"/>
          <w:color w:val="000000"/>
          <w:sz w:val="28"/>
        </w:rPr>
        <w:t>74.2026年泵站变压器基本电费绩效目标表</w:t>
      </w:r>
      <w:bookmarkEnd w:id="8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333007石家庄市鹿泉区城市建设服务中心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13011026P00155610167A</w:t>
            </w:r>
          </w:p>
        </w:tc>
        <w:tc>
          <w:tcPr>
            <w:tcW w:w="1587" w:type="dxa"/>
            <w:vAlign w:val="center"/>
          </w:tcPr>
          <w:p>
            <w:pPr>
              <w:pStyle w:val="12"/>
            </w:pPr>
            <w:r>
              <w:t>项目名称</w:t>
            </w:r>
          </w:p>
        </w:tc>
        <w:tc>
          <w:tcPr>
            <w:tcW w:w="4423" w:type="dxa"/>
            <w:gridSpan w:val="3"/>
            <w:vAlign w:val="center"/>
          </w:tcPr>
          <w:p>
            <w:pPr>
              <w:pStyle w:val="14"/>
            </w:pPr>
            <w:r>
              <w:t>2026年泵站变压器基本电费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1.89</w:t>
            </w:r>
          </w:p>
        </w:tc>
        <w:tc>
          <w:tcPr>
            <w:tcW w:w="1587" w:type="dxa"/>
            <w:vAlign w:val="center"/>
          </w:tcPr>
          <w:p>
            <w:pPr>
              <w:pStyle w:val="12"/>
            </w:pPr>
            <w:r>
              <w:t>其中：财政    资金</w:t>
            </w:r>
          </w:p>
        </w:tc>
        <w:tc>
          <w:tcPr>
            <w:tcW w:w="1304" w:type="dxa"/>
            <w:vAlign w:val="center"/>
          </w:tcPr>
          <w:p>
            <w:pPr>
              <w:pStyle w:val="14"/>
            </w:pPr>
            <w:r>
              <w:t>1.89</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泵站变压器基本电费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1.根据河北省物价局《关于创新和完善促进绿色</w:t>
            </w:r>
            <w:r>
              <w:rPr>
                <w:rFonts w:hint="eastAsia"/>
                <w:lang w:val="en-US" w:eastAsia="zh-CN"/>
              </w:rPr>
              <w:t>发</w:t>
            </w:r>
            <w:r>
              <w:t>展价格机制的实施意见（冀价政调[2018]147号》文件要求</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基本电费=容量单价*变压器额定容量总和使用于生产负荷相对稳定</w:t>
            </w:r>
          </w:p>
        </w:tc>
        <w:tc>
          <w:tcPr>
            <w:tcW w:w="2891" w:type="dxa"/>
            <w:vAlign w:val="center"/>
          </w:tcPr>
          <w:p>
            <w:pPr>
              <w:pStyle w:val="14"/>
            </w:pPr>
            <w:r>
              <w:t>若实际最大需量超过合同核定值，超用部分会按规定加倍收费</w:t>
            </w:r>
          </w:p>
        </w:tc>
        <w:tc>
          <w:tcPr>
            <w:tcW w:w="1276" w:type="dxa"/>
            <w:vAlign w:val="center"/>
          </w:tcPr>
          <w:p>
            <w:pPr>
              <w:pStyle w:val="14"/>
            </w:pPr>
            <w:r>
              <w:t>度</w:t>
            </w:r>
          </w:p>
        </w:tc>
        <w:tc>
          <w:tcPr>
            <w:tcW w:w="1843" w:type="dxa"/>
            <w:vAlign w:val="center"/>
          </w:tcPr>
          <w:p>
            <w:pPr>
              <w:pStyle w:val="14"/>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影响设备正常运行时长，进而影响基本电费的利用率</w:t>
            </w:r>
          </w:p>
        </w:tc>
        <w:tc>
          <w:tcPr>
            <w:tcW w:w="2891" w:type="dxa"/>
            <w:vAlign w:val="center"/>
          </w:tcPr>
          <w:p>
            <w:pPr>
              <w:pStyle w:val="14"/>
            </w:pPr>
            <w:r>
              <w:t>电压过高会加速设备绝缘老化过低会导致电机转柜不足、设备无法正常启动</w:t>
            </w:r>
          </w:p>
        </w:tc>
        <w:tc>
          <w:tcPr>
            <w:tcW w:w="1276" w:type="dxa"/>
            <w:vAlign w:val="center"/>
          </w:tcPr>
          <w:p>
            <w:pPr>
              <w:pStyle w:val="14"/>
            </w:pPr>
            <w:r>
              <w:t>量</w:t>
            </w:r>
          </w:p>
        </w:tc>
        <w:tc>
          <w:tcPr>
            <w:tcW w:w="1843" w:type="dxa"/>
            <w:vAlign w:val="center"/>
          </w:tcPr>
          <w:p>
            <w:pPr>
              <w:pStyle w:val="14"/>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维护污水管网及时率</w:t>
            </w:r>
          </w:p>
        </w:tc>
        <w:tc>
          <w:tcPr>
            <w:tcW w:w="2891" w:type="dxa"/>
            <w:vAlign w:val="center"/>
          </w:tcPr>
          <w:p>
            <w:pPr>
              <w:pStyle w:val="14"/>
            </w:pPr>
            <w:r>
              <w:t>维护污水管道损坏及修复及时率</w:t>
            </w:r>
          </w:p>
        </w:tc>
        <w:tc>
          <w:tcPr>
            <w:tcW w:w="1276" w:type="dxa"/>
            <w:vAlign w:val="center"/>
          </w:tcPr>
          <w:p>
            <w:pPr>
              <w:pStyle w:val="14"/>
            </w:pPr>
            <w:r>
              <w:t>≥100%</w:t>
            </w:r>
          </w:p>
        </w:tc>
        <w:tc>
          <w:tcPr>
            <w:tcW w:w="1843" w:type="dxa"/>
            <w:vAlign w:val="center"/>
          </w:tcPr>
          <w:p>
            <w:pPr>
              <w:pStyle w:val="14"/>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维护泵站管网成本</w:t>
            </w:r>
          </w:p>
        </w:tc>
        <w:tc>
          <w:tcPr>
            <w:tcW w:w="2891" w:type="dxa"/>
            <w:vAlign w:val="center"/>
          </w:tcPr>
          <w:p>
            <w:pPr>
              <w:pStyle w:val="14"/>
            </w:pPr>
            <w:r>
              <w:t>维护泵站电费</w:t>
            </w:r>
          </w:p>
        </w:tc>
        <w:tc>
          <w:tcPr>
            <w:tcW w:w="1276" w:type="dxa"/>
            <w:vAlign w:val="center"/>
          </w:tcPr>
          <w:p>
            <w:pPr>
              <w:pStyle w:val="14"/>
            </w:pPr>
            <w:r>
              <w:t>27万元</w:t>
            </w:r>
          </w:p>
        </w:tc>
        <w:tc>
          <w:tcPr>
            <w:tcW w:w="1843" w:type="dxa"/>
            <w:vAlign w:val="center"/>
          </w:tcPr>
          <w:p>
            <w:pPr>
              <w:pStyle w:val="14"/>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维护泵站管网完成率</w:t>
            </w:r>
          </w:p>
        </w:tc>
        <w:tc>
          <w:tcPr>
            <w:tcW w:w="2891" w:type="dxa"/>
            <w:vAlign w:val="center"/>
          </w:tcPr>
          <w:p>
            <w:pPr>
              <w:pStyle w:val="14"/>
            </w:pPr>
            <w:r>
              <w:t>维护泵站管网全年合格率达到百分比</w:t>
            </w:r>
          </w:p>
        </w:tc>
        <w:tc>
          <w:tcPr>
            <w:tcW w:w="1276" w:type="dxa"/>
            <w:vAlign w:val="center"/>
          </w:tcPr>
          <w:p>
            <w:pPr>
              <w:pStyle w:val="14"/>
            </w:pPr>
            <w:r>
              <w:t>100%</w:t>
            </w:r>
          </w:p>
        </w:tc>
        <w:tc>
          <w:tcPr>
            <w:tcW w:w="1843" w:type="dxa"/>
            <w:vAlign w:val="center"/>
          </w:tcPr>
          <w:p>
            <w:pPr>
              <w:pStyle w:val="14"/>
            </w:pPr>
            <w:r>
              <w:t>根据河北省物价局《关于创新和完善促进绿色展价格机制的实施意见（冀价政调[2018]147号》文件要求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受益群众满意度（%）</w:t>
            </w:r>
          </w:p>
        </w:tc>
        <w:tc>
          <w:tcPr>
            <w:tcW w:w="2891" w:type="dxa"/>
            <w:vAlign w:val="center"/>
          </w:tcPr>
          <w:p>
            <w:pPr>
              <w:pStyle w:val="14"/>
            </w:pPr>
            <w:r>
              <w:t>收水范围内收益群众满意度</w:t>
            </w:r>
          </w:p>
        </w:tc>
        <w:tc>
          <w:tcPr>
            <w:tcW w:w="1276" w:type="dxa"/>
            <w:vAlign w:val="center"/>
          </w:tcPr>
          <w:p>
            <w:pPr>
              <w:pStyle w:val="14"/>
            </w:pPr>
            <w:r>
              <w:t>≥95%</w:t>
            </w:r>
          </w:p>
        </w:tc>
        <w:tc>
          <w:tcPr>
            <w:tcW w:w="1843" w:type="dxa"/>
            <w:vAlign w:val="center"/>
          </w:tcPr>
          <w:p>
            <w:pPr>
              <w:pStyle w:val="14"/>
            </w:pPr>
            <w:r>
              <w:t>计划标准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9" w:name="_Toc_4_4_0000000078"/>
      <w:r>
        <w:rPr>
          <w:rFonts w:ascii="方正仿宋_GBK" w:hAnsi="方正仿宋_GBK" w:eastAsia="方正仿宋_GBK" w:cs="方正仿宋_GBK"/>
          <w:color w:val="000000"/>
          <w:sz w:val="28"/>
        </w:rPr>
        <w:t>75.2026年入管网企业检测费绩效目标表</w:t>
      </w:r>
      <w:bookmarkEnd w:id="8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333007石家庄市鹿泉区城市建设服务中心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13011026P001556101653</w:t>
            </w:r>
          </w:p>
        </w:tc>
        <w:tc>
          <w:tcPr>
            <w:tcW w:w="1587" w:type="dxa"/>
            <w:vAlign w:val="center"/>
          </w:tcPr>
          <w:p>
            <w:pPr>
              <w:pStyle w:val="12"/>
            </w:pPr>
            <w:r>
              <w:t>项目名称</w:t>
            </w:r>
          </w:p>
        </w:tc>
        <w:tc>
          <w:tcPr>
            <w:tcW w:w="4423" w:type="dxa"/>
            <w:gridSpan w:val="3"/>
            <w:vAlign w:val="center"/>
          </w:tcPr>
          <w:p>
            <w:pPr>
              <w:pStyle w:val="14"/>
            </w:pPr>
            <w:r>
              <w:t>2026年入管网企业检测费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10.00</w:t>
            </w:r>
          </w:p>
        </w:tc>
        <w:tc>
          <w:tcPr>
            <w:tcW w:w="1587" w:type="dxa"/>
            <w:vAlign w:val="center"/>
          </w:tcPr>
          <w:p>
            <w:pPr>
              <w:pStyle w:val="12"/>
            </w:pPr>
            <w:r>
              <w:t>其中：财政    资金</w:t>
            </w:r>
          </w:p>
        </w:tc>
        <w:tc>
          <w:tcPr>
            <w:tcW w:w="1304" w:type="dxa"/>
            <w:vAlign w:val="center"/>
          </w:tcPr>
          <w:p>
            <w:pPr>
              <w:pStyle w:val="14"/>
            </w:pPr>
            <w:r>
              <w:t>10.00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聘请第三方对65家企业进行水质检测，确保检测后入管网企业排水达标排放，污水处理厂进水水质达标。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1.聘请第三方对65家企业进行水质检测，确保检测后入管网企业排水达标排放，污水处理厂进水水质达标。</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污水检测雇佣人数</w:t>
            </w:r>
          </w:p>
        </w:tc>
        <w:tc>
          <w:tcPr>
            <w:tcW w:w="2891" w:type="dxa"/>
            <w:vAlign w:val="center"/>
          </w:tcPr>
          <w:p>
            <w:pPr>
              <w:pStyle w:val="14"/>
            </w:pPr>
            <w:r>
              <w:t>污水排放检测人员</w:t>
            </w:r>
          </w:p>
        </w:tc>
        <w:tc>
          <w:tcPr>
            <w:tcW w:w="1276" w:type="dxa"/>
            <w:vAlign w:val="center"/>
          </w:tcPr>
          <w:p>
            <w:pPr>
              <w:pStyle w:val="14"/>
            </w:pPr>
            <w:r>
              <w:t>3人</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污水检测数量</w:t>
            </w:r>
          </w:p>
        </w:tc>
        <w:tc>
          <w:tcPr>
            <w:tcW w:w="2891" w:type="dxa"/>
            <w:vAlign w:val="center"/>
          </w:tcPr>
          <w:p>
            <w:pPr>
              <w:pStyle w:val="14"/>
            </w:pPr>
            <w:r>
              <w:t>检测接入污水管网单位数量</w:t>
            </w:r>
          </w:p>
        </w:tc>
        <w:tc>
          <w:tcPr>
            <w:tcW w:w="1276" w:type="dxa"/>
            <w:vAlign w:val="center"/>
          </w:tcPr>
          <w:p>
            <w:pPr>
              <w:pStyle w:val="14"/>
            </w:pPr>
            <w:r>
              <w:t>≥65家</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检测准确率</w:t>
            </w:r>
          </w:p>
        </w:tc>
        <w:tc>
          <w:tcPr>
            <w:tcW w:w="2891" w:type="dxa"/>
            <w:vAlign w:val="center"/>
          </w:tcPr>
          <w:p>
            <w:pPr>
              <w:pStyle w:val="14"/>
            </w:pPr>
            <w:r>
              <w:t>检测水质数据准确率达到百分比</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污水检测成本</w:t>
            </w:r>
          </w:p>
        </w:tc>
        <w:tc>
          <w:tcPr>
            <w:tcW w:w="2891" w:type="dxa"/>
            <w:vAlign w:val="center"/>
          </w:tcPr>
          <w:p>
            <w:pPr>
              <w:pStyle w:val="14"/>
            </w:pPr>
            <w:r>
              <w:t>用于对入管网企业污水排放主要指标检测费用</w:t>
            </w:r>
          </w:p>
        </w:tc>
        <w:tc>
          <w:tcPr>
            <w:tcW w:w="1276" w:type="dxa"/>
            <w:vAlign w:val="center"/>
          </w:tcPr>
          <w:p>
            <w:pPr>
              <w:pStyle w:val="14"/>
            </w:pPr>
            <w:r>
              <w:t>≤32万元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检测及时率</w:t>
            </w:r>
          </w:p>
        </w:tc>
        <w:tc>
          <w:tcPr>
            <w:tcW w:w="2891" w:type="dxa"/>
            <w:vAlign w:val="center"/>
          </w:tcPr>
          <w:p>
            <w:pPr>
              <w:pStyle w:val="14"/>
            </w:pPr>
            <w:r>
              <w:t>每年对入管网单位抽检率达到百分比</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入管网单位排水达标</w:t>
            </w:r>
          </w:p>
        </w:tc>
        <w:tc>
          <w:tcPr>
            <w:tcW w:w="2891" w:type="dxa"/>
            <w:vAlign w:val="center"/>
          </w:tcPr>
          <w:p>
            <w:pPr>
              <w:pStyle w:val="14"/>
            </w:pPr>
            <w:r>
              <w:t>确保入管网单位排水达到污水处理厂进水标准</w:t>
            </w:r>
          </w:p>
        </w:tc>
        <w:tc>
          <w:tcPr>
            <w:tcW w:w="1276" w:type="dxa"/>
            <w:vAlign w:val="center"/>
          </w:tcPr>
          <w:p>
            <w:pPr>
              <w:pStyle w:val="14"/>
            </w:pPr>
            <w:r>
              <w:t>达标排放</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检测对象满意度</w:t>
            </w:r>
          </w:p>
        </w:tc>
        <w:tc>
          <w:tcPr>
            <w:tcW w:w="2891" w:type="dxa"/>
            <w:vAlign w:val="center"/>
          </w:tcPr>
          <w:p>
            <w:pPr>
              <w:pStyle w:val="14"/>
            </w:pPr>
            <w:r>
              <w:t>对入管网企业检测服务对象满意度</w:t>
            </w:r>
          </w:p>
        </w:tc>
        <w:tc>
          <w:tcPr>
            <w:tcW w:w="1276" w:type="dxa"/>
            <w:vAlign w:val="center"/>
          </w:tcPr>
          <w:p>
            <w:pPr>
              <w:pStyle w:val="14"/>
            </w:pPr>
            <w:r>
              <w:t>≥95%</w:t>
            </w:r>
          </w:p>
        </w:tc>
        <w:tc>
          <w:tcPr>
            <w:tcW w:w="1843" w:type="dxa"/>
            <w:vAlign w:val="center"/>
          </w:tcPr>
          <w:p>
            <w:pPr>
              <w:pStyle w:val="14"/>
            </w:pPr>
            <w:r>
              <w:t>计划标准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0" w:name="_Toc_4_4_0000000079"/>
      <w:r>
        <w:rPr>
          <w:rFonts w:ascii="方正仿宋_GBK" w:hAnsi="方正仿宋_GBK" w:eastAsia="方正仿宋_GBK" w:cs="方正仿宋_GBK"/>
          <w:color w:val="000000"/>
          <w:sz w:val="28"/>
        </w:rPr>
        <w:t>76.2026年涉军人员工资及社保绩效目标表</w:t>
      </w:r>
      <w:bookmarkEnd w:id="9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333007石家庄市鹿泉区城市建设服务中心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13011026P001540100516</w:t>
            </w:r>
          </w:p>
        </w:tc>
        <w:tc>
          <w:tcPr>
            <w:tcW w:w="1587" w:type="dxa"/>
            <w:vAlign w:val="center"/>
          </w:tcPr>
          <w:p>
            <w:pPr>
              <w:pStyle w:val="12"/>
            </w:pPr>
            <w:r>
              <w:t>项目名称</w:t>
            </w:r>
          </w:p>
        </w:tc>
        <w:tc>
          <w:tcPr>
            <w:tcW w:w="4423" w:type="dxa"/>
            <w:gridSpan w:val="3"/>
            <w:vAlign w:val="center"/>
          </w:tcPr>
          <w:p>
            <w:pPr>
              <w:pStyle w:val="14"/>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53.43</w:t>
            </w:r>
          </w:p>
        </w:tc>
        <w:tc>
          <w:tcPr>
            <w:tcW w:w="1587" w:type="dxa"/>
            <w:vAlign w:val="center"/>
          </w:tcPr>
          <w:p>
            <w:pPr>
              <w:pStyle w:val="12"/>
            </w:pPr>
            <w:r>
              <w:t>其中：财政    资金</w:t>
            </w:r>
          </w:p>
        </w:tc>
        <w:tc>
          <w:tcPr>
            <w:tcW w:w="1304" w:type="dxa"/>
            <w:vAlign w:val="center"/>
          </w:tcPr>
          <w:p>
            <w:pPr>
              <w:pStyle w:val="14"/>
            </w:pPr>
            <w:r>
              <w:t>53.43</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涉军人员工资及社保费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1.对符合条件的退役军人9人，实行公益岗位托管安置，帮扶到位，加大就业援助力度。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退役人数</w:t>
            </w:r>
          </w:p>
        </w:tc>
        <w:tc>
          <w:tcPr>
            <w:tcW w:w="2891" w:type="dxa"/>
            <w:vAlign w:val="center"/>
          </w:tcPr>
          <w:p>
            <w:pPr>
              <w:pStyle w:val="14"/>
            </w:pPr>
            <w:r>
              <w:t>单位退役实际人数</w:t>
            </w:r>
          </w:p>
        </w:tc>
        <w:tc>
          <w:tcPr>
            <w:tcW w:w="1276" w:type="dxa"/>
            <w:vAlign w:val="center"/>
          </w:tcPr>
          <w:p>
            <w:pPr>
              <w:pStyle w:val="14"/>
            </w:pPr>
            <w:r>
              <w:t>9人</w:t>
            </w:r>
          </w:p>
        </w:tc>
        <w:tc>
          <w:tcPr>
            <w:tcW w:w="1843"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资金发放率</w:t>
            </w:r>
          </w:p>
        </w:tc>
        <w:tc>
          <w:tcPr>
            <w:tcW w:w="2891" w:type="dxa"/>
            <w:vAlign w:val="center"/>
          </w:tcPr>
          <w:p>
            <w:pPr>
              <w:pStyle w:val="14"/>
            </w:pPr>
            <w:r>
              <w:t>资金发放率</w:t>
            </w:r>
          </w:p>
        </w:tc>
        <w:tc>
          <w:tcPr>
            <w:tcW w:w="1276" w:type="dxa"/>
            <w:vAlign w:val="center"/>
          </w:tcPr>
          <w:p>
            <w:pPr>
              <w:pStyle w:val="14"/>
            </w:pPr>
            <w:r>
              <w:t>100%</w:t>
            </w:r>
          </w:p>
        </w:tc>
        <w:tc>
          <w:tcPr>
            <w:tcW w:w="1843"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及时发放时间</w:t>
            </w:r>
          </w:p>
        </w:tc>
        <w:tc>
          <w:tcPr>
            <w:tcW w:w="2891" w:type="dxa"/>
            <w:vAlign w:val="center"/>
          </w:tcPr>
          <w:p>
            <w:pPr>
              <w:pStyle w:val="14"/>
            </w:pPr>
            <w:r>
              <w:t>资金到位后及时发放</w:t>
            </w:r>
          </w:p>
        </w:tc>
        <w:tc>
          <w:tcPr>
            <w:tcW w:w="1276" w:type="dxa"/>
            <w:vAlign w:val="center"/>
          </w:tcPr>
          <w:p>
            <w:pPr>
              <w:pStyle w:val="14"/>
            </w:pPr>
            <w:r>
              <w:t>≤7工作日</w:t>
            </w:r>
          </w:p>
        </w:tc>
        <w:tc>
          <w:tcPr>
            <w:tcW w:w="1843"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退役人员工资发放标准</w:t>
            </w:r>
          </w:p>
        </w:tc>
        <w:tc>
          <w:tcPr>
            <w:tcW w:w="2891" w:type="dxa"/>
            <w:vAlign w:val="center"/>
          </w:tcPr>
          <w:p>
            <w:pPr>
              <w:pStyle w:val="14"/>
            </w:pPr>
            <w:r>
              <w:t>对符合条件的退役人员发放工资标准</w:t>
            </w:r>
          </w:p>
        </w:tc>
        <w:tc>
          <w:tcPr>
            <w:tcW w:w="1276" w:type="dxa"/>
            <w:vAlign w:val="center"/>
          </w:tcPr>
          <w:p>
            <w:pPr>
              <w:pStyle w:val="14"/>
            </w:pPr>
            <w:r>
              <w:t>53.43万元</w:t>
            </w:r>
          </w:p>
        </w:tc>
        <w:tc>
          <w:tcPr>
            <w:tcW w:w="1843" w:type="dxa"/>
            <w:vAlign w:val="center"/>
          </w:tcPr>
          <w:p>
            <w:pPr>
              <w:pStyle w:val="14"/>
            </w:pPr>
            <w:r>
              <w:t>年初预收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托管安置帮扶人数</w:t>
            </w:r>
          </w:p>
        </w:tc>
        <w:tc>
          <w:tcPr>
            <w:tcW w:w="2891" w:type="dxa"/>
            <w:vAlign w:val="center"/>
          </w:tcPr>
          <w:p>
            <w:pPr>
              <w:pStyle w:val="14"/>
            </w:pPr>
            <w:r>
              <w:t>对退役帮扶安置人员到位的人数</w:t>
            </w:r>
          </w:p>
        </w:tc>
        <w:tc>
          <w:tcPr>
            <w:tcW w:w="1276" w:type="dxa"/>
            <w:vAlign w:val="center"/>
          </w:tcPr>
          <w:p>
            <w:pPr>
              <w:pStyle w:val="14"/>
            </w:pPr>
            <w:r>
              <w:t>9人</w:t>
            </w:r>
          </w:p>
        </w:tc>
        <w:tc>
          <w:tcPr>
            <w:tcW w:w="1843"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退役安置满意度</w:t>
            </w:r>
          </w:p>
        </w:tc>
        <w:tc>
          <w:tcPr>
            <w:tcW w:w="2891" w:type="dxa"/>
            <w:vAlign w:val="center"/>
          </w:tcPr>
          <w:p>
            <w:pPr>
              <w:pStyle w:val="14"/>
            </w:pPr>
            <w:r>
              <w:t>对退役安置满意和较满意的人数</w:t>
            </w:r>
          </w:p>
        </w:tc>
        <w:tc>
          <w:tcPr>
            <w:tcW w:w="1276" w:type="dxa"/>
            <w:vAlign w:val="center"/>
          </w:tcPr>
          <w:p>
            <w:pPr>
              <w:pStyle w:val="14"/>
            </w:pPr>
            <w:r>
              <w:t>9人</w:t>
            </w:r>
          </w:p>
        </w:tc>
        <w:tc>
          <w:tcPr>
            <w:tcW w:w="1843" w:type="dxa"/>
            <w:vAlign w:val="center"/>
          </w:tcPr>
          <w:p>
            <w:pPr>
              <w:pStyle w:val="14"/>
            </w:pPr>
            <w:r>
              <w:t>鹿办文[2017]31号</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1" w:name="_Toc_4_4_0000000080"/>
      <w:r>
        <w:rPr>
          <w:rFonts w:ascii="方正仿宋_GBK" w:hAnsi="方正仿宋_GBK" w:eastAsia="方正仿宋_GBK" w:cs="方正仿宋_GBK"/>
          <w:color w:val="000000"/>
          <w:sz w:val="28"/>
        </w:rPr>
        <w:t>77.2026年污水管网及泵站管护费绩效目标表</w:t>
      </w:r>
      <w:bookmarkEnd w:id="9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333007石家庄市鹿泉区城市建设服务中心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13011026P00155610166N</w:t>
            </w:r>
          </w:p>
        </w:tc>
        <w:tc>
          <w:tcPr>
            <w:tcW w:w="1587" w:type="dxa"/>
            <w:vAlign w:val="center"/>
          </w:tcPr>
          <w:p>
            <w:pPr>
              <w:pStyle w:val="12"/>
            </w:pPr>
            <w:r>
              <w:t>项目名称</w:t>
            </w:r>
          </w:p>
        </w:tc>
        <w:tc>
          <w:tcPr>
            <w:tcW w:w="4423" w:type="dxa"/>
            <w:gridSpan w:val="3"/>
            <w:vAlign w:val="center"/>
          </w:tcPr>
          <w:p>
            <w:pPr>
              <w:pStyle w:val="14"/>
            </w:pPr>
            <w:r>
              <w:t>2026年污水管网及泵站管护费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200.00</w:t>
            </w:r>
          </w:p>
        </w:tc>
        <w:tc>
          <w:tcPr>
            <w:tcW w:w="1587" w:type="dxa"/>
            <w:vAlign w:val="center"/>
          </w:tcPr>
          <w:p>
            <w:pPr>
              <w:pStyle w:val="12"/>
            </w:pPr>
            <w:r>
              <w:t>其中：财政    资金</w:t>
            </w:r>
          </w:p>
        </w:tc>
        <w:tc>
          <w:tcPr>
            <w:tcW w:w="1304" w:type="dxa"/>
            <w:vAlign w:val="center"/>
          </w:tcPr>
          <w:p>
            <w:pPr>
              <w:pStyle w:val="14"/>
            </w:pPr>
            <w:r>
              <w:t>200.00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寺家庄泵站、对拾里洋房泵站、东北片区污水泵站，西部物流污水管网管护，泵站电费168万元，雇用污水管道巡护人员工资72万元、应急抢修（保障运转）费70万元，共计310万元。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1.寺家庄泵站、对拾里洋房泵站、东北片区污水泵站，西部物流污水管网管护，泵站电费168万元，雇用污水管道巡护人员工资72万元、应急抢修（保障运转）费70万元，共计310万元。</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雇佣人数</w:t>
            </w:r>
          </w:p>
        </w:tc>
        <w:tc>
          <w:tcPr>
            <w:tcW w:w="2891" w:type="dxa"/>
            <w:vAlign w:val="center"/>
          </w:tcPr>
          <w:p>
            <w:pPr>
              <w:pStyle w:val="14"/>
            </w:pPr>
            <w:r>
              <w:t>维护泵站管网运行人员</w:t>
            </w:r>
          </w:p>
        </w:tc>
        <w:tc>
          <w:tcPr>
            <w:tcW w:w="1276" w:type="dxa"/>
            <w:vAlign w:val="center"/>
          </w:tcPr>
          <w:p>
            <w:pPr>
              <w:pStyle w:val="14"/>
            </w:pPr>
            <w:r>
              <w:t>≥30人</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维护管网长度</w:t>
            </w:r>
          </w:p>
        </w:tc>
        <w:tc>
          <w:tcPr>
            <w:tcW w:w="2891" w:type="dxa"/>
            <w:vAlign w:val="center"/>
          </w:tcPr>
          <w:p>
            <w:pPr>
              <w:pStyle w:val="14"/>
            </w:pPr>
            <w:r>
              <w:t>维护泵站污水管网管护长度</w:t>
            </w:r>
          </w:p>
        </w:tc>
        <w:tc>
          <w:tcPr>
            <w:tcW w:w="1276" w:type="dxa"/>
            <w:vAlign w:val="center"/>
          </w:tcPr>
          <w:p>
            <w:pPr>
              <w:pStyle w:val="14"/>
            </w:pPr>
            <w:r>
              <w:t>≥50公里</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维护污水管网及时率</w:t>
            </w:r>
          </w:p>
        </w:tc>
        <w:tc>
          <w:tcPr>
            <w:tcW w:w="2891" w:type="dxa"/>
            <w:vAlign w:val="center"/>
          </w:tcPr>
          <w:p>
            <w:pPr>
              <w:pStyle w:val="14"/>
            </w:pPr>
            <w:r>
              <w:t>维护污水管道损坏及修复及时率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维护泵站管网成本</w:t>
            </w:r>
          </w:p>
        </w:tc>
        <w:tc>
          <w:tcPr>
            <w:tcW w:w="2891" w:type="dxa"/>
            <w:vAlign w:val="center"/>
          </w:tcPr>
          <w:p>
            <w:pPr>
              <w:pStyle w:val="14"/>
            </w:pPr>
            <w:r>
              <w:t>维护泵站、管网日常运行、维修、管护、工资、电费等</w:t>
            </w:r>
          </w:p>
        </w:tc>
        <w:tc>
          <w:tcPr>
            <w:tcW w:w="1276" w:type="dxa"/>
            <w:vAlign w:val="center"/>
          </w:tcPr>
          <w:p>
            <w:pPr>
              <w:pStyle w:val="14"/>
            </w:pPr>
            <w:r>
              <w:t>310万元</w:t>
            </w:r>
          </w:p>
        </w:tc>
        <w:tc>
          <w:tcPr>
            <w:tcW w:w="1843"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维护泵站管网完成率</w:t>
            </w:r>
          </w:p>
        </w:tc>
        <w:tc>
          <w:tcPr>
            <w:tcW w:w="2891" w:type="dxa"/>
            <w:vAlign w:val="center"/>
          </w:tcPr>
          <w:p>
            <w:pPr>
              <w:pStyle w:val="14"/>
            </w:pPr>
            <w:r>
              <w:t>维护泵站管网全年合格率达到百分比</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受益群众满意度（%）</w:t>
            </w:r>
          </w:p>
        </w:tc>
        <w:tc>
          <w:tcPr>
            <w:tcW w:w="2891" w:type="dxa"/>
            <w:vAlign w:val="center"/>
          </w:tcPr>
          <w:p>
            <w:pPr>
              <w:pStyle w:val="14"/>
            </w:pPr>
            <w:r>
              <w:t>收水范围内收益群众满意度</w:t>
            </w:r>
          </w:p>
        </w:tc>
        <w:tc>
          <w:tcPr>
            <w:tcW w:w="1276" w:type="dxa"/>
            <w:vAlign w:val="center"/>
          </w:tcPr>
          <w:p>
            <w:pPr>
              <w:pStyle w:val="14"/>
            </w:pPr>
            <w:r>
              <w:t>95%</w:t>
            </w:r>
          </w:p>
        </w:tc>
        <w:tc>
          <w:tcPr>
            <w:tcW w:w="1843" w:type="dxa"/>
            <w:vAlign w:val="center"/>
          </w:tcPr>
          <w:p>
            <w:pPr>
              <w:pStyle w:val="14"/>
            </w:pPr>
            <w:r>
              <w:t>计划标准</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2" w:name="_Toc_4_4_0000000081"/>
      <w:r>
        <w:rPr>
          <w:rFonts w:ascii="方正仿宋_GBK" w:hAnsi="方正仿宋_GBK" w:eastAsia="方正仿宋_GBK" w:cs="方正仿宋_GBK"/>
          <w:color w:val="000000"/>
          <w:sz w:val="28"/>
        </w:rPr>
        <w:t>78.2026年涉军人员工资及社保绩效目标表</w:t>
      </w:r>
      <w:bookmarkEnd w:id="92"/>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333008石家庄市鹿泉区住房保障和房地产服务中心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13011026P001540100516</w:t>
            </w:r>
          </w:p>
        </w:tc>
        <w:tc>
          <w:tcPr>
            <w:tcW w:w="1587" w:type="dxa"/>
            <w:vAlign w:val="center"/>
          </w:tcPr>
          <w:p>
            <w:pPr>
              <w:pStyle w:val="12"/>
            </w:pPr>
            <w:r>
              <w:t>项目名称</w:t>
            </w:r>
          </w:p>
        </w:tc>
        <w:tc>
          <w:tcPr>
            <w:tcW w:w="4423" w:type="dxa"/>
            <w:gridSpan w:val="3"/>
            <w:vAlign w:val="center"/>
          </w:tcPr>
          <w:p>
            <w:pPr>
              <w:pStyle w:val="14"/>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17.45</w:t>
            </w:r>
          </w:p>
        </w:tc>
        <w:tc>
          <w:tcPr>
            <w:tcW w:w="1587" w:type="dxa"/>
            <w:vAlign w:val="center"/>
          </w:tcPr>
          <w:p>
            <w:pPr>
              <w:pStyle w:val="12"/>
            </w:pPr>
            <w:r>
              <w:t>其中：财政    资金</w:t>
            </w:r>
          </w:p>
        </w:tc>
        <w:tc>
          <w:tcPr>
            <w:tcW w:w="1304" w:type="dxa"/>
            <w:vAlign w:val="center"/>
          </w:tcPr>
          <w:p>
            <w:pPr>
              <w:pStyle w:val="14"/>
            </w:pPr>
            <w:r>
              <w:t>17.45</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"""对符合政府安排工作条件的退役士兵，因下岗失业，生活困难的帮扶救助到位，加大就业援助工作力度，通过公益性岗位予以托管安置。</w:t>
            </w:r>
            <w:r>
              <w:tab/>
            </w:r>
            <w:r>
              <w:tab/>
            </w:r>
            <w:r>
              <w:tab/>
            </w:r>
            <w:r>
              <w:tab/>
            </w:r>
            <w:r>
              <w:tab/>
            </w:r>
            <w:r>
              <w:tab/>
            </w:r>
          </w:p>
          <w:p>
            <w:pPr>
              <w:pStyle w:val="14"/>
            </w:pPr>
            <w:r>
              <w:tab/>
            </w:r>
            <w:r>
              <w:tab/>
            </w:r>
            <w:r>
              <w:tab/>
            </w:r>
            <w:r>
              <w:tab/>
            </w:r>
            <w:r>
              <w:tab/>
            </w:r>
            <w:r>
              <w:tab/>
            </w:r>
          </w:p>
          <w:p>
            <w:pPr>
              <w:pStyle w:val="14"/>
            </w:pPr>
            <w:r>
              <w:tab/>
            </w:r>
            <w:r>
              <w:tab/>
            </w:r>
            <w:r>
              <w:tab/>
            </w:r>
            <w:r>
              <w:tab/>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1."对符合政府安排工作条件的退役士兵，因下岗失业，生活困难的帮扶救助到位，加大就业援助工作力度，通过公益性岗位予以托管安置。</w:t>
            </w:r>
            <w:r>
              <w:tab/>
            </w:r>
            <w:r>
              <w:tab/>
            </w:r>
            <w:r>
              <w:tab/>
            </w:r>
            <w:r>
              <w:tab/>
            </w:r>
            <w:r>
              <w:tab/>
            </w:r>
            <w:r>
              <w:tab/>
            </w:r>
          </w:p>
          <w:p>
            <w:pPr>
              <w:pStyle w:val="14"/>
            </w:pPr>
            <w:r>
              <w:tab/>
            </w:r>
            <w:r>
              <w:tab/>
            </w:r>
            <w:r>
              <w:tab/>
            </w:r>
            <w:r>
              <w:tab/>
            </w:r>
            <w:r>
              <w:tab/>
            </w:r>
            <w:r>
              <w:tab/>
            </w:r>
          </w:p>
          <w:p>
            <w:pPr>
              <w:pStyle w:val="14"/>
            </w:pPr>
            <w:r>
              <w:tab/>
            </w:r>
            <w:r>
              <w:tab/>
            </w:r>
            <w:r>
              <w:tab/>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退役军人公益性岗位工资资金发放到位率</w:t>
            </w:r>
          </w:p>
        </w:tc>
        <w:tc>
          <w:tcPr>
            <w:tcW w:w="2891" w:type="dxa"/>
            <w:vAlign w:val="center"/>
          </w:tcPr>
          <w:p>
            <w:pPr>
              <w:pStyle w:val="14"/>
            </w:pPr>
            <w:r>
              <w:t>保障退役军人公益性岗位工资按时足额发放人数占实际发放人数的比例</w:t>
            </w:r>
          </w:p>
        </w:tc>
        <w:tc>
          <w:tcPr>
            <w:tcW w:w="1276" w:type="dxa"/>
            <w:vAlign w:val="center"/>
          </w:tcPr>
          <w:p>
            <w:pPr>
              <w:pStyle w:val="14"/>
            </w:pPr>
            <w:r>
              <w:t>100%</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安置退役军人公益性岗位人数</w:t>
            </w:r>
          </w:p>
        </w:tc>
        <w:tc>
          <w:tcPr>
            <w:tcW w:w="2891" w:type="dxa"/>
            <w:vAlign w:val="center"/>
          </w:tcPr>
          <w:p>
            <w:pPr>
              <w:pStyle w:val="14"/>
            </w:pPr>
            <w:r>
              <w:t>单位安置退役军人公益性岗位的实际人数</w:t>
            </w:r>
          </w:p>
        </w:tc>
        <w:tc>
          <w:tcPr>
            <w:tcW w:w="1276" w:type="dxa"/>
            <w:vAlign w:val="center"/>
          </w:tcPr>
          <w:p>
            <w:pPr>
              <w:pStyle w:val="14"/>
            </w:pPr>
            <w:r>
              <w:t>3个</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退役军人公益性岗位工资发放及时率</w:t>
            </w:r>
          </w:p>
        </w:tc>
        <w:tc>
          <w:tcPr>
            <w:tcW w:w="2891" w:type="dxa"/>
            <w:vAlign w:val="center"/>
          </w:tcPr>
          <w:p>
            <w:pPr>
              <w:pStyle w:val="14"/>
            </w:pPr>
            <w:r>
              <w:t>保障退役军人公益性岗位工资发放及时的人数占应发放总人数的比率</w:t>
            </w:r>
          </w:p>
        </w:tc>
        <w:tc>
          <w:tcPr>
            <w:tcW w:w="1276" w:type="dxa"/>
            <w:vAlign w:val="center"/>
          </w:tcPr>
          <w:p>
            <w:pPr>
              <w:pStyle w:val="14"/>
            </w:pPr>
            <w:r>
              <w:t>100%</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退役军人公益性岗位资金发放标准</w:t>
            </w:r>
          </w:p>
        </w:tc>
        <w:tc>
          <w:tcPr>
            <w:tcW w:w="2891" w:type="dxa"/>
            <w:vAlign w:val="center"/>
          </w:tcPr>
          <w:p>
            <w:pPr>
              <w:pStyle w:val="14"/>
            </w:pPr>
            <w:r>
              <w:t>对符合条件的退役军人公益性岗位发放的工资金额</w:t>
            </w:r>
          </w:p>
        </w:tc>
        <w:tc>
          <w:tcPr>
            <w:tcW w:w="1276" w:type="dxa"/>
            <w:vAlign w:val="center"/>
          </w:tcPr>
          <w:p>
            <w:pPr>
              <w:pStyle w:val="14"/>
            </w:pPr>
            <w:r>
              <w:t>17.45万元</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托管安置帮扶到位率</w:t>
            </w:r>
          </w:p>
        </w:tc>
        <w:tc>
          <w:tcPr>
            <w:tcW w:w="2891" w:type="dxa"/>
            <w:vAlign w:val="center"/>
          </w:tcPr>
          <w:p>
            <w:pPr>
              <w:pStyle w:val="14"/>
            </w:pPr>
            <w:r>
              <w:t>对退役托管安置帮扶到位人数比率</w:t>
            </w:r>
          </w:p>
        </w:tc>
        <w:tc>
          <w:tcPr>
            <w:tcW w:w="1276" w:type="dxa"/>
            <w:vAlign w:val="center"/>
          </w:tcPr>
          <w:p>
            <w:pPr>
              <w:pStyle w:val="14"/>
            </w:pPr>
            <w:r>
              <w:t>100%</w:t>
            </w:r>
          </w:p>
        </w:tc>
        <w:tc>
          <w:tcPr>
            <w:tcW w:w="1843"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退役军人安置满意度</w:t>
            </w:r>
          </w:p>
        </w:tc>
        <w:tc>
          <w:tcPr>
            <w:tcW w:w="2891" w:type="dxa"/>
            <w:vAlign w:val="center"/>
          </w:tcPr>
          <w:p>
            <w:pPr>
              <w:pStyle w:val="14"/>
            </w:pPr>
            <w:r>
              <w:t>对退役军人安置满意和较满意的人数占总人数的比率</w:t>
            </w:r>
          </w:p>
        </w:tc>
        <w:tc>
          <w:tcPr>
            <w:tcW w:w="1276" w:type="dxa"/>
            <w:vAlign w:val="center"/>
          </w:tcPr>
          <w:p>
            <w:pPr>
              <w:pStyle w:val="14"/>
            </w:pPr>
            <w:r>
              <w:t>100%</w:t>
            </w:r>
          </w:p>
        </w:tc>
        <w:tc>
          <w:tcPr>
            <w:tcW w:w="1843" w:type="dxa"/>
            <w:vAlign w:val="center"/>
          </w:tcPr>
          <w:p>
            <w:pPr>
              <w:pStyle w:val="14"/>
            </w:pPr>
            <w:r>
              <w:t>鹿办文【2017】31号文</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3" w:name="_Toc_4_4_0000000082"/>
      <w:r>
        <w:rPr>
          <w:rFonts w:ascii="方正仿宋_GBK" w:hAnsi="方正仿宋_GBK" w:eastAsia="方正仿宋_GBK" w:cs="方正仿宋_GBK"/>
          <w:color w:val="000000"/>
          <w:sz w:val="28"/>
        </w:rPr>
        <w:t>79.房屋鉴定中心办公经费2026绩效目标表</w:t>
      </w:r>
      <w:bookmarkEnd w:id="93"/>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333008石家庄市鹿泉区住房保障和房地产服务中心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13011026P000011100509</w:t>
            </w:r>
          </w:p>
        </w:tc>
        <w:tc>
          <w:tcPr>
            <w:tcW w:w="1587" w:type="dxa"/>
            <w:vAlign w:val="center"/>
          </w:tcPr>
          <w:p>
            <w:pPr>
              <w:pStyle w:val="12"/>
            </w:pPr>
            <w:r>
              <w:t>项目名称</w:t>
            </w:r>
          </w:p>
        </w:tc>
        <w:tc>
          <w:tcPr>
            <w:tcW w:w="4423" w:type="dxa"/>
            <w:gridSpan w:val="3"/>
            <w:vAlign w:val="center"/>
          </w:tcPr>
          <w:p>
            <w:pPr>
              <w:pStyle w:val="14"/>
            </w:pPr>
            <w:r>
              <w:t>房屋鉴定中心办公经费2026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3.00</w:t>
            </w:r>
          </w:p>
        </w:tc>
        <w:tc>
          <w:tcPr>
            <w:tcW w:w="1587" w:type="dxa"/>
            <w:vAlign w:val="center"/>
          </w:tcPr>
          <w:p>
            <w:pPr>
              <w:pStyle w:val="12"/>
            </w:pPr>
            <w:r>
              <w:t>其中：财政    资金</w:t>
            </w:r>
          </w:p>
        </w:tc>
        <w:tc>
          <w:tcPr>
            <w:tcW w:w="1304" w:type="dxa"/>
            <w:vAlign w:val="center"/>
          </w:tcPr>
          <w:p>
            <w:pPr>
              <w:pStyle w:val="14"/>
            </w:pPr>
            <w:r>
              <w:t>3.00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"""夏季汛期保障危旧房屋隐患排查，冬季防冻减灾保障危旧房屋隐患排查和日常巡查，隐患治理，保障住房安全，避免房屋安全事故发生。</w:t>
            </w:r>
            <w:r>
              <w:tab/>
            </w:r>
            <w:r>
              <w:tab/>
            </w:r>
            <w:r>
              <w:tab/>
            </w:r>
          </w:p>
          <w:p>
            <w:pPr>
              <w:pStyle w:val="14"/>
            </w:pP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1."夏季汛期保障危旧房屋隐患排查，冬季防冻减灾保障危旧房屋隐患排查和日常巡查，隐患治理，保障住房安全，避免房屋安全事故发生。</w:t>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巡查危房栋数</w:t>
            </w:r>
          </w:p>
        </w:tc>
        <w:tc>
          <w:tcPr>
            <w:tcW w:w="2891" w:type="dxa"/>
            <w:vAlign w:val="center"/>
          </w:tcPr>
          <w:p>
            <w:pPr>
              <w:pStyle w:val="14"/>
            </w:pPr>
            <w:r>
              <w:t>未按时完成审计项目数量</w:t>
            </w:r>
          </w:p>
        </w:tc>
        <w:tc>
          <w:tcPr>
            <w:tcW w:w="1276" w:type="dxa"/>
            <w:vAlign w:val="center"/>
          </w:tcPr>
          <w:p>
            <w:pPr>
              <w:pStyle w:val="14"/>
            </w:pPr>
            <w:r>
              <w:t>16栋</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巡查危房按时完成率</w:t>
            </w:r>
          </w:p>
        </w:tc>
        <w:tc>
          <w:tcPr>
            <w:tcW w:w="2891" w:type="dxa"/>
            <w:vAlign w:val="center"/>
          </w:tcPr>
          <w:p>
            <w:pPr>
              <w:pStyle w:val="14"/>
            </w:pPr>
            <w:r>
              <w:t>按时完成安全排查任务数占总排查任务的比例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运转保障率</w:t>
            </w:r>
          </w:p>
        </w:tc>
        <w:tc>
          <w:tcPr>
            <w:tcW w:w="2891" w:type="dxa"/>
            <w:vAlign w:val="center"/>
          </w:tcPr>
          <w:p>
            <w:pPr>
              <w:pStyle w:val="14"/>
            </w:pPr>
            <w:r>
              <w:t>各项日常工作保障率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日常公用经费支出</w:t>
            </w:r>
          </w:p>
        </w:tc>
        <w:tc>
          <w:tcPr>
            <w:tcW w:w="2891" w:type="dxa"/>
            <w:vAlign w:val="center"/>
          </w:tcPr>
          <w:p>
            <w:pPr>
              <w:pStyle w:val="14"/>
            </w:pPr>
            <w:r>
              <w:t>成本控制，办公消耗，车辆使用，宣传牌、条幅制作费用</w:t>
            </w:r>
          </w:p>
        </w:tc>
        <w:tc>
          <w:tcPr>
            <w:tcW w:w="1276" w:type="dxa"/>
            <w:vAlign w:val="center"/>
          </w:tcPr>
          <w:p>
            <w:pPr>
              <w:pStyle w:val="14"/>
            </w:pPr>
            <w:r>
              <w:t>3万元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楼栋隐患排查率</w:t>
            </w:r>
          </w:p>
        </w:tc>
        <w:tc>
          <w:tcPr>
            <w:tcW w:w="2891" w:type="dxa"/>
            <w:vAlign w:val="center"/>
          </w:tcPr>
          <w:p>
            <w:pPr>
              <w:pStyle w:val="14"/>
            </w:pPr>
            <w:r>
              <w:t>已完成鉴定的排除隐患危房数量占全部危房数量的占比</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受益户数</w:t>
            </w:r>
          </w:p>
        </w:tc>
        <w:tc>
          <w:tcPr>
            <w:tcW w:w="2891" w:type="dxa"/>
            <w:vAlign w:val="center"/>
          </w:tcPr>
          <w:p>
            <w:pPr>
              <w:pStyle w:val="14"/>
            </w:pPr>
            <w:r>
              <w:t>已完成鉴定的危房现居住户</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房屋安全事故发生事故</w:t>
            </w:r>
          </w:p>
        </w:tc>
        <w:tc>
          <w:tcPr>
            <w:tcW w:w="2891" w:type="dxa"/>
            <w:vAlign w:val="center"/>
          </w:tcPr>
          <w:p>
            <w:pPr>
              <w:pStyle w:val="14"/>
            </w:pPr>
            <w:r>
              <w:t>通过排查对隐患部位的处理，避免房屋安全事故的发生</w:t>
            </w:r>
          </w:p>
        </w:tc>
        <w:tc>
          <w:tcPr>
            <w:tcW w:w="1276" w:type="dxa"/>
            <w:vAlign w:val="center"/>
          </w:tcPr>
          <w:p>
            <w:pPr>
              <w:pStyle w:val="14"/>
            </w:pPr>
            <w:r>
              <w:t>0次</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保障办公需要，维持单位运转</w:t>
            </w:r>
          </w:p>
        </w:tc>
        <w:tc>
          <w:tcPr>
            <w:tcW w:w="2891" w:type="dxa"/>
            <w:vAlign w:val="center"/>
          </w:tcPr>
          <w:p>
            <w:pPr>
              <w:pStyle w:val="14"/>
            </w:pPr>
            <w:r>
              <w:t>保障日常办公需要，维持单位正常运转</w:t>
            </w:r>
          </w:p>
        </w:tc>
        <w:tc>
          <w:tcPr>
            <w:tcW w:w="1276" w:type="dxa"/>
            <w:vAlign w:val="center"/>
          </w:tcPr>
          <w:p>
            <w:pPr>
              <w:pStyle w:val="14"/>
            </w:pPr>
            <w:r>
              <w:t>维持单位运转</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危旧房屋现居住户的满意度</w:t>
            </w:r>
          </w:p>
        </w:tc>
        <w:tc>
          <w:tcPr>
            <w:tcW w:w="2891" w:type="dxa"/>
            <w:vAlign w:val="center"/>
          </w:tcPr>
          <w:p>
            <w:pPr>
              <w:pStyle w:val="14"/>
            </w:pPr>
            <w:r>
              <w:t>危旧房屋现居住户的满意度占居住户的比例</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4" w:name="_Toc_4_4_0000000083"/>
      <w:r>
        <w:rPr>
          <w:rFonts w:ascii="方正仿宋_GBK" w:hAnsi="方正仿宋_GBK" w:eastAsia="方正仿宋_GBK" w:cs="方正仿宋_GBK"/>
          <w:color w:val="000000"/>
          <w:sz w:val="28"/>
        </w:rPr>
        <w:t>80.网络专线2026绩效目标表</w:t>
      </w:r>
      <w:bookmarkEnd w:id="94"/>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333008石家庄市鹿泉区住房保障和房地产服务中心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13011026P000011100463</w:t>
            </w:r>
          </w:p>
        </w:tc>
        <w:tc>
          <w:tcPr>
            <w:tcW w:w="1587" w:type="dxa"/>
            <w:vAlign w:val="center"/>
          </w:tcPr>
          <w:p>
            <w:pPr>
              <w:pStyle w:val="12"/>
            </w:pPr>
            <w:r>
              <w:t>项目名称</w:t>
            </w:r>
          </w:p>
        </w:tc>
        <w:tc>
          <w:tcPr>
            <w:tcW w:w="4423" w:type="dxa"/>
            <w:gridSpan w:val="3"/>
            <w:vAlign w:val="center"/>
          </w:tcPr>
          <w:p>
            <w:pPr>
              <w:pStyle w:val="14"/>
            </w:pPr>
            <w:r>
              <w:t>网络专线2026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5.52</w:t>
            </w:r>
          </w:p>
        </w:tc>
        <w:tc>
          <w:tcPr>
            <w:tcW w:w="1587" w:type="dxa"/>
            <w:vAlign w:val="center"/>
          </w:tcPr>
          <w:p>
            <w:pPr>
              <w:pStyle w:val="12"/>
            </w:pPr>
            <w:r>
              <w:t>其中：财政    资金</w:t>
            </w:r>
          </w:p>
        </w:tc>
        <w:tc>
          <w:tcPr>
            <w:tcW w:w="1304" w:type="dxa"/>
            <w:vAlign w:val="center"/>
          </w:tcPr>
          <w:p>
            <w:pPr>
              <w:pStyle w:val="14"/>
            </w:pPr>
            <w:r>
              <w:t>5.52</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"""租用通信专网，确保我单位与不动产登记中心联合办公正常传输房屋信息数据</w:t>
            </w:r>
            <w:r>
              <w:tab/>
            </w:r>
          </w:p>
          <w:p>
            <w:pPr>
              <w:pStyle w:val="14"/>
            </w:pP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1."租用通信专网，确保我单位与不动产登记中心联合办公正常传输房屋信息数据</w:t>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专网费用</w:t>
            </w:r>
          </w:p>
        </w:tc>
        <w:tc>
          <w:tcPr>
            <w:tcW w:w="2891" w:type="dxa"/>
            <w:vAlign w:val="center"/>
          </w:tcPr>
          <w:p>
            <w:pPr>
              <w:pStyle w:val="14"/>
            </w:pPr>
            <w:r>
              <w:t>市房管局系统专线费用</w:t>
            </w:r>
          </w:p>
        </w:tc>
        <w:tc>
          <w:tcPr>
            <w:tcW w:w="1276" w:type="dxa"/>
            <w:vAlign w:val="center"/>
          </w:tcPr>
          <w:p>
            <w:pPr>
              <w:pStyle w:val="14"/>
            </w:pPr>
            <w:r>
              <w:t>2.4万元/年</w:t>
            </w:r>
          </w:p>
        </w:tc>
        <w:tc>
          <w:tcPr>
            <w:tcW w:w="1843" w:type="dxa"/>
            <w:vAlign w:val="center"/>
          </w:tcPr>
          <w:p>
            <w:pPr>
              <w:pStyle w:val="14"/>
            </w:pPr>
            <w:r>
              <w:t>网络资费</w:t>
            </w:r>
          </w:p>
        </w:tc>
      </w:tr>
      <w:tr>
        <w:tblPrEx>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专网费用</w:t>
            </w:r>
          </w:p>
        </w:tc>
        <w:tc>
          <w:tcPr>
            <w:tcW w:w="2891" w:type="dxa"/>
            <w:vAlign w:val="center"/>
          </w:tcPr>
          <w:p>
            <w:pPr>
              <w:pStyle w:val="14"/>
            </w:pPr>
            <w:r>
              <w:t>智慧广场不动产信息共享专线费</w:t>
            </w:r>
          </w:p>
        </w:tc>
        <w:tc>
          <w:tcPr>
            <w:tcW w:w="1276" w:type="dxa"/>
            <w:vAlign w:val="center"/>
          </w:tcPr>
          <w:p>
            <w:pPr>
              <w:pStyle w:val="14"/>
            </w:pPr>
            <w:r>
              <w:t>2.4万元/年</w:t>
            </w:r>
          </w:p>
        </w:tc>
        <w:tc>
          <w:tcPr>
            <w:tcW w:w="1843" w:type="dxa"/>
            <w:vAlign w:val="center"/>
          </w:tcPr>
          <w:p>
            <w:pPr>
              <w:pStyle w:val="14"/>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专网费用</w:t>
            </w:r>
          </w:p>
        </w:tc>
        <w:tc>
          <w:tcPr>
            <w:tcW w:w="2891" w:type="dxa"/>
            <w:vAlign w:val="center"/>
          </w:tcPr>
          <w:p>
            <w:pPr>
              <w:pStyle w:val="14"/>
            </w:pPr>
            <w:r>
              <w:t>审批局专线费用</w:t>
            </w:r>
          </w:p>
        </w:tc>
        <w:tc>
          <w:tcPr>
            <w:tcW w:w="1276" w:type="dxa"/>
            <w:vAlign w:val="center"/>
          </w:tcPr>
          <w:p>
            <w:pPr>
              <w:pStyle w:val="14"/>
            </w:pPr>
            <w:r>
              <w:t>1.08万元/年</w:t>
            </w:r>
          </w:p>
        </w:tc>
        <w:tc>
          <w:tcPr>
            <w:tcW w:w="1843" w:type="dxa"/>
            <w:vAlign w:val="center"/>
          </w:tcPr>
          <w:p>
            <w:pPr>
              <w:pStyle w:val="14"/>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专网数量</w:t>
            </w:r>
          </w:p>
        </w:tc>
        <w:tc>
          <w:tcPr>
            <w:tcW w:w="2891" w:type="dxa"/>
            <w:vAlign w:val="center"/>
          </w:tcPr>
          <w:p>
            <w:pPr>
              <w:pStyle w:val="14"/>
            </w:pPr>
            <w:r>
              <w:t>联通两条、电信一条</w:t>
            </w:r>
          </w:p>
        </w:tc>
        <w:tc>
          <w:tcPr>
            <w:tcW w:w="1276" w:type="dxa"/>
            <w:vAlign w:val="center"/>
          </w:tcPr>
          <w:p>
            <w:pPr>
              <w:pStyle w:val="14"/>
            </w:pPr>
            <w:r>
              <w:t>3条</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系统故障率</w:t>
            </w:r>
          </w:p>
        </w:tc>
        <w:tc>
          <w:tcPr>
            <w:tcW w:w="2891" w:type="dxa"/>
            <w:vAlign w:val="center"/>
          </w:tcPr>
          <w:p>
            <w:pPr>
              <w:pStyle w:val="14"/>
            </w:pPr>
            <w:r>
              <w:t>网络专线出现故障时间与总运行时间的比例</w:t>
            </w:r>
          </w:p>
        </w:tc>
        <w:tc>
          <w:tcPr>
            <w:tcW w:w="1276" w:type="dxa"/>
            <w:vAlign w:val="center"/>
          </w:tcPr>
          <w:p>
            <w:pPr>
              <w:pStyle w:val="14"/>
            </w:pPr>
            <w:r>
              <w:t>≤1%</w:t>
            </w:r>
          </w:p>
        </w:tc>
        <w:tc>
          <w:tcPr>
            <w:tcW w:w="1843" w:type="dxa"/>
            <w:vAlign w:val="center"/>
          </w:tcPr>
          <w:p>
            <w:pPr>
              <w:pStyle w:val="14"/>
            </w:pPr>
            <w:r>
              <w:t>工作计划</w:t>
            </w:r>
          </w:p>
        </w:tc>
      </w:tr>
      <w:tr>
        <w:tblPrEx>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系统运行维护响应时间</w:t>
            </w:r>
          </w:p>
        </w:tc>
        <w:tc>
          <w:tcPr>
            <w:tcW w:w="2891" w:type="dxa"/>
            <w:vAlign w:val="center"/>
          </w:tcPr>
          <w:p>
            <w:pPr>
              <w:pStyle w:val="14"/>
            </w:pPr>
            <w:r>
              <w:t>保障24小时专线网络畅通</w:t>
            </w:r>
          </w:p>
        </w:tc>
        <w:tc>
          <w:tcPr>
            <w:tcW w:w="1276" w:type="dxa"/>
            <w:vAlign w:val="center"/>
          </w:tcPr>
          <w:p>
            <w:pPr>
              <w:pStyle w:val="14"/>
            </w:pPr>
            <w:r>
              <w:t>24小时/天</w:t>
            </w:r>
          </w:p>
        </w:tc>
        <w:tc>
          <w:tcPr>
            <w:tcW w:w="1843" w:type="dxa"/>
            <w:vAlign w:val="center"/>
          </w:tcPr>
          <w:p>
            <w:pPr>
              <w:pStyle w:val="14"/>
            </w:pPr>
            <w:r>
              <w:t>通信公司服务标准</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长期使用性</w:t>
            </w:r>
          </w:p>
        </w:tc>
        <w:tc>
          <w:tcPr>
            <w:tcW w:w="2891" w:type="dxa"/>
            <w:vAlign w:val="center"/>
          </w:tcPr>
          <w:p>
            <w:pPr>
              <w:pStyle w:val="14"/>
            </w:pPr>
            <w:r>
              <w:t>确保我单位与不动产登记中心联合办公正常进行并且数据互通，业务及时、有效地办理</w:t>
            </w:r>
          </w:p>
        </w:tc>
        <w:tc>
          <w:tcPr>
            <w:tcW w:w="1276" w:type="dxa"/>
            <w:vAlign w:val="center"/>
          </w:tcPr>
          <w:p>
            <w:pPr>
              <w:pStyle w:val="14"/>
            </w:pPr>
            <w:r>
              <w:t>确保我单位与不动产登记中心联合办公正常进行并且数据互通，业务及时有效地办理</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满意和较满意人数占被调查人数的比例</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5" w:name="_Toc_4_4_0000000084"/>
      <w:r>
        <w:rPr>
          <w:rFonts w:ascii="方正仿宋_GBK" w:hAnsi="方正仿宋_GBK" w:eastAsia="方正仿宋_GBK" w:cs="方正仿宋_GBK"/>
          <w:color w:val="000000"/>
          <w:sz w:val="28"/>
        </w:rPr>
        <w:t>81.维修资金信息专网2026绩效目标表</w:t>
      </w:r>
      <w:bookmarkEnd w:id="95"/>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333008石家庄市鹿泉区住房保障和房地产服务中心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13011026P00001110048A</w:t>
            </w:r>
          </w:p>
        </w:tc>
        <w:tc>
          <w:tcPr>
            <w:tcW w:w="1587" w:type="dxa"/>
            <w:vAlign w:val="center"/>
          </w:tcPr>
          <w:p>
            <w:pPr>
              <w:pStyle w:val="12"/>
            </w:pPr>
            <w:r>
              <w:t>项目名称</w:t>
            </w:r>
          </w:p>
        </w:tc>
        <w:tc>
          <w:tcPr>
            <w:tcW w:w="4423" w:type="dxa"/>
            <w:gridSpan w:val="3"/>
            <w:vAlign w:val="center"/>
          </w:tcPr>
          <w:p>
            <w:pPr>
              <w:pStyle w:val="14"/>
            </w:pPr>
            <w:r>
              <w:t>维修资金信息专网2026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3.20</w:t>
            </w:r>
          </w:p>
        </w:tc>
        <w:tc>
          <w:tcPr>
            <w:tcW w:w="1587" w:type="dxa"/>
            <w:vAlign w:val="center"/>
          </w:tcPr>
          <w:p>
            <w:pPr>
              <w:pStyle w:val="12"/>
            </w:pPr>
            <w:r>
              <w:t>其中：财政    资金</w:t>
            </w:r>
          </w:p>
        </w:tc>
        <w:tc>
          <w:tcPr>
            <w:tcW w:w="1304" w:type="dxa"/>
            <w:vAlign w:val="center"/>
          </w:tcPr>
          <w:p>
            <w:pPr>
              <w:pStyle w:val="14"/>
            </w:pPr>
            <w:r>
              <w:t>3.20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维修资金窗口每年受理案件数约14余万件，此项费用是为了确保维修资金1个模块的正常运行，保持网络稳定，保障业务正常办理、工作正常运转。</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1.维修资金窗口每年受理案件数约14余万件，此项费用是为了确保维修资金1个模块的正常运行，保持网络稳定，保障业务正常办理、工作正常运转。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电子票据系统维护</w:t>
            </w:r>
          </w:p>
        </w:tc>
        <w:tc>
          <w:tcPr>
            <w:tcW w:w="2891" w:type="dxa"/>
            <w:vAlign w:val="center"/>
          </w:tcPr>
          <w:p>
            <w:pPr>
              <w:pStyle w:val="14"/>
            </w:pPr>
            <w:r>
              <w:t>维修资金信息系统中电子票据系统维护费</w:t>
            </w:r>
          </w:p>
        </w:tc>
        <w:tc>
          <w:tcPr>
            <w:tcW w:w="1276" w:type="dxa"/>
            <w:vAlign w:val="center"/>
          </w:tcPr>
          <w:p>
            <w:pPr>
              <w:pStyle w:val="14"/>
            </w:pPr>
            <w:r>
              <w:t>3.2万元/年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涉及业务模块数量</w:t>
            </w:r>
          </w:p>
        </w:tc>
        <w:tc>
          <w:tcPr>
            <w:tcW w:w="2891" w:type="dxa"/>
            <w:vAlign w:val="center"/>
          </w:tcPr>
          <w:p>
            <w:pPr>
              <w:pStyle w:val="14"/>
            </w:pPr>
            <w:r>
              <w:t>电子票据模块</w:t>
            </w:r>
          </w:p>
        </w:tc>
        <w:tc>
          <w:tcPr>
            <w:tcW w:w="1276" w:type="dxa"/>
            <w:vAlign w:val="center"/>
          </w:tcPr>
          <w:p>
            <w:pPr>
              <w:pStyle w:val="14"/>
            </w:pPr>
            <w:r>
              <w:t>1个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维修资金业务处理及时性</w:t>
            </w:r>
          </w:p>
        </w:tc>
        <w:tc>
          <w:tcPr>
            <w:tcW w:w="2891" w:type="dxa"/>
            <w:vAlign w:val="center"/>
          </w:tcPr>
          <w:p>
            <w:pPr>
              <w:pStyle w:val="14"/>
            </w:pPr>
            <w:r>
              <w:t>及时处理业务数占总处理数的比率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系统使用合格率</w:t>
            </w:r>
          </w:p>
        </w:tc>
        <w:tc>
          <w:tcPr>
            <w:tcW w:w="2891" w:type="dxa"/>
            <w:vAlign w:val="center"/>
          </w:tcPr>
          <w:p>
            <w:pPr>
              <w:pStyle w:val="14"/>
            </w:pPr>
            <w:r>
              <w:t>系统模块维护按时完成的数量占需要维护系统模块的比例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硬件设备和系统均可正常使用</w:t>
            </w:r>
          </w:p>
        </w:tc>
        <w:tc>
          <w:tcPr>
            <w:tcW w:w="2891" w:type="dxa"/>
            <w:vAlign w:val="center"/>
          </w:tcPr>
          <w:p>
            <w:pPr>
              <w:pStyle w:val="14"/>
            </w:pPr>
            <w:r>
              <w:t>保障维修资金缴存相关业务全天24小时正常进行</w:t>
            </w:r>
          </w:p>
        </w:tc>
        <w:tc>
          <w:tcPr>
            <w:tcW w:w="1276" w:type="dxa"/>
            <w:vAlign w:val="center"/>
          </w:tcPr>
          <w:p>
            <w:pPr>
              <w:pStyle w:val="14"/>
            </w:pPr>
            <w:r>
              <w:t>24小时/天</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长期使用性</w:t>
            </w:r>
          </w:p>
        </w:tc>
        <w:tc>
          <w:tcPr>
            <w:tcW w:w="2891" w:type="dxa"/>
            <w:vAlign w:val="center"/>
          </w:tcPr>
          <w:p>
            <w:pPr>
              <w:pStyle w:val="14"/>
            </w:pPr>
            <w:r>
              <w:t>保障网络和数据安全的时间</w:t>
            </w:r>
          </w:p>
        </w:tc>
        <w:tc>
          <w:tcPr>
            <w:tcW w:w="1276" w:type="dxa"/>
            <w:vAlign w:val="center"/>
          </w:tcPr>
          <w:p>
            <w:pPr>
              <w:pStyle w:val="14"/>
            </w:pPr>
            <w:r>
              <w:t>长期</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提高业务办事效率，让群众等待时间短、跑腿次数少</w:t>
            </w:r>
          </w:p>
        </w:tc>
        <w:tc>
          <w:tcPr>
            <w:tcW w:w="1276" w:type="dxa"/>
            <w:vAlign w:val="center"/>
          </w:tcPr>
          <w:p>
            <w:pPr>
              <w:pStyle w:val="14"/>
            </w:pPr>
            <w:r>
              <w:t>100%</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6" w:name="_Toc_4_4_0000000085"/>
      <w:r>
        <w:rPr>
          <w:rFonts w:ascii="方正仿宋_GBK" w:hAnsi="方正仿宋_GBK" w:eastAsia="方正仿宋_GBK" w:cs="方正仿宋_GBK"/>
          <w:color w:val="000000"/>
          <w:sz w:val="28"/>
        </w:rPr>
        <w:t>82.信息维护费2026绩效目标表</w:t>
      </w:r>
      <w:bookmarkEnd w:id="96"/>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333008石家庄市鹿泉区住房保障和房地产服务中心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13011026P00001110047N</w:t>
            </w:r>
          </w:p>
        </w:tc>
        <w:tc>
          <w:tcPr>
            <w:tcW w:w="1587" w:type="dxa"/>
            <w:vAlign w:val="center"/>
          </w:tcPr>
          <w:p>
            <w:pPr>
              <w:pStyle w:val="12"/>
            </w:pPr>
            <w:r>
              <w:t>项目名称</w:t>
            </w:r>
          </w:p>
        </w:tc>
        <w:tc>
          <w:tcPr>
            <w:tcW w:w="4423" w:type="dxa"/>
            <w:gridSpan w:val="3"/>
            <w:vAlign w:val="center"/>
          </w:tcPr>
          <w:p>
            <w:pPr>
              <w:pStyle w:val="14"/>
            </w:pPr>
            <w:r>
              <w:t>信息维护费2026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3.84</w:t>
            </w:r>
          </w:p>
        </w:tc>
        <w:tc>
          <w:tcPr>
            <w:tcW w:w="1587" w:type="dxa"/>
            <w:vAlign w:val="center"/>
          </w:tcPr>
          <w:p>
            <w:pPr>
              <w:pStyle w:val="12"/>
            </w:pPr>
            <w:r>
              <w:t>其中：财政    资金</w:t>
            </w:r>
          </w:p>
        </w:tc>
        <w:tc>
          <w:tcPr>
            <w:tcW w:w="1304" w:type="dxa"/>
            <w:vAlign w:val="center"/>
          </w:tcPr>
          <w:p>
            <w:pPr>
              <w:pStyle w:val="14"/>
            </w:pPr>
            <w:r>
              <w:t>3.84</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为了保障存量房过户、房产抵押业务、房产交易备案等相关业务全天24小时正常进行，确保与不动产对接数据信息畅通，准确，保障业务正常办理，工作正常运转</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1.为了保障存量房过户、房产抵押业务、房产交易备案等相关业务全天24小时正常进行，确保与不动产对接数据信息畅通，准确，保障业务正常办理，工作正常运转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系统数据维护达标标准</w:t>
            </w:r>
          </w:p>
        </w:tc>
        <w:tc>
          <w:tcPr>
            <w:tcW w:w="2891" w:type="dxa"/>
            <w:vAlign w:val="center"/>
          </w:tcPr>
          <w:p>
            <w:pPr>
              <w:pStyle w:val="14"/>
            </w:pPr>
            <w:r>
              <w:t>符合相关技术标准和数据管理规范，控制维护进度和质量</w:t>
            </w:r>
          </w:p>
        </w:tc>
        <w:tc>
          <w:tcPr>
            <w:tcW w:w="1276" w:type="dxa"/>
            <w:vAlign w:val="center"/>
          </w:tcPr>
          <w:p>
            <w:pPr>
              <w:pStyle w:val="14"/>
            </w:pPr>
            <w:r>
              <w:t>符合数据库管理相关规定及国家标准</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系统维护办结案件的数量</w:t>
            </w:r>
          </w:p>
        </w:tc>
        <w:tc>
          <w:tcPr>
            <w:tcW w:w="2891" w:type="dxa"/>
            <w:vAlign w:val="center"/>
          </w:tcPr>
          <w:p>
            <w:pPr>
              <w:pStyle w:val="14"/>
            </w:pPr>
            <w:r>
              <w:t>接收案件数量占所有办结案件数量的比例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系统维护按时完成率</w:t>
            </w:r>
          </w:p>
        </w:tc>
        <w:tc>
          <w:tcPr>
            <w:tcW w:w="2891" w:type="dxa"/>
            <w:vAlign w:val="center"/>
          </w:tcPr>
          <w:p>
            <w:pPr>
              <w:pStyle w:val="14"/>
            </w:pPr>
            <w:r>
              <w:t>系统维护数据按时完成的数量占需要维护系统数据的比例</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系统维护成本</w:t>
            </w:r>
          </w:p>
        </w:tc>
        <w:tc>
          <w:tcPr>
            <w:tcW w:w="2891" w:type="dxa"/>
            <w:vAlign w:val="center"/>
          </w:tcPr>
          <w:p>
            <w:pPr>
              <w:pStyle w:val="14"/>
            </w:pPr>
            <w:r>
              <w:t>与不动产对接中间库系统、数据维护费用</w:t>
            </w:r>
          </w:p>
        </w:tc>
        <w:tc>
          <w:tcPr>
            <w:tcW w:w="1276" w:type="dxa"/>
            <w:vAlign w:val="center"/>
          </w:tcPr>
          <w:p>
            <w:pPr>
              <w:pStyle w:val="14"/>
            </w:pPr>
            <w:r>
              <w:t>3.84万元/年</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业务正常进行时间</w:t>
            </w:r>
          </w:p>
        </w:tc>
        <w:tc>
          <w:tcPr>
            <w:tcW w:w="2891" w:type="dxa"/>
            <w:vAlign w:val="center"/>
          </w:tcPr>
          <w:p>
            <w:pPr>
              <w:pStyle w:val="14"/>
            </w:pPr>
            <w:r>
              <w:t>保障存量房过户、房产抵押业务、房产交易备案等相关业务全天24小时正常进行</w:t>
            </w:r>
          </w:p>
        </w:tc>
        <w:tc>
          <w:tcPr>
            <w:tcW w:w="1276" w:type="dxa"/>
            <w:vAlign w:val="center"/>
          </w:tcPr>
          <w:p>
            <w:pPr>
              <w:pStyle w:val="14"/>
            </w:pPr>
            <w:r>
              <w:t>24小时/天</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系统故障恢复时限</w:t>
            </w:r>
          </w:p>
        </w:tc>
        <w:tc>
          <w:tcPr>
            <w:tcW w:w="2891" w:type="dxa"/>
            <w:vAlign w:val="center"/>
          </w:tcPr>
          <w:p>
            <w:pPr>
              <w:pStyle w:val="14"/>
            </w:pPr>
            <w:r>
              <w:t>系统出现故障后及时修复的时间</w:t>
            </w:r>
          </w:p>
        </w:tc>
        <w:tc>
          <w:tcPr>
            <w:tcW w:w="1276" w:type="dxa"/>
            <w:vAlign w:val="center"/>
          </w:tcPr>
          <w:p>
            <w:pPr>
              <w:pStyle w:val="14"/>
            </w:pPr>
            <w:r>
              <w:t>≤24小时</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长期使用性</w:t>
            </w:r>
          </w:p>
        </w:tc>
        <w:tc>
          <w:tcPr>
            <w:tcW w:w="2891" w:type="dxa"/>
            <w:vAlign w:val="center"/>
          </w:tcPr>
          <w:p>
            <w:pPr>
              <w:pStyle w:val="14"/>
            </w:pPr>
            <w:r>
              <w:t>保障网络和数据安全的时间</w:t>
            </w:r>
          </w:p>
        </w:tc>
        <w:tc>
          <w:tcPr>
            <w:tcW w:w="1276" w:type="dxa"/>
            <w:vAlign w:val="center"/>
          </w:tcPr>
          <w:p>
            <w:pPr>
              <w:pStyle w:val="14"/>
            </w:pPr>
            <w:r>
              <w:t>长期</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提高业务办事效率，让群众等待时间短、跑腿次数少</w:t>
            </w:r>
          </w:p>
        </w:tc>
        <w:tc>
          <w:tcPr>
            <w:tcW w:w="1276" w:type="dxa"/>
            <w:vAlign w:val="center"/>
          </w:tcPr>
          <w:p>
            <w:pPr>
              <w:pStyle w:val="14"/>
            </w:pPr>
            <w:r>
              <w:t>100%</w:t>
            </w:r>
          </w:p>
        </w:tc>
        <w:tc>
          <w:tcPr>
            <w:tcW w:w="1843" w:type="dxa"/>
            <w:vAlign w:val="center"/>
          </w:tcPr>
          <w:p>
            <w:pPr>
              <w:pStyle w:val="14"/>
            </w:pPr>
            <w:r>
              <w:t>工作计划</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7" w:name="_Toc_4_4_0000000086"/>
      <w:r>
        <w:rPr>
          <w:rFonts w:ascii="方正仿宋_GBK" w:hAnsi="方正仿宋_GBK" w:eastAsia="方正仿宋_GBK" w:cs="方正仿宋_GBK"/>
          <w:color w:val="000000"/>
          <w:sz w:val="28"/>
        </w:rPr>
        <w:t>83.租赁中心办公经费2026绩效目标表</w:t>
      </w:r>
      <w:bookmarkEnd w:id="97"/>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333008石家庄市鹿泉区住房保障和房地产服务中心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13011026P00001110049X</w:t>
            </w:r>
          </w:p>
        </w:tc>
        <w:tc>
          <w:tcPr>
            <w:tcW w:w="1587" w:type="dxa"/>
            <w:vAlign w:val="center"/>
          </w:tcPr>
          <w:p>
            <w:pPr>
              <w:pStyle w:val="12"/>
            </w:pPr>
            <w:r>
              <w:t>项目名称</w:t>
            </w:r>
          </w:p>
        </w:tc>
        <w:tc>
          <w:tcPr>
            <w:tcW w:w="4423" w:type="dxa"/>
            <w:gridSpan w:val="3"/>
            <w:vAlign w:val="center"/>
          </w:tcPr>
          <w:p>
            <w:pPr>
              <w:pStyle w:val="14"/>
            </w:pPr>
            <w:r>
              <w:t>租赁中心办公经费2026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7.00</w:t>
            </w:r>
          </w:p>
        </w:tc>
        <w:tc>
          <w:tcPr>
            <w:tcW w:w="1587" w:type="dxa"/>
            <w:vAlign w:val="center"/>
          </w:tcPr>
          <w:p>
            <w:pPr>
              <w:pStyle w:val="12"/>
            </w:pPr>
            <w:r>
              <w:t>其中：财政    资金</w:t>
            </w:r>
          </w:p>
        </w:tc>
        <w:tc>
          <w:tcPr>
            <w:tcW w:w="1304" w:type="dxa"/>
            <w:vAlign w:val="center"/>
          </w:tcPr>
          <w:p>
            <w:pPr>
              <w:pStyle w:val="14"/>
            </w:pPr>
            <w:r>
              <w:t>7.00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"""保障15人办公经费正常运转，对租赁房源日常监管、抽查、普及试点政策，促进租赁市场正常开展工作，保证工作有效进行。</w:t>
            </w:r>
            <w:r>
              <w:tab/>
            </w:r>
            <w:r>
              <w:tab/>
            </w:r>
            <w:r>
              <w:tab/>
            </w:r>
            <w:r>
              <w:tab/>
            </w:r>
            <w:r>
              <w:tab/>
            </w:r>
            <w:r>
              <w:tab/>
            </w:r>
          </w:p>
          <w:p>
            <w:pPr>
              <w:pStyle w:val="14"/>
            </w:pP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1."保障15人办公经费正常运转，对租赁房源日常监管、抽查、普及试点政策，促进租赁市场正常开展工作，保证工作有效进行。</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成本指标</w:t>
            </w:r>
          </w:p>
        </w:tc>
        <w:tc>
          <w:tcPr>
            <w:tcW w:w="1332" w:type="dxa"/>
            <w:vAlign w:val="center"/>
          </w:tcPr>
          <w:p>
            <w:pPr>
              <w:pStyle w:val="14"/>
            </w:pPr>
            <w:r>
              <w:t>日常公用经费支出</w:t>
            </w:r>
          </w:p>
        </w:tc>
        <w:tc>
          <w:tcPr>
            <w:tcW w:w="2891" w:type="dxa"/>
            <w:vAlign w:val="center"/>
          </w:tcPr>
          <w:p>
            <w:pPr>
              <w:pStyle w:val="14"/>
            </w:pPr>
            <w:r>
              <w:t>办公费、水电费、交通费、会议费、工会经费、招待费及其他公用经费的支出</w:t>
            </w:r>
          </w:p>
        </w:tc>
        <w:tc>
          <w:tcPr>
            <w:tcW w:w="1276" w:type="dxa"/>
            <w:vAlign w:val="center"/>
          </w:tcPr>
          <w:p>
            <w:pPr>
              <w:pStyle w:val="14"/>
            </w:pPr>
            <w:r>
              <w:t>10万元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保障办公人数</w:t>
            </w:r>
          </w:p>
        </w:tc>
        <w:tc>
          <w:tcPr>
            <w:tcW w:w="2891" w:type="dxa"/>
            <w:vAlign w:val="center"/>
          </w:tcPr>
          <w:p>
            <w:pPr>
              <w:pStyle w:val="14"/>
            </w:pPr>
            <w:r>
              <w:t>保障办公人数</w:t>
            </w:r>
          </w:p>
        </w:tc>
        <w:tc>
          <w:tcPr>
            <w:tcW w:w="1276" w:type="dxa"/>
            <w:vAlign w:val="center"/>
          </w:tcPr>
          <w:p>
            <w:pPr>
              <w:pStyle w:val="14"/>
            </w:pPr>
            <w:r>
              <w:t>10人</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运转保障率</w:t>
            </w:r>
          </w:p>
        </w:tc>
        <w:tc>
          <w:tcPr>
            <w:tcW w:w="2891" w:type="dxa"/>
            <w:vAlign w:val="center"/>
          </w:tcPr>
          <w:p>
            <w:pPr>
              <w:pStyle w:val="14"/>
            </w:pPr>
            <w:r>
              <w:t>各项日常工作保障率</w:t>
            </w:r>
          </w:p>
        </w:tc>
        <w:tc>
          <w:tcPr>
            <w:tcW w:w="1276" w:type="dxa"/>
            <w:vAlign w:val="center"/>
          </w:tcPr>
          <w:p>
            <w:pPr>
              <w:pStyle w:val="14"/>
            </w:pPr>
            <w:r>
              <w:t>100%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经费保障及时</w:t>
            </w:r>
          </w:p>
        </w:tc>
        <w:tc>
          <w:tcPr>
            <w:tcW w:w="2891" w:type="dxa"/>
            <w:vAlign w:val="center"/>
          </w:tcPr>
          <w:p>
            <w:pPr>
              <w:pStyle w:val="14"/>
            </w:pPr>
            <w:r>
              <w:t>及时保障各项日常办公需要</w:t>
            </w:r>
          </w:p>
        </w:tc>
        <w:tc>
          <w:tcPr>
            <w:tcW w:w="1276" w:type="dxa"/>
            <w:vAlign w:val="center"/>
          </w:tcPr>
          <w:p>
            <w:pPr>
              <w:pStyle w:val="14"/>
            </w:pPr>
            <w:r>
              <w:t>及时保障</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保障日常办公需要，维持单位正常运啊转</w:t>
            </w:r>
          </w:p>
        </w:tc>
        <w:tc>
          <w:tcPr>
            <w:tcW w:w="2891" w:type="dxa"/>
            <w:vAlign w:val="center"/>
          </w:tcPr>
          <w:p>
            <w:pPr>
              <w:pStyle w:val="14"/>
            </w:pPr>
            <w:r>
              <w:t>保障日常办公需要，维持单位正常运转</w:t>
            </w:r>
          </w:p>
        </w:tc>
        <w:tc>
          <w:tcPr>
            <w:tcW w:w="1276" w:type="dxa"/>
            <w:vAlign w:val="center"/>
          </w:tcPr>
          <w:p>
            <w:pPr>
              <w:pStyle w:val="14"/>
            </w:pPr>
            <w:r>
              <w:t>维持单位正常运转</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使用和服务对象满意度</w:t>
            </w:r>
          </w:p>
        </w:tc>
        <w:tc>
          <w:tcPr>
            <w:tcW w:w="2891" w:type="dxa"/>
            <w:vAlign w:val="center"/>
          </w:tcPr>
          <w:p>
            <w:pPr>
              <w:pStyle w:val="14"/>
            </w:pPr>
            <w:r>
              <w:t>使用和服务对象满意度</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8" w:name="_Toc_4_4_0000000087"/>
      <w:r>
        <w:rPr>
          <w:rFonts w:ascii="方正仿宋_GBK" w:hAnsi="方正仿宋_GBK" w:eastAsia="方正仿宋_GBK" w:cs="方正仿宋_GBK"/>
          <w:color w:val="000000"/>
          <w:sz w:val="28"/>
        </w:rPr>
        <w:t>84.2026保障性住房维修绩效目标表</w:t>
      </w:r>
      <w:bookmarkEnd w:id="98"/>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333009石家庄市鹿泉区廉租住房和经济适用住房管理中心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13011026P00161910002K</w:t>
            </w:r>
          </w:p>
        </w:tc>
        <w:tc>
          <w:tcPr>
            <w:tcW w:w="1587" w:type="dxa"/>
            <w:vAlign w:val="center"/>
          </w:tcPr>
          <w:p>
            <w:pPr>
              <w:pStyle w:val="12"/>
            </w:pPr>
            <w:r>
              <w:t>项目名称</w:t>
            </w:r>
          </w:p>
        </w:tc>
        <w:tc>
          <w:tcPr>
            <w:tcW w:w="4423" w:type="dxa"/>
            <w:gridSpan w:val="3"/>
            <w:vAlign w:val="center"/>
          </w:tcPr>
          <w:p>
            <w:pPr>
              <w:pStyle w:val="14"/>
            </w:pPr>
            <w:r>
              <w:t>2026保障性住房维修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w:t>
            </w:r>
          </w:p>
        </w:tc>
        <w:tc>
          <w:tcPr>
            <w:tcW w:w="1587" w:type="dxa"/>
            <w:vAlign w:val="center"/>
          </w:tcPr>
          <w:p>
            <w:pPr>
              <w:pStyle w:val="12"/>
            </w:pPr>
            <w:r>
              <w:t>其中：财政    资金</w:t>
            </w:r>
          </w:p>
        </w:tc>
        <w:tc>
          <w:tcPr>
            <w:tcW w:w="1304" w:type="dxa"/>
            <w:vAlign w:val="center"/>
          </w:tcPr>
          <w:p>
            <w:pPr>
              <w:pStyle w:val="14"/>
            </w:pPr>
            <w:r>
              <w:t>20.00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 xml:space="preserve">根据冀财综【2008】60号文，为更快建设成为保障房智能化小区，日常维修等费用。  </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 xml:space="preserve">1.根据冀财综【2008】60号文，为更快建设成为保障房智能化小区，日常维修等费用。  </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日常维护维修</w:t>
            </w:r>
          </w:p>
        </w:tc>
        <w:tc>
          <w:tcPr>
            <w:tcW w:w="2891" w:type="dxa"/>
            <w:vAlign w:val="center"/>
          </w:tcPr>
          <w:p>
            <w:pPr>
              <w:pStyle w:val="14"/>
            </w:pPr>
            <w:r>
              <w:t>日常管理维修维护户数</w:t>
            </w:r>
          </w:p>
        </w:tc>
        <w:tc>
          <w:tcPr>
            <w:tcW w:w="1276" w:type="dxa"/>
            <w:vAlign w:val="center"/>
          </w:tcPr>
          <w:p>
            <w:pPr>
              <w:pStyle w:val="14"/>
            </w:pPr>
            <w:r>
              <w:t>349套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维修维护覆盖率</w:t>
            </w:r>
          </w:p>
        </w:tc>
        <w:tc>
          <w:tcPr>
            <w:tcW w:w="2891" w:type="dxa"/>
            <w:vAlign w:val="center"/>
          </w:tcPr>
          <w:p>
            <w:pPr>
              <w:pStyle w:val="14"/>
            </w:pPr>
            <w:r>
              <w:t>维修维护覆盖率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房屋维修维护费</w:t>
            </w:r>
          </w:p>
        </w:tc>
        <w:tc>
          <w:tcPr>
            <w:tcW w:w="2891" w:type="dxa"/>
            <w:vAlign w:val="center"/>
          </w:tcPr>
          <w:p>
            <w:pPr>
              <w:pStyle w:val="14"/>
            </w:pPr>
            <w:r>
              <w:t>房屋维修维护费</w:t>
            </w:r>
          </w:p>
        </w:tc>
        <w:tc>
          <w:tcPr>
            <w:tcW w:w="1276" w:type="dxa"/>
            <w:vAlign w:val="center"/>
          </w:tcPr>
          <w:p>
            <w:pPr>
              <w:pStyle w:val="14"/>
            </w:pPr>
            <w:r>
              <w:t>100万元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资金拨付及时率</w:t>
            </w:r>
          </w:p>
        </w:tc>
        <w:tc>
          <w:tcPr>
            <w:tcW w:w="2891" w:type="dxa"/>
            <w:vAlign w:val="center"/>
          </w:tcPr>
          <w:p>
            <w:pPr>
              <w:pStyle w:val="14"/>
            </w:pPr>
            <w:r>
              <w:t>资金拨付及时率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受补助人群生活水平提高程度</w:t>
            </w:r>
          </w:p>
        </w:tc>
        <w:tc>
          <w:tcPr>
            <w:tcW w:w="2891" w:type="dxa"/>
            <w:vAlign w:val="center"/>
          </w:tcPr>
          <w:p>
            <w:pPr>
              <w:pStyle w:val="14"/>
            </w:pPr>
            <w:r>
              <w:t>保障户人群生活水平提高程度</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受益群体满意度</w:t>
            </w:r>
          </w:p>
        </w:tc>
        <w:tc>
          <w:tcPr>
            <w:tcW w:w="2891" w:type="dxa"/>
            <w:vAlign w:val="center"/>
          </w:tcPr>
          <w:p>
            <w:pPr>
              <w:pStyle w:val="14"/>
            </w:pPr>
            <w:r>
              <w:t>受益群体满意度</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9" w:name="_Toc_4_4_0000000088"/>
      <w:r>
        <w:rPr>
          <w:rFonts w:ascii="方正仿宋_GBK" w:hAnsi="方正仿宋_GBK" w:eastAsia="方正仿宋_GBK" w:cs="方正仿宋_GBK"/>
          <w:color w:val="000000"/>
          <w:sz w:val="28"/>
        </w:rPr>
        <w:t>85.2026公共租赁住房租金返还绩效目标表</w:t>
      </w:r>
      <w:bookmarkEnd w:id="99"/>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333009石家庄市鹿泉区廉租住房和经济适用住房管理中心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13011026P00161710016J</w:t>
            </w:r>
          </w:p>
        </w:tc>
        <w:tc>
          <w:tcPr>
            <w:tcW w:w="1587" w:type="dxa"/>
            <w:vAlign w:val="center"/>
          </w:tcPr>
          <w:p>
            <w:pPr>
              <w:pStyle w:val="12"/>
            </w:pPr>
            <w:r>
              <w:t>项目名称</w:t>
            </w:r>
          </w:p>
        </w:tc>
        <w:tc>
          <w:tcPr>
            <w:tcW w:w="4423" w:type="dxa"/>
            <w:gridSpan w:val="3"/>
            <w:vAlign w:val="center"/>
          </w:tcPr>
          <w:p>
            <w:pPr>
              <w:pStyle w:val="14"/>
            </w:pPr>
            <w:r>
              <w:t>2026公共租赁住房租金返还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30.00</w:t>
            </w:r>
          </w:p>
        </w:tc>
        <w:tc>
          <w:tcPr>
            <w:tcW w:w="1587" w:type="dxa"/>
            <w:vAlign w:val="center"/>
          </w:tcPr>
          <w:p>
            <w:pPr>
              <w:pStyle w:val="12"/>
            </w:pPr>
            <w:r>
              <w:t>其中：财政    资金</w:t>
            </w:r>
          </w:p>
        </w:tc>
        <w:tc>
          <w:tcPr>
            <w:tcW w:w="1304" w:type="dxa"/>
            <w:vAlign w:val="center"/>
          </w:tcPr>
          <w:p>
            <w:pPr>
              <w:pStyle w:val="14"/>
            </w:pPr>
            <w:r>
              <w:t>30.00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1168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1.1168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4"/>
            </w:pPr>
          </w:p>
          <w:p>
            <w:pPr>
              <w:pStyle w:val="14"/>
            </w:pP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补贴户数</w:t>
            </w:r>
          </w:p>
        </w:tc>
        <w:tc>
          <w:tcPr>
            <w:tcW w:w="2891" w:type="dxa"/>
            <w:vAlign w:val="center"/>
          </w:tcPr>
          <w:p>
            <w:pPr>
              <w:pStyle w:val="14"/>
            </w:pPr>
            <w:r>
              <w:t>发放租金补贴户数</w:t>
            </w:r>
          </w:p>
        </w:tc>
        <w:tc>
          <w:tcPr>
            <w:tcW w:w="1276" w:type="dxa"/>
            <w:vAlign w:val="center"/>
          </w:tcPr>
          <w:p>
            <w:pPr>
              <w:pStyle w:val="14"/>
            </w:pPr>
            <w:r>
              <w:t>≥1168户</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补贴发放覆盖率</w:t>
            </w:r>
          </w:p>
        </w:tc>
        <w:tc>
          <w:tcPr>
            <w:tcW w:w="2891" w:type="dxa"/>
            <w:vAlign w:val="center"/>
          </w:tcPr>
          <w:p>
            <w:pPr>
              <w:pStyle w:val="14"/>
            </w:pPr>
            <w:r>
              <w:t>补贴发放覆盖率</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廉租住房和公共租赁住房补贴标准</w:t>
            </w:r>
          </w:p>
          <w:p>
            <w:pPr>
              <w:pStyle w:val="14"/>
            </w:pPr>
          </w:p>
        </w:tc>
        <w:tc>
          <w:tcPr>
            <w:tcW w:w="2891" w:type="dxa"/>
            <w:vAlign w:val="center"/>
          </w:tcPr>
          <w:p>
            <w:pPr>
              <w:pStyle w:val="14"/>
            </w:pPr>
            <w:r>
              <w:t>补贴发放标准</w:t>
            </w:r>
          </w:p>
          <w:p>
            <w:pPr>
              <w:pStyle w:val="14"/>
            </w:pPr>
          </w:p>
        </w:tc>
        <w:tc>
          <w:tcPr>
            <w:tcW w:w="1276" w:type="dxa"/>
            <w:vAlign w:val="center"/>
          </w:tcPr>
          <w:p>
            <w:pPr>
              <w:pStyle w:val="14"/>
            </w:pPr>
            <w:r>
              <w:t>廉租补助和公租补助发放标准</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补贴发放时间</w:t>
            </w:r>
          </w:p>
        </w:tc>
        <w:tc>
          <w:tcPr>
            <w:tcW w:w="2891" w:type="dxa"/>
            <w:vAlign w:val="center"/>
          </w:tcPr>
          <w:p>
            <w:pPr>
              <w:pStyle w:val="14"/>
            </w:pPr>
            <w:r>
              <w:t>补贴发放时间</w:t>
            </w:r>
          </w:p>
        </w:tc>
        <w:tc>
          <w:tcPr>
            <w:tcW w:w="1276" w:type="dxa"/>
            <w:vAlign w:val="center"/>
          </w:tcPr>
          <w:p>
            <w:pPr>
              <w:pStyle w:val="14"/>
            </w:pPr>
            <w:r>
              <w:t>按规定时间及时发放</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受补助人群生活水平提高程度</w:t>
            </w:r>
          </w:p>
        </w:tc>
        <w:tc>
          <w:tcPr>
            <w:tcW w:w="2891" w:type="dxa"/>
            <w:vAlign w:val="center"/>
          </w:tcPr>
          <w:p>
            <w:pPr>
              <w:pStyle w:val="14"/>
            </w:pPr>
            <w:r>
              <w:t>受补助人群生活水平提高程度</w:t>
            </w:r>
          </w:p>
        </w:tc>
        <w:tc>
          <w:tcPr>
            <w:tcW w:w="1276" w:type="dxa"/>
            <w:vAlign w:val="center"/>
          </w:tcPr>
          <w:p>
            <w:pPr>
              <w:pStyle w:val="14"/>
            </w:pPr>
            <w:r>
              <w:t>生活水平提高</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补贴人员满意度</w:t>
            </w:r>
          </w:p>
        </w:tc>
        <w:tc>
          <w:tcPr>
            <w:tcW w:w="2891" w:type="dxa"/>
            <w:vAlign w:val="center"/>
          </w:tcPr>
          <w:p>
            <w:pPr>
              <w:pStyle w:val="14"/>
            </w:pPr>
            <w:r>
              <w:t>补贴人员满意程度</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0" w:name="_Toc_4_4_0000000089"/>
      <w:r>
        <w:rPr>
          <w:rFonts w:ascii="方正仿宋_GBK" w:hAnsi="方正仿宋_GBK" w:eastAsia="方正仿宋_GBK" w:cs="方正仿宋_GBK"/>
          <w:color w:val="000000"/>
          <w:sz w:val="28"/>
        </w:rPr>
        <w:t>86.2026提取廉租房住房保障资金绩效目标表</w:t>
      </w:r>
      <w:bookmarkEnd w:id="100"/>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333009石家庄市鹿泉区廉租住房和经济适用住房管理中心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13011026P00161710015Y</w:t>
            </w:r>
          </w:p>
        </w:tc>
        <w:tc>
          <w:tcPr>
            <w:tcW w:w="1587" w:type="dxa"/>
            <w:vAlign w:val="center"/>
          </w:tcPr>
          <w:p>
            <w:pPr>
              <w:pStyle w:val="12"/>
            </w:pPr>
            <w:r>
              <w:t>项目名称</w:t>
            </w:r>
          </w:p>
        </w:tc>
        <w:tc>
          <w:tcPr>
            <w:tcW w:w="4423" w:type="dxa"/>
            <w:gridSpan w:val="3"/>
            <w:vAlign w:val="center"/>
          </w:tcPr>
          <w:p>
            <w:pPr>
              <w:pStyle w:val="14"/>
            </w:pPr>
            <w:r>
              <w:t>2026提取廉租房住房保障资金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500.00</w:t>
            </w:r>
          </w:p>
        </w:tc>
        <w:tc>
          <w:tcPr>
            <w:tcW w:w="1587" w:type="dxa"/>
            <w:vAlign w:val="center"/>
          </w:tcPr>
          <w:p>
            <w:pPr>
              <w:pStyle w:val="12"/>
            </w:pPr>
            <w:r>
              <w:t>其中：财政    资金</w:t>
            </w:r>
          </w:p>
        </w:tc>
        <w:tc>
          <w:tcPr>
            <w:tcW w:w="1304" w:type="dxa"/>
            <w:vAlign w:val="center"/>
          </w:tcPr>
          <w:p>
            <w:pPr>
              <w:pStyle w:val="14"/>
            </w:pPr>
            <w:r>
              <w:t>500.00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4"/>
            </w:pPr>
            <w:r>
              <w:t>购买保障性租赁住房约126套，未解决新市民和新青年居住问题，减轻新市民及新青年生活负担，提高生活质量。</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1.购买保障性租赁住房约126套，未解决新市民和新青年居住问题，减轻新市民及新青年生活负担，提高生活质量。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房屋达到竣工验收合格</w:t>
            </w:r>
          </w:p>
        </w:tc>
        <w:tc>
          <w:tcPr>
            <w:tcW w:w="2891" w:type="dxa"/>
            <w:vAlign w:val="center"/>
          </w:tcPr>
          <w:p>
            <w:pPr>
              <w:pStyle w:val="14"/>
            </w:pPr>
            <w:r>
              <w:t>房屋达到竣工验收合格</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保障性租赁住房套数</w:t>
            </w:r>
          </w:p>
        </w:tc>
        <w:tc>
          <w:tcPr>
            <w:tcW w:w="2891" w:type="dxa"/>
            <w:vAlign w:val="center"/>
          </w:tcPr>
          <w:p>
            <w:pPr>
              <w:pStyle w:val="14"/>
            </w:pPr>
            <w:r>
              <w:t>保障性租赁住房套数</w:t>
            </w:r>
          </w:p>
        </w:tc>
        <w:tc>
          <w:tcPr>
            <w:tcW w:w="1276" w:type="dxa"/>
            <w:vAlign w:val="center"/>
          </w:tcPr>
          <w:p>
            <w:pPr>
              <w:pStyle w:val="14"/>
            </w:pPr>
            <w:r>
              <w:t>≤126套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购买保障性租赁住房标准</w:t>
            </w:r>
          </w:p>
        </w:tc>
        <w:tc>
          <w:tcPr>
            <w:tcW w:w="2891" w:type="dxa"/>
            <w:vAlign w:val="center"/>
          </w:tcPr>
          <w:p>
            <w:pPr>
              <w:pStyle w:val="14"/>
            </w:pPr>
            <w:r>
              <w:t>购买保障性租赁住房标准</w:t>
            </w:r>
          </w:p>
        </w:tc>
        <w:tc>
          <w:tcPr>
            <w:tcW w:w="1276" w:type="dxa"/>
            <w:vAlign w:val="center"/>
          </w:tcPr>
          <w:p>
            <w:pPr>
              <w:pStyle w:val="14"/>
            </w:pPr>
            <w:r>
              <w:t>≤1000万元</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购买时间</w:t>
            </w:r>
          </w:p>
        </w:tc>
        <w:tc>
          <w:tcPr>
            <w:tcW w:w="2891" w:type="dxa"/>
            <w:vAlign w:val="center"/>
          </w:tcPr>
          <w:p>
            <w:pPr>
              <w:pStyle w:val="14"/>
            </w:pPr>
            <w:r>
              <w:t>购买时间</w:t>
            </w:r>
          </w:p>
        </w:tc>
        <w:tc>
          <w:tcPr>
            <w:tcW w:w="1276" w:type="dxa"/>
            <w:vAlign w:val="center"/>
          </w:tcPr>
          <w:p>
            <w:pPr>
              <w:pStyle w:val="14"/>
            </w:pPr>
            <w:r>
              <w:t>准备4月份购买</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解决新市民新青年居住问题</w:t>
            </w:r>
          </w:p>
        </w:tc>
        <w:tc>
          <w:tcPr>
            <w:tcW w:w="2891" w:type="dxa"/>
            <w:vAlign w:val="center"/>
          </w:tcPr>
          <w:p>
            <w:pPr>
              <w:pStyle w:val="14"/>
            </w:pPr>
            <w:r>
              <w:t>解决新市民新青年居住问题</w:t>
            </w:r>
          </w:p>
        </w:tc>
        <w:tc>
          <w:tcPr>
            <w:tcW w:w="1276" w:type="dxa"/>
            <w:vAlign w:val="center"/>
          </w:tcPr>
          <w:p>
            <w:pPr>
              <w:pStyle w:val="14"/>
            </w:pPr>
            <w:r>
              <w:t>减轻生活负担，提高生活质量</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租户满意度</w:t>
            </w:r>
          </w:p>
        </w:tc>
        <w:tc>
          <w:tcPr>
            <w:tcW w:w="2891" w:type="dxa"/>
            <w:vAlign w:val="center"/>
          </w:tcPr>
          <w:p>
            <w:pPr>
              <w:pStyle w:val="14"/>
            </w:pPr>
            <w:r>
              <w:t>租户对保障性租赁住房满意程度</w:t>
            </w:r>
          </w:p>
        </w:tc>
        <w:tc>
          <w:tcPr>
            <w:tcW w:w="1276" w:type="dxa"/>
            <w:vAlign w:val="center"/>
          </w:tcPr>
          <w:p>
            <w:pPr>
              <w:pStyle w:val="14"/>
            </w:pPr>
            <w:r>
              <w:t>≥95%</w:t>
            </w:r>
          </w:p>
        </w:tc>
        <w:tc>
          <w:tcPr>
            <w:tcW w:w="1843" w:type="dxa"/>
            <w:vAlign w:val="center"/>
          </w:tcPr>
          <w:p>
            <w:pPr>
              <w:pStyle w:val="14"/>
            </w:pPr>
            <w:r>
              <w:t>历史数据</w:t>
            </w:r>
          </w:p>
        </w:tc>
      </w:tr>
    </w:tbl>
    <w:p>
      <w:pPr>
        <w:sectPr>
          <w:pgSz w:w="11900" w:h="16840"/>
          <w:pgMar w:top="1984" w:right="1304" w:bottom="1134" w:left="1304" w:header="720" w:footer="720" w:gutter="0"/>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1" w:name="_Toc_4_4_0000000090"/>
      <w:r>
        <w:rPr>
          <w:rFonts w:ascii="方正仿宋_GBK" w:hAnsi="方正仿宋_GBK" w:eastAsia="方正仿宋_GBK" w:cs="方正仿宋_GBK"/>
          <w:color w:val="000000"/>
          <w:sz w:val="28"/>
        </w:rPr>
        <w:t>87.2026悦麓兰庭和翠屏龙苑人才公寓家具家电附属设施绩效目标表</w:t>
      </w:r>
      <w:bookmarkEnd w:id="101"/>
    </w:p>
    <w:tbl>
      <w:tblPr>
        <w:tblStyle w:val="6"/>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8"/>
            </w:pPr>
            <w:r>
              <w:t>333009石家庄市鹿泉区廉租住房和经济适用住房管理中心</w:t>
            </w:r>
          </w:p>
        </w:tc>
        <w:tc>
          <w:tcPr>
            <w:tcW w:w="1843" w:type="dxa"/>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13011026P001617100176</w:t>
            </w:r>
          </w:p>
        </w:tc>
        <w:tc>
          <w:tcPr>
            <w:tcW w:w="1587" w:type="dxa"/>
            <w:vAlign w:val="center"/>
          </w:tcPr>
          <w:p>
            <w:pPr>
              <w:pStyle w:val="12"/>
            </w:pPr>
            <w:r>
              <w:t>项目名称</w:t>
            </w:r>
          </w:p>
        </w:tc>
        <w:tc>
          <w:tcPr>
            <w:tcW w:w="4423" w:type="dxa"/>
            <w:gridSpan w:val="3"/>
            <w:vAlign w:val="center"/>
          </w:tcPr>
          <w:p>
            <w:pPr>
              <w:pStyle w:val="14"/>
            </w:pPr>
            <w:r>
              <w:t>2026悦麓兰庭和翠屏龙苑人才公寓家具家电附属设施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16.89</w:t>
            </w:r>
          </w:p>
        </w:tc>
        <w:tc>
          <w:tcPr>
            <w:tcW w:w="1587" w:type="dxa"/>
            <w:vAlign w:val="center"/>
          </w:tcPr>
          <w:p>
            <w:pPr>
              <w:pStyle w:val="12"/>
            </w:pPr>
            <w:r>
              <w:t>其中：财政    资金</w:t>
            </w:r>
          </w:p>
        </w:tc>
        <w:tc>
          <w:tcPr>
            <w:tcW w:w="1304" w:type="dxa"/>
            <w:vAlign w:val="center"/>
          </w:tcPr>
          <w:p>
            <w:pPr>
              <w:pStyle w:val="14"/>
            </w:pPr>
            <w:r>
              <w:t>16.89</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87" w:hRule="atLeast"/>
          <w:jc w:val="center"/>
        </w:trPr>
        <w:tc>
          <w:tcPr>
            <w:tcW w:w="1276" w:type="dxa"/>
            <w:vMerge w:val="continue"/>
          </w:tcPr>
          <w:p/>
        </w:tc>
        <w:tc>
          <w:tcPr>
            <w:tcW w:w="8618" w:type="dxa"/>
            <w:gridSpan w:val="6"/>
            <w:vAlign w:val="center"/>
          </w:tcPr>
          <w:p>
            <w:pPr>
              <w:pStyle w:val="14"/>
            </w:pPr>
            <w:r>
              <w:t>"申请241.24万用于装修64套人才公寓家具家电等附属设施，装修完成后分配使用</w:t>
            </w:r>
          </w:p>
          <w:p>
            <w:pPr>
              <w:pStyle w:val="14"/>
            </w:pPr>
            <w:r>
              <w:t>"</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9"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8" w:type="dxa"/>
            <w:gridSpan w:val="6"/>
            <w:vAlign w:val="center"/>
          </w:tcPr>
          <w:p>
            <w:pPr>
              <w:pStyle w:val="14"/>
            </w:pPr>
            <w:r>
              <w:t>1.申请241.24万用于装修64套人才公寓家具家电等附属设施，装修完成后分配使用</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6"/>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人才公寓附属设备验收合格率</w:t>
            </w:r>
          </w:p>
        </w:tc>
        <w:tc>
          <w:tcPr>
            <w:tcW w:w="2891" w:type="dxa"/>
            <w:vAlign w:val="center"/>
          </w:tcPr>
          <w:p>
            <w:pPr>
              <w:pStyle w:val="14"/>
            </w:pPr>
            <w:r>
              <w:t>人才公寓内部公共设施装修</w:t>
            </w:r>
          </w:p>
        </w:tc>
        <w:tc>
          <w:tcPr>
            <w:tcW w:w="1276" w:type="dxa"/>
            <w:vAlign w:val="center"/>
          </w:tcPr>
          <w:p>
            <w:pPr>
              <w:pStyle w:val="14"/>
            </w:pPr>
            <w:r>
              <w:t>100%</w:t>
            </w:r>
          </w:p>
        </w:tc>
        <w:tc>
          <w:tcPr>
            <w:tcW w:w="1843" w:type="dxa"/>
            <w:vAlign w:val="center"/>
          </w:tcPr>
          <w:p>
            <w:pPr>
              <w:pStyle w:val="14"/>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人才公寓装修数量</w:t>
            </w:r>
          </w:p>
        </w:tc>
        <w:tc>
          <w:tcPr>
            <w:tcW w:w="2891" w:type="dxa"/>
            <w:vAlign w:val="center"/>
          </w:tcPr>
          <w:p>
            <w:pPr>
              <w:pStyle w:val="14"/>
            </w:pPr>
            <w:r>
              <w:t>人才公寓装修数量</w:t>
            </w:r>
          </w:p>
        </w:tc>
        <w:tc>
          <w:tcPr>
            <w:tcW w:w="1276" w:type="dxa"/>
            <w:vAlign w:val="center"/>
          </w:tcPr>
          <w:p>
            <w:pPr>
              <w:pStyle w:val="14"/>
            </w:pPr>
            <w:r>
              <w:t>64套</w:t>
            </w:r>
          </w:p>
        </w:tc>
        <w:tc>
          <w:tcPr>
            <w:tcW w:w="1843" w:type="dxa"/>
            <w:vAlign w:val="center"/>
          </w:tcPr>
          <w:p>
            <w:pPr>
              <w:pStyle w:val="14"/>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人才公寓装修成本</w:t>
            </w:r>
          </w:p>
        </w:tc>
        <w:tc>
          <w:tcPr>
            <w:tcW w:w="2891" w:type="dxa"/>
            <w:vAlign w:val="center"/>
          </w:tcPr>
          <w:p>
            <w:pPr>
              <w:pStyle w:val="14"/>
            </w:pPr>
            <w:r>
              <w:t>人才公寓装修成本</w:t>
            </w:r>
          </w:p>
        </w:tc>
        <w:tc>
          <w:tcPr>
            <w:tcW w:w="1276" w:type="dxa"/>
            <w:vAlign w:val="center"/>
          </w:tcPr>
          <w:p>
            <w:pPr>
              <w:pStyle w:val="14"/>
            </w:pPr>
            <w:r>
              <w:t>241.24万元</w:t>
            </w:r>
          </w:p>
        </w:tc>
        <w:tc>
          <w:tcPr>
            <w:tcW w:w="1843" w:type="dxa"/>
            <w:vAlign w:val="center"/>
          </w:tcPr>
          <w:p>
            <w:pPr>
              <w:pStyle w:val="14"/>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工作任务完成及时率</w:t>
            </w:r>
          </w:p>
        </w:tc>
        <w:tc>
          <w:tcPr>
            <w:tcW w:w="2891" w:type="dxa"/>
            <w:vAlign w:val="center"/>
          </w:tcPr>
          <w:p>
            <w:pPr>
              <w:pStyle w:val="14"/>
            </w:pPr>
            <w:r>
              <w:t>人才公寓装修完成及时率</w:t>
            </w:r>
          </w:p>
        </w:tc>
        <w:tc>
          <w:tcPr>
            <w:tcW w:w="1276" w:type="dxa"/>
            <w:vAlign w:val="center"/>
          </w:tcPr>
          <w:p>
            <w:pPr>
              <w:pStyle w:val="14"/>
            </w:pPr>
            <w:r>
              <w:t>100%</w:t>
            </w:r>
          </w:p>
        </w:tc>
        <w:tc>
          <w:tcPr>
            <w:tcW w:w="1843" w:type="dxa"/>
            <w:vAlign w:val="center"/>
          </w:tcPr>
          <w:p>
            <w:pPr>
              <w:pStyle w:val="14"/>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长期使用性</w:t>
            </w:r>
          </w:p>
        </w:tc>
        <w:tc>
          <w:tcPr>
            <w:tcW w:w="2891" w:type="dxa"/>
            <w:vAlign w:val="center"/>
          </w:tcPr>
          <w:p>
            <w:pPr>
              <w:pStyle w:val="14"/>
            </w:pPr>
            <w:r>
              <w:t>能够长期较好地满足人民群众的需求</w:t>
            </w:r>
          </w:p>
        </w:tc>
        <w:tc>
          <w:tcPr>
            <w:tcW w:w="1276" w:type="dxa"/>
            <w:vAlign w:val="center"/>
          </w:tcPr>
          <w:p>
            <w:pPr>
              <w:pStyle w:val="14"/>
            </w:pPr>
            <w:r>
              <w:t>长期保持</w:t>
            </w:r>
          </w:p>
        </w:tc>
        <w:tc>
          <w:tcPr>
            <w:tcW w:w="1843" w:type="dxa"/>
            <w:vAlign w:val="center"/>
          </w:tcPr>
          <w:p>
            <w:pPr>
              <w:pStyle w:val="14"/>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改善公寓住房条件</w:t>
            </w:r>
          </w:p>
        </w:tc>
        <w:tc>
          <w:tcPr>
            <w:tcW w:w="2891" w:type="dxa"/>
            <w:vAlign w:val="center"/>
          </w:tcPr>
          <w:p>
            <w:pPr>
              <w:pStyle w:val="14"/>
            </w:pPr>
            <w:r>
              <w:t>改善住房条件</w:t>
            </w:r>
          </w:p>
        </w:tc>
        <w:tc>
          <w:tcPr>
            <w:tcW w:w="1276" w:type="dxa"/>
            <w:vAlign w:val="center"/>
          </w:tcPr>
          <w:p>
            <w:pPr>
              <w:pStyle w:val="14"/>
            </w:pPr>
            <w:r>
              <w:t>装修设施达到全部完工</w:t>
            </w:r>
          </w:p>
        </w:tc>
        <w:tc>
          <w:tcPr>
            <w:tcW w:w="1843" w:type="dxa"/>
            <w:vAlign w:val="center"/>
          </w:tcPr>
          <w:p>
            <w:pPr>
              <w:pStyle w:val="14"/>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群众对各种配套实施设备器材的满意度</w:t>
            </w:r>
          </w:p>
        </w:tc>
        <w:tc>
          <w:tcPr>
            <w:tcW w:w="2891" w:type="dxa"/>
            <w:vAlign w:val="center"/>
          </w:tcPr>
          <w:p>
            <w:pPr>
              <w:pStyle w:val="14"/>
            </w:pPr>
            <w:r>
              <w:t>对附属设施及硬件设施的满意度</w:t>
            </w:r>
          </w:p>
        </w:tc>
        <w:tc>
          <w:tcPr>
            <w:tcW w:w="1276" w:type="dxa"/>
            <w:vAlign w:val="center"/>
          </w:tcPr>
          <w:p>
            <w:pPr>
              <w:pStyle w:val="14"/>
            </w:pPr>
            <w:r>
              <w:t>100%</w:t>
            </w:r>
          </w:p>
        </w:tc>
        <w:tc>
          <w:tcPr>
            <w:tcW w:w="1843" w:type="dxa"/>
            <w:vAlign w:val="center"/>
          </w:tcPr>
          <w:p>
            <w:pPr>
              <w:pStyle w:val="14"/>
            </w:pPr>
            <w:r>
              <w:t>石住建办【2019】54号文</w:t>
            </w:r>
          </w:p>
        </w:tc>
      </w:tr>
    </w:tbl>
    <w:p/>
    <w:p>
      <w:pPr>
        <w:spacing w:before="10" w:after="10"/>
        <w:ind w:firstLine="640"/>
        <w:outlineLvl w:val="2"/>
      </w:pPr>
      <w:bookmarkStart w:id="102" w:name="_Toc_3_3_0000000017"/>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bookmarkEnd w:id="102"/>
    </w:p>
    <w:p>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1624.68</w:t>
            </w:r>
          </w:p>
        </w:tc>
        <w:tc>
          <w:tcPr>
            <w:tcW w:w="964" w:type="dxa"/>
            <w:vAlign w:val="center"/>
          </w:tcPr>
          <w:p>
            <w:pPr>
              <w:pStyle w:val="17"/>
            </w:pPr>
            <w:r>
              <w:t>1624.68</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1624.68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石家庄市鹿泉区住房和城乡建设局本级小计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1538.36</w:t>
            </w:r>
          </w:p>
        </w:tc>
        <w:tc>
          <w:tcPr>
            <w:tcW w:w="964" w:type="dxa"/>
            <w:vAlign w:val="center"/>
          </w:tcPr>
          <w:p>
            <w:pPr>
              <w:pStyle w:val="17"/>
            </w:pPr>
            <w:r>
              <w:t>1538.36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1538.36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129.60</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0.32</w:t>
            </w:r>
          </w:p>
        </w:tc>
        <w:tc>
          <w:tcPr>
            <w:tcW w:w="964" w:type="dxa"/>
            <w:vAlign w:val="center"/>
          </w:tcPr>
          <w:p>
            <w:pPr>
              <w:pStyle w:val="13"/>
            </w:pPr>
            <w:r>
              <w:t>0.64</w:t>
            </w:r>
          </w:p>
        </w:tc>
        <w:tc>
          <w:tcPr>
            <w:tcW w:w="964" w:type="dxa"/>
            <w:vAlign w:val="center"/>
          </w:tcPr>
          <w:p>
            <w:pPr>
              <w:pStyle w:val="13"/>
            </w:pPr>
            <w:r>
              <w:t>0.64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0.64</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129.60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1.88</w:t>
            </w:r>
          </w:p>
        </w:tc>
        <w:tc>
          <w:tcPr>
            <w:tcW w:w="964" w:type="dxa"/>
            <w:vAlign w:val="center"/>
          </w:tcPr>
          <w:p>
            <w:pPr>
              <w:pStyle w:val="13"/>
            </w:pPr>
            <w:r>
              <w:t>3.76</w:t>
            </w:r>
          </w:p>
        </w:tc>
        <w:tc>
          <w:tcPr>
            <w:tcW w:w="964" w:type="dxa"/>
            <w:vAlign w:val="center"/>
          </w:tcPr>
          <w:p>
            <w:pPr>
              <w:pStyle w:val="13"/>
            </w:pPr>
            <w:r>
              <w:t>3.76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129.60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0.50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8.40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w:t>
            </w:r>
          </w:p>
        </w:tc>
        <w:tc>
          <w:tcPr>
            <w:tcW w:w="850" w:type="dxa"/>
            <w:vAlign w:val="center"/>
          </w:tcPr>
          <w:p>
            <w:pPr>
              <w:pStyle w:val="13"/>
            </w:pPr>
            <w:r>
              <w:t>0.60</w:t>
            </w:r>
          </w:p>
        </w:tc>
        <w:tc>
          <w:tcPr>
            <w:tcW w:w="964" w:type="dxa"/>
            <w:vAlign w:val="center"/>
          </w:tcPr>
          <w:p>
            <w:pPr>
              <w:pStyle w:val="13"/>
            </w:pPr>
            <w:r>
              <w:t>2.40</w:t>
            </w:r>
          </w:p>
        </w:tc>
        <w:tc>
          <w:tcPr>
            <w:tcW w:w="964" w:type="dxa"/>
            <w:vAlign w:val="center"/>
          </w:tcPr>
          <w:p>
            <w:pPr>
              <w:pStyle w:val="13"/>
            </w:pPr>
            <w:r>
              <w:t>2.40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8.40</w:t>
            </w:r>
          </w:p>
        </w:tc>
        <w:tc>
          <w:tcPr>
            <w:tcW w:w="1134" w:type="dxa"/>
            <w:vAlign w:val="center"/>
          </w:tcPr>
          <w:p>
            <w:pPr>
              <w:pStyle w:val="14"/>
            </w:pPr>
            <w:r>
              <w:t>互联网信息服务</w:t>
            </w:r>
          </w:p>
        </w:tc>
        <w:tc>
          <w:tcPr>
            <w:tcW w:w="1134" w:type="dxa"/>
            <w:vAlign w:val="center"/>
          </w:tcPr>
          <w:p>
            <w:pPr>
              <w:pStyle w:val="14"/>
            </w:pPr>
            <w:r>
              <w:t>C17020000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1.56</w:t>
            </w:r>
          </w:p>
        </w:tc>
        <w:tc>
          <w:tcPr>
            <w:tcW w:w="964" w:type="dxa"/>
            <w:vAlign w:val="center"/>
          </w:tcPr>
          <w:p>
            <w:pPr>
              <w:pStyle w:val="13"/>
            </w:pPr>
            <w:r>
              <w:t>1.56</w:t>
            </w:r>
          </w:p>
        </w:tc>
        <w:tc>
          <w:tcPr>
            <w:tcW w:w="964" w:type="dxa"/>
            <w:vAlign w:val="center"/>
          </w:tcPr>
          <w:p>
            <w:pPr>
              <w:pStyle w:val="13"/>
            </w:pPr>
            <w:r>
              <w:t>1.56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1.56</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2026年农村煤改气第三方评估</w:t>
            </w:r>
          </w:p>
        </w:tc>
        <w:tc>
          <w:tcPr>
            <w:tcW w:w="964" w:type="dxa"/>
            <w:vAlign w:val="center"/>
          </w:tcPr>
          <w:p>
            <w:pPr>
              <w:pStyle w:val="13"/>
            </w:pPr>
            <w:r>
              <w:t>8.05</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8.05</w:t>
            </w:r>
          </w:p>
        </w:tc>
        <w:tc>
          <w:tcPr>
            <w:tcW w:w="964" w:type="dxa"/>
            <w:vAlign w:val="center"/>
          </w:tcPr>
          <w:p>
            <w:pPr>
              <w:pStyle w:val="13"/>
            </w:pPr>
            <w:r>
              <w:t>8.05</w:t>
            </w:r>
          </w:p>
        </w:tc>
        <w:tc>
          <w:tcPr>
            <w:tcW w:w="964" w:type="dxa"/>
            <w:vAlign w:val="center"/>
          </w:tcPr>
          <w:p>
            <w:pPr>
              <w:pStyle w:val="13"/>
            </w:pPr>
            <w:r>
              <w:t>8.05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2026年燃气监管平台</w:t>
            </w:r>
          </w:p>
        </w:tc>
        <w:tc>
          <w:tcPr>
            <w:tcW w:w="964" w:type="dxa"/>
            <w:vAlign w:val="center"/>
          </w:tcPr>
          <w:p>
            <w:pPr>
              <w:pStyle w:val="13"/>
            </w:pPr>
            <w:r>
              <w:t>3.12</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3.12</w:t>
            </w:r>
          </w:p>
        </w:tc>
        <w:tc>
          <w:tcPr>
            <w:tcW w:w="964" w:type="dxa"/>
            <w:vAlign w:val="center"/>
          </w:tcPr>
          <w:p>
            <w:pPr>
              <w:pStyle w:val="13"/>
            </w:pPr>
            <w:r>
              <w:t>3.12</w:t>
            </w:r>
          </w:p>
        </w:tc>
        <w:tc>
          <w:tcPr>
            <w:tcW w:w="964" w:type="dxa"/>
            <w:vAlign w:val="center"/>
          </w:tcPr>
          <w:p>
            <w:pPr>
              <w:pStyle w:val="13"/>
            </w:pPr>
            <w:r>
              <w:t>3.12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3.12</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2026年石家庄市鹿泉区城市更新专项规划编制</w:t>
            </w:r>
          </w:p>
        </w:tc>
        <w:tc>
          <w:tcPr>
            <w:tcW w:w="964" w:type="dxa"/>
            <w:vAlign w:val="center"/>
          </w:tcPr>
          <w:p>
            <w:pPr>
              <w:pStyle w:val="13"/>
            </w:pPr>
            <w:r>
              <w:t>6.49</w:t>
            </w:r>
          </w:p>
        </w:tc>
        <w:tc>
          <w:tcPr>
            <w:tcW w:w="1134" w:type="dxa"/>
            <w:vAlign w:val="center"/>
          </w:tcPr>
          <w:p>
            <w:pPr>
              <w:pStyle w:val="14"/>
            </w:pPr>
            <w:r>
              <w:t>区域规划和设计服务</w:t>
            </w:r>
          </w:p>
        </w:tc>
        <w:tc>
          <w:tcPr>
            <w:tcW w:w="1134" w:type="dxa"/>
            <w:vAlign w:val="center"/>
          </w:tcPr>
          <w:p>
            <w:pPr>
              <w:pStyle w:val="14"/>
            </w:pPr>
            <w:r>
              <w:t>C13010000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6.49</w:t>
            </w:r>
          </w:p>
        </w:tc>
        <w:tc>
          <w:tcPr>
            <w:tcW w:w="964" w:type="dxa"/>
            <w:vAlign w:val="center"/>
          </w:tcPr>
          <w:p>
            <w:pPr>
              <w:pStyle w:val="13"/>
            </w:pPr>
            <w:r>
              <w:t>6.49</w:t>
            </w:r>
          </w:p>
        </w:tc>
        <w:tc>
          <w:tcPr>
            <w:tcW w:w="964" w:type="dxa"/>
            <w:vAlign w:val="center"/>
          </w:tcPr>
          <w:p>
            <w:pPr>
              <w:pStyle w:val="13"/>
            </w:pPr>
            <w:r>
              <w:t>6.49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2026年石家庄市鹿泉区城市体检项目</w:t>
            </w:r>
          </w:p>
        </w:tc>
        <w:tc>
          <w:tcPr>
            <w:tcW w:w="964" w:type="dxa"/>
            <w:vAlign w:val="center"/>
          </w:tcPr>
          <w:p>
            <w:pPr>
              <w:pStyle w:val="13"/>
            </w:pPr>
            <w:r>
              <w:t>4.55</w:t>
            </w:r>
          </w:p>
        </w:tc>
        <w:tc>
          <w:tcPr>
            <w:tcW w:w="1134" w:type="dxa"/>
            <w:vAlign w:val="center"/>
          </w:tcPr>
          <w:p>
            <w:pPr>
              <w:pStyle w:val="14"/>
            </w:pPr>
            <w:r>
              <w:t>区域规划和设计服务</w:t>
            </w:r>
          </w:p>
        </w:tc>
        <w:tc>
          <w:tcPr>
            <w:tcW w:w="1134" w:type="dxa"/>
            <w:vAlign w:val="center"/>
          </w:tcPr>
          <w:p>
            <w:pPr>
              <w:pStyle w:val="14"/>
            </w:pPr>
            <w:r>
              <w:t>C13010000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4.55</w:t>
            </w:r>
          </w:p>
        </w:tc>
        <w:tc>
          <w:tcPr>
            <w:tcW w:w="964" w:type="dxa"/>
            <w:vAlign w:val="center"/>
          </w:tcPr>
          <w:p>
            <w:pPr>
              <w:pStyle w:val="13"/>
            </w:pPr>
            <w:r>
              <w:t>4.55</w:t>
            </w:r>
          </w:p>
        </w:tc>
        <w:tc>
          <w:tcPr>
            <w:tcW w:w="964" w:type="dxa"/>
            <w:vAlign w:val="center"/>
          </w:tcPr>
          <w:p>
            <w:pPr>
              <w:pStyle w:val="13"/>
            </w:pPr>
            <w:r>
              <w:t>4.55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2026年石家庄市鹿泉区海绵城市专项规划编制</w:t>
            </w:r>
          </w:p>
        </w:tc>
        <w:tc>
          <w:tcPr>
            <w:tcW w:w="964" w:type="dxa"/>
            <w:vAlign w:val="center"/>
          </w:tcPr>
          <w:p>
            <w:pPr>
              <w:pStyle w:val="13"/>
            </w:pPr>
            <w:r>
              <w:t>6.79</w:t>
            </w:r>
          </w:p>
        </w:tc>
        <w:tc>
          <w:tcPr>
            <w:tcW w:w="1134" w:type="dxa"/>
            <w:vAlign w:val="center"/>
          </w:tcPr>
          <w:p>
            <w:pPr>
              <w:pStyle w:val="14"/>
            </w:pPr>
            <w:r>
              <w:t>区域规划和设计服务</w:t>
            </w:r>
          </w:p>
        </w:tc>
        <w:tc>
          <w:tcPr>
            <w:tcW w:w="1134" w:type="dxa"/>
            <w:vAlign w:val="center"/>
          </w:tcPr>
          <w:p>
            <w:pPr>
              <w:pStyle w:val="14"/>
            </w:pPr>
            <w:r>
              <w:t>C13010000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6.79</w:t>
            </w:r>
          </w:p>
        </w:tc>
        <w:tc>
          <w:tcPr>
            <w:tcW w:w="964" w:type="dxa"/>
            <w:vAlign w:val="center"/>
          </w:tcPr>
          <w:p>
            <w:pPr>
              <w:pStyle w:val="13"/>
            </w:pPr>
            <w:r>
              <w:t>6.79</w:t>
            </w:r>
          </w:p>
        </w:tc>
        <w:tc>
          <w:tcPr>
            <w:tcW w:w="964" w:type="dxa"/>
            <w:vAlign w:val="center"/>
          </w:tcPr>
          <w:p>
            <w:pPr>
              <w:pStyle w:val="13"/>
            </w:pPr>
            <w:r>
              <w:t>6.79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2026年石家庄西部上庄污水处理厂扩建运营费</w:t>
            </w:r>
          </w:p>
        </w:tc>
        <w:tc>
          <w:tcPr>
            <w:tcW w:w="964" w:type="dxa"/>
            <w:vAlign w:val="center"/>
          </w:tcPr>
          <w:p>
            <w:pPr>
              <w:pStyle w:val="13"/>
            </w:pPr>
            <w:r>
              <w:t>500.00</w:t>
            </w:r>
          </w:p>
        </w:tc>
        <w:tc>
          <w:tcPr>
            <w:tcW w:w="1134" w:type="dxa"/>
            <w:vAlign w:val="center"/>
          </w:tcPr>
          <w:p>
            <w:pPr>
              <w:pStyle w:val="14"/>
            </w:pPr>
            <w:r>
              <w:t>其他社会服务</w:t>
            </w:r>
          </w:p>
        </w:tc>
        <w:tc>
          <w:tcPr>
            <w:tcW w:w="1134" w:type="dxa"/>
            <w:vAlign w:val="center"/>
          </w:tcPr>
          <w:p>
            <w:pPr>
              <w:pStyle w:val="14"/>
            </w:pPr>
            <w:r>
              <w:t>C05990000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500.00</w:t>
            </w:r>
          </w:p>
        </w:tc>
        <w:tc>
          <w:tcPr>
            <w:tcW w:w="964" w:type="dxa"/>
            <w:vAlign w:val="center"/>
          </w:tcPr>
          <w:p>
            <w:pPr>
              <w:pStyle w:val="13"/>
            </w:pPr>
            <w:r>
              <w:t>500.00</w:t>
            </w:r>
          </w:p>
        </w:tc>
        <w:tc>
          <w:tcPr>
            <w:tcW w:w="964" w:type="dxa"/>
            <w:vAlign w:val="center"/>
          </w:tcPr>
          <w:p>
            <w:pPr>
              <w:pStyle w:val="13"/>
            </w:pPr>
            <w:r>
              <w:t>500.00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500.00</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玉石路桥梁建设项目（2025Z）</w:t>
            </w:r>
          </w:p>
        </w:tc>
        <w:tc>
          <w:tcPr>
            <w:tcW w:w="964" w:type="dxa"/>
            <w:vAlign w:val="center"/>
          </w:tcPr>
          <w:p>
            <w:pPr>
              <w:pStyle w:val="13"/>
            </w:pPr>
            <w:r>
              <w:t>1000.00</w:t>
            </w:r>
          </w:p>
        </w:tc>
        <w:tc>
          <w:tcPr>
            <w:tcW w:w="1134" w:type="dxa"/>
            <w:vAlign w:val="center"/>
          </w:tcPr>
          <w:p>
            <w:pPr>
              <w:pStyle w:val="14"/>
            </w:pPr>
            <w:r>
              <w:t>其他市政公用设施施工</w:t>
            </w:r>
          </w:p>
        </w:tc>
        <w:tc>
          <w:tcPr>
            <w:tcW w:w="1134" w:type="dxa"/>
            <w:vAlign w:val="center"/>
          </w:tcPr>
          <w:p>
            <w:pPr>
              <w:pStyle w:val="14"/>
            </w:pPr>
            <w:r>
              <w:t>B02130199</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1000.00</w:t>
            </w:r>
          </w:p>
        </w:tc>
        <w:tc>
          <w:tcPr>
            <w:tcW w:w="964" w:type="dxa"/>
            <w:vAlign w:val="center"/>
          </w:tcPr>
          <w:p>
            <w:pPr>
              <w:pStyle w:val="13"/>
            </w:pPr>
            <w:r>
              <w:t>1000.00</w:t>
            </w:r>
          </w:p>
        </w:tc>
        <w:tc>
          <w:tcPr>
            <w:tcW w:w="964" w:type="dxa"/>
            <w:vAlign w:val="center"/>
          </w:tcPr>
          <w:p>
            <w:pPr>
              <w:pStyle w:val="13"/>
            </w:pPr>
            <w:r>
              <w:t>1000.00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石家庄市鹿泉区建筑业服务中心小计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9.55</w:t>
            </w:r>
          </w:p>
        </w:tc>
        <w:tc>
          <w:tcPr>
            <w:tcW w:w="964" w:type="dxa"/>
            <w:vAlign w:val="center"/>
          </w:tcPr>
          <w:p>
            <w:pPr>
              <w:pStyle w:val="17"/>
            </w:pPr>
            <w:r>
              <w:t>9.55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业务费2026</w:t>
            </w:r>
          </w:p>
        </w:tc>
        <w:tc>
          <w:tcPr>
            <w:tcW w:w="964" w:type="dxa"/>
            <w:vAlign w:val="center"/>
          </w:tcPr>
          <w:p>
            <w:pPr>
              <w:pStyle w:val="13"/>
            </w:pPr>
            <w:r>
              <w:t>20.00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件</w:t>
            </w:r>
          </w:p>
        </w:tc>
        <w:tc>
          <w:tcPr>
            <w:tcW w:w="850" w:type="dxa"/>
            <w:vAlign w:val="center"/>
          </w:tcPr>
          <w:p>
            <w:pPr>
              <w:pStyle w:val="13"/>
            </w:pPr>
            <w:r>
              <w:t>10</w:t>
            </w:r>
          </w:p>
        </w:tc>
        <w:tc>
          <w:tcPr>
            <w:tcW w:w="850" w:type="dxa"/>
            <w:vAlign w:val="center"/>
          </w:tcPr>
          <w:p>
            <w:pPr>
              <w:pStyle w:val="13"/>
            </w:pPr>
            <w:r>
              <w:t>0.07</w:t>
            </w:r>
          </w:p>
        </w:tc>
        <w:tc>
          <w:tcPr>
            <w:tcW w:w="964" w:type="dxa"/>
            <w:vAlign w:val="center"/>
          </w:tcPr>
          <w:p>
            <w:pPr>
              <w:pStyle w:val="13"/>
            </w:pPr>
            <w:r>
              <w:t>0.65</w:t>
            </w:r>
          </w:p>
        </w:tc>
        <w:tc>
          <w:tcPr>
            <w:tcW w:w="964" w:type="dxa"/>
            <w:vAlign w:val="center"/>
          </w:tcPr>
          <w:p>
            <w:pPr>
              <w:pStyle w:val="13"/>
            </w:pPr>
            <w:r>
              <w:t>0.65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业务费2026</w:t>
            </w:r>
          </w:p>
        </w:tc>
        <w:tc>
          <w:tcPr>
            <w:tcW w:w="964" w:type="dxa"/>
            <w:vAlign w:val="center"/>
          </w:tcPr>
          <w:p>
            <w:pPr>
              <w:pStyle w:val="13"/>
            </w:pPr>
            <w:r>
              <w:t>20.00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400</w:t>
            </w:r>
          </w:p>
        </w:tc>
        <w:tc>
          <w:tcPr>
            <w:tcW w:w="850" w:type="dxa"/>
            <w:vAlign w:val="center"/>
          </w:tcPr>
          <w:p>
            <w:pPr>
              <w:pStyle w:val="13"/>
            </w:pPr>
            <w:r>
              <w:t>0.00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业务费2026</w:t>
            </w:r>
          </w:p>
        </w:tc>
        <w:tc>
          <w:tcPr>
            <w:tcW w:w="964" w:type="dxa"/>
            <w:vAlign w:val="center"/>
          </w:tcPr>
          <w:p>
            <w:pPr>
              <w:pStyle w:val="13"/>
            </w:pPr>
            <w:r>
              <w:t>20.00</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0.23</w:t>
            </w:r>
          </w:p>
        </w:tc>
        <w:tc>
          <w:tcPr>
            <w:tcW w:w="964" w:type="dxa"/>
            <w:vAlign w:val="center"/>
          </w:tcPr>
          <w:p>
            <w:pPr>
              <w:pStyle w:val="13"/>
            </w:pPr>
            <w:r>
              <w:t>0.23</w:t>
            </w:r>
          </w:p>
        </w:tc>
        <w:tc>
          <w:tcPr>
            <w:tcW w:w="964" w:type="dxa"/>
            <w:vAlign w:val="center"/>
          </w:tcPr>
          <w:p>
            <w:pPr>
              <w:pStyle w:val="13"/>
            </w:pPr>
            <w:r>
              <w:t>0.23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业务费2026</w:t>
            </w:r>
          </w:p>
        </w:tc>
        <w:tc>
          <w:tcPr>
            <w:tcW w:w="964" w:type="dxa"/>
            <w:vAlign w:val="center"/>
          </w:tcPr>
          <w:p>
            <w:pPr>
              <w:pStyle w:val="13"/>
            </w:pPr>
            <w:r>
              <w:t>20.00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50</w:t>
            </w:r>
          </w:p>
        </w:tc>
        <w:tc>
          <w:tcPr>
            <w:tcW w:w="850" w:type="dxa"/>
            <w:vAlign w:val="center"/>
          </w:tcPr>
          <w:p>
            <w:pPr>
              <w:pStyle w:val="13"/>
            </w:pPr>
            <w:r>
              <w:t>0.10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业务费2026</w:t>
            </w:r>
          </w:p>
        </w:tc>
        <w:tc>
          <w:tcPr>
            <w:tcW w:w="964" w:type="dxa"/>
            <w:vAlign w:val="center"/>
          </w:tcPr>
          <w:p>
            <w:pPr>
              <w:pStyle w:val="13"/>
            </w:pPr>
            <w:r>
              <w:t>20.00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0.86</w:t>
            </w:r>
          </w:p>
        </w:tc>
        <w:tc>
          <w:tcPr>
            <w:tcW w:w="964" w:type="dxa"/>
            <w:vAlign w:val="center"/>
          </w:tcPr>
          <w:p>
            <w:pPr>
              <w:pStyle w:val="13"/>
            </w:pPr>
            <w:r>
              <w:t>0.86</w:t>
            </w:r>
          </w:p>
        </w:tc>
        <w:tc>
          <w:tcPr>
            <w:tcW w:w="964" w:type="dxa"/>
            <w:vAlign w:val="center"/>
          </w:tcPr>
          <w:p>
            <w:pPr>
              <w:pStyle w:val="13"/>
            </w:pPr>
            <w:r>
              <w:t>0.86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业务费2026</w:t>
            </w:r>
          </w:p>
        </w:tc>
        <w:tc>
          <w:tcPr>
            <w:tcW w:w="964" w:type="dxa"/>
            <w:vAlign w:val="center"/>
          </w:tcPr>
          <w:p>
            <w:pPr>
              <w:pStyle w:val="13"/>
            </w:pPr>
            <w:r>
              <w:t>20.00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2300</w:t>
            </w:r>
          </w:p>
        </w:tc>
        <w:tc>
          <w:tcPr>
            <w:tcW w:w="850" w:type="dxa"/>
            <w:vAlign w:val="center"/>
          </w:tcPr>
          <w:p>
            <w:pPr>
              <w:pStyle w:val="13"/>
            </w:pPr>
            <w:r>
              <w:t>0.00</w:t>
            </w:r>
          </w:p>
        </w:tc>
        <w:tc>
          <w:tcPr>
            <w:tcW w:w="964" w:type="dxa"/>
            <w:vAlign w:val="center"/>
          </w:tcPr>
          <w:p>
            <w:pPr>
              <w:pStyle w:val="13"/>
            </w:pPr>
            <w:r>
              <w:t>1.61</w:t>
            </w:r>
          </w:p>
        </w:tc>
        <w:tc>
          <w:tcPr>
            <w:tcW w:w="964" w:type="dxa"/>
            <w:vAlign w:val="center"/>
          </w:tcPr>
          <w:p>
            <w:pPr>
              <w:pStyle w:val="13"/>
            </w:pPr>
            <w:r>
              <w:t>1.61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1.61</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石家庄市鹿泉区房屋征收中心小计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2.36</w:t>
            </w:r>
          </w:p>
        </w:tc>
        <w:tc>
          <w:tcPr>
            <w:tcW w:w="964" w:type="dxa"/>
            <w:vAlign w:val="center"/>
          </w:tcPr>
          <w:p>
            <w:pPr>
              <w:pStyle w:val="17"/>
            </w:pPr>
            <w:r>
              <w:t>2.36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2.36</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105.57</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辆</w:t>
            </w:r>
          </w:p>
        </w:tc>
        <w:tc>
          <w:tcPr>
            <w:tcW w:w="850" w:type="dxa"/>
            <w:vAlign w:val="center"/>
          </w:tcPr>
          <w:p>
            <w:pPr>
              <w:pStyle w:val="13"/>
            </w:pPr>
            <w:r>
              <w:t>1</w:t>
            </w:r>
          </w:p>
        </w:tc>
        <w:tc>
          <w:tcPr>
            <w:tcW w:w="850" w:type="dxa"/>
            <w:vAlign w:val="center"/>
          </w:tcPr>
          <w:p>
            <w:pPr>
              <w:pStyle w:val="13"/>
            </w:pPr>
            <w:r>
              <w:t>0.34</w:t>
            </w:r>
          </w:p>
        </w:tc>
        <w:tc>
          <w:tcPr>
            <w:tcW w:w="964" w:type="dxa"/>
            <w:vAlign w:val="center"/>
          </w:tcPr>
          <w:p>
            <w:pPr>
              <w:pStyle w:val="13"/>
            </w:pPr>
            <w:r>
              <w:t>0.34</w:t>
            </w:r>
          </w:p>
        </w:tc>
        <w:tc>
          <w:tcPr>
            <w:tcW w:w="964" w:type="dxa"/>
            <w:vAlign w:val="center"/>
          </w:tcPr>
          <w:p>
            <w:pPr>
              <w:pStyle w:val="13"/>
            </w:pPr>
            <w:r>
              <w:t>0.34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0.34</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105.57</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辆</w:t>
            </w:r>
          </w:p>
        </w:tc>
        <w:tc>
          <w:tcPr>
            <w:tcW w:w="850" w:type="dxa"/>
            <w:vAlign w:val="center"/>
          </w:tcPr>
          <w:p>
            <w:pPr>
              <w:pStyle w:val="13"/>
            </w:pPr>
            <w:r>
              <w:t>1</w:t>
            </w:r>
          </w:p>
        </w:tc>
        <w:tc>
          <w:tcPr>
            <w:tcW w:w="850" w:type="dxa"/>
            <w:vAlign w:val="center"/>
          </w:tcPr>
          <w:p>
            <w:pPr>
              <w:pStyle w:val="13"/>
            </w:pPr>
            <w:r>
              <w:t>0.70</w:t>
            </w:r>
          </w:p>
        </w:tc>
        <w:tc>
          <w:tcPr>
            <w:tcW w:w="964" w:type="dxa"/>
            <w:vAlign w:val="center"/>
          </w:tcPr>
          <w:p>
            <w:pPr>
              <w:pStyle w:val="13"/>
            </w:pPr>
            <w:r>
              <w:t>0.70</w:t>
            </w:r>
          </w:p>
        </w:tc>
        <w:tc>
          <w:tcPr>
            <w:tcW w:w="964" w:type="dxa"/>
            <w:vAlign w:val="center"/>
          </w:tcPr>
          <w:p>
            <w:pPr>
              <w:pStyle w:val="13"/>
            </w:pPr>
            <w:r>
              <w:t>0.70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105.57</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升</w:t>
            </w:r>
          </w:p>
        </w:tc>
        <w:tc>
          <w:tcPr>
            <w:tcW w:w="850" w:type="dxa"/>
            <w:vAlign w:val="center"/>
          </w:tcPr>
          <w:p>
            <w:pPr>
              <w:pStyle w:val="13"/>
            </w:pPr>
            <w:r>
              <w:t>750</w:t>
            </w:r>
          </w:p>
        </w:tc>
        <w:tc>
          <w:tcPr>
            <w:tcW w:w="850" w:type="dxa"/>
            <w:vAlign w:val="center"/>
          </w:tcPr>
          <w:p>
            <w:pPr>
              <w:pStyle w:val="13"/>
            </w:pPr>
            <w:r>
              <w:t>0.00</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0.60</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6.60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3</w:t>
            </w:r>
          </w:p>
        </w:tc>
        <w:tc>
          <w:tcPr>
            <w:tcW w:w="850" w:type="dxa"/>
            <w:vAlign w:val="center"/>
          </w:tcPr>
          <w:p>
            <w:pPr>
              <w:pStyle w:val="13"/>
            </w:pPr>
            <w:r>
              <w:t>0.24</w:t>
            </w:r>
          </w:p>
        </w:tc>
        <w:tc>
          <w:tcPr>
            <w:tcW w:w="964" w:type="dxa"/>
            <w:vAlign w:val="center"/>
          </w:tcPr>
          <w:p>
            <w:pPr>
              <w:pStyle w:val="13"/>
            </w:pPr>
            <w:r>
              <w:t>0.72</w:t>
            </w:r>
          </w:p>
        </w:tc>
        <w:tc>
          <w:tcPr>
            <w:tcW w:w="964" w:type="dxa"/>
            <w:vAlign w:val="center"/>
          </w:tcPr>
          <w:p>
            <w:pPr>
              <w:pStyle w:val="13"/>
            </w:pPr>
            <w:r>
              <w:t>0.72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石家庄市鹿泉区住房和建设监管综合服务中心小计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39.36</w:t>
            </w:r>
          </w:p>
        </w:tc>
        <w:tc>
          <w:tcPr>
            <w:tcW w:w="964" w:type="dxa"/>
            <w:vAlign w:val="center"/>
          </w:tcPr>
          <w:p>
            <w:pPr>
              <w:pStyle w:val="17"/>
            </w:pPr>
            <w:r>
              <w:t>39.36</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39.36</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执法业务费2026</w:t>
            </w:r>
          </w:p>
        </w:tc>
        <w:tc>
          <w:tcPr>
            <w:tcW w:w="964" w:type="dxa"/>
            <w:vAlign w:val="center"/>
          </w:tcPr>
          <w:p>
            <w:pPr>
              <w:pStyle w:val="13"/>
            </w:pPr>
            <w:r>
              <w:t>90.00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1080</w:t>
            </w:r>
          </w:p>
        </w:tc>
        <w:tc>
          <w:tcPr>
            <w:tcW w:w="850" w:type="dxa"/>
            <w:vAlign w:val="center"/>
          </w:tcPr>
          <w:p>
            <w:pPr>
              <w:pStyle w:val="13"/>
            </w:pPr>
            <w:r>
              <w:t>0.00</w:t>
            </w:r>
          </w:p>
        </w:tc>
        <w:tc>
          <w:tcPr>
            <w:tcW w:w="964" w:type="dxa"/>
            <w:vAlign w:val="center"/>
          </w:tcPr>
          <w:p>
            <w:pPr>
              <w:pStyle w:val="13"/>
            </w:pPr>
            <w:r>
              <w:t>2.70</w:t>
            </w:r>
          </w:p>
        </w:tc>
        <w:tc>
          <w:tcPr>
            <w:tcW w:w="964" w:type="dxa"/>
            <w:vAlign w:val="center"/>
          </w:tcPr>
          <w:p>
            <w:pPr>
              <w:pStyle w:val="13"/>
            </w:pPr>
            <w:r>
              <w:t>2.70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2.70</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执法业务费2026</w:t>
            </w:r>
          </w:p>
        </w:tc>
        <w:tc>
          <w:tcPr>
            <w:tcW w:w="964" w:type="dxa"/>
            <w:vAlign w:val="center"/>
          </w:tcPr>
          <w:p>
            <w:pPr>
              <w:pStyle w:val="13"/>
            </w:pPr>
            <w:r>
              <w:t>90.00</w:t>
            </w:r>
          </w:p>
        </w:tc>
        <w:tc>
          <w:tcPr>
            <w:tcW w:w="1134" w:type="dxa"/>
            <w:vAlign w:val="center"/>
          </w:tcPr>
          <w:p>
            <w:pPr>
              <w:pStyle w:val="14"/>
            </w:pPr>
            <w:r>
              <w:t>保安服务</w:t>
            </w:r>
          </w:p>
        </w:tc>
        <w:tc>
          <w:tcPr>
            <w:tcW w:w="1134" w:type="dxa"/>
            <w:vAlign w:val="center"/>
          </w:tcPr>
          <w:p>
            <w:pPr>
              <w:pStyle w:val="14"/>
            </w:pPr>
            <w:r>
              <w:t>C05040300</w:t>
            </w:r>
          </w:p>
        </w:tc>
        <w:tc>
          <w:tcPr>
            <w:tcW w:w="709" w:type="dxa"/>
            <w:vAlign w:val="center"/>
          </w:tcPr>
          <w:p>
            <w:pPr>
              <w:pStyle w:val="15"/>
            </w:pPr>
            <w:r>
              <w:t>项</w:t>
            </w:r>
          </w:p>
        </w:tc>
        <w:tc>
          <w:tcPr>
            <w:tcW w:w="850" w:type="dxa"/>
            <w:vAlign w:val="center"/>
          </w:tcPr>
          <w:p>
            <w:pPr>
              <w:pStyle w:val="13"/>
            </w:pPr>
            <w:r>
              <w:t>12</w:t>
            </w:r>
          </w:p>
        </w:tc>
        <w:tc>
          <w:tcPr>
            <w:tcW w:w="850" w:type="dxa"/>
            <w:vAlign w:val="center"/>
          </w:tcPr>
          <w:p>
            <w:pPr>
              <w:pStyle w:val="13"/>
            </w:pPr>
            <w:r>
              <w:t>1.12</w:t>
            </w:r>
          </w:p>
        </w:tc>
        <w:tc>
          <w:tcPr>
            <w:tcW w:w="964" w:type="dxa"/>
            <w:vAlign w:val="center"/>
          </w:tcPr>
          <w:p>
            <w:pPr>
              <w:pStyle w:val="13"/>
            </w:pPr>
            <w:r>
              <w:t>13.44</w:t>
            </w:r>
          </w:p>
        </w:tc>
        <w:tc>
          <w:tcPr>
            <w:tcW w:w="964" w:type="dxa"/>
            <w:vAlign w:val="center"/>
          </w:tcPr>
          <w:p>
            <w:pPr>
              <w:pStyle w:val="13"/>
            </w:pPr>
            <w:r>
              <w:t>13.44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执法业务费2026</w:t>
            </w:r>
          </w:p>
        </w:tc>
        <w:tc>
          <w:tcPr>
            <w:tcW w:w="964" w:type="dxa"/>
            <w:vAlign w:val="center"/>
          </w:tcPr>
          <w:p>
            <w:pPr>
              <w:pStyle w:val="13"/>
            </w:pPr>
            <w:r>
              <w:t>90.00</w:t>
            </w:r>
          </w:p>
        </w:tc>
        <w:tc>
          <w:tcPr>
            <w:tcW w:w="1134" w:type="dxa"/>
            <w:vAlign w:val="center"/>
          </w:tcPr>
          <w:p>
            <w:pPr>
              <w:pStyle w:val="14"/>
            </w:pPr>
            <w:r>
              <w:t>网络接入服务</w:t>
            </w:r>
          </w:p>
        </w:tc>
        <w:tc>
          <w:tcPr>
            <w:tcW w:w="1134" w:type="dxa"/>
            <w:vAlign w:val="center"/>
          </w:tcPr>
          <w:p>
            <w:pPr>
              <w:pStyle w:val="14"/>
            </w:pPr>
            <w:r>
              <w:t>C17010200</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1.38</w:t>
            </w:r>
          </w:p>
        </w:tc>
        <w:tc>
          <w:tcPr>
            <w:tcW w:w="964" w:type="dxa"/>
            <w:vAlign w:val="center"/>
          </w:tcPr>
          <w:p>
            <w:pPr>
              <w:pStyle w:val="13"/>
            </w:pPr>
            <w:r>
              <w:t>2.76</w:t>
            </w:r>
          </w:p>
        </w:tc>
        <w:tc>
          <w:tcPr>
            <w:tcW w:w="964" w:type="dxa"/>
            <w:vAlign w:val="center"/>
          </w:tcPr>
          <w:p>
            <w:pPr>
              <w:pStyle w:val="13"/>
            </w:pPr>
            <w:r>
              <w:t>2.76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执法业务费2026</w:t>
            </w:r>
          </w:p>
        </w:tc>
        <w:tc>
          <w:tcPr>
            <w:tcW w:w="964" w:type="dxa"/>
            <w:vAlign w:val="center"/>
          </w:tcPr>
          <w:p>
            <w:pPr>
              <w:pStyle w:val="13"/>
            </w:pPr>
            <w:r>
              <w:t>90.00</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0.40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执法业务费2026</w:t>
            </w:r>
          </w:p>
        </w:tc>
        <w:tc>
          <w:tcPr>
            <w:tcW w:w="964" w:type="dxa"/>
            <w:vAlign w:val="center"/>
          </w:tcPr>
          <w:p>
            <w:pPr>
              <w:pStyle w:val="13"/>
            </w:pPr>
            <w:r>
              <w:t>90.00</w:t>
            </w:r>
          </w:p>
        </w:tc>
        <w:tc>
          <w:tcPr>
            <w:tcW w:w="1134" w:type="dxa"/>
            <w:vAlign w:val="center"/>
          </w:tcPr>
          <w:p>
            <w:pPr>
              <w:pStyle w:val="14"/>
            </w:pPr>
            <w:r>
              <w:t>物业管理服务</w:t>
            </w:r>
          </w:p>
        </w:tc>
        <w:tc>
          <w:tcPr>
            <w:tcW w:w="1134" w:type="dxa"/>
            <w:vAlign w:val="center"/>
          </w:tcPr>
          <w:p>
            <w:pPr>
              <w:pStyle w:val="14"/>
            </w:pPr>
            <w:r>
              <w:t>C21040000</w:t>
            </w:r>
          </w:p>
        </w:tc>
        <w:tc>
          <w:tcPr>
            <w:tcW w:w="709" w:type="dxa"/>
            <w:vAlign w:val="center"/>
          </w:tcPr>
          <w:p>
            <w:pPr>
              <w:pStyle w:val="15"/>
            </w:pPr>
            <w:r>
              <w:t>项</w:t>
            </w:r>
          </w:p>
        </w:tc>
        <w:tc>
          <w:tcPr>
            <w:tcW w:w="850" w:type="dxa"/>
            <w:vAlign w:val="center"/>
          </w:tcPr>
          <w:p>
            <w:pPr>
              <w:pStyle w:val="13"/>
            </w:pPr>
            <w:r>
              <w:t>12</w:t>
            </w:r>
          </w:p>
        </w:tc>
        <w:tc>
          <w:tcPr>
            <w:tcW w:w="850" w:type="dxa"/>
            <w:vAlign w:val="center"/>
          </w:tcPr>
          <w:p>
            <w:pPr>
              <w:pStyle w:val="13"/>
            </w:pPr>
            <w:r>
              <w:t>0.54</w:t>
            </w:r>
          </w:p>
        </w:tc>
        <w:tc>
          <w:tcPr>
            <w:tcW w:w="964" w:type="dxa"/>
            <w:vAlign w:val="center"/>
          </w:tcPr>
          <w:p>
            <w:pPr>
              <w:pStyle w:val="13"/>
            </w:pPr>
            <w:r>
              <w:t>6.48</w:t>
            </w:r>
          </w:p>
        </w:tc>
        <w:tc>
          <w:tcPr>
            <w:tcW w:w="964" w:type="dxa"/>
            <w:vAlign w:val="center"/>
          </w:tcPr>
          <w:p>
            <w:pPr>
              <w:pStyle w:val="13"/>
            </w:pPr>
            <w:r>
              <w:t>6.48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6.48</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执法业务费2026</w:t>
            </w:r>
          </w:p>
        </w:tc>
        <w:tc>
          <w:tcPr>
            <w:tcW w:w="964" w:type="dxa"/>
            <w:vAlign w:val="center"/>
          </w:tcPr>
          <w:p>
            <w:pPr>
              <w:pStyle w:val="13"/>
            </w:pPr>
            <w:r>
              <w:t>90.00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115</w:t>
            </w:r>
          </w:p>
        </w:tc>
        <w:tc>
          <w:tcPr>
            <w:tcW w:w="850" w:type="dxa"/>
            <w:vAlign w:val="center"/>
          </w:tcPr>
          <w:p>
            <w:pPr>
              <w:pStyle w:val="13"/>
            </w:pPr>
            <w:r>
              <w:t>0.10</w:t>
            </w:r>
          </w:p>
        </w:tc>
        <w:tc>
          <w:tcPr>
            <w:tcW w:w="964" w:type="dxa"/>
            <w:vAlign w:val="center"/>
          </w:tcPr>
          <w:p>
            <w:pPr>
              <w:pStyle w:val="13"/>
            </w:pPr>
            <w:r>
              <w:t>11.50</w:t>
            </w:r>
          </w:p>
        </w:tc>
        <w:tc>
          <w:tcPr>
            <w:tcW w:w="964" w:type="dxa"/>
            <w:vAlign w:val="center"/>
          </w:tcPr>
          <w:p>
            <w:pPr>
              <w:pStyle w:val="13"/>
            </w:pPr>
            <w:r>
              <w:t>11.50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11.50</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执法业务费2026</w:t>
            </w:r>
          </w:p>
        </w:tc>
        <w:tc>
          <w:tcPr>
            <w:tcW w:w="964" w:type="dxa"/>
            <w:vAlign w:val="center"/>
          </w:tcPr>
          <w:p>
            <w:pPr>
              <w:pStyle w:val="13"/>
            </w:pPr>
            <w:r>
              <w:t>90.00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1.10</w:t>
            </w:r>
          </w:p>
        </w:tc>
        <w:tc>
          <w:tcPr>
            <w:tcW w:w="964" w:type="dxa"/>
            <w:vAlign w:val="center"/>
          </w:tcPr>
          <w:p>
            <w:pPr>
              <w:pStyle w:val="13"/>
            </w:pPr>
            <w:r>
              <w:t>1.10</w:t>
            </w:r>
          </w:p>
        </w:tc>
        <w:tc>
          <w:tcPr>
            <w:tcW w:w="964" w:type="dxa"/>
            <w:vAlign w:val="center"/>
          </w:tcPr>
          <w:p>
            <w:pPr>
              <w:pStyle w:val="13"/>
            </w:pPr>
            <w:r>
              <w:t>1.10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执法业务费2026</w:t>
            </w:r>
          </w:p>
        </w:tc>
        <w:tc>
          <w:tcPr>
            <w:tcW w:w="964" w:type="dxa"/>
            <w:vAlign w:val="center"/>
          </w:tcPr>
          <w:p>
            <w:pPr>
              <w:pStyle w:val="13"/>
            </w:pPr>
            <w:r>
              <w:t>90.00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1400</w:t>
            </w:r>
          </w:p>
        </w:tc>
        <w:tc>
          <w:tcPr>
            <w:tcW w:w="850" w:type="dxa"/>
            <w:vAlign w:val="center"/>
          </w:tcPr>
          <w:p>
            <w:pPr>
              <w:pStyle w:val="13"/>
            </w:pPr>
            <w:r>
              <w:t>0.00</w:t>
            </w:r>
          </w:p>
        </w:tc>
        <w:tc>
          <w:tcPr>
            <w:tcW w:w="964" w:type="dxa"/>
            <w:vAlign w:val="center"/>
          </w:tcPr>
          <w:p>
            <w:pPr>
              <w:pStyle w:val="13"/>
            </w:pPr>
            <w:r>
              <w:t>0.98</w:t>
            </w:r>
          </w:p>
        </w:tc>
        <w:tc>
          <w:tcPr>
            <w:tcW w:w="964" w:type="dxa"/>
            <w:vAlign w:val="center"/>
          </w:tcPr>
          <w:p>
            <w:pPr>
              <w:pStyle w:val="13"/>
            </w:pPr>
            <w:r>
              <w:t>0.98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石家庄市鹿泉区城市建设服务中心小计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1.64</w:t>
            </w:r>
          </w:p>
        </w:tc>
        <w:tc>
          <w:tcPr>
            <w:tcW w:w="964" w:type="dxa"/>
            <w:vAlign w:val="center"/>
          </w:tcPr>
          <w:p>
            <w:pPr>
              <w:pStyle w:val="17"/>
            </w:pPr>
            <w:r>
              <w:t>1.64</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1.64</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10.20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件</w:t>
            </w:r>
          </w:p>
        </w:tc>
        <w:tc>
          <w:tcPr>
            <w:tcW w:w="850" w:type="dxa"/>
            <w:vAlign w:val="center"/>
          </w:tcPr>
          <w:p>
            <w:pPr>
              <w:pStyle w:val="13"/>
            </w:pPr>
            <w:r>
              <w:t>5</w:t>
            </w:r>
          </w:p>
        </w:tc>
        <w:tc>
          <w:tcPr>
            <w:tcW w:w="850" w:type="dxa"/>
            <w:vAlign w:val="center"/>
          </w:tcPr>
          <w:p>
            <w:pPr>
              <w:pStyle w:val="13"/>
            </w:pPr>
            <w:r>
              <w:t>0.08</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10.20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w:t>
            </w:r>
          </w:p>
        </w:tc>
        <w:tc>
          <w:tcPr>
            <w:tcW w:w="850" w:type="dxa"/>
            <w:vAlign w:val="center"/>
          </w:tcPr>
          <w:p>
            <w:pPr>
              <w:pStyle w:val="13"/>
            </w:pPr>
            <w:r>
              <w:t>0.31</w:t>
            </w:r>
          </w:p>
        </w:tc>
        <w:tc>
          <w:tcPr>
            <w:tcW w:w="964" w:type="dxa"/>
            <w:vAlign w:val="center"/>
          </w:tcPr>
          <w:p>
            <w:pPr>
              <w:pStyle w:val="13"/>
            </w:pPr>
            <w:r>
              <w:t>1.24</w:t>
            </w:r>
          </w:p>
        </w:tc>
        <w:tc>
          <w:tcPr>
            <w:tcW w:w="964" w:type="dxa"/>
            <w:vAlign w:val="center"/>
          </w:tcPr>
          <w:p>
            <w:pPr>
              <w:pStyle w:val="13"/>
            </w:pPr>
            <w:r>
              <w:t>1.24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石家庄市鹿泉区住房保障和房地产服务中心小计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9.62</w:t>
            </w:r>
          </w:p>
        </w:tc>
        <w:tc>
          <w:tcPr>
            <w:tcW w:w="964" w:type="dxa"/>
            <w:vAlign w:val="center"/>
          </w:tcPr>
          <w:p>
            <w:pPr>
              <w:pStyle w:val="17"/>
            </w:pPr>
            <w:r>
              <w:t>9.62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148.21</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0.20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148.21</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1.85</w:t>
            </w:r>
          </w:p>
        </w:tc>
        <w:tc>
          <w:tcPr>
            <w:tcW w:w="964" w:type="dxa"/>
            <w:vAlign w:val="center"/>
          </w:tcPr>
          <w:p>
            <w:pPr>
              <w:pStyle w:val="13"/>
            </w:pPr>
            <w:r>
              <w:t>3.70</w:t>
            </w:r>
          </w:p>
        </w:tc>
        <w:tc>
          <w:tcPr>
            <w:tcW w:w="964" w:type="dxa"/>
            <w:vAlign w:val="center"/>
          </w:tcPr>
          <w:p>
            <w:pPr>
              <w:pStyle w:val="13"/>
            </w:pPr>
            <w:r>
              <w:t>3.70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148.21</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0.65</w:t>
            </w:r>
          </w:p>
        </w:tc>
        <w:tc>
          <w:tcPr>
            <w:tcW w:w="964" w:type="dxa"/>
            <w:vAlign w:val="center"/>
          </w:tcPr>
          <w:p>
            <w:pPr>
              <w:pStyle w:val="13"/>
            </w:pPr>
            <w:r>
              <w:t>1.30</w:t>
            </w:r>
          </w:p>
        </w:tc>
        <w:tc>
          <w:tcPr>
            <w:tcW w:w="964" w:type="dxa"/>
            <w:vAlign w:val="center"/>
          </w:tcPr>
          <w:p>
            <w:pPr>
              <w:pStyle w:val="13"/>
            </w:pPr>
            <w:r>
              <w:t>1.30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13.20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w:t>
            </w:r>
          </w:p>
        </w:tc>
        <w:tc>
          <w:tcPr>
            <w:tcW w:w="850" w:type="dxa"/>
            <w:vAlign w:val="center"/>
          </w:tcPr>
          <w:p>
            <w:pPr>
              <w:pStyle w:val="13"/>
            </w:pPr>
            <w:r>
              <w:t>0.20</w:t>
            </w:r>
          </w:p>
        </w:tc>
        <w:tc>
          <w:tcPr>
            <w:tcW w:w="964" w:type="dxa"/>
            <w:vAlign w:val="center"/>
          </w:tcPr>
          <w:p>
            <w:pPr>
              <w:pStyle w:val="13"/>
            </w:pPr>
            <w:r>
              <w:t>0.80</w:t>
            </w:r>
          </w:p>
        </w:tc>
        <w:tc>
          <w:tcPr>
            <w:tcW w:w="964" w:type="dxa"/>
            <w:vAlign w:val="center"/>
          </w:tcPr>
          <w:p>
            <w:pPr>
              <w:pStyle w:val="13"/>
            </w:pPr>
            <w:r>
              <w:t>0.80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0.80</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13.20</w:t>
            </w:r>
          </w:p>
        </w:tc>
        <w:tc>
          <w:tcPr>
            <w:tcW w:w="1134" w:type="dxa"/>
            <w:vAlign w:val="center"/>
          </w:tcPr>
          <w:p>
            <w:pPr>
              <w:pStyle w:val="14"/>
            </w:pPr>
            <w:r>
              <w:t>保安服务</w:t>
            </w:r>
          </w:p>
        </w:tc>
        <w:tc>
          <w:tcPr>
            <w:tcW w:w="1134" w:type="dxa"/>
            <w:vAlign w:val="center"/>
          </w:tcPr>
          <w:p>
            <w:pPr>
              <w:pStyle w:val="14"/>
            </w:pPr>
            <w:r>
              <w:t>C05040300</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1.71</w:t>
            </w:r>
          </w:p>
        </w:tc>
        <w:tc>
          <w:tcPr>
            <w:tcW w:w="964" w:type="dxa"/>
            <w:vAlign w:val="center"/>
          </w:tcPr>
          <w:p>
            <w:pPr>
              <w:pStyle w:val="13"/>
            </w:pPr>
            <w:r>
              <w:t>3.42</w:t>
            </w:r>
          </w:p>
        </w:tc>
        <w:tc>
          <w:tcPr>
            <w:tcW w:w="964" w:type="dxa"/>
            <w:vAlign w:val="center"/>
          </w:tcPr>
          <w:p>
            <w:pPr>
              <w:pStyle w:val="13"/>
            </w:pPr>
            <w:r>
              <w:t>3.42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石家庄市鹿泉区廉租住房和经济适用住房管理中心小计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23.79</w:t>
            </w:r>
          </w:p>
        </w:tc>
        <w:tc>
          <w:tcPr>
            <w:tcW w:w="964" w:type="dxa"/>
            <w:vAlign w:val="center"/>
          </w:tcPr>
          <w:p>
            <w:pPr>
              <w:pStyle w:val="17"/>
            </w:pPr>
            <w:r>
              <w:t>23.79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35.23</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35.23</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1.70</w:t>
            </w:r>
          </w:p>
        </w:tc>
        <w:tc>
          <w:tcPr>
            <w:tcW w:w="964" w:type="dxa"/>
            <w:vAlign w:val="center"/>
          </w:tcPr>
          <w:p>
            <w:pPr>
              <w:pStyle w:val="13"/>
            </w:pPr>
            <w:r>
              <w:t>1.70</w:t>
            </w:r>
          </w:p>
        </w:tc>
        <w:tc>
          <w:tcPr>
            <w:tcW w:w="964" w:type="dxa"/>
            <w:vAlign w:val="center"/>
          </w:tcPr>
          <w:p>
            <w:pPr>
              <w:pStyle w:val="13"/>
            </w:pPr>
            <w:r>
              <w:t>1.70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公用经费二</w:t>
            </w:r>
          </w:p>
        </w:tc>
        <w:tc>
          <w:tcPr>
            <w:tcW w:w="964" w:type="dxa"/>
            <w:vAlign w:val="center"/>
          </w:tcPr>
          <w:p>
            <w:pPr>
              <w:pStyle w:val="13"/>
            </w:pPr>
            <w:r>
              <w:t>35.23</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0.70</w:t>
            </w:r>
          </w:p>
        </w:tc>
        <w:tc>
          <w:tcPr>
            <w:tcW w:w="964" w:type="dxa"/>
            <w:vAlign w:val="center"/>
          </w:tcPr>
          <w:p>
            <w:pPr>
              <w:pStyle w:val="13"/>
            </w:pPr>
            <w:r>
              <w:t>0.70</w:t>
            </w:r>
          </w:p>
        </w:tc>
        <w:tc>
          <w:tcPr>
            <w:tcW w:w="964" w:type="dxa"/>
            <w:vAlign w:val="center"/>
          </w:tcPr>
          <w:p>
            <w:pPr>
              <w:pStyle w:val="13"/>
            </w:pPr>
            <w:r>
              <w:t>0.70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0.70</w:t>
            </w:r>
          </w:p>
        </w:tc>
      </w:tr>
      <w:tr>
        <w:tblPrEx>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10.80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w:t>
            </w:r>
          </w:p>
        </w:tc>
        <w:tc>
          <w:tcPr>
            <w:tcW w:w="850" w:type="dxa"/>
            <w:vAlign w:val="center"/>
          </w:tcPr>
          <w:p>
            <w:pPr>
              <w:pStyle w:val="13"/>
            </w:pPr>
            <w:r>
              <w:t>0.20</w:t>
            </w:r>
          </w:p>
        </w:tc>
        <w:tc>
          <w:tcPr>
            <w:tcW w:w="964" w:type="dxa"/>
            <w:vAlign w:val="center"/>
          </w:tcPr>
          <w:p>
            <w:pPr>
              <w:pStyle w:val="13"/>
            </w:pPr>
            <w:r>
              <w:t>0.80</w:t>
            </w:r>
          </w:p>
        </w:tc>
        <w:tc>
          <w:tcPr>
            <w:tcW w:w="964" w:type="dxa"/>
            <w:vAlign w:val="center"/>
          </w:tcPr>
          <w:p>
            <w:pPr>
              <w:pStyle w:val="13"/>
            </w:pPr>
            <w:r>
              <w:t>0.80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10.80</w:t>
            </w:r>
          </w:p>
        </w:tc>
        <w:tc>
          <w:tcPr>
            <w:tcW w:w="1134" w:type="dxa"/>
            <w:vAlign w:val="center"/>
          </w:tcPr>
          <w:p>
            <w:pPr>
              <w:pStyle w:val="14"/>
            </w:pPr>
            <w:r>
              <w:t>保安服务</w:t>
            </w:r>
          </w:p>
        </w:tc>
        <w:tc>
          <w:tcPr>
            <w:tcW w:w="1134" w:type="dxa"/>
            <w:vAlign w:val="center"/>
          </w:tcPr>
          <w:p>
            <w:pPr>
              <w:pStyle w:val="14"/>
            </w:pPr>
            <w:r>
              <w:t>C05040300</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1.71</w:t>
            </w:r>
          </w:p>
        </w:tc>
        <w:tc>
          <w:tcPr>
            <w:tcW w:w="964" w:type="dxa"/>
            <w:vAlign w:val="center"/>
          </w:tcPr>
          <w:p>
            <w:pPr>
              <w:pStyle w:val="13"/>
            </w:pPr>
            <w:r>
              <w:t>3.42</w:t>
            </w:r>
          </w:p>
        </w:tc>
        <w:tc>
          <w:tcPr>
            <w:tcW w:w="964" w:type="dxa"/>
            <w:vAlign w:val="center"/>
          </w:tcPr>
          <w:p>
            <w:pPr>
              <w:pStyle w:val="13"/>
            </w:pPr>
            <w:r>
              <w:t>3.42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2026悦麓兰庭和翠屏龙苑人才公寓家具家电附属设施</w:t>
            </w:r>
          </w:p>
        </w:tc>
        <w:tc>
          <w:tcPr>
            <w:tcW w:w="964" w:type="dxa"/>
            <w:vAlign w:val="center"/>
          </w:tcPr>
          <w:p>
            <w:pPr>
              <w:pStyle w:val="13"/>
            </w:pPr>
            <w:r>
              <w:t>16.89</w:t>
            </w:r>
          </w:p>
        </w:tc>
        <w:tc>
          <w:tcPr>
            <w:tcW w:w="1134" w:type="dxa"/>
            <w:vAlign w:val="center"/>
          </w:tcPr>
          <w:p>
            <w:pPr>
              <w:pStyle w:val="14"/>
            </w:pPr>
            <w:r>
              <w:t>普通电视设备（电视机）</w:t>
            </w:r>
          </w:p>
        </w:tc>
        <w:tc>
          <w:tcPr>
            <w:tcW w:w="1134" w:type="dxa"/>
            <w:vAlign w:val="center"/>
          </w:tcPr>
          <w:p>
            <w:pPr>
              <w:pStyle w:val="14"/>
            </w:pPr>
            <w:r>
              <w:t>A02091001</w:t>
            </w:r>
          </w:p>
        </w:tc>
        <w:tc>
          <w:tcPr>
            <w:tcW w:w="709" w:type="dxa"/>
            <w:vAlign w:val="center"/>
          </w:tcPr>
          <w:p>
            <w:pPr>
              <w:pStyle w:val="15"/>
            </w:pPr>
            <w:r>
              <w:t>台</w:t>
            </w:r>
          </w:p>
        </w:tc>
        <w:tc>
          <w:tcPr>
            <w:tcW w:w="850" w:type="dxa"/>
            <w:vAlign w:val="center"/>
          </w:tcPr>
          <w:p>
            <w:pPr>
              <w:pStyle w:val="13"/>
            </w:pPr>
            <w:r>
              <w:t>31</w:t>
            </w:r>
          </w:p>
        </w:tc>
        <w:tc>
          <w:tcPr>
            <w:tcW w:w="850" w:type="dxa"/>
            <w:vAlign w:val="center"/>
          </w:tcPr>
          <w:p>
            <w:pPr>
              <w:pStyle w:val="13"/>
            </w:pPr>
            <w:r>
              <w:t>0.14</w:t>
            </w:r>
          </w:p>
        </w:tc>
        <w:tc>
          <w:tcPr>
            <w:tcW w:w="964" w:type="dxa"/>
            <w:vAlign w:val="center"/>
          </w:tcPr>
          <w:p>
            <w:pPr>
              <w:pStyle w:val="13"/>
            </w:pPr>
            <w:r>
              <w:t>4.34</w:t>
            </w:r>
          </w:p>
        </w:tc>
        <w:tc>
          <w:tcPr>
            <w:tcW w:w="964" w:type="dxa"/>
            <w:vAlign w:val="center"/>
          </w:tcPr>
          <w:p>
            <w:pPr>
              <w:pStyle w:val="13"/>
            </w:pPr>
            <w:r>
              <w:t>4.34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2026悦麓兰庭和翠屏龙苑人才公寓家具家电附属设施</w:t>
            </w:r>
          </w:p>
        </w:tc>
        <w:tc>
          <w:tcPr>
            <w:tcW w:w="964" w:type="dxa"/>
            <w:vAlign w:val="center"/>
          </w:tcPr>
          <w:p>
            <w:pPr>
              <w:pStyle w:val="13"/>
            </w:pPr>
            <w:r>
              <w:t>16.89</w:t>
            </w:r>
          </w:p>
        </w:tc>
        <w:tc>
          <w:tcPr>
            <w:tcW w:w="1134" w:type="dxa"/>
            <w:vAlign w:val="center"/>
          </w:tcPr>
          <w:p>
            <w:pPr>
              <w:pStyle w:val="14"/>
            </w:pPr>
            <w:r>
              <w:t>其他台、桌类</w:t>
            </w:r>
          </w:p>
        </w:tc>
        <w:tc>
          <w:tcPr>
            <w:tcW w:w="1134" w:type="dxa"/>
            <w:vAlign w:val="center"/>
          </w:tcPr>
          <w:p>
            <w:pPr>
              <w:pStyle w:val="14"/>
            </w:pPr>
            <w:r>
              <w:t>A05010299</w:t>
            </w:r>
          </w:p>
        </w:tc>
        <w:tc>
          <w:tcPr>
            <w:tcW w:w="709" w:type="dxa"/>
            <w:vAlign w:val="center"/>
          </w:tcPr>
          <w:p>
            <w:pPr>
              <w:pStyle w:val="15"/>
            </w:pPr>
            <w:r>
              <w:t>件</w:t>
            </w:r>
          </w:p>
        </w:tc>
        <w:tc>
          <w:tcPr>
            <w:tcW w:w="850" w:type="dxa"/>
            <w:vAlign w:val="center"/>
          </w:tcPr>
          <w:p>
            <w:pPr>
              <w:pStyle w:val="13"/>
            </w:pPr>
            <w:r>
              <w:t>10</w:t>
            </w:r>
          </w:p>
        </w:tc>
        <w:tc>
          <w:tcPr>
            <w:tcW w:w="850" w:type="dxa"/>
            <w:vAlign w:val="center"/>
          </w:tcPr>
          <w:p>
            <w:pPr>
              <w:pStyle w:val="13"/>
            </w:pPr>
            <w:r>
              <w:t>0.15</w:t>
            </w:r>
          </w:p>
        </w:tc>
        <w:tc>
          <w:tcPr>
            <w:tcW w:w="964" w:type="dxa"/>
            <w:vAlign w:val="center"/>
          </w:tcPr>
          <w:p>
            <w:pPr>
              <w:pStyle w:val="13"/>
            </w:pPr>
            <w:r>
              <w:t>1.47</w:t>
            </w:r>
          </w:p>
        </w:tc>
        <w:tc>
          <w:tcPr>
            <w:tcW w:w="964" w:type="dxa"/>
            <w:vAlign w:val="center"/>
          </w:tcPr>
          <w:p>
            <w:pPr>
              <w:pStyle w:val="13"/>
            </w:pPr>
            <w:r>
              <w:t>1.47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2026悦麓兰庭和翠屏龙苑人才公寓家具家电附属设施</w:t>
            </w:r>
          </w:p>
        </w:tc>
        <w:tc>
          <w:tcPr>
            <w:tcW w:w="964" w:type="dxa"/>
            <w:vAlign w:val="center"/>
          </w:tcPr>
          <w:p>
            <w:pPr>
              <w:pStyle w:val="13"/>
            </w:pPr>
            <w:r>
              <w:t>16.89</w:t>
            </w:r>
          </w:p>
        </w:tc>
        <w:tc>
          <w:tcPr>
            <w:tcW w:w="1134" w:type="dxa"/>
            <w:vAlign w:val="center"/>
          </w:tcPr>
          <w:p>
            <w:pPr>
              <w:pStyle w:val="14"/>
            </w:pPr>
            <w:r>
              <w:t>其他椅凳类</w:t>
            </w:r>
          </w:p>
        </w:tc>
        <w:tc>
          <w:tcPr>
            <w:tcW w:w="1134" w:type="dxa"/>
            <w:vAlign w:val="center"/>
          </w:tcPr>
          <w:p>
            <w:pPr>
              <w:pStyle w:val="14"/>
            </w:pPr>
            <w:r>
              <w:t>A05010399</w:t>
            </w:r>
          </w:p>
        </w:tc>
        <w:tc>
          <w:tcPr>
            <w:tcW w:w="709" w:type="dxa"/>
            <w:vAlign w:val="center"/>
          </w:tcPr>
          <w:p>
            <w:pPr>
              <w:pStyle w:val="15"/>
            </w:pPr>
            <w:r>
              <w:t>件</w:t>
            </w:r>
          </w:p>
        </w:tc>
        <w:tc>
          <w:tcPr>
            <w:tcW w:w="850" w:type="dxa"/>
            <w:vAlign w:val="center"/>
          </w:tcPr>
          <w:p>
            <w:pPr>
              <w:pStyle w:val="13"/>
            </w:pPr>
            <w:r>
              <w:t>3</w:t>
            </w:r>
          </w:p>
        </w:tc>
        <w:tc>
          <w:tcPr>
            <w:tcW w:w="850" w:type="dxa"/>
            <w:vAlign w:val="center"/>
          </w:tcPr>
          <w:p>
            <w:pPr>
              <w:pStyle w:val="13"/>
            </w:pPr>
            <w:r>
              <w:t>0.06</w:t>
            </w:r>
          </w:p>
        </w:tc>
        <w:tc>
          <w:tcPr>
            <w:tcW w:w="964" w:type="dxa"/>
            <w:vAlign w:val="center"/>
          </w:tcPr>
          <w:p>
            <w:pPr>
              <w:pStyle w:val="13"/>
            </w:pPr>
            <w:r>
              <w:t>0.17</w:t>
            </w:r>
          </w:p>
        </w:tc>
        <w:tc>
          <w:tcPr>
            <w:tcW w:w="964" w:type="dxa"/>
            <w:vAlign w:val="center"/>
          </w:tcPr>
          <w:p>
            <w:pPr>
              <w:pStyle w:val="13"/>
            </w:pPr>
            <w:r>
              <w:t>0.17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2026悦麓兰庭和翠屏龙苑人才公寓家具家电附属设施</w:t>
            </w:r>
          </w:p>
        </w:tc>
        <w:tc>
          <w:tcPr>
            <w:tcW w:w="964" w:type="dxa"/>
            <w:vAlign w:val="center"/>
          </w:tcPr>
          <w:p>
            <w:pPr>
              <w:pStyle w:val="13"/>
            </w:pPr>
            <w:r>
              <w:t>16.89</w:t>
            </w:r>
          </w:p>
        </w:tc>
        <w:tc>
          <w:tcPr>
            <w:tcW w:w="1134" w:type="dxa"/>
            <w:vAlign w:val="center"/>
          </w:tcPr>
          <w:p>
            <w:pPr>
              <w:pStyle w:val="14"/>
            </w:pPr>
            <w:r>
              <w:t>其他沙发类</w:t>
            </w:r>
          </w:p>
        </w:tc>
        <w:tc>
          <w:tcPr>
            <w:tcW w:w="1134" w:type="dxa"/>
            <w:vAlign w:val="center"/>
          </w:tcPr>
          <w:p>
            <w:pPr>
              <w:pStyle w:val="14"/>
            </w:pPr>
            <w:r>
              <w:t>A05010499</w:t>
            </w:r>
          </w:p>
        </w:tc>
        <w:tc>
          <w:tcPr>
            <w:tcW w:w="709" w:type="dxa"/>
            <w:vAlign w:val="center"/>
          </w:tcPr>
          <w:p>
            <w:pPr>
              <w:pStyle w:val="15"/>
            </w:pPr>
            <w:r>
              <w:t>件</w:t>
            </w:r>
          </w:p>
        </w:tc>
        <w:tc>
          <w:tcPr>
            <w:tcW w:w="850" w:type="dxa"/>
            <w:vAlign w:val="center"/>
          </w:tcPr>
          <w:p>
            <w:pPr>
              <w:pStyle w:val="13"/>
            </w:pPr>
            <w:r>
              <w:t>15</w:t>
            </w:r>
          </w:p>
        </w:tc>
        <w:tc>
          <w:tcPr>
            <w:tcW w:w="850" w:type="dxa"/>
            <w:vAlign w:val="center"/>
          </w:tcPr>
          <w:p>
            <w:pPr>
              <w:pStyle w:val="13"/>
            </w:pPr>
            <w:r>
              <w:t>0.43</w:t>
            </w:r>
          </w:p>
        </w:tc>
        <w:tc>
          <w:tcPr>
            <w:tcW w:w="964" w:type="dxa"/>
            <w:vAlign w:val="center"/>
          </w:tcPr>
          <w:p>
            <w:pPr>
              <w:pStyle w:val="13"/>
            </w:pPr>
            <w:r>
              <w:t>6.46</w:t>
            </w:r>
          </w:p>
        </w:tc>
        <w:tc>
          <w:tcPr>
            <w:tcW w:w="964" w:type="dxa"/>
            <w:vAlign w:val="center"/>
          </w:tcPr>
          <w:p>
            <w:pPr>
              <w:pStyle w:val="13"/>
            </w:pPr>
            <w:r>
              <w:t>6.46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2026悦麓兰庭和翠屏龙苑人才公寓家具家电附属设施</w:t>
            </w:r>
          </w:p>
        </w:tc>
        <w:tc>
          <w:tcPr>
            <w:tcW w:w="964" w:type="dxa"/>
            <w:vAlign w:val="center"/>
          </w:tcPr>
          <w:p>
            <w:pPr>
              <w:pStyle w:val="13"/>
            </w:pPr>
            <w:r>
              <w:t>16.89</w:t>
            </w:r>
          </w:p>
        </w:tc>
        <w:tc>
          <w:tcPr>
            <w:tcW w:w="1134" w:type="dxa"/>
            <w:vAlign w:val="center"/>
          </w:tcPr>
          <w:p>
            <w:pPr>
              <w:pStyle w:val="14"/>
            </w:pPr>
            <w:r>
              <w:t>其他屏风类</w:t>
            </w:r>
          </w:p>
        </w:tc>
        <w:tc>
          <w:tcPr>
            <w:tcW w:w="1134" w:type="dxa"/>
            <w:vAlign w:val="center"/>
          </w:tcPr>
          <w:p>
            <w:pPr>
              <w:pStyle w:val="14"/>
            </w:pPr>
            <w:r>
              <w:t>A05010799</w:t>
            </w:r>
          </w:p>
        </w:tc>
        <w:tc>
          <w:tcPr>
            <w:tcW w:w="709" w:type="dxa"/>
            <w:vAlign w:val="center"/>
          </w:tcPr>
          <w:p>
            <w:pPr>
              <w:pStyle w:val="15"/>
            </w:pPr>
            <w:r>
              <w:t>件</w:t>
            </w:r>
          </w:p>
        </w:tc>
        <w:tc>
          <w:tcPr>
            <w:tcW w:w="850" w:type="dxa"/>
            <w:vAlign w:val="center"/>
          </w:tcPr>
          <w:p>
            <w:pPr>
              <w:pStyle w:val="13"/>
            </w:pPr>
            <w:r>
              <w:t>1</w:t>
            </w:r>
          </w:p>
        </w:tc>
        <w:tc>
          <w:tcPr>
            <w:tcW w:w="850" w:type="dxa"/>
            <w:vAlign w:val="center"/>
          </w:tcPr>
          <w:p>
            <w:pPr>
              <w:pStyle w:val="13"/>
            </w:pPr>
            <w:r>
              <w:t>0.02</w:t>
            </w:r>
          </w:p>
        </w:tc>
        <w:tc>
          <w:tcPr>
            <w:tcW w:w="964" w:type="dxa"/>
            <w:vAlign w:val="center"/>
          </w:tcPr>
          <w:p>
            <w:pPr>
              <w:pStyle w:val="13"/>
            </w:pPr>
            <w:r>
              <w:t>0.02</w:t>
            </w:r>
          </w:p>
        </w:tc>
        <w:tc>
          <w:tcPr>
            <w:tcW w:w="964" w:type="dxa"/>
            <w:vAlign w:val="center"/>
          </w:tcPr>
          <w:p>
            <w:pPr>
              <w:pStyle w:val="13"/>
            </w:pPr>
            <w:r>
              <w:t>0.02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2026悦麓兰庭和翠屏龙苑人才公寓家具家电附属设施</w:t>
            </w:r>
          </w:p>
        </w:tc>
        <w:tc>
          <w:tcPr>
            <w:tcW w:w="964" w:type="dxa"/>
            <w:vAlign w:val="center"/>
          </w:tcPr>
          <w:p>
            <w:pPr>
              <w:pStyle w:val="13"/>
            </w:pPr>
            <w:r>
              <w:t>16.89</w:t>
            </w:r>
          </w:p>
        </w:tc>
        <w:tc>
          <w:tcPr>
            <w:tcW w:w="1134" w:type="dxa"/>
            <w:vAlign w:val="center"/>
          </w:tcPr>
          <w:p>
            <w:pPr>
              <w:pStyle w:val="14"/>
            </w:pPr>
            <w:r>
              <w:t>其他屏风类</w:t>
            </w:r>
          </w:p>
        </w:tc>
        <w:tc>
          <w:tcPr>
            <w:tcW w:w="1134" w:type="dxa"/>
            <w:vAlign w:val="center"/>
          </w:tcPr>
          <w:p>
            <w:pPr>
              <w:pStyle w:val="14"/>
            </w:pPr>
            <w:r>
              <w:t>A05010799</w:t>
            </w:r>
          </w:p>
        </w:tc>
        <w:tc>
          <w:tcPr>
            <w:tcW w:w="709" w:type="dxa"/>
            <w:vAlign w:val="center"/>
          </w:tcPr>
          <w:p>
            <w:pPr>
              <w:pStyle w:val="15"/>
            </w:pPr>
            <w:r>
              <w:t>件</w:t>
            </w:r>
          </w:p>
        </w:tc>
        <w:tc>
          <w:tcPr>
            <w:tcW w:w="850" w:type="dxa"/>
            <w:vAlign w:val="center"/>
          </w:tcPr>
          <w:p>
            <w:pPr>
              <w:pStyle w:val="13"/>
            </w:pPr>
            <w:r>
              <w:t>14</w:t>
            </w:r>
          </w:p>
        </w:tc>
        <w:tc>
          <w:tcPr>
            <w:tcW w:w="850" w:type="dxa"/>
            <w:vAlign w:val="center"/>
          </w:tcPr>
          <w:p>
            <w:pPr>
              <w:pStyle w:val="13"/>
            </w:pPr>
            <w:r>
              <w:t>0.02</w:t>
            </w:r>
          </w:p>
        </w:tc>
        <w:tc>
          <w:tcPr>
            <w:tcW w:w="964" w:type="dxa"/>
            <w:vAlign w:val="center"/>
          </w:tcPr>
          <w:p>
            <w:pPr>
              <w:pStyle w:val="13"/>
            </w:pPr>
            <w:r>
              <w:t>0.31</w:t>
            </w:r>
          </w:p>
        </w:tc>
        <w:tc>
          <w:tcPr>
            <w:tcW w:w="964" w:type="dxa"/>
            <w:vAlign w:val="center"/>
          </w:tcPr>
          <w:p>
            <w:pPr>
              <w:pStyle w:val="13"/>
            </w:pPr>
            <w:r>
              <w:t>0.31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2026悦麓兰庭和翠屏龙苑人才公寓家具家电附属设施</w:t>
            </w:r>
          </w:p>
        </w:tc>
        <w:tc>
          <w:tcPr>
            <w:tcW w:w="964" w:type="dxa"/>
            <w:vAlign w:val="center"/>
          </w:tcPr>
          <w:p>
            <w:pPr>
              <w:pStyle w:val="13"/>
            </w:pPr>
            <w:r>
              <w:t>16.89</w:t>
            </w:r>
          </w:p>
        </w:tc>
        <w:tc>
          <w:tcPr>
            <w:tcW w:w="1134" w:type="dxa"/>
            <w:vAlign w:val="center"/>
          </w:tcPr>
          <w:p>
            <w:pPr>
              <w:pStyle w:val="14"/>
            </w:pPr>
            <w:r>
              <w:t>其他室外装具</w:t>
            </w:r>
          </w:p>
        </w:tc>
        <w:tc>
          <w:tcPr>
            <w:tcW w:w="1134" w:type="dxa"/>
            <w:vAlign w:val="center"/>
          </w:tcPr>
          <w:p>
            <w:pPr>
              <w:pStyle w:val="14"/>
            </w:pPr>
            <w:r>
              <w:t>A05030699</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0.23</w:t>
            </w:r>
          </w:p>
        </w:tc>
        <w:tc>
          <w:tcPr>
            <w:tcW w:w="964" w:type="dxa"/>
            <w:vAlign w:val="center"/>
          </w:tcPr>
          <w:p>
            <w:pPr>
              <w:pStyle w:val="13"/>
            </w:pPr>
            <w:r>
              <w:t>0.23</w:t>
            </w:r>
          </w:p>
        </w:tc>
        <w:tc>
          <w:tcPr>
            <w:tcW w:w="964" w:type="dxa"/>
            <w:vAlign w:val="center"/>
          </w:tcPr>
          <w:p>
            <w:pPr>
              <w:pStyle w:val="13"/>
            </w:pPr>
            <w:r>
              <w:t>0.23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2026悦麓兰庭和翠屏龙苑人才公寓家具家电附属设施</w:t>
            </w:r>
          </w:p>
        </w:tc>
        <w:tc>
          <w:tcPr>
            <w:tcW w:w="964" w:type="dxa"/>
            <w:vAlign w:val="center"/>
          </w:tcPr>
          <w:p>
            <w:pPr>
              <w:pStyle w:val="13"/>
            </w:pPr>
            <w:r>
              <w:t>16.89</w:t>
            </w:r>
          </w:p>
        </w:tc>
        <w:tc>
          <w:tcPr>
            <w:tcW w:w="1134" w:type="dxa"/>
            <w:vAlign w:val="center"/>
          </w:tcPr>
          <w:p>
            <w:pPr>
              <w:pStyle w:val="14"/>
            </w:pPr>
            <w:r>
              <w:t>其他室外装具</w:t>
            </w:r>
          </w:p>
        </w:tc>
        <w:tc>
          <w:tcPr>
            <w:tcW w:w="1134" w:type="dxa"/>
            <w:vAlign w:val="center"/>
          </w:tcPr>
          <w:p>
            <w:pPr>
              <w:pStyle w:val="14"/>
            </w:pPr>
            <w:r>
              <w:t>A05030699</w:t>
            </w:r>
          </w:p>
        </w:tc>
        <w:tc>
          <w:tcPr>
            <w:tcW w:w="709" w:type="dxa"/>
            <w:vAlign w:val="center"/>
          </w:tcPr>
          <w:p>
            <w:pPr>
              <w:pStyle w:val="15"/>
            </w:pPr>
            <w:r>
              <w:t>套</w:t>
            </w:r>
          </w:p>
        </w:tc>
        <w:tc>
          <w:tcPr>
            <w:tcW w:w="850" w:type="dxa"/>
            <w:vAlign w:val="center"/>
          </w:tcPr>
          <w:p>
            <w:pPr>
              <w:pStyle w:val="13"/>
            </w:pPr>
            <w:r>
              <w:t>25</w:t>
            </w:r>
          </w:p>
        </w:tc>
        <w:tc>
          <w:tcPr>
            <w:tcW w:w="850" w:type="dxa"/>
            <w:vAlign w:val="center"/>
          </w:tcPr>
          <w:p>
            <w:pPr>
              <w:pStyle w:val="13"/>
            </w:pPr>
            <w:r>
              <w:t>0.16</w:t>
            </w:r>
          </w:p>
        </w:tc>
        <w:tc>
          <w:tcPr>
            <w:tcW w:w="964" w:type="dxa"/>
            <w:vAlign w:val="center"/>
          </w:tcPr>
          <w:p>
            <w:pPr>
              <w:pStyle w:val="13"/>
            </w:pPr>
            <w:r>
              <w:t>3.88</w:t>
            </w:r>
          </w:p>
        </w:tc>
        <w:tc>
          <w:tcPr>
            <w:tcW w:w="964" w:type="dxa"/>
            <w:vAlign w:val="center"/>
          </w:tcPr>
          <w:p>
            <w:pPr>
              <w:pStyle w:val="13"/>
            </w:pPr>
            <w:r>
              <w:t>3.88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3.88</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03" w:name="_Toc_3_3_0000000018"/>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bookmarkEnd w:id="103"/>
    </w:p>
    <w:p>
      <w:pPr>
        <w:spacing w:line="500" w:lineRule="exact"/>
        <w:ind w:firstLine="560"/>
      </w:pPr>
      <w:r>
        <w:rPr>
          <w:rFonts w:eastAsia="方正仿宋_GBK"/>
          <w:color w:val="000000"/>
          <w:sz w:val="28"/>
        </w:rPr>
        <w:t>石家庄市鹿泉区住房和城乡建设局（含所属单位）上年末固定资产金额为2457.31万元（详见下表）。本年度拟购置固定资产总额为1.05万元，已按要求列入政府采购预算，详见政府采购预算表。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333石家庄市鹿泉区住房和城乡建设局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2457.31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12437.65</w:t>
            </w:r>
          </w:p>
        </w:tc>
        <w:tc>
          <w:tcPr>
            <w:tcW w:w="2835" w:type="dxa"/>
            <w:vAlign w:val="center"/>
          </w:tcPr>
          <w:p>
            <w:pPr>
              <w:pStyle w:val="13"/>
            </w:pPr>
            <w:r>
              <w:t>1856.51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9321.08</w:t>
            </w:r>
          </w:p>
        </w:tc>
        <w:tc>
          <w:tcPr>
            <w:tcW w:w="2835" w:type="dxa"/>
            <w:vAlign w:val="center"/>
          </w:tcPr>
          <w:p>
            <w:pPr>
              <w:pStyle w:val="13"/>
            </w:pPr>
            <w:r>
              <w:t>1367.57</w:t>
            </w:r>
          </w:p>
        </w:tc>
      </w:tr>
      <w:tr>
        <w:tblPrEx>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8</w:t>
            </w:r>
          </w:p>
        </w:tc>
        <w:tc>
          <w:tcPr>
            <w:tcW w:w="2835" w:type="dxa"/>
            <w:vAlign w:val="center"/>
          </w:tcPr>
          <w:p>
            <w:pPr>
              <w:pStyle w:val="13"/>
            </w:pPr>
            <w:r>
              <w:t>85.03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2445</w:t>
            </w:r>
          </w:p>
        </w:tc>
        <w:tc>
          <w:tcPr>
            <w:tcW w:w="2835" w:type="dxa"/>
            <w:vAlign w:val="center"/>
          </w:tcPr>
          <w:p>
            <w:pPr>
              <w:pStyle w:val="13"/>
            </w:pPr>
            <w:r>
              <w:t>515.77</w:t>
            </w:r>
          </w:p>
        </w:tc>
      </w:tr>
    </w:tbl>
    <w:p>
      <w:pPr>
        <w:ind w:firstLine="640"/>
      </w:pPr>
      <w:r>
        <w:rPr>
          <w:rFonts w:eastAsia="方正仿宋_GBK"/>
          <w:color w:val="000000"/>
          <w:sz w:val="32"/>
        </w:rPr>
        <w:t xml:space="preserve"> </w:t>
      </w:r>
    </w:p>
    <w:p>
      <w:pPr>
        <w:spacing w:before="10" w:after="10"/>
        <w:ind w:firstLine="640"/>
        <w:outlineLvl w:val="2"/>
      </w:pPr>
      <w:bookmarkStart w:id="104" w:name="_Toc_3_3_0000000019"/>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bookmarkEnd w:id="104"/>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05" w:name="_Toc_3_3_0000000020"/>
      <w:r>
        <w:rPr>
          <w:rFonts w:ascii="黑体" w:hAnsi="黑体" w:eastAsia="黑体" w:cs="黑体"/>
          <w:color w:val="000000"/>
          <w:sz w:val="32"/>
        </w:rPr>
        <w:t>十、其他需要说明的事项</w:t>
      </w:r>
      <w:bookmarkEnd w:id="105"/>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8771C4"/>
    <w:rsid w:val="008771C4"/>
    <w:rsid w:val="00D002BA"/>
    <w:rsid w:val="00FB3441"/>
    <w:rsid w:val="07443768"/>
    <w:rsid w:val="08CA53B6"/>
    <w:rsid w:val="169B09BB"/>
    <w:rsid w:val="17CA0269"/>
    <w:rsid w:val="1A092660"/>
    <w:rsid w:val="1ADA5682"/>
    <w:rsid w:val="1BF20393"/>
    <w:rsid w:val="1C707445"/>
    <w:rsid w:val="1D2C7C74"/>
    <w:rsid w:val="1E576A7C"/>
    <w:rsid w:val="25D362A2"/>
    <w:rsid w:val="26794578"/>
    <w:rsid w:val="2BD61D2E"/>
    <w:rsid w:val="36005174"/>
    <w:rsid w:val="3A722C6C"/>
    <w:rsid w:val="3AAF07B9"/>
    <w:rsid w:val="3F617171"/>
    <w:rsid w:val="418324D3"/>
    <w:rsid w:val="43FC4377"/>
    <w:rsid w:val="451A7BBE"/>
    <w:rsid w:val="4FA2250F"/>
    <w:rsid w:val="541C3F7D"/>
    <w:rsid w:val="542B5A83"/>
    <w:rsid w:val="5AE63C00"/>
    <w:rsid w:val="5E710F66"/>
    <w:rsid w:val="5EAF125B"/>
    <w:rsid w:val="5F9B4899"/>
    <w:rsid w:val="62CF66F3"/>
    <w:rsid w:val="68A47F93"/>
    <w:rsid w:val="68B4248D"/>
    <w:rsid w:val="6A190685"/>
    <w:rsid w:val="6B784C6B"/>
    <w:rsid w:val="70410237"/>
    <w:rsid w:val="75073559"/>
    <w:rsid w:val="7AE75D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First Indent 2"/>
    <w:basedOn w:val="3"/>
    <w:next w:val="1"/>
    <w:qFormat/>
    <w:uiPriority w:val="0"/>
    <w:pPr>
      <w:ind w:left="0" w:leftChars="0" w:firstLine="40"/>
    </w:pPr>
    <w:rPr>
      <w:rFonts w:ascii="仿宋_GB2312" w:hAnsi="仿宋_GB2312" w:eastAsia="仿宋" w:cs="仿宋_GB2312"/>
      <w:sz w:val="32"/>
      <w:szCs w:val="32"/>
    </w:rPr>
  </w:style>
  <w:style w:type="paragraph" w:styleId="3">
    <w:name w:val="Body Text Indent"/>
    <w:basedOn w:val="1"/>
    <w:next w:val="4"/>
    <w:qFormat/>
    <w:uiPriority w:val="0"/>
    <w:pPr>
      <w:spacing w:after="120" w:afterLines="0"/>
      <w:ind w:left="420" w:leftChars="200"/>
    </w:pPr>
  </w:style>
  <w:style w:type="paragraph" w:styleId="4">
    <w:name w:val="Subtitle"/>
    <w:basedOn w:val="1"/>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5">
    <w:name w:val="toc 2"/>
    <w:basedOn w:val="1"/>
    <w:next w:val="1"/>
    <w:qFormat/>
    <w:uiPriority w:val="0"/>
    <w:pPr>
      <w:ind w:left="420" w:leftChars="200"/>
    </w:pPr>
    <w:rPr>
      <w:rFonts w:ascii="Calibri" w:hAnsi="Calibri"/>
    </w:r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133</Pages>
  <Words>11745</Words>
  <Characters>66947</Characters>
  <Lines>557</Lines>
  <Paragraphs>157</Paragraphs>
  <TotalTime>10</TotalTime>
  <ScaleCrop>false</ScaleCrop>
  <LinksUpToDate>false</LinksUpToDate>
  <CharactersWithSpaces>78535</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2026-03-04T16:23:00Z</dcterms:created>
  <dc:creator>Administrator</dc:creator>
  <cp:lastModifiedBy>Administrator</cp:lastModifiedBy>
  <dcterms:modified xsi:type="dcterms:W3CDTF">2026-04-22T09:23:37Z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