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4066.49</w:t>
            </w:r>
          </w:p>
        </w:tc>
        <w:tc>
          <w:tcPr>
            <w:tcW w:w="4535" w:type="dxa"/>
            <w:vAlign w:val="center"/>
          </w:tcPr>
          <w:p>
            <w:pPr>
              <w:pStyle w:val="13"/>
            </w:pPr>
            <w:r>
              <w:t>一、一般公共服务支出</w:t>
            </w:r>
          </w:p>
        </w:tc>
        <w:tc>
          <w:tcPr>
            <w:tcW w:w="2126" w:type="dxa"/>
            <w:vAlign w:val="center"/>
          </w:tcPr>
          <w:p>
            <w:pPr>
              <w:pStyle w:val="12"/>
            </w:pPr>
            <w:r>
              <w:t>1484.27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4066.49</w:t>
            </w:r>
          </w:p>
        </w:tc>
        <w:tc>
          <w:tcPr>
            <w:tcW w:w="4535" w:type="dxa"/>
            <w:vAlign w:val="center"/>
          </w:tcPr>
          <w:p>
            <w:pPr>
              <w:pStyle w:val="15"/>
            </w:pPr>
            <w:r>
              <w:t>本年支出合计</w:t>
            </w:r>
          </w:p>
        </w:tc>
        <w:tc>
          <w:tcPr>
            <w:tcW w:w="2126" w:type="dxa"/>
            <w:vAlign w:val="center"/>
          </w:tcPr>
          <w:p>
            <w:pPr>
              <w:pStyle w:val="16"/>
            </w:pPr>
            <w:r>
              <w:t>4066.49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4066.49</w:t>
            </w:r>
          </w:p>
        </w:tc>
        <w:tc>
          <w:tcPr>
            <w:tcW w:w="4535" w:type="dxa"/>
            <w:vAlign w:val="center"/>
          </w:tcPr>
          <w:p>
            <w:pPr>
              <w:pStyle w:val="15"/>
            </w:pPr>
            <w:r>
              <w:t>支出总计</w:t>
            </w:r>
          </w:p>
        </w:tc>
        <w:tc>
          <w:tcPr>
            <w:tcW w:w="2126" w:type="dxa"/>
            <w:vAlign w:val="center"/>
          </w:tcPr>
          <w:p>
            <w:pPr>
              <w:pStyle w:val="16"/>
            </w:pPr>
            <w:r>
              <w:t>4066.49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4066.49</w:t>
            </w:r>
          </w:p>
        </w:tc>
        <w:tc>
          <w:tcPr>
            <w:tcW w:w="1134" w:type="dxa"/>
            <w:vAlign w:val="center"/>
          </w:tcPr>
          <w:p>
            <w:pPr>
              <w:pStyle w:val="16"/>
            </w:pPr>
            <w:r>
              <w:t>4066.49</w:t>
            </w:r>
          </w:p>
        </w:tc>
        <w:tc>
          <w:tcPr>
            <w:tcW w:w="1134" w:type="dxa"/>
            <w:vAlign w:val="center"/>
          </w:tcPr>
          <w:p>
            <w:pPr>
              <w:pStyle w:val="16"/>
            </w:pPr>
            <w:r>
              <w:t>4066.49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1484.27</w:t>
            </w:r>
          </w:p>
        </w:tc>
        <w:tc>
          <w:tcPr>
            <w:tcW w:w="1134" w:type="dxa"/>
            <w:vAlign w:val="center"/>
          </w:tcPr>
          <w:p>
            <w:pPr>
              <w:pStyle w:val="12"/>
            </w:pPr>
            <w:r>
              <w:t>1484.27</w:t>
            </w:r>
          </w:p>
        </w:tc>
        <w:tc>
          <w:tcPr>
            <w:tcW w:w="1134" w:type="dxa"/>
            <w:vAlign w:val="center"/>
          </w:tcPr>
          <w:p>
            <w:pPr>
              <w:pStyle w:val="12"/>
            </w:pPr>
            <w:r>
              <w:t>1484.27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1484.27</w:t>
            </w:r>
          </w:p>
        </w:tc>
        <w:tc>
          <w:tcPr>
            <w:tcW w:w="1134" w:type="dxa"/>
            <w:vAlign w:val="center"/>
          </w:tcPr>
          <w:p>
            <w:pPr>
              <w:pStyle w:val="12"/>
            </w:pPr>
            <w:r>
              <w:t>1484.27</w:t>
            </w:r>
          </w:p>
        </w:tc>
        <w:tc>
          <w:tcPr>
            <w:tcW w:w="1134" w:type="dxa"/>
            <w:vAlign w:val="center"/>
          </w:tcPr>
          <w:p>
            <w:pPr>
              <w:pStyle w:val="12"/>
            </w:pPr>
            <w:r>
              <w:t>1484.27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1242.27</w:t>
            </w:r>
          </w:p>
        </w:tc>
        <w:tc>
          <w:tcPr>
            <w:tcW w:w="1134" w:type="dxa"/>
            <w:vAlign w:val="center"/>
          </w:tcPr>
          <w:p>
            <w:pPr>
              <w:pStyle w:val="12"/>
            </w:pPr>
            <w:r>
              <w:t>1242.27</w:t>
            </w:r>
          </w:p>
        </w:tc>
        <w:tc>
          <w:tcPr>
            <w:tcW w:w="1134" w:type="dxa"/>
            <w:vAlign w:val="center"/>
          </w:tcPr>
          <w:p>
            <w:pPr>
              <w:pStyle w:val="12"/>
            </w:pPr>
            <w:r>
              <w:t>1242.27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242.00</w:t>
            </w:r>
          </w:p>
        </w:tc>
        <w:tc>
          <w:tcPr>
            <w:tcW w:w="1134" w:type="dxa"/>
            <w:vAlign w:val="center"/>
          </w:tcPr>
          <w:p>
            <w:pPr>
              <w:pStyle w:val="12"/>
            </w:pPr>
            <w:r>
              <w:t>242.00</w:t>
            </w:r>
          </w:p>
        </w:tc>
        <w:tc>
          <w:tcPr>
            <w:tcW w:w="1134" w:type="dxa"/>
            <w:vAlign w:val="center"/>
          </w:tcPr>
          <w:p>
            <w:pPr>
              <w:pStyle w:val="12"/>
            </w:pPr>
            <w:r>
              <w:t>242.00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r>
              <w:t>2278.60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128.32</w:t>
            </w:r>
          </w:p>
        </w:tc>
        <w:tc>
          <w:tcPr>
            <w:tcW w:w="1134" w:type="dxa"/>
            <w:vAlign w:val="center"/>
          </w:tcPr>
          <w:p>
            <w:pPr>
              <w:pStyle w:val="12"/>
            </w:pPr>
            <w:r>
              <w:t>128.32</w:t>
            </w:r>
          </w:p>
        </w:tc>
        <w:tc>
          <w:tcPr>
            <w:tcW w:w="1134" w:type="dxa"/>
            <w:vAlign w:val="center"/>
          </w:tcPr>
          <w:p>
            <w:pPr>
              <w:pStyle w:val="12"/>
            </w:pPr>
            <w:r>
              <w:t>128.32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128.32</w:t>
            </w:r>
          </w:p>
        </w:tc>
        <w:tc>
          <w:tcPr>
            <w:tcW w:w="1134" w:type="dxa"/>
            <w:vAlign w:val="center"/>
          </w:tcPr>
          <w:p>
            <w:pPr>
              <w:pStyle w:val="12"/>
            </w:pPr>
            <w:r>
              <w:t>128.32</w:t>
            </w:r>
          </w:p>
        </w:tc>
        <w:tc>
          <w:tcPr>
            <w:tcW w:w="1134" w:type="dxa"/>
            <w:vAlign w:val="center"/>
          </w:tcPr>
          <w:p>
            <w:pPr>
              <w:pStyle w:val="12"/>
            </w:pPr>
            <w:r>
              <w:t>128.32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19.85</w:t>
            </w:r>
          </w:p>
        </w:tc>
        <w:tc>
          <w:tcPr>
            <w:tcW w:w="1134" w:type="dxa"/>
            <w:vAlign w:val="center"/>
          </w:tcPr>
          <w:p>
            <w:pPr>
              <w:pStyle w:val="12"/>
            </w:pPr>
            <w:r>
              <w:t>19.85</w:t>
            </w:r>
          </w:p>
        </w:tc>
        <w:tc>
          <w:tcPr>
            <w:tcW w:w="1134" w:type="dxa"/>
            <w:vAlign w:val="center"/>
          </w:tcPr>
          <w:p>
            <w:pPr>
              <w:pStyle w:val="12"/>
            </w:pPr>
            <w:r>
              <w:t>19.85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108.47</w:t>
            </w:r>
          </w:p>
        </w:tc>
        <w:tc>
          <w:tcPr>
            <w:tcW w:w="1134" w:type="dxa"/>
            <w:vAlign w:val="center"/>
          </w:tcPr>
          <w:p>
            <w:pPr>
              <w:pStyle w:val="12"/>
            </w:pPr>
            <w:r>
              <w:t>108.47</w:t>
            </w:r>
          </w:p>
        </w:tc>
        <w:tc>
          <w:tcPr>
            <w:tcW w:w="1134" w:type="dxa"/>
            <w:vAlign w:val="center"/>
          </w:tcPr>
          <w:p>
            <w:pPr>
              <w:pStyle w:val="12"/>
            </w:pPr>
            <w:r>
              <w:t>108.47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r>
              <w:t>70.95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r>
              <w:t>104.35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4066.49</w:t>
            </w:r>
          </w:p>
        </w:tc>
        <w:tc>
          <w:tcPr>
            <w:tcW w:w="1361" w:type="dxa"/>
            <w:vAlign w:val="center"/>
          </w:tcPr>
          <w:p>
            <w:pPr>
              <w:pStyle w:val="16"/>
            </w:pPr>
            <w:r>
              <w:t>1545.89</w:t>
            </w:r>
          </w:p>
        </w:tc>
        <w:tc>
          <w:tcPr>
            <w:tcW w:w="1361" w:type="dxa"/>
            <w:vAlign w:val="center"/>
          </w:tcPr>
          <w:p>
            <w:pPr>
              <w:pStyle w:val="16"/>
            </w:pPr>
            <w:r>
              <w:t>2520.60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1484.27</w:t>
            </w:r>
          </w:p>
        </w:tc>
        <w:tc>
          <w:tcPr>
            <w:tcW w:w="1361" w:type="dxa"/>
            <w:vAlign w:val="center"/>
          </w:tcPr>
          <w:p>
            <w:pPr>
              <w:pStyle w:val="12"/>
            </w:pPr>
            <w:r>
              <w:t>1242.27</w:t>
            </w:r>
          </w:p>
        </w:tc>
        <w:tc>
          <w:tcPr>
            <w:tcW w:w="1361" w:type="dxa"/>
            <w:vAlign w:val="center"/>
          </w:tcPr>
          <w:p>
            <w:pPr>
              <w:pStyle w:val="12"/>
            </w:pPr>
            <w:r>
              <w:t>242.00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1484.27</w:t>
            </w:r>
          </w:p>
        </w:tc>
        <w:tc>
          <w:tcPr>
            <w:tcW w:w="1361" w:type="dxa"/>
            <w:vAlign w:val="center"/>
          </w:tcPr>
          <w:p>
            <w:pPr>
              <w:pStyle w:val="12"/>
            </w:pPr>
            <w:r>
              <w:t>1242.27</w:t>
            </w:r>
          </w:p>
        </w:tc>
        <w:tc>
          <w:tcPr>
            <w:tcW w:w="1361" w:type="dxa"/>
            <w:vAlign w:val="center"/>
          </w:tcPr>
          <w:p>
            <w:pPr>
              <w:pStyle w:val="12"/>
            </w:pPr>
            <w:r>
              <w:t>242.00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1242.27</w:t>
            </w:r>
          </w:p>
        </w:tc>
        <w:tc>
          <w:tcPr>
            <w:tcW w:w="1361" w:type="dxa"/>
            <w:vAlign w:val="center"/>
          </w:tcPr>
          <w:p>
            <w:pPr>
              <w:pStyle w:val="12"/>
            </w:pPr>
            <w:r>
              <w:t>1242.27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242.00</w:t>
            </w:r>
          </w:p>
        </w:tc>
        <w:tc>
          <w:tcPr>
            <w:tcW w:w="1361" w:type="dxa"/>
            <w:vAlign w:val="center"/>
          </w:tcPr>
          <w:p>
            <w:pPr>
              <w:pStyle w:val="12"/>
            </w:pPr>
          </w:p>
        </w:tc>
        <w:tc>
          <w:tcPr>
            <w:tcW w:w="1361" w:type="dxa"/>
            <w:vAlign w:val="center"/>
          </w:tcPr>
          <w:p>
            <w:pPr>
              <w:pStyle w:val="12"/>
            </w:pPr>
            <w:r>
              <w:t>242.00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r>
              <w:t>2278.60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128.32</w:t>
            </w:r>
          </w:p>
        </w:tc>
        <w:tc>
          <w:tcPr>
            <w:tcW w:w="1361" w:type="dxa"/>
            <w:vAlign w:val="center"/>
          </w:tcPr>
          <w:p>
            <w:pPr>
              <w:pStyle w:val="12"/>
            </w:pPr>
            <w:r>
              <w:t>128.32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128.32</w:t>
            </w:r>
          </w:p>
        </w:tc>
        <w:tc>
          <w:tcPr>
            <w:tcW w:w="1361" w:type="dxa"/>
            <w:vAlign w:val="center"/>
          </w:tcPr>
          <w:p>
            <w:pPr>
              <w:pStyle w:val="12"/>
            </w:pPr>
            <w:r>
              <w:t>128.32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19.85</w:t>
            </w:r>
          </w:p>
        </w:tc>
        <w:tc>
          <w:tcPr>
            <w:tcW w:w="1361" w:type="dxa"/>
            <w:vAlign w:val="center"/>
          </w:tcPr>
          <w:p>
            <w:pPr>
              <w:pStyle w:val="12"/>
            </w:pPr>
            <w:r>
              <w:t>19.85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108.47</w:t>
            </w:r>
          </w:p>
        </w:tc>
        <w:tc>
          <w:tcPr>
            <w:tcW w:w="1361" w:type="dxa"/>
            <w:vAlign w:val="center"/>
          </w:tcPr>
          <w:p>
            <w:pPr>
              <w:pStyle w:val="12"/>
            </w:pPr>
            <w:r>
              <w:t>108.47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70.95</w:t>
            </w:r>
          </w:p>
        </w:tc>
        <w:tc>
          <w:tcPr>
            <w:tcW w:w="1361" w:type="dxa"/>
            <w:vAlign w:val="center"/>
          </w:tcPr>
          <w:p>
            <w:pPr>
              <w:pStyle w:val="12"/>
            </w:pPr>
            <w:r>
              <w:t>70.95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70.95</w:t>
            </w:r>
          </w:p>
        </w:tc>
        <w:tc>
          <w:tcPr>
            <w:tcW w:w="1361" w:type="dxa"/>
            <w:vAlign w:val="center"/>
          </w:tcPr>
          <w:p>
            <w:pPr>
              <w:pStyle w:val="12"/>
            </w:pPr>
            <w:r>
              <w:t>70.95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70.95</w:t>
            </w:r>
          </w:p>
        </w:tc>
        <w:tc>
          <w:tcPr>
            <w:tcW w:w="1361" w:type="dxa"/>
            <w:vAlign w:val="center"/>
          </w:tcPr>
          <w:p>
            <w:pPr>
              <w:pStyle w:val="12"/>
            </w:pPr>
            <w:r>
              <w:t>70.95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104.35</w:t>
            </w:r>
          </w:p>
        </w:tc>
        <w:tc>
          <w:tcPr>
            <w:tcW w:w="1361" w:type="dxa"/>
            <w:vAlign w:val="center"/>
          </w:tcPr>
          <w:p>
            <w:pPr>
              <w:pStyle w:val="12"/>
            </w:pPr>
            <w:r>
              <w:t>104.35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104.35</w:t>
            </w:r>
          </w:p>
        </w:tc>
        <w:tc>
          <w:tcPr>
            <w:tcW w:w="1361" w:type="dxa"/>
            <w:vAlign w:val="center"/>
          </w:tcPr>
          <w:p>
            <w:pPr>
              <w:pStyle w:val="12"/>
            </w:pPr>
            <w:r>
              <w:t>104.35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104.35</w:t>
            </w:r>
          </w:p>
        </w:tc>
        <w:tc>
          <w:tcPr>
            <w:tcW w:w="1361" w:type="dxa"/>
            <w:vAlign w:val="center"/>
          </w:tcPr>
          <w:p>
            <w:pPr>
              <w:pStyle w:val="12"/>
            </w:pPr>
            <w:r>
              <w:t>104.35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4066.49</w:t>
            </w:r>
          </w:p>
        </w:tc>
        <w:tc>
          <w:tcPr>
            <w:tcW w:w="3402" w:type="dxa"/>
            <w:vAlign w:val="center"/>
          </w:tcPr>
          <w:p>
            <w:pPr>
              <w:pStyle w:val="13"/>
            </w:pPr>
            <w:r>
              <w:t>一、一般公共服务支出</w:t>
            </w:r>
          </w:p>
        </w:tc>
        <w:tc>
          <w:tcPr>
            <w:tcW w:w="1474" w:type="dxa"/>
            <w:vAlign w:val="center"/>
          </w:tcPr>
          <w:p>
            <w:pPr>
              <w:pStyle w:val="12"/>
            </w:pPr>
            <w:r>
              <w:t>1484.27</w:t>
            </w:r>
          </w:p>
        </w:tc>
        <w:tc>
          <w:tcPr>
            <w:tcW w:w="1474" w:type="dxa"/>
            <w:vAlign w:val="center"/>
          </w:tcPr>
          <w:p>
            <w:pPr>
              <w:pStyle w:val="12"/>
            </w:pPr>
            <w:r>
              <w:t>1484.27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2278.60</w:t>
            </w:r>
          </w:p>
        </w:tc>
        <w:tc>
          <w:tcPr>
            <w:tcW w:w="1474" w:type="dxa"/>
            <w:vAlign w:val="center"/>
          </w:tcPr>
          <w:p>
            <w:pPr>
              <w:pStyle w:val="12"/>
            </w:pPr>
            <w:r>
              <w:t>2278.60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128.32</w:t>
            </w:r>
          </w:p>
        </w:tc>
        <w:tc>
          <w:tcPr>
            <w:tcW w:w="1474" w:type="dxa"/>
            <w:vAlign w:val="center"/>
          </w:tcPr>
          <w:p>
            <w:pPr>
              <w:pStyle w:val="12"/>
            </w:pPr>
            <w:r>
              <w:t>128.32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70.95</w:t>
            </w:r>
          </w:p>
        </w:tc>
        <w:tc>
          <w:tcPr>
            <w:tcW w:w="1474" w:type="dxa"/>
            <w:vAlign w:val="center"/>
          </w:tcPr>
          <w:p>
            <w:pPr>
              <w:pStyle w:val="12"/>
            </w:pPr>
            <w:r>
              <w:t>70.95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104.35</w:t>
            </w:r>
          </w:p>
        </w:tc>
        <w:tc>
          <w:tcPr>
            <w:tcW w:w="1474" w:type="dxa"/>
            <w:vAlign w:val="center"/>
          </w:tcPr>
          <w:p>
            <w:pPr>
              <w:pStyle w:val="12"/>
            </w:pPr>
            <w:r>
              <w:t>104.35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4066.49</w:t>
            </w:r>
          </w:p>
        </w:tc>
        <w:tc>
          <w:tcPr>
            <w:tcW w:w="3402" w:type="dxa"/>
            <w:vAlign w:val="center"/>
          </w:tcPr>
          <w:p>
            <w:pPr>
              <w:pStyle w:val="15"/>
            </w:pPr>
            <w:r>
              <w:t>本年支出合计</w:t>
            </w:r>
          </w:p>
        </w:tc>
        <w:tc>
          <w:tcPr>
            <w:tcW w:w="1474" w:type="dxa"/>
            <w:vAlign w:val="center"/>
          </w:tcPr>
          <w:p>
            <w:pPr>
              <w:pStyle w:val="16"/>
            </w:pPr>
            <w:r>
              <w:t>4066.49</w:t>
            </w:r>
          </w:p>
        </w:tc>
        <w:tc>
          <w:tcPr>
            <w:tcW w:w="1474" w:type="dxa"/>
            <w:vAlign w:val="center"/>
          </w:tcPr>
          <w:p>
            <w:pPr>
              <w:pStyle w:val="16"/>
            </w:pPr>
            <w:r>
              <w:t>4066.49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4066.49</w:t>
            </w:r>
          </w:p>
        </w:tc>
        <w:tc>
          <w:tcPr>
            <w:tcW w:w="3402" w:type="dxa"/>
            <w:vAlign w:val="center"/>
          </w:tcPr>
          <w:p>
            <w:pPr>
              <w:pStyle w:val="15"/>
            </w:pPr>
            <w:r>
              <w:t>支出总计</w:t>
            </w:r>
          </w:p>
        </w:tc>
        <w:tc>
          <w:tcPr>
            <w:tcW w:w="1474" w:type="dxa"/>
            <w:vAlign w:val="center"/>
          </w:tcPr>
          <w:p>
            <w:pPr>
              <w:pStyle w:val="16"/>
            </w:pPr>
            <w:r>
              <w:t>4066.49</w:t>
            </w:r>
          </w:p>
        </w:tc>
        <w:tc>
          <w:tcPr>
            <w:tcW w:w="1474" w:type="dxa"/>
            <w:vAlign w:val="center"/>
          </w:tcPr>
          <w:p>
            <w:pPr>
              <w:pStyle w:val="16"/>
            </w:pPr>
            <w:r>
              <w:t>4066.49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4066.49</w:t>
            </w:r>
          </w:p>
        </w:tc>
        <w:tc>
          <w:tcPr>
            <w:tcW w:w="2551" w:type="dxa"/>
            <w:vAlign w:val="center"/>
          </w:tcPr>
          <w:p>
            <w:pPr>
              <w:pStyle w:val="16"/>
            </w:pPr>
            <w:r>
              <w:t>1545.89</w:t>
            </w:r>
          </w:p>
        </w:tc>
        <w:tc>
          <w:tcPr>
            <w:tcW w:w="2551" w:type="dxa"/>
            <w:vAlign w:val="center"/>
          </w:tcPr>
          <w:p>
            <w:pPr>
              <w:pStyle w:val="16"/>
            </w:pPr>
            <w:r>
              <w:t>2520.60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1484.27</w:t>
            </w:r>
          </w:p>
        </w:tc>
        <w:tc>
          <w:tcPr>
            <w:tcW w:w="2551" w:type="dxa"/>
            <w:vAlign w:val="center"/>
          </w:tcPr>
          <w:p>
            <w:pPr>
              <w:pStyle w:val="12"/>
            </w:pPr>
            <w:r>
              <w:t>1242.27</w:t>
            </w:r>
          </w:p>
        </w:tc>
        <w:tc>
          <w:tcPr>
            <w:tcW w:w="2551" w:type="dxa"/>
            <w:vAlign w:val="center"/>
          </w:tcPr>
          <w:p>
            <w:pPr>
              <w:pStyle w:val="12"/>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1484.27</w:t>
            </w:r>
          </w:p>
        </w:tc>
        <w:tc>
          <w:tcPr>
            <w:tcW w:w="2551" w:type="dxa"/>
            <w:vAlign w:val="center"/>
          </w:tcPr>
          <w:p>
            <w:pPr>
              <w:pStyle w:val="12"/>
            </w:pPr>
            <w:r>
              <w:t>1242.27</w:t>
            </w:r>
          </w:p>
        </w:tc>
        <w:tc>
          <w:tcPr>
            <w:tcW w:w="2551" w:type="dxa"/>
            <w:vAlign w:val="center"/>
          </w:tcPr>
          <w:p>
            <w:pPr>
              <w:pStyle w:val="12"/>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1242.27</w:t>
            </w:r>
          </w:p>
        </w:tc>
        <w:tc>
          <w:tcPr>
            <w:tcW w:w="2551" w:type="dxa"/>
            <w:vAlign w:val="center"/>
          </w:tcPr>
          <w:p>
            <w:pPr>
              <w:pStyle w:val="12"/>
            </w:pPr>
            <w:r>
              <w:t>1242.27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242.00</w:t>
            </w:r>
          </w:p>
        </w:tc>
        <w:tc>
          <w:tcPr>
            <w:tcW w:w="2551" w:type="dxa"/>
            <w:vAlign w:val="center"/>
          </w:tcPr>
          <w:p>
            <w:pPr>
              <w:pStyle w:val="12"/>
            </w:pPr>
          </w:p>
        </w:tc>
        <w:tc>
          <w:tcPr>
            <w:tcW w:w="2551" w:type="dxa"/>
            <w:vAlign w:val="center"/>
          </w:tcPr>
          <w:p>
            <w:pPr>
              <w:pStyle w:val="12"/>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2278.60</w:t>
            </w:r>
          </w:p>
        </w:tc>
        <w:tc>
          <w:tcPr>
            <w:tcW w:w="2551" w:type="dxa"/>
            <w:vAlign w:val="center"/>
          </w:tcPr>
          <w:p>
            <w:pPr>
              <w:pStyle w:val="12"/>
            </w:pPr>
          </w:p>
        </w:tc>
        <w:tc>
          <w:tcPr>
            <w:tcW w:w="2551" w:type="dxa"/>
            <w:vAlign w:val="center"/>
          </w:tcPr>
          <w:p>
            <w:pPr>
              <w:pStyle w:val="12"/>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2278.60</w:t>
            </w:r>
          </w:p>
        </w:tc>
        <w:tc>
          <w:tcPr>
            <w:tcW w:w="2551" w:type="dxa"/>
            <w:vAlign w:val="center"/>
          </w:tcPr>
          <w:p>
            <w:pPr>
              <w:pStyle w:val="12"/>
            </w:pPr>
          </w:p>
        </w:tc>
        <w:tc>
          <w:tcPr>
            <w:tcW w:w="2551" w:type="dxa"/>
            <w:vAlign w:val="center"/>
          </w:tcPr>
          <w:p>
            <w:pPr>
              <w:pStyle w:val="12"/>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2278.60</w:t>
            </w:r>
          </w:p>
        </w:tc>
        <w:tc>
          <w:tcPr>
            <w:tcW w:w="2551" w:type="dxa"/>
            <w:vAlign w:val="center"/>
          </w:tcPr>
          <w:p>
            <w:pPr>
              <w:pStyle w:val="12"/>
            </w:pPr>
          </w:p>
        </w:tc>
        <w:tc>
          <w:tcPr>
            <w:tcW w:w="2551" w:type="dxa"/>
            <w:vAlign w:val="center"/>
          </w:tcPr>
          <w:p>
            <w:pPr>
              <w:pStyle w:val="12"/>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128.32</w:t>
            </w:r>
          </w:p>
        </w:tc>
        <w:tc>
          <w:tcPr>
            <w:tcW w:w="2551" w:type="dxa"/>
            <w:vAlign w:val="center"/>
          </w:tcPr>
          <w:p>
            <w:pPr>
              <w:pStyle w:val="12"/>
            </w:pPr>
            <w:r>
              <w:t>128.32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128.32</w:t>
            </w:r>
          </w:p>
        </w:tc>
        <w:tc>
          <w:tcPr>
            <w:tcW w:w="2551" w:type="dxa"/>
            <w:vAlign w:val="center"/>
          </w:tcPr>
          <w:p>
            <w:pPr>
              <w:pStyle w:val="12"/>
            </w:pPr>
            <w:r>
              <w:t>128.32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19.85</w:t>
            </w:r>
          </w:p>
        </w:tc>
        <w:tc>
          <w:tcPr>
            <w:tcW w:w="2551" w:type="dxa"/>
            <w:vAlign w:val="center"/>
          </w:tcPr>
          <w:p>
            <w:pPr>
              <w:pStyle w:val="12"/>
            </w:pPr>
            <w:r>
              <w:t>19.85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108.47</w:t>
            </w:r>
          </w:p>
        </w:tc>
        <w:tc>
          <w:tcPr>
            <w:tcW w:w="2551" w:type="dxa"/>
            <w:vAlign w:val="center"/>
          </w:tcPr>
          <w:p>
            <w:pPr>
              <w:pStyle w:val="12"/>
            </w:pPr>
            <w:r>
              <w:t>108.47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70.95</w:t>
            </w:r>
          </w:p>
        </w:tc>
        <w:tc>
          <w:tcPr>
            <w:tcW w:w="2551" w:type="dxa"/>
            <w:vAlign w:val="center"/>
          </w:tcPr>
          <w:p>
            <w:pPr>
              <w:pStyle w:val="12"/>
            </w:pPr>
            <w:r>
              <w:t>70.95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70.95</w:t>
            </w:r>
          </w:p>
        </w:tc>
        <w:tc>
          <w:tcPr>
            <w:tcW w:w="2551" w:type="dxa"/>
            <w:vAlign w:val="center"/>
          </w:tcPr>
          <w:p>
            <w:pPr>
              <w:pStyle w:val="12"/>
            </w:pPr>
            <w:r>
              <w:t>70.95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70.95</w:t>
            </w:r>
          </w:p>
        </w:tc>
        <w:tc>
          <w:tcPr>
            <w:tcW w:w="2551" w:type="dxa"/>
            <w:vAlign w:val="center"/>
          </w:tcPr>
          <w:p>
            <w:pPr>
              <w:pStyle w:val="12"/>
            </w:pPr>
            <w:r>
              <w:t>70.95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1545.89</w:t>
            </w:r>
          </w:p>
        </w:tc>
        <w:tc>
          <w:tcPr>
            <w:tcW w:w="2551" w:type="dxa"/>
            <w:vAlign w:val="center"/>
          </w:tcPr>
          <w:p>
            <w:pPr>
              <w:pStyle w:val="16"/>
            </w:pPr>
            <w:r>
              <w:t>1142.65</w:t>
            </w:r>
          </w:p>
        </w:tc>
        <w:tc>
          <w:tcPr>
            <w:tcW w:w="2551" w:type="dxa"/>
            <w:vAlign w:val="center"/>
          </w:tcPr>
          <w:p>
            <w:pPr>
              <w:pStyle w:val="16"/>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1123.04</w:t>
            </w:r>
          </w:p>
        </w:tc>
        <w:tc>
          <w:tcPr>
            <w:tcW w:w="2551" w:type="dxa"/>
            <w:vAlign w:val="center"/>
          </w:tcPr>
          <w:p>
            <w:pPr>
              <w:pStyle w:val="12"/>
            </w:pPr>
            <w:r>
              <w:t>1123.04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307.12</w:t>
            </w:r>
          </w:p>
        </w:tc>
        <w:tc>
          <w:tcPr>
            <w:tcW w:w="2551" w:type="dxa"/>
            <w:vAlign w:val="center"/>
          </w:tcPr>
          <w:p>
            <w:pPr>
              <w:pStyle w:val="12"/>
            </w:pPr>
            <w:r>
              <w:t>307.12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142.26</w:t>
            </w:r>
          </w:p>
        </w:tc>
        <w:tc>
          <w:tcPr>
            <w:tcW w:w="2551" w:type="dxa"/>
            <w:vAlign w:val="center"/>
          </w:tcPr>
          <w:p>
            <w:pPr>
              <w:pStyle w:val="12"/>
            </w:pPr>
            <w:r>
              <w:t>142.26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126.68</w:t>
            </w:r>
          </w:p>
        </w:tc>
        <w:tc>
          <w:tcPr>
            <w:tcW w:w="2551" w:type="dxa"/>
            <w:vAlign w:val="center"/>
          </w:tcPr>
          <w:p>
            <w:pPr>
              <w:pStyle w:val="12"/>
            </w:pPr>
            <w:r>
              <w:t>126.68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258.69</w:t>
            </w:r>
          </w:p>
        </w:tc>
        <w:tc>
          <w:tcPr>
            <w:tcW w:w="2551" w:type="dxa"/>
            <w:vAlign w:val="center"/>
          </w:tcPr>
          <w:p>
            <w:pPr>
              <w:pStyle w:val="12"/>
            </w:pPr>
            <w:r>
              <w:t>258.69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108.47</w:t>
            </w:r>
          </w:p>
        </w:tc>
        <w:tc>
          <w:tcPr>
            <w:tcW w:w="2551" w:type="dxa"/>
            <w:vAlign w:val="center"/>
          </w:tcPr>
          <w:p>
            <w:pPr>
              <w:pStyle w:val="12"/>
            </w:pPr>
            <w:r>
              <w:t>108.47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36.53</w:t>
            </w:r>
          </w:p>
        </w:tc>
        <w:tc>
          <w:tcPr>
            <w:tcW w:w="2551" w:type="dxa"/>
            <w:vAlign w:val="center"/>
          </w:tcPr>
          <w:p>
            <w:pPr>
              <w:pStyle w:val="12"/>
            </w:pPr>
            <w:r>
              <w:t>36.53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34.41</w:t>
            </w:r>
          </w:p>
        </w:tc>
        <w:tc>
          <w:tcPr>
            <w:tcW w:w="2551" w:type="dxa"/>
            <w:vAlign w:val="center"/>
          </w:tcPr>
          <w:p>
            <w:pPr>
              <w:pStyle w:val="12"/>
            </w:pPr>
            <w:r>
              <w:t>34.41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4.54</w:t>
            </w:r>
          </w:p>
        </w:tc>
        <w:tc>
          <w:tcPr>
            <w:tcW w:w="2551" w:type="dxa"/>
            <w:vAlign w:val="center"/>
          </w:tcPr>
          <w:p>
            <w:pPr>
              <w:pStyle w:val="12"/>
            </w:pPr>
            <w:r>
              <w:t>4.54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104.35</w:t>
            </w:r>
          </w:p>
        </w:tc>
        <w:tc>
          <w:tcPr>
            <w:tcW w:w="2551" w:type="dxa"/>
            <w:vAlign w:val="center"/>
          </w:tcPr>
          <w:p>
            <w:pPr>
              <w:pStyle w:val="12"/>
            </w:pPr>
            <w:r>
              <w:t>104.35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403.24</w:t>
            </w:r>
          </w:p>
        </w:tc>
        <w:tc>
          <w:tcPr>
            <w:tcW w:w="2551" w:type="dxa"/>
            <w:vAlign w:val="center"/>
          </w:tcPr>
          <w:p>
            <w:pPr>
              <w:pStyle w:val="12"/>
            </w:pPr>
          </w:p>
        </w:tc>
        <w:tc>
          <w:tcPr>
            <w:tcW w:w="2551" w:type="dxa"/>
            <w:vAlign w:val="center"/>
          </w:tcPr>
          <w:p>
            <w:pPr>
              <w:pStyle w:val="12"/>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39.60</w:t>
            </w:r>
          </w:p>
        </w:tc>
        <w:tc>
          <w:tcPr>
            <w:tcW w:w="2551" w:type="dxa"/>
            <w:vAlign w:val="center"/>
          </w:tcPr>
          <w:p>
            <w:pPr>
              <w:pStyle w:val="12"/>
            </w:pPr>
          </w:p>
        </w:tc>
        <w:tc>
          <w:tcPr>
            <w:tcW w:w="2551" w:type="dxa"/>
            <w:vAlign w:val="center"/>
          </w:tcPr>
          <w:p>
            <w:pPr>
              <w:pStyle w:val="12"/>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15.92</w:t>
            </w:r>
          </w:p>
        </w:tc>
        <w:tc>
          <w:tcPr>
            <w:tcW w:w="2551" w:type="dxa"/>
            <w:vAlign w:val="center"/>
          </w:tcPr>
          <w:p>
            <w:pPr>
              <w:pStyle w:val="12"/>
            </w:pPr>
          </w:p>
        </w:tc>
        <w:tc>
          <w:tcPr>
            <w:tcW w:w="2551" w:type="dxa"/>
            <w:vAlign w:val="center"/>
          </w:tcPr>
          <w:p>
            <w:pPr>
              <w:pStyle w:val="12"/>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33.73</w:t>
            </w:r>
          </w:p>
        </w:tc>
        <w:tc>
          <w:tcPr>
            <w:tcW w:w="2551" w:type="dxa"/>
            <w:vAlign w:val="center"/>
          </w:tcPr>
          <w:p>
            <w:pPr>
              <w:pStyle w:val="12"/>
            </w:pPr>
          </w:p>
        </w:tc>
        <w:tc>
          <w:tcPr>
            <w:tcW w:w="2551" w:type="dxa"/>
            <w:vAlign w:val="center"/>
          </w:tcPr>
          <w:p>
            <w:pPr>
              <w:pStyle w:val="12"/>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275.02</w:t>
            </w:r>
          </w:p>
        </w:tc>
        <w:tc>
          <w:tcPr>
            <w:tcW w:w="2551" w:type="dxa"/>
            <w:vAlign w:val="center"/>
          </w:tcPr>
          <w:p>
            <w:pPr>
              <w:pStyle w:val="12"/>
            </w:pPr>
          </w:p>
        </w:tc>
        <w:tc>
          <w:tcPr>
            <w:tcW w:w="2551" w:type="dxa"/>
            <w:vAlign w:val="center"/>
          </w:tcPr>
          <w:p>
            <w:pPr>
              <w:pStyle w:val="12"/>
            </w:pPr>
            <w:r>
              <w:t>275.02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6.22</w:t>
            </w:r>
          </w:p>
        </w:tc>
        <w:tc>
          <w:tcPr>
            <w:tcW w:w="2551" w:type="dxa"/>
            <w:vAlign w:val="center"/>
          </w:tcPr>
          <w:p>
            <w:pPr>
              <w:pStyle w:val="12"/>
            </w:pPr>
          </w:p>
        </w:tc>
        <w:tc>
          <w:tcPr>
            <w:tcW w:w="2551" w:type="dxa"/>
            <w:vAlign w:val="center"/>
          </w:tcPr>
          <w:p>
            <w:pPr>
              <w:pStyle w:val="12"/>
            </w:pPr>
            <w: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20.46</w:t>
            </w:r>
          </w:p>
        </w:tc>
        <w:tc>
          <w:tcPr>
            <w:tcW w:w="2551" w:type="dxa"/>
            <w:vAlign w:val="center"/>
          </w:tcPr>
          <w:p>
            <w:pPr>
              <w:pStyle w:val="12"/>
            </w:pPr>
          </w:p>
        </w:tc>
        <w:tc>
          <w:tcPr>
            <w:tcW w:w="2551" w:type="dxa"/>
            <w:vAlign w:val="center"/>
          </w:tcPr>
          <w:p>
            <w:pPr>
              <w:pStyle w:val="12"/>
            </w:pPr>
            <w:r>
              <w:t>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9.59</w:t>
            </w:r>
          </w:p>
        </w:tc>
        <w:tc>
          <w:tcPr>
            <w:tcW w:w="2551" w:type="dxa"/>
            <w:vAlign w:val="center"/>
          </w:tcPr>
          <w:p>
            <w:pPr>
              <w:pStyle w:val="12"/>
            </w:pPr>
          </w:p>
        </w:tc>
        <w:tc>
          <w:tcPr>
            <w:tcW w:w="2551" w:type="dxa"/>
            <w:vAlign w:val="center"/>
          </w:tcPr>
          <w:p>
            <w:pPr>
              <w:pStyle w:val="12"/>
            </w:pPr>
            <w:r>
              <w:t>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19.61</w:t>
            </w:r>
          </w:p>
        </w:tc>
        <w:tc>
          <w:tcPr>
            <w:tcW w:w="2551" w:type="dxa"/>
            <w:vAlign w:val="center"/>
          </w:tcPr>
          <w:p>
            <w:pPr>
              <w:pStyle w:val="12"/>
            </w:pPr>
            <w:r>
              <w:t>19.61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19.61</w:t>
            </w:r>
          </w:p>
        </w:tc>
        <w:tc>
          <w:tcPr>
            <w:tcW w:w="2551" w:type="dxa"/>
            <w:vAlign w:val="center"/>
          </w:tcPr>
          <w:p>
            <w:pPr>
              <w:pStyle w:val="12"/>
            </w:pPr>
            <w:r>
              <w:t>19.61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pPr>
        <w:pStyle w:val="18"/>
      </w:pPr>
      <w:r>
        <w:t>（二）负责规范全区行政审批行为，创新和完善相关工作体制机制。推进简政放权，清理和规范各类行政许可等管理事项；承担区行政审批制度改革工作领导小组办公室日常工作。</w:t>
      </w:r>
    </w:p>
    <w:p>
      <w:pPr>
        <w:pStyle w:val="18"/>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18"/>
      </w:pPr>
      <w:r>
        <w:t>（四）负责投资项目、商事登记、市场服务、文教体卫、社会事务、住建交通、生态环境、安全生产、农林畜水、经贸商务、城市管理等方面行政审批事项的办理及相关行政性收费，并承担相应的法律责任。</w:t>
      </w:r>
    </w:p>
    <w:p>
      <w:pPr>
        <w:pStyle w:val="18"/>
      </w:pPr>
      <w:r>
        <w:t>（五）负责协调派驻部门行政审批事项的办理工作，规范、管理和监督派驻部门行政审批行为。</w:t>
      </w:r>
    </w:p>
    <w:p>
      <w:pPr>
        <w:pStyle w:val="18"/>
      </w:pPr>
      <w:r>
        <w:t>（六）负责对行政审批、政务服务事项流程进行规范和优化,推进审批服务便民化、标准化建设。</w:t>
      </w:r>
    </w:p>
    <w:p>
      <w:pPr>
        <w:pStyle w:val="18"/>
      </w:pPr>
      <w:r>
        <w:t>（七）会同有关部门，做好行政审批、政务服务、公共资源交易监督、政务服务平台建设，推行政务服务事项网上办理，形成管理机构、实体大厅、网上平台“三位一体”的政务服务管理模式；推行全区电子证照库建设。</w:t>
      </w:r>
    </w:p>
    <w:p>
      <w:pPr>
        <w:pStyle w:val="18"/>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8"/>
      </w:pPr>
      <w:r>
        <w:t>（九）负责对全区行政审批、政务服务行为进行监督检查，对窗口工作人员进行日常管理、教育培训和检查考核。</w:t>
      </w:r>
    </w:p>
    <w:p>
      <w:pPr>
        <w:pStyle w:val="18"/>
      </w:pPr>
      <w:r>
        <w:t>（十）负责区直部门已划转行政许可事项涉及的现场勘验、审图、联合验收等工作。</w:t>
      </w:r>
    </w:p>
    <w:p>
      <w:pPr>
        <w:pStyle w:val="18"/>
      </w:pPr>
      <w:r>
        <w:t>（十一）负责行政审批信息化工作，区级行政审批信息资料的保管、整理、统计、编目和定期检查工作。</w:t>
      </w:r>
    </w:p>
    <w:p>
      <w:pPr>
        <w:pStyle w:val="18"/>
      </w:pPr>
      <w:r>
        <w:t>（十二）指导各乡镇和经济开发区的行政审批工作。</w:t>
      </w:r>
    </w:p>
    <w:p>
      <w:pPr>
        <w:pStyle w:val="18"/>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石家庄市鹿泉区数据和政务服务局本级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按照预算管理有关规定，目前部门预算的编制实行综合预算管理，即全部收入和支出都反映在预算中。石家庄市鹿泉区数据和政务服务局机关及所属事业单位的收支包含在部门预算中。</w:t>
      </w:r>
    </w:p>
    <w:p>
      <w:pPr>
        <w:pStyle w:val="19"/>
      </w:pPr>
      <w:r>
        <w:t>1、收入说明</w:t>
      </w:r>
    </w:p>
    <w:p>
      <w:pPr>
        <w:pStyle w:val="19"/>
      </w:pPr>
      <w:r>
        <w:t>反映本部门当年全部收入。2026年预算收入4066.49万元，其中：一般公共预算收入4066.49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数据和政务服务局年度部门预算中支出预算的总体情况。2026年支出预算4066.49万元，其中基本支出1545.89万元，包括人员经费1142.65万元和日常公用经费403.24万元；项目支出2520.60万元，主要为智慧城市SPV公司可行性缺口补助1500万元，2025年-2026年乡镇以上党政机关国产计算机购置费250万元，2026年-2027年乡镇以上党政机关国产计算机购置费250万元。预计下年使用的单位资金结余0.00万元。委托业务费共计安排2298.60万元，主要用于因技术原因</w:t>
      </w:r>
      <w:r>
        <w:rPr>
          <w:rFonts w:hint="eastAsia"/>
          <w:lang w:eastAsia="zh-CN"/>
        </w:rPr>
        <w:t>确实需</w:t>
      </w:r>
      <w:r>
        <w:t>对外委托的辅助性工作和确有必要对外委托开展咨询、评审、规划等工作。</w:t>
      </w:r>
    </w:p>
    <w:p>
      <w:pPr>
        <w:pStyle w:val="19"/>
      </w:pPr>
      <w:r>
        <w:t>3、比上年增减情况</w:t>
      </w:r>
    </w:p>
    <w:p>
      <w:pPr>
        <w:pStyle w:val="19"/>
      </w:pPr>
      <w:r>
        <w:t>2026年预算收支安排4066.49万元，较2025年预算减少3369.02万元，其中：基本支出增加102.94万元，主要为2026年新招录3名人员，增加人员经费；同时，年度考核完成后，单位人员正常晋升职级，相关保险缴费基数提高。项目支出减少3471.96万元，主要为智慧城市SPV公司可行性缺口补助支出下降。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2026年，我部门机关运行经费共计安排403.24万元，主要用于日常维修、办公用房水电费、办公用房取暖费、办公用房物业管理费等日常运行支出。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2.70万元，其中因公出国（境）费0.00万元；公务用车购置及运维费2.70万元（其中：公务用车购置费为0.00万元，公务用车运维费2.70万元)；公务接待费0.00万元。与2025年相比增加0.00万元，增减变化的主要原因是无变化，为单位公车使用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rPr>
          <w:rFonts w:hint="eastAsia" w:eastAsia="方正仿宋_GBK"/>
          <w:lang w:eastAsia="zh-CN"/>
        </w:rPr>
      </w:pPr>
      <w:r>
        <w:rPr>
          <w:rFonts w:hint="eastAsia"/>
          <w:lang w:eastAsia="zh-CN"/>
        </w:rPr>
        <w:t>聚焦中心工作，持续深化审批制度改革，规范公共资源交易，提质升级数据基础设施，加快完善智慧城市建设，着力推动营商环境“一流化”、政府服务“高效化”、数字治理“智能化”，为鹿泉经济社会高质量发展作出新的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eastAsia="方正仿宋_GBK"/>
          <w:lang w:eastAsia="zh-CN"/>
        </w:rPr>
      </w:pPr>
      <w:r>
        <w:rPr>
          <w:rFonts w:hint="eastAsia"/>
          <w:lang w:eastAsia="zh-CN"/>
        </w:rPr>
        <w:t>强化政治引领，筑牢思想根基，严格落实各项制度；强化数据赋能，狠抓贯彻落实，推进算力设施提质升级，强化数据资源开发利用；聚焦政务服务，提升履职能力，深化项目审批制度改革，加速“高效办成一件事”落地，规范公共资源交易，打造智慧便捷政务服务，强化社会信用体系建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rPr>
          <w:rFonts w:hint="eastAsia" w:eastAsia="方正仿宋_GBK"/>
          <w:lang w:eastAsia="zh-CN"/>
        </w:rPr>
        <w:sectPr>
          <w:pgSz w:w="16840" w:h="11900" w:orient="landscape"/>
          <w:pgMar w:top="1361" w:right="1020" w:bottom="1361" w:left="1020" w:header="720" w:footer="720" w:gutter="0"/>
          <w:cols w:space="720" w:num="1"/>
        </w:sectPr>
      </w:pPr>
      <w:r>
        <w:rPr>
          <w:rFonts w:hint="eastAsia"/>
          <w:lang w:eastAsia="zh-CN"/>
        </w:rPr>
        <w:t>强化组织统筹，健全数据、政务服务、项目管理等制度，配齐人员并常态化培训。保障经费规范使用，筑牢网络与数据安全防线，完善政务平台及基础设施运维，建立督导考核与应急机制，协同推进工作高效落地。</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1、2025年-2026年乡镇以上党政机关国产计算机购置费绩效目标表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13011026P00150610005E</w:t>
            </w:r>
          </w:p>
        </w:tc>
        <w:tc>
          <w:tcPr>
            <w:tcW w:w="2835" w:type="dxa"/>
            <w:vAlign w:val="center"/>
          </w:tcPr>
          <w:p>
            <w:pPr>
              <w:pStyle w:val="11"/>
            </w:pPr>
            <w:r>
              <w:t>项目名称</w:t>
            </w:r>
          </w:p>
        </w:tc>
        <w:tc>
          <w:tcPr>
            <w:tcW w:w="6095" w:type="dxa"/>
            <w:gridSpan w:val="3"/>
            <w:vAlign w:val="center"/>
          </w:tcPr>
          <w:p>
            <w:pPr>
              <w:pStyle w:val="13"/>
            </w:pPr>
            <w:r>
              <w:t>2025年-2026年乡镇以上党政机关国产计算机购置费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国产计算机购置数量</w:t>
            </w:r>
          </w:p>
        </w:tc>
        <w:tc>
          <w:tcPr>
            <w:tcW w:w="5386" w:type="dxa"/>
            <w:vAlign w:val="center"/>
          </w:tcPr>
          <w:p>
            <w:pPr>
              <w:pStyle w:val="13"/>
            </w:pPr>
            <w:r>
              <w:t>国产计算机购置的部分数量</w:t>
            </w:r>
          </w:p>
        </w:tc>
        <w:tc>
          <w:tcPr>
            <w:tcW w:w="2268" w:type="dxa"/>
            <w:vAlign w:val="center"/>
          </w:tcPr>
          <w:p>
            <w:pPr>
              <w:pStyle w:val="13"/>
            </w:pPr>
            <w:r>
              <w:t>≤478台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国产计算机验收合格率</w:t>
            </w:r>
          </w:p>
        </w:tc>
        <w:tc>
          <w:tcPr>
            <w:tcW w:w="5386" w:type="dxa"/>
            <w:vAlign w:val="center"/>
          </w:tcPr>
          <w:p>
            <w:pPr>
              <w:pStyle w:val="13"/>
            </w:pPr>
            <w:r>
              <w:t>验收合格率=验收合格数量/总数量*100%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购置国产计算机的周期</w:t>
            </w:r>
          </w:p>
        </w:tc>
        <w:tc>
          <w:tcPr>
            <w:tcW w:w="5386" w:type="dxa"/>
            <w:vAlign w:val="center"/>
          </w:tcPr>
          <w:p>
            <w:pPr>
              <w:pStyle w:val="13"/>
            </w:pPr>
            <w:r>
              <w:t>购置国产计算机的周期</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国产计算机购置成本</w:t>
            </w:r>
          </w:p>
        </w:tc>
        <w:tc>
          <w:tcPr>
            <w:tcW w:w="5386" w:type="dxa"/>
            <w:vAlign w:val="center"/>
          </w:tcPr>
          <w:p>
            <w:pPr>
              <w:pStyle w:val="13"/>
            </w:pPr>
            <w:r>
              <w:t>国产计算机购置的部分成本</w:t>
            </w:r>
          </w:p>
        </w:tc>
        <w:tc>
          <w:tcPr>
            <w:tcW w:w="2268" w:type="dxa"/>
            <w:vAlign w:val="center"/>
          </w:tcPr>
          <w:p>
            <w:pPr>
              <w:pStyle w:val="13"/>
            </w:pPr>
            <w:r>
              <w:t>≤239.2万元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项目监理费</w:t>
            </w:r>
          </w:p>
        </w:tc>
        <w:tc>
          <w:tcPr>
            <w:tcW w:w="5386" w:type="dxa"/>
            <w:vAlign w:val="center"/>
          </w:tcPr>
          <w:p>
            <w:pPr>
              <w:pStyle w:val="13"/>
            </w:pPr>
            <w:r>
              <w:t>国产计算机购置的部分项目监理成本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项目询价费</w:t>
            </w:r>
          </w:p>
        </w:tc>
        <w:tc>
          <w:tcPr>
            <w:tcW w:w="5386" w:type="dxa"/>
            <w:vAlign w:val="center"/>
          </w:tcPr>
          <w:p>
            <w:pPr>
              <w:pStyle w:val="13"/>
            </w:pPr>
            <w:r>
              <w:t>国产计算机购置的项目询价成本</w:t>
            </w:r>
          </w:p>
        </w:tc>
        <w:tc>
          <w:tcPr>
            <w:tcW w:w="2268" w:type="dxa"/>
            <w:vAlign w:val="center"/>
          </w:tcPr>
          <w:p>
            <w:pPr>
              <w:pStyle w:val="13"/>
            </w:pPr>
            <w:r>
              <w:t>≤0.8万元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r>
              <w:tab/>
            </w:r>
          </w:p>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2、2025年-2027年乡镇以上党政机关国产计算机购置费（二期）绩效目标表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13011026P001506100062</w:t>
            </w:r>
          </w:p>
        </w:tc>
        <w:tc>
          <w:tcPr>
            <w:tcW w:w="2835" w:type="dxa"/>
            <w:vAlign w:val="center"/>
          </w:tcPr>
          <w:p>
            <w:pPr>
              <w:pStyle w:val="11"/>
            </w:pPr>
            <w:r>
              <w:t>项目名称</w:t>
            </w:r>
          </w:p>
        </w:tc>
        <w:tc>
          <w:tcPr>
            <w:tcW w:w="6095" w:type="dxa"/>
            <w:gridSpan w:val="3"/>
            <w:vAlign w:val="center"/>
          </w:tcPr>
          <w:p>
            <w:pPr>
              <w:pStyle w:val="13"/>
            </w:pPr>
            <w:r>
              <w:t>2025年-2027年乡镇以上党政机关国产计算机购置费（二期）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w:t>
            </w:r>
          </w:p>
        </w:tc>
        <w:tc>
          <w:tcPr>
            <w:tcW w:w="2835" w:type="dxa"/>
            <w:vAlign w:val="center"/>
          </w:tcPr>
          <w:p>
            <w:pPr>
              <w:pStyle w:val="11"/>
            </w:pPr>
            <w:r>
              <w:t>其中：财政    资金</w:t>
            </w:r>
          </w:p>
        </w:tc>
        <w:tc>
          <w:tcPr>
            <w:tcW w:w="2551" w:type="dxa"/>
            <w:vAlign w:val="center"/>
          </w:tcPr>
          <w:p>
            <w:pPr>
              <w:pStyle w:val="13"/>
            </w:pPr>
            <w:r>
              <w:t>250.00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根据《项目实施方案》区委区政府批示要求，集中采购国产计算机终端。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1.根据《项目实施方案》区委区政府批示要求，集中采购国产计算机终端。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国产计算机购置数量</w:t>
            </w:r>
          </w:p>
        </w:tc>
        <w:tc>
          <w:tcPr>
            <w:tcW w:w="5386" w:type="dxa"/>
            <w:vAlign w:val="center"/>
          </w:tcPr>
          <w:p>
            <w:pPr>
              <w:pStyle w:val="13"/>
            </w:pPr>
            <w:r>
              <w:t>国产计算机购置数量</w:t>
            </w:r>
          </w:p>
        </w:tc>
        <w:tc>
          <w:tcPr>
            <w:tcW w:w="2268" w:type="dxa"/>
            <w:vAlign w:val="center"/>
          </w:tcPr>
          <w:p>
            <w:pPr>
              <w:pStyle w:val="13"/>
            </w:pPr>
            <w:r>
              <w:t>≤2034台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国产计算机验收合格率</w:t>
            </w:r>
          </w:p>
        </w:tc>
        <w:tc>
          <w:tcPr>
            <w:tcW w:w="5386" w:type="dxa"/>
            <w:vAlign w:val="center"/>
          </w:tcPr>
          <w:p>
            <w:pPr>
              <w:pStyle w:val="13"/>
            </w:pPr>
            <w:r>
              <w:t>验收合格率=验收合格数量/总数量*100%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购置国产计算机的周期</w:t>
            </w:r>
          </w:p>
        </w:tc>
        <w:tc>
          <w:tcPr>
            <w:tcW w:w="5386" w:type="dxa"/>
            <w:vAlign w:val="center"/>
          </w:tcPr>
          <w:p>
            <w:pPr>
              <w:pStyle w:val="13"/>
            </w:pPr>
            <w:r>
              <w:t>购置国产计算机的周期</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国产计算机购置成本</w:t>
            </w:r>
          </w:p>
        </w:tc>
        <w:tc>
          <w:tcPr>
            <w:tcW w:w="5386" w:type="dxa"/>
            <w:vAlign w:val="center"/>
          </w:tcPr>
          <w:p>
            <w:pPr>
              <w:pStyle w:val="13"/>
            </w:pPr>
            <w:r>
              <w:t>国产计算机购置成本</w:t>
            </w:r>
          </w:p>
        </w:tc>
        <w:tc>
          <w:tcPr>
            <w:tcW w:w="2268" w:type="dxa"/>
            <w:vAlign w:val="center"/>
          </w:tcPr>
          <w:p>
            <w:pPr>
              <w:pStyle w:val="13"/>
            </w:pPr>
            <w:r>
              <w:t>≤238万元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项目监理费</w:t>
            </w:r>
          </w:p>
        </w:tc>
        <w:tc>
          <w:tcPr>
            <w:tcW w:w="5386" w:type="dxa"/>
            <w:vAlign w:val="center"/>
          </w:tcPr>
          <w:p>
            <w:pPr>
              <w:pStyle w:val="13"/>
            </w:pPr>
            <w:r>
              <w:t>国产计算机购置的项目监理费</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项目评审费</w:t>
            </w:r>
          </w:p>
        </w:tc>
        <w:tc>
          <w:tcPr>
            <w:tcW w:w="5386" w:type="dxa"/>
            <w:vAlign w:val="center"/>
          </w:tcPr>
          <w:p>
            <w:pPr>
              <w:pStyle w:val="13"/>
            </w:pPr>
            <w:r>
              <w:t>国产计算机购置的项目评审费</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3、2026大数据中心运行费绩效目标表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13011026P00150210022L</w:t>
            </w:r>
          </w:p>
        </w:tc>
        <w:tc>
          <w:tcPr>
            <w:tcW w:w="2835" w:type="dxa"/>
            <w:vAlign w:val="center"/>
          </w:tcPr>
          <w:p>
            <w:pPr>
              <w:pStyle w:val="11"/>
            </w:pPr>
            <w:r>
              <w:t>项目名称</w:t>
            </w:r>
          </w:p>
        </w:tc>
        <w:tc>
          <w:tcPr>
            <w:tcW w:w="6095" w:type="dxa"/>
            <w:gridSpan w:val="3"/>
            <w:vAlign w:val="center"/>
          </w:tcPr>
          <w:p>
            <w:pPr>
              <w:pStyle w:val="13"/>
            </w:pPr>
            <w:r>
              <w:t>2026大数据中心运行费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推进数据收集工作，全面推进公共服务、市场监管、社会治理、生态环保、区域协同等数字化转型，加速鹿泉区数字化建设进程，负责统建信息化项目，智慧城市项目涉及平台和硬件升级。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1.推进数据收集工作，全面推进公共服务、市场监管、社会治理、生态环保、区域协同等数字化转型，加速鹿泉区数字化建设进程，负责统建信息化项目，智慧城市项目涉及平台和硬件升级。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数据收集治理内容的项数</w:t>
            </w:r>
          </w:p>
        </w:tc>
        <w:tc>
          <w:tcPr>
            <w:tcW w:w="5386" w:type="dxa"/>
            <w:vAlign w:val="center"/>
          </w:tcPr>
          <w:p>
            <w:pPr>
              <w:pStyle w:val="13"/>
            </w:pPr>
            <w:r>
              <w:t>数据收集治理内容的项数</w:t>
            </w:r>
          </w:p>
        </w:tc>
        <w:tc>
          <w:tcPr>
            <w:tcW w:w="2268" w:type="dxa"/>
            <w:vAlign w:val="center"/>
          </w:tcPr>
          <w:p>
            <w:pPr>
              <w:pStyle w:val="13"/>
            </w:pPr>
            <w:r>
              <w:t>≥5项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数据收集有效率</w:t>
            </w:r>
          </w:p>
        </w:tc>
        <w:tc>
          <w:tcPr>
            <w:tcW w:w="5386" w:type="dxa"/>
            <w:vAlign w:val="center"/>
          </w:tcPr>
          <w:p>
            <w:pPr>
              <w:pStyle w:val="13"/>
            </w:pPr>
            <w:r>
              <w:t>数据收集的有效率占总数据收集的有效比例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数据治理时间</w:t>
            </w:r>
          </w:p>
        </w:tc>
        <w:tc>
          <w:tcPr>
            <w:tcW w:w="5386" w:type="dxa"/>
            <w:vAlign w:val="center"/>
          </w:tcPr>
          <w:p>
            <w:pPr>
              <w:pStyle w:val="13"/>
            </w:pPr>
            <w:r>
              <w:t>完成数据治理时间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信息化项目建设</w:t>
            </w:r>
          </w:p>
        </w:tc>
        <w:tc>
          <w:tcPr>
            <w:tcW w:w="5386" w:type="dxa"/>
            <w:vAlign w:val="center"/>
          </w:tcPr>
          <w:p>
            <w:pPr>
              <w:pStyle w:val="13"/>
            </w:pPr>
            <w:r>
              <w:t>信息化项目建设期限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信息化项目建设时间</w:t>
            </w:r>
          </w:p>
        </w:tc>
        <w:tc>
          <w:tcPr>
            <w:tcW w:w="5386" w:type="dxa"/>
            <w:vAlign w:val="center"/>
          </w:tcPr>
          <w:p>
            <w:pPr>
              <w:pStyle w:val="13"/>
            </w:pPr>
            <w:r>
              <w:t>数据收集治理的成本</w:t>
            </w:r>
          </w:p>
        </w:tc>
        <w:tc>
          <w:tcPr>
            <w:tcW w:w="2268" w:type="dxa"/>
            <w:vAlign w:val="center"/>
          </w:tcPr>
          <w:p>
            <w:pPr>
              <w:pStyle w:val="13"/>
            </w:pPr>
            <w:r>
              <w:t>≤27.78万元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数据收集治理成本</w:t>
            </w:r>
          </w:p>
        </w:tc>
        <w:tc>
          <w:tcPr>
            <w:tcW w:w="5386" w:type="dxa"/>
            <w:vAlign w:val="center"/>
          </w:tcPr>
          <w:p>
            <w:pPr>
              <w:pStyle w:val="13"/>
            </w:pPr>
            <w:r>
              <w:t>信息化项目建设及平台硬件升级成本</w:t>
            </w:r>
          </w:p>
        </w:tc>
        <w:tc>
          <w:tcPr>
            <w:tcW w:w="2268" w:type="dxa"/>
            <w:vAlign w:val="center"/>
          </w:tcPr>
          <w:p>
            <w:pPr>
              <w:pStyle w:val="13"/>
            </w:pPr>
            <w:r>
              <w:t>≤13.8万元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数据资源安全性</w:t>
            </w:r>
          </w:p>
        </w:tc>
        <w:tc>
          <w:tcPr>
            <w:tcW w:w="5386" w:type="dxa"/>
            <w:vAlign w:val="center"/>
          </w:tcPr>
          <w:p>
            <w:pPr>
              <w:pStyle w:val="13"/>
            </w:pPr>
            <w:r>
              <w:t>持续保障数据资源安全性</w:t>
            </w:r>
          </w:p>
        </w:tc>
        <w:tc>
          <w:tcPr>
            <w:tcW w:w="2268" w:type="dxa"/>
            <w:vAlign w:val="center"/>
          </w:tcPr>
          <w:p>
            <w:pPr>
              <w:pStyle w:val="13"/>
            </w:pPr>
            <w:r>
              <w:t>≥24小时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4、2026鹿泉区信创项目（二期）绩效目标表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13011026P001506100037</w:t>
            </w:r>
          </w:p>
        </w:tc>
        <w:tc>
          <w:tcPr>
            <w:tcW w:w="2835" w:type="dxa"/>
            <w:vAlign w:val="center"/>
          </w:tcPr>
          <w:p>
            <w:pPr>
              <w:pStyle w:val="11"/>
            </w:pPr>
            <w:r>
              <w:t>项目名称</w:t>
            </w:r>
          </w:p>
        </w:tc>
        <w:tc>
          <w:tcPr>
            <w:tcW w:w="6095" w:type="dxa"/>
            <w:gridSpan w:val="3"/>
            <w:vAlign w:val="center"/>
          </w:tcPr>
          <w:p>
            <w:pPr>
              <w:pStyle w:val="13"/>
            </w:pPr>
            <w:r>
              <w:t>2026鹿泉区信创项目（二期）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82.00</w:t>
            </w:r>
          </w:p>
        </w:tc>
        <w:tc>
          <w:tcPr>
            <w:tcW w:w="2835" w:type="dxa"/>
            <w:vAlign w:val="center"/>
          </w:tcPr>
          <w:p>
            <w:pPr>
              <w:pStyle w:val="11"/>
            </w:pPr>
            <w:r>
              <w:t>其中：财政    资金</w:t>
            </w:r>
          </w:p>
        </w:tc>
        <w:tc>
          <w:tcPr>
            <w:tcW w:w="2551" w:type="dxa"/>
            <w:vAlign w:val="center"/>
          </w:tcPr>
          <w:p>
            <w:pPr>
              <w:pStyle w:val="13"/>
            </w:pPr>
            <w:r>
              <w:t>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实现信创桌面终端的集中运维管理、应用统一部署、资源灵活共享简化运维、提升效率、绿色节能、降低成本等目标，并保证各项信息数据的安全传输和存储。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实现信创桌面终端的集中运维管理、应用统一部署、资源灵活共享简化运维、提升效率、绿色节能、降低成本等目标，并保证各项信息数据的安全传输和存储。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项目二期建设数量</w:t>
            </w:r>
          </w:p>
        </w:tc>
        <w:tc>
          <w:tcPr>
            <w:tcW w:w="5386" w:type="dxa"/>
            <w:vAlign w:val="center"/>
          </w:tcPr>
          <w:p>
            <w:pPr>
              <w:pStyle w:val="13"/>
            </w:pPr>
            <w:r>
              <w:t>项目二期建设桌面云数量</w:t>
            </w:r>
          </w:p>
        </w:tc>
        <w:tc>
          <w:tcPr>
            <w:tcW w:w="2268" w:type="dxa"/>
            <w:vAlign w:val="center"/>
          </w:tcPr>
          <w:p>
            <w:pPr>
              <w:pStyle w:val="13"/>
            </w:pPr>
            <w:r>
              <w:t>≤775点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项目验收合格率=项目验收合格数量/项目总数量*100%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项目二期建设时间</w:t>
            </w:r>
          </w:p>
        </w:tc>
        <w:tc>
          <w:tcPr>
            <w:tcW w:w="5386" w:type="dxa"/>
            <w:vAlign w:val="center"/>
          </w:tcPr>
          <w:p>
            <w:pPr>
              <w:pStyle w:val="13"/>
            </w:pPr>
            <w:r>
              <w:t>项目二期建设周期</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项目二期建设成本</w:t>
            </w:r>
          </w:p>
        </w:tc>
        <w:tc>
          <w:tcPr>
            <w:tcW w:w="5386" w:type="dxa"/>
            <w:vAlign w:val="center"/>
          </w:tcPr>
          <w:p>
            <w:pPr>
              <w:pStyle w:val="13"/>
            </w:pPr>
            <w:r>
              <w:t>项目二期建设部分成本</w:t>
            </w:r>
          </w:p>
        </w:tc>
        <w:tc>
          <w:tcPr>
            <w:tcW w:w="2268" w:type="dxa"/>
            <w:vAlign w:val="center"/>
          </w:tcPr>
          <w:p>
            <w:pPr>
              <w:pStyle w:val="13"/>
            </w:pPr>
            <w:r>
              <w:t>≤77万元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项目监理成本</w:t>
            </w:r>
          </w:p>
        </w:tc>
        <w:tc>
          <w:tcPr>
            <w:tcW w:w="5386" w:type="dxa"/>
            <w:vAlign w:val="center"/>
          </w:tcPr>
          <w:p>
            <w:pPr>
              <w:pStyle w:val="13"/>
            </w:pPr>
            <w:r>
              <w:t>项目监理部分成本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项目安全等级保护成本</w:t>
            </w:r>
          </w:p>
        </w:tc>
        <w:tc>
          <w:tcPr>
            <w:tcW w:w="5386" w:type="dxa"/>
            <w:vAlign w:val="center"/>
          </w:tcPr>
          <w:p>
            <w:pPr>
              <w:pStyle w:val="13"/>
            </w:pPr>
            <w:r>
              <w:t>项目安全等级保护成本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设备利用率</w:t>
            </w:r>
          </w:p>
        </w:tc>
        <w:tc>
          <w:tcPr>
            <w:tcW w:w="5386" w:type="dxa"/>
            <w:vAlign w:val="center"/>
          </w:tcPr>
          <w:p>
            <w:pPr>
              <w:pStyle w:val="13"/>
            </w:pPr>
            <w:r>
              <w:t>设备利用率=实际利用程度/设备设计利用程度*100%</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5、2026年公共资源交易中心公用经费绩效目标表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13011026P00150210020D</w:t>
            </w:r>
          </w:p>
        </w:tc>
        <w:tc>
          <w:tcPr>
            <w:tcW w:w="2835" w:type="dxa"/>
            <w:vAlign w:val="center"/>
          </w:tcPr>
          <w:p>
            <w:pPr>
              <w:pStyle w:val="11"/>
            </w:pPr>
            <w:r>
              <w:t>项目名称</w:t>
            </w:r>
          </w:p>
        </w:tc>
        <w:tc>
          <w:tcPr>
            <w:tcW w:w="6095" w:type="dxa"/>
            <w:gridSpan w:val="3"/>
            <w:vAlign w:val="center"/>
          </w:tcPr>
          <w:p>
            <w:pPr>
              <w:pStyle w:val="13"/>
            </w:pPr>
            <w:r>
              <w:t>2026年公共资源交易中心公用经费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为保障和加强公共资源交易全程顺利、有效完成，需做好该中心7名工作人员的经费保障工作。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1.为保障和加强公共资源交易全程顺利、有效完成，需做好该中心7名工作人员的经费保障工作。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≥7人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经费保障工作的及时率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办公费、水电费、邮电费、物业费及其他公用经费的支出</w:t>
            </w:r>
          </w:p>
        </w:tc>
        <w:tc>
          <w:tcPr>
            <w:tcW w:w="2268" w:type="dxa"/>
            <w:vAlign w:val="center"/>
          </w:tcPr>
          <w:p>
            <w:pPr>
              <w:pStyle w:val="13"/>
            </w:pPr>
            <w:r>
              <w:t>按统一规定执行</w:t>
            </w:r>
          </w:p>
        </w:tc>
        <w:tc>
          <w:tcPr>
            <w:tcW w:w="1276" w:type="dxa"/>
            <w:vAlign w:val="center"/>
          </w:tcPr>
          <w:p>
            <w:pPr>
              <w:pStyle w:val="13"/>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办公经费保障落实情况</w:t>
            </w:r>
          </w:p>
        </w:tc>
        <w:tc>
          <w:tcPr>
            <w:tcW w:w="5386" w:type="dxa"/>
            <w:vAlign w:val="center"/>
          </w:tcPr>
          <w:p>
            <w:pPr>
              <w:pStyle w:val="13"/>
            </w:pPr>
            <w:r>
              <w:t>办公经费及时拨付，保障机关正常运转</w:t>
            </w:r>
          </w:p>
        </w:tc>
        <w:tc>
          <w:tcPr>
            <w:tcW w:w="2268" w:type="dxa"/>
            <w:vAlign w:val="center"/>
          </w:tcPr>
          <w:p>
            <w:pPr>
              <w:pStyle w:val="13"/>
            </w:pPr>
            <w:r>
              <w:t>及时拨付，维持正常运转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5386" w:type="dxa"/>
            <w:vAlign w:val="center"/>
          </w:tcPr>
          <w:p>
            <w:pPr>
              <w:pStyle w:val="13"/>
            </w:pPr>
            <w:r>
              <w:t>办公人员满意和较满意人数占总人数的比例</w:t>
            </w:r>
          </w:p>
        </w:tc>
        <w:tc>
          <w:tcPr>
            <w:tcW w:w="2268" w:type="dxa"/>
            <w:vAlign w:val="center"/>
          </w:tcPr>
          <w:p>
            <w:pPr>
              <w:pStyle w:val="13"/>
            </w:pPr>
            <w:r>
              <w:t>≥99%</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6、2026年购买综合窗口第三方服务费绩效目标表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13011026P001502100211</w:t>
            </w:r>
          </w:p>
        </w:tc>
        <w:tc>
          <w:tcPr>
            <w:tcW w:w="2835" w:type="dxa"/>
            <w:vAlign w:val="center"/>
          </w:tcPr>
          <w:p>
            <w:pPr>
              <w:pStyle w:val="11"/>
            </w:pPr>
            <w:r>
              <w:t>项目名称</w:t>
            </w:r>
          </w:p>
        </w:tc>
        <w:tc>
          <w:tcPr>
            <w:tcW w:w="6095" w:type="dxa"/>
            <w:gridSpan w:val="3"/>
            <w:vAlign w:val="center"/>
          </w:tcPr>
          <w:p>
            <w:pPr>
              <w:pStyle w:val="13"/>
            </w:pPr>
            <w:r>
              <w:t>2026年购买综合窗口第三方服务费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1.将审批局前台受理、资料流转、业务培训、引导帮助等事项采取购买服务形式统一外包给专业公司，聘用5名工作人员，完成上述工作，明晰受审权责界限，打造“不见面审批”，提升政务服务效能。</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保障人员数量</w:t>
            </w:r>
          </w:p>
        </w:tc>
        <w:tc>
          <w:tcPr>
            <w:tcW w:w="5386" w:type="dxa"/>
            <w:vAlign w:val="center"/>
          </w:tcPr>
          <w:p>
            <w:pPr>
              <w:pStyle w:val="13"/>
            </w:pPr>
            <w:r>
              <w:t>保障人员数量</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社会保障缴纳的精准度</w:t>
            </w:r>
          </w:p>
        </w:tc>
        <w:tc>
          <w:tcPr>
            <w:tcW w:w="5386" w:type="dxa"/>
            <w:vAlign w:val="center"/>
          </w:tcPr>
          <w:p>
            <w:pPr>
              <w:pStyle w:val="13"/>
            </w:pPr>
            <w:r>
              <w:t>社会保障缴纳的精准度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社会保障缴纳的及时率</w:t>
            </w:r>
          </w:p>
        </w:tc>
        <w:tc>
          <w:tcPr>
            <w:tcW w:w="5386" w:type="dxa"/>
            <w:vAlign w:val="center"/>
          </w:tcPr>
          <w:p>
            <w:pPr>
              <w:pStyle w:val="13"/>
            </w:pPr>
            <w:r>
              <w:t>社会保障缴纳的及时率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工资、社会保障等发放标准</w:t>
            </w:r>
          </w:p>
        </w:tc>
        <w:tc>
          <w:tcPr>
            <w:tcW w:w="5386" w:type="dxa"/>
            <w:vAlign w:val="center"/>
          </w:tcPr>
          <w:p>
            <w:pPr>
              <w:pStyle w:val="13"/>
            </w:pPr>
            <w:r>
              <w:t>工资、社会保障等发放标准</w:t>
            </w:r>
          </w:p>
        </w:tc>
        <w:tc>
          <w:tcPr>
            <w:tcW w:w="2268" w:type="dxa"/>
            <w:vAlign w:val="center"/>
          </w:tcPr>
          <w:p>
            <w:pPr>
              <w:pStyle w:val="13"/>
            </w:pPr>
            <w:r>
              <w:t>按规定执行</w:t>
            </w:r>
          </w:p>
        </w:tc>
        <w:tc>
          <w:tcPr>
            <w:tcW w:w="1276" w:type="dxa"/>
            <w:vAlign w:val="center"/>
          </w:tcPr>
          <w:p>
            <w:pPr>
              <w:pStyle w:val="13"/>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提高政务服务效能</w:t>
            </w:r>
          </w:p>
        </w:tc>
        <w:tc>
          <w:tcPr>
            <w:tcW w:w="5386" w:type="dxa"/>
            <w:vAlign w:val="center"/>
          </w:tcPr>
          <w:p>
            <w:pPr>
              <w:pStyle w:val="13"/>
            </w:pPr>
            <w:r>
              <w:t>进一步深化“受审分离”，提高政务服务效能</w:t>
            </w:r>
          </w:p>
        </w:tc>
        <w:tc>
          <w:tcPr>
            <w:tcW w:w="2268" w:type="dxa"/>
            <w:vAlign w:val="center"/>
          </w:tcPr>
          <w:p>
            <w:pPr>
              <w:pStyle w:val="13"/>
            </w:pPr>
            <w:r>
              <w:t>提高政务服务效能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进一步压缩审批时间</w:t>
            </w:r>
          </w:p>
        </w:tc>
        <w:tc>
          <w:tcPr>
            <w:tcW w:w="5386" w:type="dxa"/>
            <w:vAlign w:val="center"/>
          </w:tcPr>
          <w:p>
            <w:pPr>
              <w:pStyle w:val="13"/>
            </w:pPr>
            <w:r>
              <w:t>更专业的人做专业的事，进一步压缩审批时间，提高政务效能</w:t>
            </w:r>
          </w:p>
        </w:tc>
        <w:tc>
          <w:tcPr>
            <w:tcW w:w="2268" w:type="dxa"/>
            <w:vAlign w:val="center"/>
          </w:tcPr>
          <w:p>
            <w:pPr>
              <w:pStyle w:val="13"/>
            </w:pPr>
            <w:r>
              <w:t>进一步压缩审批时间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市场主体和办事群众满意和较满意的人数占总人数的比例</w:t>
            </w:r>
          </w:p>
        </w:tc>
        <w:tc>
          <w:tcPr>
            <w:tcW w:w="2268" w:type="dxa"/>
            <w:vAlign w:val="center"/>
          </w:tcPr>
          <w:p>
            <w:pPr>
              <w:pStyle w:val="13"/>
            </w:pPr>
            <w:r>
              <w:t>&gt;98%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7、2026年石家庄市鹿泉区数字鹿泉“十四五”规划绩效目标表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13011026P00150210024U</w:t>
            </w:r>
          </w:p>
        </w:tc>
        <w:tc>
          <w:tcPr>
            <w:tcW w:w="2835" w:type="dxa"/>
            <w:vAlign w:val="center"/>
          </w:tcPr>
          <w:p>
            <w:pPr>
              <w:pStyle w:val="11"/>
            </w:pPr>
            <w:r>
              <w:t>项目名称</w:t>
            </w:r>
          </w:p>
        </w:tc>
        <w:tc>
          <w:tcPr>
            <w:tcW w:w="6095" w:type="dxa"/>
            <w:gridSpan w:val="3"/>
            <w:vAlign w:val="center"/>
          </w:tcPr>
          <w:p>
            <w:pPr>
              <w:pStyle w:val="13"/>
            </w:pPr>
            <w:r>
              <w:t>2026年石家庄市鹿泉区数字鹿泉“十四五”规划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通过编制符合鹿泉区特色的《鹿泉区数字鹿泉“十四五”规划》，指引未来五年鹿泉区新型智慧城市建设。"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1.通过编制符合鹿泉区特色的《鹿泉区数字鹿泉“十四五”规划》，指引未来五年鹿泉区新型智慧城市建设。"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编制规划方案数量</w:t>
            </w:r>
          </w:p>
        </w:tc>
        <w:tc>
          <w:tcPr>
            <w:tcW w:w="5386" w:type="dxa"/>
            <w:vAlign w:val="center"/>
          </w:tcPr>
          <w:p>
            <w:pPr>
              <w:pStyle w:val="13"/>
            </w:pPr>
            <w:r>
              <w:t>编制《鹿泉区数字鹿泉“十四五”规划》方案的数量</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编制规划合理性</w:t>
            </w:r>
          </w:p>
        </w:tc>
        <w:tc>
          <w:tcPr>
            <w:tcW w:w="5386" w:type="dxa"/>
            <w:vAlign w:val="center"/>
          </w:tcPr>
          <w:p>
            <w:pPr>
              <w:pStyle w:val="13"/>
            </w:pPr>
            <w:r>
              <w:t>编制规划符合未来五年鹿泉区新型智慧城市建设</w:t>
            </w:r>
          </w:p>
        </w:tc>
        <w:tc>
          <w:tcPr>
            <w:tcW w:w="2268" w:type="dxa"/>
            <w:vAlign w:val="center"/>
          </w:tcPr>
          <w:p>
            <w:pPr>
              <w:pStyle w:val="13"/>
            </w:pPr>
            <w:r>
              <w:t>符合未来五年鹿泉区新型智慧城市建设方向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编制规划的时间</w:t>
            </w:r>
          </w:p>
        </w:tc>
        <w:tc>
          <w:tcPr>
            <w:tcW w:w="5386" w:type="dxa"/>
            <w:vAlign w:val="center"/>
          </w:tcPr>
          <w:p>
            <w:pPr>
              <w:pStyle w:val="13"/>
            </w:pPr>
            <w:r>
              <w:t>编制规划的时间</w:t>
            </w:r>
          </w:p>
        </w:tc>
        <w:tc>
          <w:tcPr>
            <w:tcW w:w="2268" w:type="dxa"/>
            <w:vAlign w:val="center"/>
          </w:tcPr>
          <w:p>
            <w:pPr>
              <w:pStyle w:val="13"/>
            </w:pPr>
            <w:r>
              <w:t>≤65天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编制规划的成本</w:t>
            </w:r>
          </w:p>
        </w:tc>
        <w:tc>
          <w:tcPr>
            <w:tcW w:w="5386" w:type="dxa"/>
            <w:vAlign w:val="center"/>
          </w:tcPr>
          <w:p>
            <w:pPr>
              <w:pStyle w:val="13"/>
            </w:pPr>
            <w:r>
              <w:t>编制规划的部分成本</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持续建设时间</w:t>
            </w:r>
          </w:p>
        </w:tc>
        <w:tc>
          <w:tcPr>
            <w:tcW w:w="5386" w:type="dxa"/>
            <w:vAlign w:val="center"/>
          </w:tcPr>
          <w:p>
            <w:pPr>
              <w:pStyle w:val="13"/>
            </w:pPr>
            <w:r>
              <w:t>持续建设新型智慧城市的时间</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8、2026年委托投资咨询评估费用绩效目标表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13011026P001503100132</w:t>
            </w:r>
          </w:p>
        </w:tc>
        <w:tc>
          <w:tcPr>
            <w:tcW w:w="2835" w:type="dxa"/>
            <w:vAlign w:val="center"/>
          </w:tcPr>
          <w:p>
            <w:pPr>
              <w:pStyle w:val="11"/>
            </w:pPr>
            <w:r>
              <w:t>项目名称</w:t>
            </w:r>
          </w:p>
        </w:tc>
        <w:tc>
          <w:tcPr>
            <w:tcW w:w="6095" w:type="dxa"/>
            <w:gridSpan w:val="3"/>
            <w:vAlign w:val="center"/>
          </w:tcPr>
          <w:p>
            <w:pPr>
              <w:pStyle w:val="13"/>
            </w:pPr>
            <w:r>
              <w:t>2026年委托投资咨询评估费用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rPr>
                <w:rFonts w:hint="eastAsia"/>
                <w:lang w:eastAsia="zh-CN"/>
              </w:rPr>
              <w:t>。</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委托投资评审项目数</w:t>
            </w:r>
          </w:p>
        </w:tc>
        <w:tc>
          <w:tcPr>
            <w:tcW w:w="5386" w:type="dxa"/>
            <w:vAlign w:val="center"/>
          </w:tcPr>
          <w:p>
            <w:pPr>
              <w:pStyle w:val="13"/>
            </w:pPr>
            <w:r>
              <w:t>聘请第三方评估机构评审的次数</w:t>
            </w:r>
          </w:p>
        </w:tc>
        <w:tc>
          <w:tcPr>
            <w:tcW w:w="2268" w:type="dxa"/>
            <w:vAlign w:val="center"/>
          </w:tcPr>
          <w:p>
            <w:pPr>
              <w:pStyle w:val="13"/>
            </w:pPr>
            <w:r>
              <w:t>≥30次</w:t>
            </w:r>
          </w:p>
        </w:tc>
        <w:tc>
          <w:tcPr>
            <w:tcW w:w="1276" w:type="dxa"/>
            <w:vAlign w:val="center"/>
          </w:tcPr>
          <w:p>
            <w:pPr>
              <w:pStyle w:val="13"/>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委托评估完成率</w:t>
            </w:r>
          </w:p>
        </w:tc>
        <w:tc>
          <w:tcPr>
            <w:tcW w:w="5386" w:type="dxa"/>
            <w:vAlign w:val="center"/>
          </w:tcPr>
          <w:p>
            <w:pPr>
              <w:pStyle w:val="13"/>
            </w:pPr>
            <w:r>
              <w:t>完成评审的项目数占总项目的比例</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委托评定按时完成率</w:t>
            </w:r>
          </w:p>
        </w:tc>
        <w:tc>
          <w:tcPr>
            <w:tcW w:w="5386" w:type="dxa"/>
            <w:vAlign w:val="center"/>
          </w:tcPr>
          <w:p>
            <w:pPr>
              <w:pStyle w:val="13"/>
            </w:pPr>
            <w:r>
              <w:t>在规定时限完成的项目数占总项目的比例</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每项项目评审的费用</w:t>
            </w:r>
          </w:p>
        </w:tc>
        <w:tc>
          <w:tcPr>
            <w:tcW w:w="5386" w:type="dxa"/>
            <w:vAlign w:val="center"/>
          </w:tcPr>
          <w:p>
            <w:pPr>
              <w:pStyle w:val="13"/>
            </w:pPr>
            <w:r>
              <w:t>每一项项目聘请第三方专家评审的费用</w:t>
            </w:r>
          </w:p>
        </w:tc>
        <w:tc>
          <w:tcPr>
            <w:tcW w:w="2268" w:type="dxa"/>
            <w:vAlign w:val="center"/>
          </w:tcPr>
          <w:p>
            <w:pPr>
              <w:pStyle w:val="13"/>
            </w:pPr>
            <w:r>
              <w:t>行业标准</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提高项目审批质量</w:t>
            </w:r>
          </w:p>
        </w:tc>
        <w:tc>
          <w:tcPr>
            <w:tcW w:w="5386" w:type="dxa"/>
            <w:vAlign w:val="center"/>
          </w:tcPr>
          <w:p>
            <w:pPr>
              <w:pStyle w:val="13"/>
            </w:pPr>
            <w:r>
              <w:t>聘请第三方专家评审更具专业性，准确性</w:t>
            </w:r>
          </w:p>
          <w:p>
            <w:pPr>
              <w:pStyle w:val="13"/>
            </w:pPr>
          </w:p>
        </w:tc>
        <w:tc>
          <w:tcPr>
            <w:tcW w:w="2268" w:type="dxa"/>
            <w:vAlign w:val="center"/>
          </w:tcPr>
          <w:p>
            <w:pPr>
              <w:pStyle w:val="13"/>
            </w:pPr>
            <w:r>
              <w:t>专业性、准确性</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项目申报主体较满意和满意人数占总人数的比例</w:t>
            </w:r>
          </w:p>
          <w:p>
            <w:pPr>
              <w:pStyle w:val="13"/>
            </w:pPr>
          </w:p>
        </w:tc>
        <w:tc>
          <w:tcPr>
            <w:tcW w:w="2268" w:type="dxa"/>
            <w:vAlign w:val="center"/>
          </w:tcPr>
          <w:p>
            <w:pPr>
              <w:pStyle w:val="13"/>
            </w:pPr>
            <w:r>
              <w:t>≥98%</w:t>
            </w:r>
          </w:p>
        </w:tc>
        <w:tc>
          <w:tcPr>
            <w:tcW w:w="1276" w:type="dxa"/>
            <w:vAlign w:val="center"/>
          </w:tcPr>
          <w:p>
            <w:pPr>
              <w:pStyle w:val="13"/>
            </w:pPr>
            <w:r>
              <w:t>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9、2026年新型智慧城市PPP项目工程预结算及全生命周期财政支出责任审计绩效目标表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13011026P00003310013E</w:t>
            </w:r>
          </w:p>
        </w:tc>
        <w:tc>
          <w:tcPr>
            <w:tcW w:w="2835" w:type="dxa"/>
            <w:vAlign w:val="center"/>
          </w:tcPr>
          <w:p>
            <w:pPr>
              <w:pStyle w:val="11"/>
            </w:pPr>
            <w:r>
              <w:t>项目名称</w:t>
            </w:r>
          </w:p>
        </w:tc>
        <w:tc>
          <w:tcPr>
            <w:tcW w:w="6095" w:type="dxa"/>
            <w:gridSpan w:val="3"/>
            <w:vAlign w:val="center"/>
          </w:tcPr>
          <w:p>
            <w:pPr>
              <w:pStyle w:val="13"/>
            </w:pPr>
            <w:r>
              <w:t>2026年新型智慧城市PPP项目工程预结算及全生命周期财政支出责任审计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为正确反映项目实际造价和投资效果，根据有关规定，我局</w:t>
            </w:r>
            <w:r>
              <w:rPr>
                <w:rFonts w:hint="eastAsia"/>
                <w:lang w:eastAsia="zh-CN"/>
              </w:rPr>
              <w:t>将</w:t>
            </w:r>
            <w:r>
              <w:t>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预结算评审项目的数量</w:t>
            </w:r>
          </w:p>
        </w:tc>
        <w:tc>
          <w:tcPr>
            <w:tcW w:w="5386" w:type="dxa"/>
            <w:vAlign w:val="center"/>
          </w:tcPr>
          <w:p>
            <w:pPr>
              <w:pStyle w:val="13"/>
            </w:pPr>
            <w:r>
              <w:t>进行项目工程预结算评审的项目数量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竣工决算审计项目的数量</w:t>
            </w:r>
          </w:p>
        </w:tc>
        <w:tc>
          <w:tcPr>
            <w:tcW w:w="5386" w:type="dxa"/>
            <w:vAlign w:val="center"/>
          </w:tcPr>
          <w:p>
            <w:pPr>
              <w:pStyle w:val="13"/>
            </w:pPr>
            <w:r>
              <w:t>进行建设期的财务竣工决算审计的项目数量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预结算评审工作完成率</w:t>
            </w:r>
          </w:p>
        </w:tc>
        <w:tc>
          <w:tcPr>
            <w:tcW w:w="5386" w:type="dxa"/>
            <w:vAlign w:val="center"/>
          </w:tcPr>
          <w:p>
            <w:pPr>
              <w:pStyle w:val="13"/>
            </w:pPr>
            <w:r>
              <w:t>项目工程预结算评审工作实际完成率占全部工作完成率的比例</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竣工决算审计工作完成率</w:t>
            </w:r>
          </w:p>
        </w:tc>
        <w:tc>
          <w:tcPr>
            <w:tcW w:w="5386" w:type="dxa"/>
            <w:vAlign w:val="center"/>
          </w:tcPr>
          <w:p>
            <w:pPr>
              <w:pStyle w:val="13"/>
            </w:pPr>
            <w:r>
              <w:t>对建设期的财务竣工决算审计工作实际完成率占全部工作完成率的比例</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评审项目完成时间</w:t>
            </w:r>
          </w:p>
        </w:tc>
        <w:tc>
          <w:tcPr>
            <w:tcW w:w="5386" w:type="dxa"/>
            <w:vAlign w:val="center"/>
          </w:tcPr>
          <w:p>
            <w:pPr>
              <w:pStyle w:val="13"/>
            </w:pPr>
            <w:r>
              <w:t>项目工程预结算评审全部完成时间</w:t>
            </w:r>
          </w:p>
        </w:tc>
        <w:tc>
          <w:tcPr>
            <w:tcW w:w="2268" w:type="dxa"/>
            <w:vAlign w:val="center"/>
          </w:tcPr>
          <w:p>
            <w:pPr>
              <w:pStyle w:val="13"/>
            </w:pPr>
            <w:r>
              <w:t>12月</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审计项目的完成时间</w:t>
            </w:r>
          </w:p>
        </w:tc>
        <w:tc>
          <w:tcPr>
            <w:tcW w:w="5386" w:type="dxa"/>
            <w:vAlign w:val="center"/>
          </w:tcPr>
          <w:p>
            <w:pPr>
              <w:pStyle w:val="13"/>
            </w:pPr>
            <w:r>
              <w:t>建设期的财务竣工决算审计项目全部完成时间</w:t>
            </w:r>
          </w:p>
        </w:tc>
        <w:tc>
          <w:tcPr>
            <w:tcW w:w="2268" w:type="dxa"/>
            <w:vAlign w:val="center"/>
          </w:tcPr>
          <w:p>
            <w:pPr>
              <w:pStyle w:val="13"/>
            </w:pPr>
            <w:r>
              <w:t>&lt;70天</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预结算评审工作成本</w:t>
            </w:r>
          </w:p>
        </w:tc>
        <w:tc>
          <w:tcPr>
            <w:tcW w:w="5386" w:type="dxa"/>
            <w:vAlign w:val="center"/>
          </w:tcPr>
          <w:p>
            <w:pPr>
              <w:pStyle w:val="13"/>
            </w:pPr>
            <w:r>
              <w:t>开展项目工程预结算评审工作的成本</w:t>
            </w:r>
          </w:p>
        </w:tc>
        <w:tc>
          <w:tcPr>
            <w:tcW w:w="2268" w:type="dxa"/>
            <w:vAlign w:val="center"/>
          </w:tcPr>
          <w:p>
            <w:pPr>
              <w:pStyle w:val="13"/>
            </w:pPr>
            <w:r>
              <w:t>2万元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竣工决算审计工作成本</w:t>
            </w:r>
          </w:p>
        </w:tc>
        <w:tc>
          <w:tcPr>
            <w:tcW w:w="5386" w:type="dxa"/>
            <w:vAlign w:val="center"/>
          </w:tcPr>
          <w:p>
            <w:pPr>
              <w:pStyle w:val="13"/>
            </w:pPr>
            <w:r>
              <w:t>开展建设期的财务竣工决算审计工作的成本</w:t>
            </w:r>
          </w:p>
        </w:tc>
        <w:tc>
          <w:tcPr>
            <w:tcW w:w="2268" w:type="dxa"/>
            <w:vAlign w:val="center"/>
          </w:tcPr>
          <w:p>
            <w:pPr>
              <w:pStyle w:val="13"/>
            </w:pPr>
            <w:r>
              <w:t>46.18万元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年度审计工作成本</w:t>
            </w:r>
          </w:p>
        </w:tc>
        <w:tc>
          <w:tcPr>
            <w:tcW w:w="5386" w:type="dxa"/>
            <w:vAlign w:val="center"/>
          </w:tcPr>
          <w:p>
            <w:pPr>
              <w:pStyle w:val="13"/>
            </w:pPr>
            <w:r>
              <w:t>开展年度审计项目工作的成本</w:t>
            </w:r>
          </w:p>
        </w:tc>
        <w:tc>
          <w:tcPr>
            <w:tcW w:w="2268" w:type="dxa"/>
            <w:vAlign w:val="center"/>
          </w:tcPr>
          <w:p>
            <w:pPr>
              <w:pStyle w:val="13"/>
            </w:pPr>
            <w:r>
              <w:t>27.5万元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结果应用</w:t>
            </w:r>
          </w:p>
        </w:tc>
        <w:tc>
          <w:tcPr>
            <w:tcW w:w="5386" w:type="dxa"/>
            <w:vAlign w:val="center"/>
          </w:tcPr>
          <w:p>
            <w:pPr>
              <w:pStyle w:val="13"/>
            </w:pPr>
            <w:r>
              <w:t>对项目评审结果应用</w:t>
            </w:r>
          </w:p>
        </w:tc>
        <w:tc>
          <w:tcPr>
            <w:tcW w:w="2268" w:type="dxa"/>
            <w:vAlign w:val="center"/>
          </w:tcPr>
          <w:p>
            <w:pPr>
              <w:pStyle w:val="13"/>
            </w:pPr>
            <w:r>
              <w:t>≥95%</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10、2026年新型智慧城市PPP项目绩效考核费绩效目标表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13011026P00003310012T</w:t>
            </w:r>
          </w:p>
        </w:tc>
        <w:tc>
          <w:tcPr>
            <w:tcW w:w="2835" w:type="dxa"/>
            <w:vAlign w:val="center"/>
          </w:tcPr>
          <w:p>
            <w:pPr>
              <w:pStyle w:val="11"/>
            </w:pPr>
            <w:r>
              <w:t>项目名称</w:t>
            </w:r>
          </w:p>
        </w:tc>
        <w:tc>
          <w:tcPr>
            <w:tcW w:w="6095" w:type="dxa"/>
            <w:gridSpan w:val="3"/>
            <w:vAlign w:val="center"/>
          </w:tcPr>
          <w:p>
            <w:pPr>
              <w:pStyle w:val="13"/>
            </w:pPr>
            <w:r>
              <w:t>2026年新型智慧城市PPP项目绩效考核费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委托第三方专业机构对智慧城市项目内容进行绩效考核，保障PPP项目工作有序实施开展。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委托第三方专业机构对智慧城市项目内容进行绩效考核，保障PPP项目工作</w:t>
            </w:r>
            <w:r>
              <w:rPr>
                <w:rFonts w:hint="eastAsia"/>
                <w:lang w:eastAsia="zh-CN"/>
              </w:rPr>
              <w:t>的</w:t>
            </w:r>
            <w:r>
              <w:t>有序实施开展。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实施绩效评价的内容项数</w:t>
            </w:r>
          </w:p>
        </w:tc>
        <w:tc>
          <w:tcPr>
            <w:tcW w:w="5386" w:type="dxa"/>
            <w:vAlign w:val="center"/>
          </w:tcPr>
          <w:p>
            <w:pPr>
              <w:pStyle w:val="13"/>
            </w:pPr>
            <w:r>
              <w:t>实施绩效评价内容的项数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实施绩效评价的内容项数的合格率</w:t>
            </w:r>
          </w:p>
        </w:tc>
        <w:tc>
          <w:tcPr>
            <w:tcW w:w="5386" w:type="dxa"/>
            <w:vAlign w:val="center"/>
          </w:tcPr>
          <w:p>
            <w:pPr>
              <w:pStyle w:val="13"/>
            </w:pPr>
            <w:r>
              <w:t>合格的内容项数占全部内容项数合格的比例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年度绩效评价任务完成时间</w:t>
            </w:r>
          </w:p>
        </w:tc>
        <w:tc>
          <w:tcPr>
            <w:tcW w:w="5386" w:type="dxa"/>
            <w:vAlign w:val="center"/>
          </w:tcPr>
          <w:p>
            <w:pPr>
              <w:pStyle w:val="13"/>
            </w:pPr>
            <w:r>
              <w:t>年度绩效评价任务完成时间</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年度绩效评价的成本</w:t>
            </w:r>
          </w:p>
        </w:tc>
        <w:tc>
          <w:tcPr>
            <w:tcW w:w="5386" w:type="dxa"/>
            <w:vAlign w:val="center"/>
          </w:tcPr>
          <w:p>
            <w:pPr>
              <w:pStyle w:val="13"/>
            </w:pPr>
            <w:r>
              <w:t>年度开展绩效评价工作的成本</w:t>
            </w:r>
          </w:p>
        </w:tc>
        <w:tc>
          <w:tcPr>
            <w:tcW w:w="2268" w:type="dxa"/>
            <w:vAlign w:val="center"/>
          </w:tcPr>
          <w:p>
            <w:pPr>
              <w:pStyle w:val="13"/>
            </w:pPr>
            <w:r>
              <w:t>≤28万元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问题整改落实率</w:t>
            </w:r>
          </w:p>
        </w:tc>
        <w:tc>
          <w:tcPr>
            <w:tcW w:w="5386" w:type="dxa"/>
            <w:vAlign w:val="center"/>
          </w:tcPr>
          <w:p>
            <w:pPr>
              <w:pStyle w:val="13"/>
            </w:pPr>
            <w:r>
              <w:t>反映绩效评价发现问题的整改落实情况</w:t>
            </w:r>
          </w:p>
        </w:tc>
        <w:tc>
          <w:tcPr>
            <w:tcW w:w="2268" w:type="dxa"/>
            <w:vAlign w:val="center"/>
          </w:tcPr>
          <w:p>
            <w:pPr>
              <w:pStyle w:val="13"/>
            </w:pPr>
            <w:r>
              <w:t>≥95%</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11、2026年新型智慧城市PPP项目中期评估及法律服务费绩效目标表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13011026P000033100142</w:t>
            </w:r>
          </w:p>
        </w:tc>
        <w:tc>
          <w:tcPr>
            <w:tcW w:w="2835" w:type="dxa"/>
            <w:vAlign w:val="center"/>
          </w:tcPr>
          <w:p>
            <w:pPr>
              <w:pStyle w:val="11"/>
            </w:pPr>
            <w:r>
              <w:t>项目名称</w:t>
            </w:r>
          </w:p>
        </w:tc>
        <w:tc>
          <w:tcPr>
            <w:tcW w:w="6095" w:type="dxa"/>
            <w:gridSpan w:val="3"/>
            <w:vAlign w:val="center"/>
          </w:tcPr>
          <w:p>
            <w:pPr>
              <w:pStyle w:val="13"/>
            </w:pPr>
            <w:r>
              <w:t>2026年新型智慧城市PPP项目中期评估及法律服务费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为发现PPP项目存在的问题及时纠偏，确保项目继续有序规范实施，提升运营质效，保障公共服务供给。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为发现PPP项目存在的问题及时纠偏，确保项目</w:t>
            </w:r>
            <w:r>
              <w:rPr>
                <w:rFonts w:hint="eastAsia"/>
                <w:lang w:eastAsia="zh-CN"/>
              </w:rPr>
              <w:t>的</w:t>
            </w:r>
            <w:r>
              <w:t>继续有序规范实施，提升运营质效，保障公共服务供给。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项目中期评估数量</w:t>
            </w:r>
          </w:p>
        </w:tc>
        <w:tc>
          <w:tcPr>
            <w:tcW w:w="5386" w:type="dxa"/>
            <w:vAlign w:val="center"/>
          </w:tcPr>
          <w:p>
            <w:pPr>
              <w:pStyle w:val="13"/>
            </w:pPr>
            <w:r>
              <w:t>聘请第三方评估机构评估的项目数量</w:t>
            </w:r>
          </w:p>
        </w:tc>
        <w:tc>
          <w:tcPr>
            <w:tcW w:w="2268" w:type="dxa"/>
            <w:vAlign w:val="center"/>
          </w:tcPr>
          <w:p>
            <w:pPr>
              <w:pStyle w:val="13"/>
            </w:pPr>
            <w:r>
              <w:t>≥1项</w:t>
            </w:r>
          </w:p>
        </w:tc>
        <w:tc>
          <w:tcPr>
            <w:tcW w:w="1276" w:type="dxa"/>
            <w:vAlign w:val="center"/>
          </w:tcPr>
          <w:p>
            <w:pPr>
              <w:pStyle w:val="13"/>
            </w:pPr>
            <w:r>
              <w:t>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项目评估完成率</w:t>
            </w:r>
          </w:p>
        </w:tc>
        <w:tc>
          <w:tcPr>
            <w:tcW w:w="5386" w:type="dxa"/>
            <w:vAlign w:val="center"/>
          </w:tcPr>
          <w:p>
            <w:pPr>
              <w:pStyle w:val="13"/>
            </w:pPr>
            <w:r>
              <w:t>完成评估的项目数占总项目的比例</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项目评估按时完成率</w:t>
            </w:r>
          </w:p>
        </w:tc>
        <w:tc>
          <w:tcPr>
            <w:tcW w:w="5386" w:type="dxa"/>
            <w:vAlign w:val="center"/>
          </w:tcPr>
          <w:p>
            <w:pPr>
              <w:pStyle w:val="13"/>
            </w:pPr>
            <w:r>
              <w:t>在规定时限完成的项目数占总项目的比例</w:t>
            </w:r>
          </w:p>
        </w:tc>
        <w:tc>
          <w:tcPr>
            <w:tcW w:w="2268" w:type="dxa"/>
            <w:vAlign w:val="center"/>
          </w:tcPr>
          <w:p>
            <w:pPr>
              <w:pStyle w:val="13"/>
            </w:pPr>
            <w:r>
              <w:t>≥98%</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项目评估的费用</w:t>
            </w:r>
          </w:p>
        </w:tc>
        <w:tc>
          <w:tcPr>
            <w:tcW w:w="5386" w:type="dxa"/>
            <w:vAlign w:val="center"/>
          </w:tcPr>
          <w:p>
            <w:pPr>
              <w:pStyle w:val="13"/>
            </w:pPr>
            <w:r>
              <w:t>聘请第三方专家开展中期评估的费用</w:t>
            </w:r>
          </w:p>
        </w:tc>
        <w:tc>
          <w:tcPr>
            <w:tcW w:w="2268" w:type="dxa"/>
            <w:vAlign w:val="center"/>
          </w:tcPr>
          <w:p>
            <w:pPr>
              <w:pStyle w:val="13"/>
            </w:pPr>
            <w:r>
              <w:t>≤7.5万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法律服务的费用</w:t>
            </w:r>
          </w:p>
        </w:tc>
        <w:tc>
          <w:tcPr>
            <w:tcW w:w="5386" w:type="dxa"/>
            <w:vAlign w:val="center"/>
          </w:tcPr>
          <w:p>
            <w:pPr>
              <w:pStyle w:val="13"/>
            </w:pPr>
            <w:r>
              <w:t>聘请PPP专项律师法律服务费</w:t>
            </w:r>
          </w:p>
        </w:tc>
        <w:tc>
          <w:tcPr>
            <w:tcW w:w="2268" w:type="dxa"/>
            <w:vAlign w:val="center"/>
          </w:tcPr>
          <w:p>
            <w:pPr>
              <w:pStyle w:val="13"/>
            </w:pPr>
            <w:r>
              <w:t>≤7.5万</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提高项目评估质量</w:t>
            </w:r>
          </w:p>
        </w:tc>
        <w:tc>
          <w:tcPr>
            <w:tcW w:w="5386" w:type="dxa"/>
            <w:vAlign w:val="center"/>
          </w:tcPr>
          <w:p>
            <w:pPr>
              <w:pStyle w:val="13"/>
            </w:pPr>
            <w:r>
              <w:t>聘请第三方专家评估更具专业性，准确性</w:t>
            </w:r>
          </w:p>
        </w:tc>
        <w:tc>
          <w:tcPr>
            <w:tcW w:w="2268" w:type="dxa"/>
            <w:vAlign w:val="center"/>
          </w:tcPr>
          <w:p>
            <w:pPr>
              <w:pStyle w:val="13"/>
            </w:pPr>
            <w:r>
              <w:t>专业性、准确性</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项目评估主体较满意和满意人数占总人数的比例</w:t>
            </w:r>
          </w:p>
        </w:tc>
        <w:tc>
          <w:tcPr>
            <w:tcW w:w="2268" w:type="dxa"/>
            <w:vAlign w:val="center"/>
          </w:tcPr>
          <w:p>
            <w:pPr>
              <w:pStyle w:val="13"/>
            </w:pPr>
            <w:r>
              <w:t>≥98%</w:t>
            </w:r>
          </w:p>
        </w:tc>
        <w:tc>
          <w:tcPr>
            <w:tcW w:w="1276" w:type="dxa"/>
            <w:vAlign w:val="center"/>
          </w:tcPr>
          <w:p>
            <w:pPr>
              <w:pStyle w:val="13"/>
            </w:pPr>
            <w:r>
              <w:t>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、2026年智慧城市广场房租绩效目标表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13011026P00150210018E</w:t>
            </w:r>
          </w:p>
        </w:tc>
        <w:tc>
          <w:tcPr>
            <w:tcW w:w="2835" w:type="dxa"/>
            <w:vAlign w:val="center"/>
          </w:tcPr>
          <w:p>
            <w:pPr>
              <w:pStyle w:val="11"/>
            </w:pPr>
            <w:r>
              <w:t>项目名称</w:t>
            </w:r>
          </w:p>
        </w:tc>
        <w:tc>
          <w:tcPr>
            <w:tcW w:w="6095" w:type="dxa"/>
            <w:gridSpan w:val="3"/>
            <w:vAlign w:val="center"/>
          </w:tcPr>
          <w:p>
            <w:pPr>
              <w:pStyle w:val="13"/>
            </w:pPr>
            <w:r>
              <w:t>2026年智慧城市广场房租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租赁场馆12000平方米，用作区智慧城市数据中心使用。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租赁场馆12000平方米，用作区智慧城市数据中心使用。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办公用房租赁面积</w:t>
            </w:r>
          </w:p>
        </w:tc>
        <w:tc>
          <w:tcPr>
            <w:tcW w:w="2268" w:type="dxa"/>
            <w:vAlign w:val="center"/>
          </w:tcPr>
          <w:p>
            <w:pPr>
              <w:pStyle w:val="13"/>
            </w:pPr>
            <w:r>
              <w:t>12000平方米</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满足办公需求，各项设施齐全，运转正常</w:t>
            </w:r>
          </w:p>
        </w:tc>
        <w:tc>
          <w:tcPr>
            <w:tcW w:w="2268" w:type="dxa"/>
            <w:vAlign w:val="center"/>
          </w:tcPr>
          <w:p>
            <w:pPr>
              <w:pStyle w:val="13"/>
            </w:pPr>
            <w:r>
              <w:t>100能满足办公需求，各项设施齐全，运转正常</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租赁期限</w:t>
            </w:r>
          </w:p>
        </w:tc>
        <w:tc>
          <w:tcPr>
            <w:tcW w:w="5386" w:type="dxa"/>
            <w:vAlign w:val="center"/>
          </w:tcPr>
          <w:p>
            <w:pPr>
              <w:pStyle w:val="13"/>
            </w:pPr>
            <w:r>
              <w:t>办公用房租赁的期限</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办公用房每年租赁成本</w:t>
            </w:r>
          </w:p>
        </w:tc>
        <w:tc>
          <w:tcPr>
            <w:tcW w:w="5386" w:type="dxa"/>
            <w:vAlign w:val="center"/>
          </w:tcPr>
          <w:p>
            <w:pPr>
              <w:pStyle w:val="13"/>
            </w:pPr>
            <w:r>
              <w:t>办公用房2025年-2026年租赁成本</w:t>
            </w:r>
          </w:p>
        </w:tc>
        <w:tc>
          <w:tcPr>
            <w:tcW w:w="2268" w:type="dxa"/>
            <w:vAlign w:val="center"/>
          </w:tcPr>
          <w:p>
            <w:pPr>
              <w:pStyle w:val="13"/>
            </w:pPr>
            <w:r>
              <w:t>≤328万元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保障智慧城市数据中心的正常运行</w:t>
            </w:r>
          </w:p>
        </w:tc>
        <w:tc>
          <w:tcPr>
            <w:tcW w:w="5386" w:type="dxa"/>
            <w:vAlign w:val="center"/>
          </w:tcPr>
          <w:p>
            <w:pPr>
              <w:pStyle w:val="13"/>
            </w:pPr>
            <w:r>
              <w:t>每天满足办公需求，提供安全办公场所，维持正常运转</w:t>
            </w:r>
          </w:p>
        </w:tc>
        <w:tc>
          <w:tcPr>
            <w:tcW w:w="2268" w:type="dxa"/>
            <w:vAlign w:val="center"/>
          </w:tcPr>
          <w:p>
            <w:pPr>
              <w:pStyle w:val="13"/>
            </w:pPr>
            <w:r>
              <w:t>24小时</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、2026年智慧城市可行性缺口补助绩效目标表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13011026P00003310015M</w:t>
            </w:r>
          </w:p>
        </w:tc>
        <w:tc>
          <w:tcPr>
            <w:tcW w:w="2835" w:type="dxa"/>
            <w:vAlign w:val="center"/>
          </w:tcPr>
          <w:p>
            <w:pPr>
              <w:pStyle w:val="11"/>
            </w:pPr>
            <w:r>
              <w:t>项目名称</w:t>
            </w:r>
          </w:p>
        </w:tc>
        <w:tc>
          <w:tcPr>
            <w:tcW w:w="6095" w:type="dxa"/>
            <w:gridSpan w:val="3"/>
            <w:vAlign w:val="center"/>
          </w:tcPr>
          <w:p>
            <w:pPr>
              <w:pStyle w:val="13"/>
            </w:pPr>
            <w:r>
              <w:t>2026年智慧城市可行性缺口补助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w:t>
            </w:r>
            <w:r>
              <w:rPr>
                <w:rFonts w:hint="eastAsia"/>
                <w:lang w:val="en-US" w:eastAsia="zh-CN"/>
              </w:rPr>
              <w:t>50</w:t>
            </w:r>
            <w:r>
              <w:t>0.00</w:t>
            </w:r>
          </w:p>
        </w:tc>
        <w:tc>
          <w:tcPr>
            <w:tcW w:w="2835" w:type="dxa"/>
            <w:vAlign w:val="center"/>
          </w:tcPr>
          <w:p>
            <w:pPr>
              <w:pStyle w:val="11"/>
            </w:pPr>
            <w:r>
              <w:t>其中：财政    资金</w:t>
            </w:r>
          </w:p>
        </w:tc>
        <w:tc>
          <w:tcPr>
            <w:tcW w:w="2551" w:type="dxa"/>
            <w:vAlign w:val="center"/>
          </w:tcPr>
          <w:p>
            <w:pPr>
              <w:pStyle w:val="13"/>
            </w:pPr>
            <w:r>
              <w:t>1</w:t>
            </w:r>
            <w:r>
              <w:rPr>
                <w:rFonts w:hint="eastAsia"/>
                <w:lang w:val="en-US" w:eastAsia="zh-CN"/>
              </w:rPr>
              <w:t>50</w:t>
            </w: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区政府根据项目公司年度运营考核情况，支付项目公司当年</w:t>
            </w:r>
            <w:r>
              <w:rPr>
                <w:rFonts w:hint="eastAsia"/>
                <w:lang w:eastAsia="zh-CN"/>
              </w:rPr>
              <w:t>的</w:t>
            </w:r>
            <w:r>
              <w:t>运营补贴金额。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区政府根据项目公司年度运营考核情况，支付项目公司当年</w:t>
            </w:r>
            <w:r>
              <w:rPr>
                <w:rFonts w:hint="eastAsia"/>
                <w:lang w:eastAsia="zh-CN"/>
              </w:rPr>
              <w:t>的</w:t>
            </w:r>
            <w:r>
              <w:t>运营补贴金额。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支付运营补贴的项目公司数量</w:t>
            </w:r>
          </w:p>
        </w:tc>
        <w:tc>
          <w:tcPr>
            <w:tcW w:w="5386" w:type="dxa"/>
            <w:vAlign w:val="center"/>
          </w:tcPr>
          <w:p>
            <w:pPr>
              <w:pStyle w:val="13"/>
            </w:pPr>
            <w:r>
              <w:t>政府支付运营补贴的项目公司数量</w:t>
            </w:r>
          </w:p>
        </w:tc>
        <w:tc>
          <w:tcPr>
            <w:tcW w:w="2268" w:type="dxa"/>
            <w:vAlign w:val="center"/>
          </w:tcPr>
          <w:p>
            <w:pPr>
              <w:pStyle w:val="13"/>
            </w:pPr>
            <w:r>
              <w:t>1个</w:t>
            </w:r>
          </w:p>
        </w:tc>
        <w:tc>
          <w:tcPr>
            <w:tcW w:w="1276" w:type="dxa"/>
            <w:vAlign w:val="center"/>
          </w:tcPr>
          <w:p>
            <w:pPr>
              <w:pStyle w:val="13"/>
            </w:pPr>
            <w:r>
              <w:t>支付运营补贴的项目公司数量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考核达标率</w:t>
            </w:r>
          </w:p>
        </w:tc>
        <w:tc>
          <w:tcPr>
            <w:tcW w:w="5386" w:type="dxa"/>
            <w:vAlign w:val="center"/>
          </w:tcPr>
          <w:p>
            <w:pPr>
              <w:pStyle w:val="13"/>
            </w:pPr>
            <w:r>
              <w:t>根据鹿泉区智慧城市建设项目绩效考核管理办法计算达标率</w:t>
            </w:r>
          </w:p>
        </w:tc>
        <w:tc>
          <w:tcPr>
            <w:tcW w:w="2268" w:type="dxa"/>
            <w:vAlign w:val="center"/>
          </w:tcPr>
          <w:p>
            <w:pPr>
              <w:pStyle w:val="13"/>
            </w:pPr>
            <w:r>
              <w:t>≥90%</w:t>
            </w:r>
          </w:p>
        </w:tc>
        <w:tc>
          <w:tcPr>
            <w:tcW w:w="1276" w:type="dxa"/>
            <w:vAlign w:val="center"/>
          </w:tcPr>
          <w:p>
            <w:pPr>
              <w:pStyle w:val="13"/>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政府补贴资本方周期</w:t>
            </w:r>
          </w:p>
        </w:tc>
        <w:tc>
          <w:tcPr>
            <w:tcW w:w="5386" w:type="dxa"/>
            <w:vAlign w:val="center"/>
          </w:tcPr>
          <w:p>
            <w:pPr>
              <w:pStyle w:val="13"/>
            </w:pPr>
            <w:r>
              <w:t>政府支付的年度补贴纳入区财政预算，每年支付一次</w:t>
            </w:r>
          </w:p>
        </w:tc>
        <w:tc>
          <w:tcPr>
            <w:tcW w:w="2268" w:type="dxa"/>
            <w:vAlign w:val="center"/>
          </w:tcPr>
          <w:p>
            <w:pPr>
              <w:pStyle w:val="13"/>
            </w:pPr>
            <w:r>
              <w:t>1年</w:t>
            </w:r>
          </w:p>
        </w:tc>
        <w:tc>
          <w:tcPr>
            <w:tcW w:w="1276" w:type="dxa"/>
            <w:vAlign w:val="center"/>
          </w:tcPr>
          <w:p>
            <w:pPr>
              <w:pStyle w:val="13"/>
            </w:pPr>
            <w:r>
              <w:t>政府补贴资本方周期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可行性缺口补助的成本</w:t>
            </w:r>
          </w:p>
        </w:tc>
        <w:tc>
          <w:tcPr>
            <w:tcW w:w="5386" w:type="dxa"/>
            <w:vAlign w:val="center"/>
          </w:tcPr>
          <w:p>
            <w:pPr>
              <w:pStyle w:val="13"/>
            </w:pPr>
            <w:r>
              <w:t>2023年-2026年政府承担可行性缺口补助的成本</w:t>
            </w:r>
          </w:p>
        </w:tc>
        <w:tc>
          <w:tcPr>
            <w:tcW w:w="2268" w:type="dxa"/>
            <w:vAlign w:val="center"/>
          </w:tcPr>
          <w:p>
            <w:pPr>
              <w:pStyle w:val="13"/>
            </w:pPr>
            <w:r>
              <w:t>1200万元</w:t>
            </w:r>
          </w:p>
        </w:tc>
        <w:tc>
          <w:tcPr>
            <w:tcW w:w="1276" w:type="dxa"/>
            <w:vAlign w:val="center"/>
          </w:tcPr>
          <w:p>
            <w:pPr>
              <w:pStyle w:val="13"/>
            </w:pPr>
            <w:r>
              <w:t>可行性缺口补助的成本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项目合作期限</w:t>
            </w:r>
          </w:p>
        </w:tc>
        <w:tc>
          <w:tcPr>
            <w:tcW w:w="5386" w:type="dxa"/>
            <w:vAlign w:val="center"/>
          </w:tcPr>
          <w:p>
            <w:pPr>
              <w:pStyle w:val="13"/>
            </w:pPr>
            <w:r>
              <w:t>政府与社会资本方合作期限</w:t>
            </w:r>
          </w:p>
        </w:tc>
        <w:tc>
          <w:tcPr>
            <w:tcW w:w="2268" w:type="dxa"/>
            <w:vAlign w:val="center"/>
          </w:tcPr>
          <w:p>
            <w:pPr>
              <w:pStyle w:val="13"/>
            </w:pPr>
            <w:r>
              <w:t>18年</w:t>
            </w:r>
          </w:p>
        </w:tc>
        <w:tc>
          <w:tcPr>
            <w:tcW w:w="1276" w:type="dxa"/>
            <w:vAlign w:val="center"/>
          </w:tcPr>
          <w:p>
            <w:pPr>
              <w:pStyle w:val="13"/>
            </w:pPr>
            <w:r>
              <w:t>项目合作期限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服务对象满意度指标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、2026年智慧城市指挥中心维修维护费用绩效目标表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13011026P00150210037J</w:t>
            </w:r>
          </w:p>
        </w:tc>
        <w:tc>
          <w:tcPr>
            <w:tcW w:w="2835" w:type="dxa"/>
            <w:vAlign w:val="center"/>
          </w:tcPr>
          <w:p>
            <w:pPr>
              <w:pStyle w:val="11"/>
            </w:pPr>
            <w:r>
              <w:t>项目名称</w:t>
            </w:r>
          </w:p>
        </w:tc>
        <w:tc>
          <w:tcPr>
            <w:tcW w:w="6095" w:type="dxa"/>
            <w:gridSpan w:val="3"/>
            <w:vAlign w:val="center"/>
          </w:tcPr>
          <w:p>
            <w:pPr>
              <w:pStyle w:val="13"/>
            </w:pPr>
            <w:r>
              <w:t>2026年智慧城市指挥中心维修维护费用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对配套设施进行日常检修、维修，对智慧城市数据中心进行清洁安保等物业维护服务，确保智慧城市数据中心正常运转，提升办公效率，提高设备运行效率。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对配套设施进行日常检修、维修，对智慧城市数据中心进行清洁安保等物业维护服务，确保智慧城市数据中心</w:t>
            </w:r>
            <w:r>
              <w:rPr>
                <w:rFonts w:hint="eastAsia"/>
                <w:lang w:eastAsia="zh-CN"/>
              </w:rPr>
              <w:t>的</w:t>
            </w:r>
            <w:r>
              <w:t>正常运转，提升办公效率，提高设备运行效率。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物业、检修维修服务办公用房面积</w:t>
            </w:r>
          </w:p>
        </w:tc>
        <w:tc>
          <w:tcPr>
            <w:tcW w:w="5386" w:type="dxa"/>
            <w:vAlign w:val="center"/>
          </w:tcPr>
          <w:p>
            <w:pPr>
              <w:pStyle w:val="13"/>
            </w:pPr>
            <w:r>
              <w:t>物业安保、保洁、日常检修、维修服务办公用房面积</w:t>
            </w:r>
          </w:p>
        </w:tc>
        <w:tc>
          <w:tcPr>
            <w:tcW w:w="2268" w:type="dxa"/>
            <w:vAlign w:val="center"/>
          </w:tcPr>
          <w:p>
            <w:pPr>
              <w:pStyle w:val="13"/>
            </w:pPr>
            <w:r>
              <w:t>12000平方米</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物业、检修维修服务质量</w:t>
            </w:r>
          </w:p>
        </w:tc>
        <w:tc>
          <w:tcPr>
            <w:tcW w:w="5386" w:type="dxa"/>
            <w:vAlign w:val="center"/>
          </w:tcPr>
          <w:p>
            <w:pPr>
              <w:pStyle w:val="13"/>
            </w:pPr>
            <w:r>
              <w:t>物业安保、保洁、日常检修、维修等服务质量</w:t>
            </w:r>
          </w:p>
        </w:tc>
        <w:tc>
          <w:tcPr>
            <w:tcW w:w="2268" w:type="dxa"/>
            <w:vAlign w:val="center"/>
          </w:tcPr>
          <w:p>
            <w:pPr>
              <w:pStyle w:val="13"/>
            </w:pPr>
            <w:r>
              <w:t>不低于合同约定标准</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物业、检修维修服务合同签订期</w:t>
            </w:r>
          </w:p>
        </w:tc>
        <w:tc>
          <w:tcPr>
            <w:tcW w:w="5386" w:type="dxa"/>
            <w:vAlign w:val="center"/>
          </w:tcPr>
          <w:p>
            <w:pPr>
              <w:pStyle w:val="13"/>
            </w:pPr>
            <w:r>
              <w:t>物业安保、保洁、日常检修、维修服务合同期签订期限</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电梯维修维护服务费成本</w:t>
            </w:r>
          </w:p>
        </w:tc>
        <w:tc>
          <w:tcPr>
            <w:tcW w:w="5386" w:type="dxa"/>
            <w:vAlign w:val="center"/>
          </w:tcPr>
          <w:p>
            <w:pPr>
              <w:pStyle w:val="13"/>
            </w:pPr>
            <w:r>
              <w:t>电梯维修维护服务费成本</w:t>
            </w:r>
          </w:p>
        </w:tc>
        <w:tc>
          <w:tcPr>
            <w:tcW w:w="2268" w:type="dxa"/>
            <w:vAlign w:val="center"/>
          </w:tcPr>
          <w:p>
            <w:pPr>
              <w:pStyle w:val="13"/>
            </w:pPr>
            <w:r>
              <w:t>≤2万元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中央空调维修维护清洗成本</w:t>
            </w:r>
          </w:p>
        </w:tc>
        <w:tc>
          <w:tcPr>
            <w:tcW w:w="5386" w:type="dxa"/>
            <w:vAlign w:val="center"/>
          </w:tcPr>
          <w:p>
            <w:pPr>
              <w:pStyle w:val="13"/>
            </w:pPr>
            <w:r>
              <w:t>中央空调维修维护清洗成本</w:t>
            </w:r>
          </w:p>
        </w:tc>
        <w:tc>
          <w:tcPr>
            <w:tcW w:w="2268" w:type="dxa"/>
            <w:vAlign w:val="center"/>
          </w:tcPr>
          <w:p>
            <w:pPr>
              <w:pStyle w:val="13"/>
            </w:pPr>
            <w:r>
              <w:t>≤5万元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年度日常检修、维修服务费服务成本</w:t>
            </w:r>
          </w:p>
        </w:tc>
        <w:tc>
          <w:tcPr>
            <w:tcW w:w="5386" w:type="dxa"/>
            <w:vAlign w:val="center"/>
          </w:tcPr>
          <w:p>
            <w:pPr>
              <w:pStyle w:val="13"/>
            </w:pPr>
            <w:r>
              <w:t>年度日常检修、维修服务成本</w:t>
            </w:r>
          </w:p>
        </w:tc>
        <w:tc>
          <w:tcPr>
            <w:tcW w:w="2268" w:type="dxa"/>
            <w:vAlign w:val="center"/>
          </w:tcPr>
          <w:p>
            <w:pPr>
              <w:pStyle w:val="13"/>
            </w:pPr>
            <w:r>
              <w:t>≤5万元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年度物业保安、保洁服务成本</w:t>
            </w:r>
          </w:p>
        </w:tc>
        <w:tc>
          <w:tcPr>
            <w:tcW w:w="5386" w:type="dxa"/>
            <w:vAlign w:val="center"/>
          </w:tcPr>
          <w:p>
            <w:pPr>
              <w:pStyle w:val="13"/>
            </w:pPr>
            <w:r>
              <w:t>年度物业保安、保洁服务成本服务总成本</w:t>
            </w:r>
          </w:p>
        </w:tc>
        <w:tc>
          <w:tcPr>
            <w:tcW w:w="2268" w:type="dxa"/>
            <w:vAlign w:val="center"/>
          </w:tcPr>
          <w:p>
            <w:pPr>
              <w:pStyle w:val="13"/>
            </w:pPr>
            <w:r>
              <w:t>≤55.01万元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保障智慧城市数据中心的正常运行</w:t>
            </w:r>
          </w:p>
        </w:tc>
        <w:tc>
          <w:tcPr>
            <w:tcW w:w="5386" w:type="dxa"/>
            <w:vAlign w:val="center"/>
          </w:tcPr>
          <w:p>
            <w:pPr>
              <w:pStyle w:val="13"/>
            </w:pPr>
            <w:r>
              <w:t>提升办公环境，维持正常运转</w:t>
            </w:r>
          </w:p>
        </w:tc>
        <w:tc>
          <w:tcPr>
            <w:tcW w:w="2268" w:type="dxa"/>
            <w:vAlign w:val="center"/>
          </w:tcPr>
          <w:p>
            <w:pPr>
              <w:pStyle w:val="13"/>
            </w:pPr>
            <w:r>
              <w:t>≥24小时</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p>
          <w:p>
            <w:pPr>
              <w:pStyle w:val="13"/>
            </w:pPr>
            <w:r>
              <w:t>部门计划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、2026胜利大厦办公楼租赁费（1-4层）绩效目标表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13011026P00150210017T</w:t>
            </w:r>
          </w:p>
        </w:tc>
        <w:tc>
          <w:tcPr>
            <w:tcW w:w="2835" w:type="dxa"/>
            <w:vAlign w:val="center"/>
          </w:tcPr>
          <w:p>
            <w:pPr>
              <w:pStyle w:val="11"/>
            </w:pPr>
            <w:r>
              <w:t>项目名称</w:t>
            </w:r>
          </w:p>
        </w:tc>
        <w:tc>
          <w:tcPr>
            <w:tcW w:w="6095" w:type="dxa"/>
            <w:gridSpan w:val="3"/>
            <w:vAlign w:val="center"/>
          </w:tcPr>
          <w:p>
            <w:pPr>
              <w:pStyle w:val="13"/>
            </w:pPr>
            <w:r>
              <w:t>2026胜利大厦办公楼租赁费（1-4层）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为正常开展政务服务提供办公场所，增加办公场所面积6283.94平方米。保障机关正常运转，为市民提供便民服务，深化“放管服”改革，全民推行“最多跑一次”，提升政务服务效能。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为正常开展政务服务提供办公场所，增加办公场所面积6283.94平方米。保障机关</w:t>
            </w:r>
            <w:r>
              <w:rPr>
                <w:rFonts w:hint="eastAsia"/>
                <w:lang w:eastAsia="zh-CN"/>
              </w:rPr>
              <w:t>的</w:t>
            </w:r>
            <w:r>
              <w:t>正常运转，为市民提供便民服务，深化“放管服”改革，全民推行“最多跑一次”，提升政务服务效能。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办公场所面积</w:t>
            </w:r>
          </w:p>
        </w:tc>
        <w:tc>
          <w:tcPr>
            <w:tcW w:w="5386" w:type="dxa"/>
            <w:vAlign w:val="center"/>
          </w:tcPr>
          <w:p>
            <w:pPr>
              <w:pStyle w:val="13"/>
            </w:pPr>
            <w:r>
              <w:t>办公场所面积为6283.94平方米</w:t>
            </w:r>
          </w:p>
        </w:tc>
        <w:tc>
          <w:tcPr>
            <w:tcW w:w="2268" w:type="dxa"/>
            <w:vAlign w:val="center"/>
          </w:tcPr>
          <w:p>
            <w:pPr>
              <w:pStyle w:val="13"/>
            </w:pPr>
            <w:r>
              <w:t>≤6283.94平方米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服务窗口数量</w:t>
            </w:r>
          </w:p>
        </w:tc>
        <w:tc>
          <w:tcPr>
            <w:tcW w:w="5386" w:type="dxa"/>
            <w:vAlign w:val="center"/>
          </w:tcPr>
          <w:p>
            <w:pPr>
              <w:pStyle w:val="13"/>
            </w:pPr>
            <w:r>
              <w:t>窗口设置数量为56个</w:t>
            </w:r>
          </w:p>
        </w:tc>
        <w:tc>
          <w:tcPr>
            <w:tcW w:w="2268" w:type="dxa"/>
            <w:vAlign w:val="center"/>
          </w:tcPr>
          <w:p>
            <w:pPr>
              <w:pStyle w:val="13"/>
            </w:pPr>
            <w:r>
              <w:t>≤56个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办公楼质量安全性</w:t>
            </w:r>
          </w:p>
        </w:tc>
        <w:tc>
          <w:tcPr>
            <w:tcW w:w="5386" w:type="dxa"/>
            <w:vAlign w:val="center"/>
          </w:tcPr>
          <w:p>
            <w:pPr>
              <w:pStyle w:val="13"/>
            </w:pPr>
            <w:r>
              <w:t>办公用房内各项设施齐全，运转正常</w:t>
            </w:r>
          </w:p>
        </w:tc>
        <w:tc>
          <w:tcPr>
            <w:tcW w:w="2268" w:type="dxa"/>
            <w:vAlign w:val="center"/>
          </w:tcPr>
          <w:p>
            <w:pPr>
              <w:pStyle w:val="13"/>
            </w:pPr>
            <w:r>
              <w:t>设备齐全，运转正常</w:t>
            </w:r>
          </w:p>
        </w:tc>
        <w:tc>
          <w:tcPr>
            <w:tcW w:w="1276" w:type="dxa"/>
            <w:vAlign w:val="center"/>
          </w:tcPr>
          <w:p>
            <w:pPr>
              <w:pStyle w:val="13"/>
            </w:pPr>
            <w:r>
              <w:t>房屋验收标准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办公用房租赁合同签订时间</w:t>
            </w:r>
          </w:p>
        </w:tc>
        <w:tc>
          <w:tcPr>
            <w:tcW w:w="2268" w:type="dxa"/>
            <w:vAlign w:val="center"/>
          </w:tcPr>
          <w:p>
            <w:pPr>
              <w:pStyle w:val="13"/>
            </w:pPr>
            <w:r>
              <w:t>2025年初</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租赁费用</w:t>
            </w:r>
          </w:p>
        </w:tc>
        <w:tc>
          <w:tcPr>
            <w:tcW w:w="5386" w:type="dxa"/>
            <w:vAlign w:val="center"/>
          </w:tcPr>
          <w:p>
            <w:pPr>
              <w:pStyle w:val="13"/>
            </w:pPr>
            <w:r>
              <w:t>办公用房年度租赁费</w:t>
            </w:r>
          </w:p>
        </w:tc>
        <w:tc>
          <w:tcPr>
            <w:tcW w:w="2268" w:type="dxa"/>
            <w:vAlign w:val="center"/>
          </w:tcPr>
          <w:p>
            <w:pPr>
              <w:pStyle w:val="13"/>
            </w:pPr>
            <w:r>
              <w:t>≤100万元</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≥90人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市场主体满意度</w:t>
            </w:r>
          </w:p>
        </w:tc>
        <w:tc>
          <w:tcPr>
            <w:tcW w:w="5386" w:type="dxa"/>
            <w:vAlign w:val="center"/>
          </w:tcPr>
          <w:p>
            <w:pPr>
              <w:pStyle w:val="13"/>
            </w:pPr>
            <w:r>
              <w:t>办公用房使用人员满意程度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、2026信创项目链路带宽专线费绩效目标表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13011026P00150610004T</w:t>
            </w:r>
          </w:p>
        </w:tc>
        <w:tc>
          <w:tcPr>
            <w:tcW w:w="2835" w:type="dxa"/>
            <w:vAlign w:val="center"/>
          </w:tcPr>
          <w:p>
            <w:pPr>
              <w:pStyle w:val="11"/>
            </w:pPr>
            <w:r>
              <w:t>项目名称</w:t>
            </w:r>
          </w:p>
        </w:tc>
        <w:tc>
          <w:tcPr>
            <w:tcW w:w="6095" w:type="dxa"/>
            <w:gridSpan w:val="3"/>
            <w:vAlign w:val="center"/>
          </w:tcPr>
          <w:p>
            <w:pPr>
              <w:pStyle w:val="13"/>
            </w:pPr>
            <w:r>
              <w:t>2026信创项目链路带宽专线费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w:t>
            </w:r>
          </w:p>
        </w:tc>
        <w:tc>
          <w:tcPr>
            <w:tcW w:w="2835" w:type="dxa"/>
            <w:vAlign w:val="center"/>
          </w:tcPr>
          <w:p>
            <w:pPr>
              <w:pStyle w:val="11"/>
            </w:pPr>
            <w:r>
              <w:t>其中：财政    资金</w:t>
            </w:r>
          </w:p>
        </w:tc>
        <w:tc>
          <w:tcPr>
            <w:tcW w:w="2551" w:type="dxa"/>
            <w:vAlign w:val="center"/>
          </w:tcPr>
          <w:p>
            <w:pPr>
              <w:pStyle w:val="13"/>
            </w:pPr>
            <w:r>
              <w:t>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依托我局机房建设信创桌面云系统，保障信创桌面云系统链路稳定。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依托我局机房建设信创桌面云系统，保障信创桌面云系统链路</w:t>
            </w:r>
            <w:r>
              <w:rPr>
                <w:rFonts w:hint="eastAsia"/>
                <w:lang w:eastAsia="zh-CN"/>
              </w:rPr>
              <w:t>的</w:t>
            </w:r>
            <w:r>
              <w:t>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项目链路带宽专线数量</w:t>
            </w:r>
          </w:p>
        </w:tc>
        <w:tc>
          <w:tcPr>
            <w:tcW w:w="5386" w:type="dxa"/>
            <w:vAlign w:val="center"/>
          </w:tcPr>
          <w:p>
            <w:pPr>
              <w:pStyle w:val="13"/>
            </w:pPr>
            <w:r>
              <w:t>项目链路带宽专线数量</w:t>
            </w:r>
          </w:p>
        </w:tc>
        <w:tc>
          <w:tcPr>
            <w:tcW w:w="2268" w:type="dxa"/>
            <w:vAlign w:val="center"/>
          </w:tcPr>
          <w:p>
            <w:pPr>
              <w:pStyle w:val="13"/>
            </w:pPr>
            <w:r>
              <w:t>4条</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项目链路带宽专线故障率</w:t>
            </w:r>
          </w:p>
        </w:tc>
        <w:tc>
          <w:tcPr>
            <w:tcW w:w="5386" w:type="dxa"/>
            <w:vAlign w:val="center"/>
          </w:tcPr>
          <w:p>
            <w:pPr>
              <w:pStyle w:val="13"/>
            </w:pPr>
            <w:r>
              <w:t>项目链路带宽专线故障率=项目链路带宽专线出故障时间/总运行时间*100%</w:t>
            </w:r>
          </w:p>
        </w:tc>
        <w:tc>
          <w:tcPr>
            <w:tcW w:w="2268" w:type="dxa"/>
            <w:vAlign w:val="center"/>
          </w:tcPr>
          <w:p>
            <w:pPr>
              <w:pStyle w:val="13"/>
            </w:pPr>
            <w:r>
              <w:t>≤95%</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项目链路带宽专线使用时间</w:t>
            </w:r>
          </w:p>
        </w:tc>
        <w:tc>
          <w:tcPr>
            <w:tcW w:w="5386" w:type="dxa"/>
            <w:vAlign w:val="center"/>
          </w:tcPr>
          <w:p>
            <w:pPr>
              <w:pStyle w:val="13"/>
            </w:pPr>
            <w:r>
              <w:t>项目链路带宽专线使用时间</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项目链路带宽专线使用成本</w:t>
            </w:r>
          </w:p>
        </w:tc>
        <w:tc>
          <w:tcPr>
            <w:tcW w:w="5386" w:type="dxa"/>
            <w:vAlign w:val="center"/>
          </w:tcPr>
          <w:p>
            <w:pPr>
              <w:pStyle w:val="13"/>
            </w:pPr>
            <w:r>
              <w:t>项目链路带宽专线使用成本</w:t>
            </w:r>
          </w:p>
        </w:tc>
        <w:tc>
          <w:tcPr>
            <w:tcW w:w="2268" w:type="dxa"/>
            <w:vAlign w:val="center"/>
          </w:tcPr>
          <w:p>
            <w:pPr>
              <w:pStyle w:val="13"/>
            </w:pPr>
            <w:r>
              <w:t>119.6万元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项目链路带宽专线运转时长</w:t>
            </w:r>
          </w:p>
        </w:tc>
        <w:tc>
          <w:tcPr>
            <w:tcW w:w="5386" w:type="dxa"/>
            <w:vAlign w:val="center"/>
          </w:tcPr>
          <w:p>
            <w:pPr>
              <w:pStyle w:val="13"/>
            </w:pPr>
            <w:r>
              <w:t>保障项目链路带宽专线正常运转</w:t>
            </w:r>
          </w:p>
        </w:tc>
        <w:tc>
          <w:tcPr>
            <w:tcW w:w="2268" w:type="dxa"/>
            <w:vAlign w:val="center"/>
          </w:tcPr>
          <w:p>
            <w:pPr>
              <w:pStyle w:val="13"/>
            </w:pPr>
            <w:r>
              <w:t>24小时</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、2026重点项目重大事项督查系统（督考一体数智决策指挥调度平台系统）绩效目标表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13011026P001502100238</w:t>
            </w:r>
          </w:p>
        </w:tc>
        <w:tc>
          <w:tcPr>
            <w:tcW w:w="2835" w:type="dxa"/>
            <w:vAlign w:val="center"/>
          </w:tcPr>
          <w:p>
            <w:pPr>
              <w:pStyle w:val="11"/>
            </w:pPr>
            <w:r>
              <w:t>项目名称</w:t>
            </w:r>
          </w:p>
        </w:tc>
        <w:tc>
          <w:tcPr>
            <w:tcW w:w="6095" w:type="dxa"/>
            <w:gridSpan w:val="3"/>
            <w:vAlign w:val="center"/>
          </w:tcPr>
          <w:p>
            <w:pPr>
              <w:pStyle w:val="13"/>
            </w:pPr>
            <w:r>
              <w:t>2026重点项目重大事项督查系统（督考一体数智决策指挥调度平台系统）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搭建党政机关“数字治理 智慧政务”管理信息平台，建设5套管理系统，促进政府重大决策部署、重大项目工作高效推进。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搭建党政机关“数字治理 智慧政务”管理信息平台，建设5套管理系统，促进政府</w:t>
            </w:r>
            <w:r>
              <w:rPr>
                <w:rFonts w:hint="eastAsia"/>
                <w:lang w:eastAsia="zh-CN"/>
              </w:rPr>
              <w:t>的</w:t>
            </w:r>
            <w:r>
              <w:t>重大决策部署、重大项目工作高效推进。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系统建设数量</w:t>
            </w:r>
          </w:p>
        </w:tc>
        <w:tc>
          <w:tcPr>
            <w:tcW w:w="5386" w:type="dxa"/>
            <w:vAlign w:val="center"/>
          </w:tcPr>
          <w:p>
            <w:pPr>
              <w:pStyle w:val="13"/>
            </w:pPr>
            <w:r>
              <w:t>项目系统建设数量</w:t>
            </w:r>
          </w:p>
        </w:tc>
        <w:tc>
          <w:tcPr>
            <w:tcW w:w="2268" w:type="dxa"/>
            <w:vAlign w:val="center"/>
          </w:tcPr>
          <w:p>
            <w:pPr>
              <w:pStyle w:val="13"/>
            </w:pPr>
            <w:r>
              <w:t>5套</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系统验收合格率</w:t>
            </w:r>
          </w:p>
        </w:tc>
        <w:tc>
          <w:tcPr>
            <w:tcW w:w="5386" w:type="dxa"/>
            <w:vAlign w:val="center"/>
          </w:tcPr>
          <w:p>
            <w:pPr>
              <w:pStyle w:val="13"/>
            </w:pPr>
            <w:r>
              <w:t>系统验收合格率=系统验收合格数量/系统总数量*100%</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系统建设时间</w:t>
            </w:r>
          </w:p>
        </w:tc>
        <w:tc>
          <w:tcPr>
            <w:tcW w:w="5386" w:type="dxa"/>
            <w:vAlign w:val="center"/>
          </w:tcPr>
          <w:p>
            <w:pPr>
              <w:pStyle w:val="13"/>
            </w:pPr>
            <w:r>
              <w:t>项目系统建设周期</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系统建设成本</w:t>
            </w:r>
          </w:p>
        </w:tc>
        <w:tc>
          <w:tcPr>
            <w:tcW w:w="5386" w:type="dxa"/>
            <w:vAlign w:val="center"/>
          </w:tcPr>
          <w:p>
            <w:pPr>
              <w:pStyle w:val="13"/>
            </w:pPr>
            <w:r>
              <w:t>系统建设部分成本</w:t>
            </w:r>
          </w:p>
        </w:tc>
        <w:tc>
          <w:tcPr>
            <w:tcW w:w="2268" w:type="dxa"/>
            <w:vAlign w:val="center"/>
          </w:tcPr>
          <w:p>
            <w:pPr>
              <w:pStyle w:val="13"/>
            </w:pPr>
            <w:r>
              <w:t>≤159.41万元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系统安全等级保护成本</w:t>
            </w:r>
          </w:p>
        </w:tc>
        <w:tc>
          <w:tcPr>
            <w:tcW w:w="5386" w:type="dxa"/>
            <w:vAlign w:val="center"/>
          </w:tcPr>
          <w:p>
            <w:pPr>
              <w:pStyle w:val="13"/>
            </w:pPr>
            <w:r>
              <w:t>系统安全等级保护部分成本</w:t>
            </w:r>
          </w:p>
        </w:tc>
        <w:tc>
          <w:tcPr>
            <w:tcW w:w="2268" w:type="dxa"/>
            <w:vAlign w:val="center"/>
          </w:tcPr>
          <w:p>
            <w:pPr>
              <w:pStyle w:val="13"/>
            </w:pPr>
            <w:r>
              <w:t>≤2.33万元</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系统正常运转</w:t>
            </w:r>
          </w:p>
        </w:tc>
        <w:tc>
          <w:tcPr>
            <w:tcW w:w="5386" w:type="dxa"/>
            <w:vAlign w:val="center"/>
          </w:tcPr>
          <w:p>
            <w:pPr>
              <w:pStyle w:val="13"/>
            </w:pPr>
            <w:r>
              <w:t>保障系统正常运转</w:t>
            </w:r>
          </w:p>
        </w:tc>
        <w:tc>
          <w:tcPr>
            <w:tcW w:w="2268" w:type="dxa"/>
            <w:vAlign w:val="center"/>
          </w:tcPr>
          <w:p>
            <w:pPr>
              <w:pStyle w:val="13"/>
            </w:pPr>
            <w:r>
              <w:t>24小时</w:t>
            </w:r>
          </w:p>
        </w:tc>
        <w:tc>
          <w:tcPr>
            <w:tcW w:w="1276" w:type="dxa"/>
            <w:vAlign w:val="center"/>
          </w:tcPr>
          <w:p>
            <w:pPr>
              <w:pStyle w:val="13"/>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、2026专项公用经费绩效目标表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13011026P00150310016W</w:t>
            </w:r>
          </w:p>
        </w:tc>
        <w:tc>
          <w:tcPr>
            <w:tcW w:w="2835" w:type="dxa"/>
            <w:vAlign w:val="center"/>
          </w:tcPr>
          <w:p>
            <w:pPr>
              <w:pStyle w:val="11"/>
            </w:pPr>
            <w:r>
              <w:t>项目名称</w:t>
            </w:r>
          </w:p>
        </w:tc>
        <w:tc>
          <w:tcPr>
            <w:tcW w:w="6095" w:type="dxa"/>
            <w:gridSpan w:val="3"/>
            <w:vAlign w:val="center"/>
          </w:tcPr>
          <w:p>
            <w:pPr>
              <w:pStyle w:val="13"/>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rPr>
                <w:rFonts w:hint="eastAsia"/>
                <w:lang w:val="en-US" w:eastAsia="zh-CN"/>
              </w:rPr>
              <w:t>80.</w:t>
            </w:r>
            <w:r>
              <w:t>00</w:t>
            </w:r>
          </w:p>
        </w:tc>
        <w:tc>
          <w:tcPr>
            <w:tcW w:w="2835" w:type="dxa"/>
            <w:vAlign w:val="center"/>
          </w:tcPr>
          <w:p>
            <w:pPr>
              <w:pStyle w:val="11"/>
            </w:pPr>
            <w:r>
              <w:t>其中：财政    资金</w:t>
            </w:r>
          </w:p>
        </w:tc>
        <w:tc>
          <w:tcPr>
            <w:tcW w:w="2551" w:type="dxa"/>
            <w:vAlign w:val="center"/>
          </w:tcPr>
          <w:p>
            <w:pPr>
              <w:pStyle w:val="13"/>
            </w:pPr>
            <w:r>
              <w:rPr>
                <w:rFonts w:hint="eastAsia"/>
                <w:lang w:val="en-US" w:eastAsia="zh-CN"/>
              </w:rPr>
              <w:t>8</w:t>
            </w:r>
            <w:r>
              <w:t>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根据区委、区政府安排，行政审批局组建了鹿泉区市民服务中心，租赁胜利大厦办公，入住窗口单位为50个单位，工作人员数量为195人，需要增加经费，保障机关正常运转，提高审批、办结效率，缩短办结</w:t>
            </w:r>
            <w:r>
              <w:rPr>
                <w:rFonts w:hint="eastAsia"/>
                <w:lang w:eastAsia="zh-CN"/>
              </w:rPr>
              <w:t>的</w:t>
            </w:r>
            <w:r>
              <w:t>时限，提高群众和市场主体的满意度。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bookmarkStart w:id="20" w:name="_GoBack"/>
            <w:bookmarkEnd w:id="20"/>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工作人员数量</w:t>
            </w:r>
          </w:p>
        </w:tc>
        <w:tc>
          <w:tcPr>
            <w:tcW w:w="5386" w:type="dxa"/>
            <w:vAlign w:val="center"/>
          </w:tcPr>
          <w:p>
            <w:pPr>
              <w:pStyle w:val="13"/>
            </w:pPr>
            <w:r>
              <w:t>工作人员数量</w:t>
            </w:r>
          </w:p>
        </w:tc>
        <w:tc>
          <w:tcPr>
            <w:tcW w:w="2268" w:type="dxa"/>
            <w:vAlign w:val="center"/>
          </w:tcPr>
          <w:p>
            <w:pPr>
              <w:pStyle w:val="13"/>
            </w:pPr>
            <w:r>
              <w:t>≥150个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经费保障及时率</w:t>
            </w:r>
          </w:p>
        </w:tc>
        <w:tc>
          <w:tcPr>
            <w:tcW w:w="5386" w:type="dxa"/>
            <w:vAlign w:val="center"/>
          </w:tcPr>
          <w:p>
            <w:pPr>
              <w:pStyle w:val="13"/>
            </w:pPr>
            <w:r>
              <w:t>经费保障的及时率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办公费、水电费、邮电费等经费</w:t>
            </w:r>
          </w:p>
        </w:tc>
        <w:tc>
          <w:tcPr>
            <w:tcW w:w="2268" w:type="dxa"/>
            <w:vAlign w:val="center"/>
          </w:tcPr>
          <w:p>
            <w:pPr>
              <w:pStyle w:val="13"/>
            </w:pPr>
            <w:r>
              <w:t>按照统一规定执行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经费保障</w:t>
            </w:r>
          </w:p>
        </w:tc>
        <w:tc>
          <w:tcPr>
            <w:tcW w:w="5386" w:type="dxa"/>
            <w:vAlign w:val="center"/>
          </w:tcPr>
          <w:p>
            <w:pPr>
              <w:pStyle w:val="13"/>
            </w:pPr>
            <w:r>
              <w:t>经费保障及时性</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单位工作人员满意和比较满意人数占总人数的比例</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514.73</w:t>
            </w:r>
          </w:p>
        </w:tc>
        <w:tc>
          <w:tcPr>
            <w:tcW w:w="964" w:type="dxa"/>
            <w:vAlign w:val="center"/>
          </w:tcPr>
          <w:p>
            <w:pPr>
              <w:pStyle w:val="16"/>
            </w:pPr>
            <w:r>
              <w:t>514.73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石家庄市鹿泉区数据和政务服务局本级小计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514.73</w:t>
            </w:r>
          </w:p>
        </w:tc>
        <w:tc>
          <w:tcPr>
            <w:tcW w:w="964" w:type="dxa"/>
            <w:vAlign w:val="center"/>
          </w:tcPr>
          <w:p>
            <w:pPr>
              <w:pStyle w:val="16"/>
            </w:pPr>
            <w:r>
              <w:t>514.73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363.64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0.35</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363.64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0.26</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363.64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40</w:t>
            </w:r>
          </w:p>
        </w:tc>
        <w:tc>
          <w:tcPr>
            <w:tcW w:w="850" w:type="dxa"/>
            <w:vAlign w:val="center"/>
          </w:tcPr>
          <w:p>
            <w:pPr>
              <w:pStyle w:val="12"/>
            </w:pPr>
            <w:r>
              <w:t>0.03</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2100</w:t>
            </w:r>
          </w:p>
        </w:tc>
        <w:tc>
          <w:tcPr>
            <w:tcW w:w="850" w:type="dxa"/>
            <w:vAlign w:val="center"/>
          </w:tcPr>
          <w:p>
            <w:pPr>
              <w:pStyle w:val="12"/>
            </w:pPr>
            <w:r>
              <w:t>0.00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2025年-2026年乡镇以上党政机关国产计算机购置费</w:t>
            </w:r>
          </w:p>
        </w:tc>
        <w:tc>
          <w:tcPr>
            <w:tcW w:w="964" w:type="dxa"/>
            <w:vAlign w:val="center"/>
          </w:tcPr>
          <w:p>
            <w:pPr>
              <w:pStyle w:val="12"/>
            </w:pPr>
            <w:r>
              <w:t>250.00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478</w:t>
            </w:r>
          </w:p>
        </w:tc>
        <w:tc>
          <w:tcPr>
            <w:tcW w:w="850" w:type="dxa"/>
            <w:vAlign w:val="center"/>
          </w:tcPr>
          <w:p>
            <w:pPr>
              <w:pStyle w:val="12"/>
            </w:pPr>
            <w:r>
              <w:t>0.50</w:t>
            </w:r>
          </w:p>
        </w:tc>
        <w:tc>
          <w:tcPr>
            <w:tcW w:w="964" w:type="dxa"/>
            <w:vAlign w:val="center"/>
          </w:tcPr>
          <w:p>
            <w:pPr>
              <w:pStyle w:val="12"/>
            </w:pPr>
            <w:r>
              <w:t>239.00</w:t>
            </w:r>
          </w:p>
        </w:tc>
        <w:tc>
          <w:tcPr>
            <w:tcW w:w="964" w:type="dxa"/>
            <w:vAlign w:val="center"/>
          </w:tcPr>
          <w:p>
            <w:pPr>
              <w:pStyle w:val="12"/>
            </w:pPr>
            <w:r>
              <w:t>239.00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2025年-2027年乡镇以上党政机关国产计算机购置费（二期）</w:t>
            </w:r>
          </w:p>
        </w:tc>
        <w:tc>
          <w:tcPr>
            <w:tcW w:w="964" w:type="dxa"/>
            <w:vAlign w:val="center"/>
          </w:tcPr>
          <w:p>
            <w:pPr>
              <w:pStyle w:val="12"/>
            </w:pPr>
            <w:r>
              <w:t>250.00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476</w:t>
            </w:r>
          </w:p>
        </w:tc>
        <w:tc>
          <w:tcPr>
            <w:tcW w:w="850" w:type="dxa"/>
            <w:vAlign w:val="center"/>
          </w:tcPr>
          <w:p>
            <w:pPr>
              <w:pStyle w:val="12"/>
            </w:pPr>
            <w:r>
              <w:t>0.50</w:t>
            </w:r>
          </w:p>
        </w:tc>
        <w:tc>
          <w:tcPr>
            <w:tcW w:w="964" w:type="dxa"/>
            <w:vAlign w:val="center"/>
          </w:tcPr>
          <w:p>
            <w:pPr>
              <w:pStyle w:val="12"/>
            </w:pPr>
            <w:r>
              <w:t>238.00</w:t>
            </w:r>
          </w:p>
        </w:tc>
        <w:tc>
          <w:tcPr>
            <w:tcW w:w="964" w:type="dxa"/>
            <w:vAlign w:val="center"/>
          </w:tcPr>
          <w:p>
            <w:pPr>
              <w:pStyle w:val="12"/>
            </w:pPr>
            <w:r>
              <w:t>238.00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2026年委托投资咨询评估费用</w:t>
            </w:r>
          </w:p>
        </w:tc>
        <w:tc>
          <w:tcPr>
            <w:tcW w:w="964" w:type="dxa"/>
            <w:vAlign w:val="center"/>
          </w:tcPr>
          <w:p>
            <w:pPr>
              <w:pStyle w:val="12"/>
            </w:pPr>
            <w:r>
              <w:t>20.00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400</w:t>
            </w:r>
          </w:p>
        </w:tc>
        <w:tc>
          <w:tcPr>
            <w:tcW w:w="850" w:type="dxa"/>
            <w:vAlign w:val="center"/>
          </w:tcPr>
          <w:p>
            <w:pPr>
              <w:pStyle w:val="12"/>
            </w:pPr>
            <w:r>
              <w:t>0.05</w:t>
            </w:r>
          </w:p>
        </w:tc>
        <w:tc>
          <w:tcPr>
            <w:tcW w:w="964" w:type="dxa"/>
            <w:vAlign w:val="center"/>
          </w:tcPr>
          <w:p>
            <w:pPr>
              <w:pStyle w:val="12"/>
            </w:pPr>
            <w:r>
              <w:t>20.00</w:t>
            </w:r>
          </w:p>
        </w:tc>
        <w:tc>
          <w:tcPr>
            <w:tcW w:w="964" w:type="dxa"/>
            <w:vAlign w:val="center"/>
          </w:tcPr>
          <w:p>
            <w:pPr>
              <w:pStyle w:val="12"/>
            </w:pPr>
            <w:r>
              <w:t>20.00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万元</w:t>
            </w:r>
          </w:p>
        </w:tc>
        <w:tc>
          <w:tcPr>
            <w:tcW w:w="850" w:type="dxa"/>
            <w:vAlign w:val="center"/>
          </w:tcPr>
          <w:p>
            <w:pPr>
              <w:pStyle w:val="12"/>
            </w:pPr>
            <w:r>
              <w:t>3</w:t>
            </w:r>
          </w:p>
        </w:tc>
        <w:tc>
          <w:tcPr>
            <w:tcW w:w="850" w:type="dxa"/>
            <w:vAlign w:val="center"/>
          </w:tcPr>
          <w:p>
            <w:pPr>
              <w:pStyle w:val="12"/>
            </w:pPr>
            <w:r>
              <w:t>0.60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机柜</w:t>
            </w:r>
          </w:p>
        </w:tc>
        <w:tc>
          <w:tcPr>
            <w:tcW w:w="1134" w:type="dxa"/>
            <w:vAlign w:val="center"/>
          </w:tcPr>
          <w:p>
            <w:pPr>
              <w:pStyle w:val="13"/>
            </w:pPr>
            <w:r>
              <w:t>A02010601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执法记录仪</w:t>
            </w:r>
          </w:p>
        </w:tc>
        <w:tc>
          <w:tcPr>
            <w:tcW w:w="1134" w:type="dxa"/>
            <w:vAlign w:val="center"/>
          </w:tcPr>
          <w:p>
            <w:pPr>
              <w:pStyle w:val="13"/>
            </w:pPr>
            <w:r>
              <w:t>A02020600</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高拍仪</w:t>
            </w:r>
          </w:p>
        </w:tc>
        <w:tc>
          <w:tcPr>
            <w:tcW w:w="1134" w:type="dxa"/>
            <w:vAlign w:val="center"/>
          </w:tcPr>
          <w:p>
            <w:pPr>
              <w:pStyle w:val="13"/>
            </w:pPr>
            <w:r>
              <w:t>A02021120</w:t>
            </w:r>
          </w:p>
        </w:tc>
        <w:tc>
          <w:tcPr>
            <w:tcW w:w="709" w:type="dxa"/>
            <w:vAlign w:val="center"/>
          </w:tcPr>
          <w:p>
            <w:pPr>
              <w:pStyle w:val="14"/>
            </w:pPr>
            <w:r>
              <w:t>万元</w:t>
            </w:r>
          </w:p>
        </w:tc>
        <w:tc>
          <w:tcPr>
            <w:tcW w:w="850" w:type="dxa"/>
            <w:vAlign w:val="center"/>
          </w:tcPr>
          <w:p>
            <w:pPr>
              <w:pStyle w:val="12"/>
            </w:pPr>
            <w:r>
              <w:t>10</w:t>
            </w:r>
          </w:p>
        </w:tc>
        <w:tc>
          <w:tcPr>
            <w:tcW w:w="850" w:type="dxa"/>
            <w:vAlign w:val="center"/>
          </w:tcPr>
          <w:p>
            <w:pPr>
              <w:pStyle w:val="12"/>
            </w:pPr>
            <w:r>
              <w:t>0.20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万元</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文件(图文)传真机</w:t>
            </w:r>
          </w:p>
        </w:tc>
        <w:tc>
          <w:tcPr>
            <w:tcW w:w="1134" w:type="dxa"/>
            <w:vAlign w:val="center"/>
          </w:tcPr>
          <w:p>
            <w:pPr>
              <w:pStyle w:val="13"/>
            </w:pPr>
            <w:r>
              <w:t>A02081001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录像机</w:t>
            </w:r>
          </w:p>
        </w:tc>
        <w:tc>
          <w:tcPr>
            <w:tcW w:w="1134" w:type="dxa"/>
            <w:vAlign w:val="center"/>
          </w:tcPr>
          <w:p>
            <w:pPr>
              <w:pStyle w:val="13"/>
            </w:pPr>
            <w:r>
              <w:t>A02091101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通用摄像机</w:t>
            </w:r>
          </w:p>
        </w:tc>
        <w:tc>
          <w:tcPr>
            <w:tcW w:w="1134" w:type="dxa"/>
            <w:vAlign w:val="center"/>
          </w:tcPr>
          <w:p>
            <w:pPr>
              <w:pStyle w:val="13"/>
            </w:pPr>
            <w:r>
              <w:t>A02091102</w:t>
            </w:r>
          </w:p>
        </w:tc>
        <w:tc>
          <w:tcPr>
            <w:tcW w:w="709" w:type="dxa"/>
            <w:vAlign w:val="center"/>
          </w:tcPr>
          <w:p>
            <w:pPr>
              <w:pStyle w:val="14"/>
            </w:pPr>
            <w:r>
              <w:t>万元</w:t>
            </w:r>
          </w:p>
        </w:tc>
        <w:tc>
          <w:tcPr>
            <w:tcW w:w="850" w:type="dxa"/>
            <w:vAlign w:val="center"/>
          </w:tcPr>
          <w:p>
            <w:pPr>
              <w:pStyle w:val="12"/>
            </w:pPr>
            <w:r>
              <w:t>4</w:t>
            </w:r>
          </w:p>
        </w:tc>
        <w:tc>
          <w:tcPr>
            <w:tcW w:w="850" w:type="dxa"/>
            <w:vAlign w:val="center"/>
          </w:tcPr>
          <w:p>
            <w:pPr>
              <w:pStyle w:val="12"/>
            </w:pPr>
            <w:r>
              <w:t>0.20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2026专项公用经费</w:t>
            </w:r>
          </w:p>
        </w:tc>
        <w:tc>
          <w:tcPr>
            <w:tcW w:w="964" w:type="dxa"/>
            <w:vAlign w:val="center"/>
          </w:tcPr>
          <w:p>
            <w:pPr>
              <w:pStyle w:val="12"/>
            </w:pPr>
            <w:r>
              <w:t>70.00</w:t>
            </w:r>
          </w:p>
        </w:tc>
        <w:tc>
          <w:tcPr>
            <w:tcW w:w="1134" w:type="dxa"/>
            <w:vAlign w:val="center"/>
          </w:tcPr>
          <w:p>
            <w:pPr>
              <w:pStyle w:val="13"/>
            </w:pPr>
            <w:r>
              <w:t>其他椅凳类</w:t>
            </w:r>
          </w:p>
        </w:tc>
        <w:tc>
          <w:tcPr>
            <w:tcW w:w="1134" w:type="dxa"/>
            <w:vAlign w:val="center"/>
          </w:tcPr>
          <w:p>
            <w:pPr>
              <w:pStyle w:val="13"/>
            </w:pPr>
            <w:r>
              <w:t>A05010399</w:t>
            </w:r>
          </w:p>
        </w:tc>
        <w:tc>
          <w:tcPr>
            <w:tcW w:w="709" w:type="dxa"/>
            <w:vAlign w:val="center"/>
          </w:tcPr>
          <w:p>
            <w:pPr>
              <w:pStyle w:val="14"/>
            </w:pPr>
            <w:r>
              <w:t>万元</w:t>
            </w:r>
          </w:p>
        </w:tc>
        <w:tc>
          <w:tcPr>
            <w:tcW w:w="850" w:type="dxa"/>
            <w:vAlign w:val="center"/>
          </w:tcPr>
          <w:p>
            <w:pPr>
              <w:pStyle w:val="12"/>
            </w:pPr>
            <w:r>
              <w:t>136</w:t>
            </w:r>
          </w:p>
        </w:tc>
        <w:tc>
          <w:tcPr>
            <w:tcW w:w="850" w:type="dxa"/>
            <w:vAlign w:val="center"/>
          </w:tcPr>
          <w:p>
            <w:pPr>
              <w:pStyle w:val="12"/>
            </w:pPr>
            <w:r>
              <w:t>0.03</w:t>
            </w:r>
          </w:p>
        </w:tc>
        <w:tc>
          <w:tcPr>
            <w:tcW w:w="964" w:type="dxa"/>
            <w:vAlign w:val="center"/>
          </w:tcPr>
          <w:p>
            <w:pPr>
              <w:pStyle w:val="12"/>
            </w:pPr>
            <w:r>
              <w:t>3.67</w:t>
            </w:r>
          </w:p>
        </w:tc>
        <w:tc>
          <w:tcPr>
            <w:tcW w:w="964" w:type="dxa"/>
            <w:vAlign w:val="center"/>
          </w:tcPr>
          <w:p>
            <w:pPr>
              <w:pStyle w:val="12"/>
            </w:pPr>
            <w:r>
              <w:t>3.67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石家庄市鹿泉区数据和政务服务局（含所属单位）上年末固定资产金额为656.60万元（详见下表）。本年度拟购置固定资产总额为500.00万元，已按要求列入政府采购预算，详见政府采购预算表。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320石家庄市鹿泉区数据和政务服务局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18</w:t>
            </w:r>
          </w:p>
        </w:tc>
        <w:tc>
          <w:tcPr>
            <w:tcW w:w="2835" w:type="dxa"/>
            <w:vAlign w:val="center"/>
          </w:tcPr>
          <w:p>
            <w:pPr>
              <w:pStyle w:val="12"/>
            </w:pPr>
            <w:r>
              <w:t>644.05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AB640E"/>
    <w:multiLevelType w:val="singleLevel"/>
    <w:tmpl w:val="FEAB640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3C99"/>
    <w:rsid w:val="08B1288B"/>
    <w:rsid w:val="0E97126A"/>
    <w:rsid w:val="12255C35"/>
    <w:rsid w:val="1A981FE2"/>
    <w:rsid w:val="1B6E5374"/>
    <w:rsid w:val="1FB571AA"/>
    <w:rsid w:val="259324EF"/>
    <w:rsid w:val="3EB416E1"/>
    <w:rsid w:val="4DF57B76"/>
    <w:rsid w:val="4FF2207A"/>
    <w:rsid w:val="554140F8"/>
    <w:rsid w:val="57FC548C"/>
    <w:rsid w:val="5E9B4F10"/>
    <w:rsid w:val="74AB71E4"/>
    <w:rsid w:val="75EB0147"/>
    <w:rsid w:val="7FF25F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48</Pages>
  <TotalTime>182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2026-03-10T08:57:00Z</dcterms:created>
  <dc:creator>Administrator</dc:creator>
  <cp:lastModifiedBy>Administrator</cp:lastModifiedBy>
  <dcterms:modified xsi:type="dcterms:W3CDTF">2026-03-13T01:19:42Z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F19AF18E91B24794BBC372AA0303C172</vt:lpwstr>
  </property>
</Properties>
</file>