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一、石家庄市鹿泉区住房和城乡建设局本级收支预算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二、石家庄市鹿泉区建筑业服务中心收支预算</w:t>
      </w:r>
      <w:r>
        <w:tab/>
      </w:r>
      <w:r>
        <w:fldChar w:fldCharType="begin"/>
      </w:r>
      <w:r>
        <w:instrText xml:space="preserve">PAGEREF _Toc_4_4_0000000002 \h</w:instrText>
      </w:r>
      <w:r>
        <w:fldChar w:fldCharType="separate"/>
      </w:r>
      <w:r>
        <w:t>96</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三、石家庄市鹿泉区房屋征收中心收支预算</w:t>
      </w:r>
      <w:r>
        <w:tab/>
      </w:r>
      <w:r>
        <w:fldChar w:fldCharType="begin"/>
      </w:r>
      <w:r>
        <w:instrText xml:space="preserve">PAGEREF _Toc_4_4_0000000003 \h</w:instrText>
      </w:r>
      <w:r>
        <w:fldChar w:fldCharType="separate"/>
      </w:r>
      <w:r>
        <w:t>119</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四、石家庄市鹿泉区住房和建设监管综合服务中心收支预算</w:t>
      </w:r>
      <w:r>
        <w:tab/>
      </w:r>
      <w:r>
        <w:fldChar w:fldCharType="begin"/>
      </w:r>
      <w:r>
        <w:instrText xml:space="preserve">PAGEREF _Toc_4_4_0000000004 \h</w:instrText>
      </w:r>
      <w:r>
        <w:fldChar w:fldCharType="separate"/>
      </w:r>
      <w:r>
        <w:t>143</w:t>
      </w:r>
      <w:r>
        <w:fldChar w:fldCharType="end"/>
      </w:r>
      <w:r>
        <w:fldChar w:fldCharType="end"/>
      </w:r>
    </w:p>
    <w:p>
      <w:pPr>
        <w:pStyle w:val="2"/>
        <w:tabs>
          <w:tab w:val="right" w:leader="dot" w:pos="14562"/>
        </w:tabs>
      </w:pPr>
      <w:r>
        <w:fldChar w:fldCharType="begin"/>
      </w:r>
      <w:r>
        <w:instrText xml:space="preserve">HYPERLINK \l _Toc_4_4_0000000005</w:instrText>
      </w:r>
      <w:r>
        <w:fldChar w:fldCharType="separate"/>
      </w:r>
      <w:r>
        <w:rPr>
          <w:b w:val="0"/>
        </w:rPr>
        <w:t>五、石家庄市鹿泉区城市建设服务中心收支预算</w:t>
      </w:r>
      <w:r>
        <w:tab/>
      </w:r>
      <w:r>
        <w:fldChar w:fldCharType="begin"/>
      </w:r>
      <w:r>
        <w:instrText xml:space="preserve">PAGEREF _Toc_4_4_0000000005 \h</w:instrText>
      </w:r>
      <w:r>
        <w:fldChar w:fldCharType="separate"/>
      </w:r>
      <w:r>
        <w:t>167</w:t>
      </w:r>
      <w:r>
        <w:fldChar w:fldCharType="end"/>
      </w:r>
      <w:r>
        <w:fldChar w:fldCharType="end"/>
      </w:r>
    </w:p>
    <w:p>
      <w:pPr>
        <w:pStyle w:val="2"/>
        <w:tabs>
          <w:tab w:val="right" w:leader="dot" w:pos="14562"/>
        </w:tabs>
      </w:pPr>
      <w:r>
        <w:fldChar w:fldCharType="begin"/>
      </w:r>
      <w:r>
        <w:instrText xml:space="preserve">HYPERLINK \l _Toc_4_4_0000000006</w:instrText>
      </w:r>
      <w:r>
        <w:fldChar w:fldCharType="separate"/>
      </w:r>
      <w:r>
        <w:rPr>
          <w:b w:val="0"/>
        </w:rPr>
        <w:t>六、石家庄市鹿泉区住房保障和房地产服务中心收支预算</w:t>
      </w:r>
      <w:r>
        <w:tab/>
      </w:r>
      <w:r>
        <w:fldChar w:fldCharType="begin"/>
      </w:r>
      <w:r>
        <w:instrText xml:space="preserve">PAGEREF _Toc_4_4_0000000006 \h</w:instrText>
      </w:r>
      <w:r>
        <w:fldChar w:fldCharType="separate"/>
      </w:r>
      <w:r>
        <w:t>192</w:t>
      </w:r>
      <w:r>
        <w:fldChar w:fldCharType="end"/>
      </w:r>
      <w:r>
        <w:fldChar w:fldCharType="end"/>
      </w:r>
    </w:p>
    <w:p>
      <w:pPr>
        <w:pStyle w:val="2"/>
        <w:tabs>
          <w:tab w:val="right" w:leader="dot" w:pos="14562"/>
        </w:tabs>
      </w:pPr>
      <w:r>
        <w:fldChar w:fldCharType="begin"/>
      </w:r>
      <w:r>
        <w:instrText xml:space="preserve">HYPERLINK \l _Toc_4_4_0000000007</w:instrText>
      </w:r>
      <w:r>
        <w:fldChar w:fldCharType="separate"/>
      </w:r>
      <w:r>
        <w:rPr>
          <w:b w:val="0"/>
        </w:rPr>
        <w:t>七、石家庄市鹿泉区廉租住房和经济适用住房管理中心收支预算</w:t>
      </w:r>
      <w:r>
        <w:tab/>
      </w:r>
      <w:r>
        <w:fldChar w:fldCharType="begin"/>
      </w:r>
      <w:r>
        <w:instrText xml:space="preserve">PAGEREF _Toc_4_4_0000000007 \h</w:instrText>
      </w:r>
      <w:r>
        <w:fldChar w:fldCharType="separate"/>
      </w:r>
      <w:r>
        <w:t>221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一、石家庄市鹿泉区住房和城乡建设局本级收支预算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10953.53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1329.91</w:t>
            </w: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9712.10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5838.79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12283.44</w:t>
            </w:r>
          </w:p>
        </w:tc>
        <w:tc>
          <w:tcPr>
            <w:tcW w:w="4535" w:type="dxa"/>
            <w:vAlign w:val="center"/>
          </w:tcPr>
          <w:p>
            <w:pPr>
              <w:pStyle w:val="14"/>
            </w:pPr>
            <w:r>
              <w:t>本年支出合计</w:t>
            </w:r>
          </w:p>
        </w:tc>
        <w:tc>
          <w:tcPr>
            <w:tcW w:w="2126" w:type="dxa"/>
            <w:vAlign w:val="center"/>
          </w:tcPr>
          <w:p>
            <w:pPr>
              <w:pStyle w:val="15"/>
            </w:pPr>
            <w:r>
              <w:t>16022.80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3739.36</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16022.80</w:t>
            </w:r>
          </w:p>
        </w:tc>
        <w:tc>
          <w:tcPr>
            <w:tcW w:w="4535" w:type="dxa"/>
            <w:vAlign w:val="center"/>
          </w:tcPr>
          <w:p>
            <w:pPr>
              <w:pStyle w:val="14"/>
            </w:pPr>
            <w:r>
              <w:t>支出总计</w:t>
            </w:r>
          </w:p>
        </w:tc>
        <w:tc>
          <w:tcPr>
            <w:tcW w:w="2126" w:type="dxa"/>
            <w:vAlign w:val="center"/>
          </w:tcPr>
          <w:p>
            <w:pPr>
              <w:pStyle w:val="15"/>
            </w:pPr>
            <w:r>
              <w:t>16022.80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16022.80</w:t>
            </w:r>
          </w:p>
        </w:tc>
        <w:tc>
          <w:tcPr>
            <w:tcW w:w="1134" w:type="dxa"/>
            <w:vAlign w:val="center"/>
          </w:tcPr>
          <w:p>
            <w:pPr>
              <w:pStyle w:val="15"/>
            </w:pPr>
            <w:r>
              <w:t>12283.44</w:t>
            </w:r>
          </w:p>
        </w:tc>
        <w:tc>
          <w:tcPr>
            <w:tcW w:w="1134" w:type="dxa"/>
            <w:vAlign w:val="center"/>
          </w:tcPr>
          <w:p>
            <w:pPr>
              <w:pStyle w:val="15"/>
            </w:pPr>
            <w:r>
              <w:t>12283.44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3739.36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137.68</w:t>
            </w:r>
          </w:p>
        </w:tc>
        <w:tc>
          <w:tcPr>
            <w:tcW w:w="1134" w:type="dxa"/>
            <w:vAlign w:val="center"/>
          </w:tcPr>
          <w:p>
            <w:pPr>
              <w:pStyle w:val="11"/>
            </w:pPr>
            <w:r>
              <w:t>137.68</w:t>
            </w:r>
          </w:p>
        </w:tc>
        <w:tc>
          <w:tcPr>
            <w:tcW w:w="1134" w:type="dxa"/>
            <w:vAlign w:val="center"/>
          </w:tcPr>
          <w:p>
            <w:pPr>
              <w:pStyle w:val="11"/>
            </w:pPr>
            <w:r>
              <w:t>137.68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137.68</w:t>
            </w:r>
          </w:p>
        </w:tc>
        <w:tc>
          <w:tcPr>
            <w:tcW w:w="1134" w:type="dxa"/>
            <w:vAlign w:val="center"/>
          </w:tcPr>
          <w:p>
            <w:pPr>
              <w:pStyle w:val="11"/>
            </w:pPr>
            <w:r>
              <w:t>137.68</w:t>
            </w:r>
          </w:p>
        </w:tc>
        <w:tc>
          <w:tcPr>
            <w:tcW w:w="1134" w:type="dxa"/>
            <w:vAlign w:val="center"/>
          </w:tcPr>
          <w:p>
            <w:pPr>
              <w:pStyle w:val="11"/>
            </w:pPr>
            <w:r>
              <w:t>137.68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111.20</w:t>
            </w:r>
          </w:p>
        </w:tc>
        <w:tc>
          <w:tcPr>
            <w:tcW w:w="1134" w:type="dxa"/>
            <w:vAlign w:val="center"/>
          </w:tcPr>
          <w:p>
            <w:pPr>
              <w:pStyle w:val="11"/>
            </w:pPr>
            <w:r>
              <w:t>111.20</w:t>
            </w:r>
          </w:p>
        </w:tc>
        <w:tc>
          <w:tcPr>
            <w:tcW w:w="1134" w:type="dxa"/>
            <w:vAlign w:val="center"/>
          </w:tcPr>
          <w:p>
            <w:pPr>
              <w:pStyle w:val="11"/>
            </w:pPr>
            <w:r>
              <w:t>111.20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26.48</w:t>
            </w:r>
          </w:p>
        </w:tc>
        <w:tc>
          <w:tcPr>
            <w:tcW w:w="1134" w:type="dxa"/>
            <w:vAlign w:val="center"/>
          </w:tcPr>
          <w:p>
            <w:pPr>
              <w:pStyle w:val="11"/>
            </w:pPr>
            <w:r>
              <w:t>26.48</w:t>
            </w:r>
          </w:p>
        </w:tc>
        <w:tc>
          <w:tcPr>
            <w:tcW w:w="1134" w:type="dxa"/>
            <w:vAlign w:val="center"/>
          </w:tcPr>
          <w:p>
            <w:pPr>
              <w:pStyle w:val="11"/>
            </w:pPr>
            <w:r>
              <w:t>26.48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r>
              <w:t>17.32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9712.10</w:t>
            </w:r>
          </w:p>
        </w:tc>
        <w:tc>
          <w:tcPr>
            <w:tcW w:w="1134" w:type="dxa"/>
            <w:vAlign w:val="center"/>
          </w:tcPr>
          <w:p>
            <w:pPr>
              <w:pStyle w:val="11"/>
            </w:pPr>
            <w:r>
              <w:t>8287.61</w:t>
            </w:r>
          </w:p>
        </w:tc>
        <w:tc>
          <w:tcPr>
            <w:tcW w:w="1134" w:type="dxa"/>
            <w:vAlign w:val="center"/>
          </w:tcPr>
          <w:p>
            <w:pPr>
              <w:pStyle w:val="11"/>
            </w:pPr>
            <w:r>
              <w:t>8287.61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1424.49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9712.10</w:t>
            </w:r>
          </w:p>
        </w:tc>
        <w:tc>
          <w:tcPr>
            <w:tcW w:w="1134" w:type="dxa"/>
            <w:vAlign w:val="center"/>
          </w:tcPr>
          <w:p>
            <w:pPr>
              <w:pStyle w:val="11"/>
            </w:pPr>
            <w:r>
              <w:t>8287.61</w:t>
            </w:r>
          </w:p>
        </w:tc>
        <w:tc>
          <w:tcPr>
            <w:tcW w:w="1134" w:type="dxa"/>
            <w:vAlign w:val="center"/>
          </w:tcPr>
          <w:p>
            <w:pPr>
              <w:pStyle w:val="11"/>
            </w:pPr>
            <w:r>
              <w:t>8287.61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1424.49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8212.10</w:t>
            </w:r>
          </w:p>
        </w:tc>
        <w:tc>
          <w:tcPr>
            <w:tcW w:w="1134" w:type="dxa"/>
            <w:vAlign w:val="center"/>
          </w:tcPr>
          <w:p>
            <w:pPr>
              <w:pStyle w:val="11"/>
            </w:pPr>
            <w:r>
              <w:t>6787.61</w:t>
            </w:r>
          </w:p>
        </w:tc>
        <w:tc>
          <w:tcPr>
            <w:tcW w:w="1134" w:type="dxa"/>
            <w:vAlign w:val="center"/>
          </w:tcPr>
          <w:p>
            <w:pPr>
              <w:pStyle w:val="11"/>
            </w:pPr>
            <w:r>
              <w:t>6787.61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1424.49</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2110302</w:t>
            </w:r>
          </w:p>
        </w:tc>
        <w:tc>
          <w:tcPr>
            <w:tcW w:w="1559" w:type="dxa"/>
            <w:vAlign w:val="center"/>
          </w:tcPr>
          <w:p>
            <w:pPr>
              <w:pStyle w:val="12"/>
            </w:pPr>
            <w:r>
              <w:t>水体</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r>
              <w:t>1500.00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5838.79</w:t>
            </w:r>
          </w:p>
        </w:tc>
        <w:tc>
          <w:tcPr>
            <w:tcW w:w="1134" w:type="dxa"/>
            <w:vAlign w:val="center"/>
          </w:tcPr>
          <w:p>
            <w:pPr>
              <w:pStyle w:val="11"/>
            </w:pPr>
            <w:r>
              <w:t>3714.51</w:t>
            </w:r>
          </w:p>
        </w:tc>
        <w:tc>
          <w:tcPr>
            <w:tcW w:w="1134" w:type="dxa"/>
            <w:vAlign w:val="center"/>
          </w:tcPr>
          <w:p>
            <w:pPr>
              <w:pStyle w:val="11"/>
            </w:pPr>
            <w:r>
              <w:t>3714.51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2124.28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429.89</w:t>
            </w:r>
          </w:p>
        </w:tc>
        <w:tc>
          <w:tcPr>
            <w:tcW w:w="1134" w:type="dxa"/>
            <w:vAlign w:val="center"/>
          </w:tcPr>
          <w:p>
            <w:pPr>
              <w:pStyle w:val="11"/>
            </w:pPr>
            <w:r>
              <w:t>429.89</w:t>
            </w:r>
          </w:p>
        </w:tc>
        <w:tc>
          <w:tcPr>
            <w:tcW w:w="1134" w:type="dxa"/>
            <w:vAlign w:val="center"/>
          </w:tcPr>
          <w:p>
            <w:pPr>
              <w:pStyle w:val="11"/>
            </w:pPr>
            <w:r>
              <w:t>429.89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389.89</w:t>
            </w:r>
          </w:p>
        </w:tc>
        <w:tc>
          <w:tcPr>
            <w:tcW w:w="1134" w:type="dxa"/>
            <w:vAlign w:val="center"/>
          </w:tcPr>
          <w:p>
            <w:pPr>
              <w:pStyle w:val="11"/>
            </w:pPr>
            <w:r>
              <w:t>389.89</w:t>
            </w:r>
          </w:p>
        </w:tc>
        <w:tc>
          <w:tcPr>
            <w:tcW w:w="1134" w:type="dxa"/>
            <w:vAlign w:val="center"/>
          </w:tcPr>
          <w:p>
            <w:pPr>
              <w:pStyle w:val="11"/>
            </w:pPr>
            <w:r>
              <w:t>389.89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1954.71</w:t>
            </w:r>
          </w:p>
        </w:tc>
        <w:tc>
          <w:tcPr>
            <w:tcW w:w="1134" w:type="dxa"/>
            <w:vAlign w:val="center"/>
          </w:tcPr>
          <w:p>
            <w:pPr>
              <w:pStyle w:val="11"/>
            </w:pPr>
            <w:r>
              <w:t>1954.71</w:t>
            </w:r>
          </w:p>
        </w:tc>
        <w:tc>
          <w:tcPr>
            <w:tcW w:w="1134" w:type="dxa"/>
            <w:vAlign w:val="center"/>
          </w:tcPr>
          <w:p>
            <w:pPr>
              <w:pStyle w:val="11"/>
            </w:pPr>
            <w:r>
              <w:t>1954.71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1954.71</w:t>
            </w:r>
          </w:p>
        </w:tc>
        <w:tc>
          <w:tcPr>
            <w:tcW w:w="1134" w:type="dxa"/>
            <w:vAlign w:val="center"/>
          </w:tcPr>
          <w:p>
            <w:pPr>
              <w:pStyle w:val="11"/>
            </w:pPr>
            <w:r>
              <w:t>1954.71</w:t>
            </w:r>
          </w:p>
        </w:tc>
        <w:tc>
          <w:tcPr>
            <w:tcW w:w="1134" w:type="dxa"/>
            <w:vAlign w:val="center"/>
          </w:tcPr>
          <w:p>
            <w:pPr>
              <w:pStyle w:val="11"/>
            </w:pPr>
            <w:r>
              <w:t>1954.71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1329.91</w:t>
            </w:r>
          </w:p>
        </w:tc>
        <w:tc>
          <w:tcPr>
            <w:tcW w:w="1134" w:type="dxa"/>
            <w:vAlign w:val="center"/>
          </w:tcPr>
          <w:p>
            <w:pPr>
              <w:pStyle w:val="11"/>
            </w:pPr>
            <w:r>
              <w:t>1329.91</w:t>
            </w:r>
          </w:p>
        </w:tc>
        <w:tc>
          <w:tcPr>
            <w:tcW w:w="1134" w:type="dxa"/>
            <w:vAlign w:val="center"/>
          </w:tcPr>
          <w:p>
            <w:pPr>
              <w:pStyle w:val="11"/>
            </w:pPr>
            <w:r>
              <w:t>1329.91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1329.91</w:t>
            </w:r>
          </w:p>
        </w:tc>
        <w:tc>
          <w:tcPr>
            <w:tcW w:w="1134" w:type="dxa"/>
            <w:vAlign w:val="center"/>
          </w:tcPr>
          <w:p>
            <w:pPr>
              <w:pStyle w:val="11"/>
            </w:pPr>
            <w:r>
              <w:t>1329.91</w:t>
            </w:r>
          </w:p>
        </w:tc>
        <w:tc>
          <w:tcPr>
            <w:tcW w:w="1134" w:type="dxa"/>
            <w:vAlign w:val="center"/>
          </w:tcPr>
          <w:p>
            <w:pPr>
              <w:pStyle w:val="11"/>
            </w:pPr>
            <w:r>
              <w:t>1329.91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21216</w:t>
            </w:r>
          </w:p>
        </w:tc>
        <w:tc>
          <w:tcPr>
            <w:tcW w:w="1559" w:type="dxa"/>
            <w:vAlign w:val="center"/>
          </w:tcPr>
          <w:p>
            <w:pPr>
              <w:pStyle w:val="12"/>
            </w:pPr>
            <w:r>
              <w:t>棚户区改造专项债券收入安排的支出</w:t>
            </w:r>
          </w:p>
        </w:tc>
        <w:tc>
          <w:tcPr>
            <w:tcW w:w="1134" w:type="dxa"/>
            <w:vAlign w:val="center"/>
          </w:tcPr>
          <w:p>
            <w:pPr>
              <w:pStyle w:val="11"/>
            </w:pPr>
            <w:r>
              <w:t>2115.00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2121699</w:t>
            </w:r>
          </w:p>
        </w:tc>
        <w:tc>
          <w:tcPr>
            <w:tcW w:w="1559" w:type="dxa"/>
            <w:vAlign w:val="center"/>
          </w:tcPr>
          <w:p>
            <w:pPr>
              <w:pStyle w:val="12"/>
            </w:pPr>
            <w:r>
              <w:t>其他棚户区改造专项债券收入安排的支出</w:t>
            </w:r>
          </w:p>
        </w:tc>
        <w:tc>
          <w:tcPr>
            <w:tcW w:w="1134" w:type="dxa"/>
            <w:vAlign w:val="center"/>
          </w:tcPr>
          <w:p>
            <w:pPr>
              <w:pStyle w:val="11"/>
            </w:pPr>
            <w:r>
              <w:t>2115.00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21298</w:t>
            </w:r>
          </w:p>
        </w:tc>
        <w:tc>
          <w:tcPr>
            <w:tcW w:w="1559" w:type="dxa"/>
            <w:vAlign w:val="center"/>
          </w:tcPr>
          <w:p>
            <w:pPr>
              <w:pStyle w:val="12"/>
            </w:pPr>
            <w:r>
              <w:t>超长期特别国债安排的支出</w:t>
            </w:r>
          </w:p>
        </w:tc>
        <w:tc>
          <w:tcPr>
            <w:tcW w:w="1134" w:type="dxa"/>
            <w:vAlign w:val="center"/>
          </w:tcPr>
          <w:p>
            <w:pPr>
              <w:pStyle w:val="11"/>
            </w:pPr>
            <w:r>
              <w:t>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2129801</w:t>
            </w:r>
          </w:p>
        </w:tc>
        <w:tc>
          <w:tcPr>
            <w:tcW w:w="1559" w:type="dxa"/>
            <w:vAlign w:val="center"/>
          </w:tcPr>
          <w:p>
            <w:pPr>
              <w:pStyle w:val="12"/>
            </w:pPr>
            <w:r>
              <w:t>城乡社区公共设施</w:t>
            </w:r>
          </w:p>
        </w:tc>
        <w:tc>
          <w:tcPr>
            <w:tcW w:w="1134" w:type="dxa"/>
            <w:vAlign w:val="center"/>
          </w:tcPr>
          <w:p>
            <w:pPr>
              <w:pStyle w:val="11"/>
            </w:pPr>
            <w:r>
              <w:t>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r>
              <w:t>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254.32</w:t>
            </w:r>
          </w:p>
        </w:tc>
        <w:tc>
          <w:tcPr>
            <w:tcW w:w="1134" w:type="dxa"/>
            <w:vAlign w:val="center"/>
          </w:tcPr>
          <w:p>
            <w:pPr>
              <w:pStyle w:val="11"/>
            </w:pPr>
            <w:r>
              <w:t>77.32</w:t>
            </w:r>
          </w:p>
        </w:tc>
        <w:tc>
          <w:tcPr>
            <w:tcW w:w="1134" w:type="dxa"/>
            <w:vAlign w:val="center"/>
          </w:tcPr>
          <w:p>
            <w:pPr>
              <w:pStyle w:val="11"/>
            </w:pPr>
            <w:r>
              <w:t>77.32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22101</w:t>
            </w:r>
          </w:p>
        </w:tc>
        <w:tc>
          <w:tcPr>
            <w:tcW w:w="1559" w:type="dxa"/>
            <w:vAlign w:val="center"/>
          </w:tcPr>
          <w:p>
            <w:pPr>
              <w:pStyle w:val="12"/>
            </w:pPr>
            <w:r>
              <w:t>保障性安居工程支出</w:t>
            </w:r>
          </w:p>
        </w:tc>
        <w:tc>
          <w:tcPr>
            <w:tcW w:w="1134" w:type="dxa"/>
            <w:vAlign w:val="center"/>
          </w:tcPr>
          <w:p>
            <w:pPr>
              <w:pStyle w:val="11"/>
            </w:pPr>
            <w:r>
              <w:t>228.00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2210103</w:t>
            </w:r>
          </w:p>
        </w:tc>
        <w:tc>
          <w:tcPr>
            <w:tcW w:w="1559" w:type="dxa"/>
            <w:vAlign w:val="center"/>
          </w:tcPr>
          <w:p>
            <w:pPr>
              <w:pStyle w:val="12"/>
            </w:pPr>
            <w:r>
              <w:t>棚户区改造</w:t>
            </w:r>
          </w:p>
        </w:tc>
        <w:tc>
          <w:tcPr>
            <w:tcW w:w="1134" w:type="dxa"/>
            <w:vAlign w:val="center"/>
          </w:tcPr>
          <w:p>
            <w:pPr>
              <w:pStyle w:val="11"/>
            </w:pPr>
            <w:r>
              <w:t>188.00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2210105</w:t>
            </w:r>
          </w:p>
        </w:tc>
        <w:tc>
          <w:tcPr>
            <w:tcW w:w="1559" w:type="dxa"/>
            <w:vAlign w:val="center"/>
          </w:tcPr>
          <w:p>
            <w:pPr>
              <w:pStyle w:val="12"/>
            </w:pPr>
            <w:r>
              <w:t>农村危房改造</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26.32</w:t>
            </w:r>
          </w:p>
        </w:tc>
        <w:tc>
          <w:tcPr>
            <w:tcW w:w="1134" w:type="dxa"/>
            <w:vAlign w:val="center"/>
          </w:tcPr>
          <w:p>
            <w:pPr>
              <w:pStyle w:val="11"/>
            </w:pPr>
            <w:r>
              <w:t>26.32</w:t>
            </w:r>
          </w:p>
        </w:tc>
        <w:tc>
          <w:tcPr>
            <w:tcW w:w="1134" w:type="dxa"/>
            <w:vAlign w:val="center"/>
          </w:tcPr>
          <w:p>
            <w:pPr>
              <w:pStyle w:val="11"/>
            </w:pPr>
            <w:r>
              <w:t>26.32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26.32</w:t>
            </w:r>
          </w:p>
        </w:tc>
        <w:tc>
          <w:tcPr>
            <w:tcW w:w="1134" w:type="dxa"/>
            <w:vAlign w:val="center"/>
          </w:tcPr>
          <w:p>
            <w:pPr>
              <w:pStyle w:val="11"/>
            </w:pPr>
            <w:r>
              <w:t>26.32</w:t>
            </w:r>
          </w:p>
        </w:tc>
        <w:tc>
          <w:tcPr>
            <w:tcW w:w="1134" w:type="dxa"/>
            <w:vAlign w:val="center"/>
          </w:tcPr>
          <w:p>
            <w:pPr>
              <w:pStyle w:val="11"/>
            </w:pPr>
            <w:r>
              <w:t>26.32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13.59</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16022.80</w:t>
            </w:r>
          </w:p>
        </w:tc>
        <w:tc>
          <w:tcPr>
            <w:tcW w:w="1361" w:type="dxa"/>
            <w:vAlign w:val="center"/>
          </w:tcPr>
          <w:p>
            <w:pPr>
              <w:pStyle w:val="15"/>
            </w:pPr>
            <w:r>
              <w:t>521.21</w:t>
            </w:r>
          </w:p>
        </w:tc>
        <w:tc>
          <w:tcPr>
            <w:tcW w:w="1361" w:type="dxa"/>
            <w:vAlign w:val="center"/>
          </w:tcPr>
          <w:p>
            <w:pPr>
              <w:pStyle w:val="15"/>
            </w:pPr>
            <w:r>
              <w:t>15501.59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137.68</w:t>
            </w:r>
          </w:p>
        </w:tc>
        <w:tc>
          <w:tcPr>
            <w:tcW w:w="1361" w:type="dxa"/>
            <w:vAlign w:val="center"/>
          </w:tcPr>
          <w:p>
            <w:pPr>
              <w:pStyle w:val="11"/>
            </w:pPr>
            <w:r>
              <w:t>137.68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137.68</w:t>
            </w:r>
          </w:p>
        </w:tc>
        <w:tc>
          <w:tcPr>
            <w:tcW w:w="1361" w:type="dxa"/>
            <w:vAlign w:val="center"/>
          </w:tcPr>
          <w:p>
            <w:pPr>
              <w:pStyle w:val="11"/>
            </w:pPr>
            <w:r>
              <w:t>137.68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111.20</w:t>
            </w:r>
          </w:p>
        </w:tc>
        <w:tc>
          <w:tcPr>
            <w:tcW w:w="1361" w:type="dxa"/>
            <w:vAlign w:val="center"/>
          </w:tcPr>
          <w:p>
            <w:pPr>
              <w:pStyle w:val="11"/>
            </w:pPr>
            <w:r>
              <w:t>111.20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26.48</w:t>
            </w:r>
          </w:p>
        </w:tc>
        <w:tc>
          <w:tcPr>
            <w:tcW w:w="1361" w:type="dxa"/>
            <w:vAlign w:val="center"/>
          </w:tcPr>
          <w:p>
            <w:pPr>
              <w:pStyle w:val="11"/>
            </w:pPr>
            <w:r>
              <w:t>26.48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17.32</w:t>
            </w:r>
          </w:p>
        </w:tc>
        <w:tc>
          <w:tcPr>
            <w:tcW w:w="1361" w:type="dxa"/>
            <w:vAlign w:val="center"/>
          </w:tcPr>
          <w:p>
            <w:pPr>
              <w:pStyle w:val="11"/>
            </w:pPr>
            <w:r>
              <w:t>17.32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17.32</w:t>
            </w:r>
          </w:p>
        </w:tc>
        <w:tc>
          <w:tcPr>
            <w:tcW w:w="1361" w:type="dxa"/>
            <w:vAlign w:val="center"/>
          </w:tcPr>
          <w:p>
            <w:pPr>
              <w:pStyle w:val="11"/>
            </w:pPr>
            <w:r>
              <w:t>17.32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17.32</w:t>
            </w:r>
          </w:p>
        </w:tc>
        <w:tc>
          <w:tcPr>
            <w:tcW w:w="1361" w:type="dxa"/>
            <w:vAlign w:val="center"/>
          </w:tcPr>
          <w:p>
            <w:pPr>
              <w:pStyle w:val="11"/>
            </w:pPr>
            <w:r>
              <w:t>17.32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9712.10</w:t>
            </w:r>
          </w:p>
        </w:tc>
        <w:tc>
          <w:tcPr>
            <w:tcW w:w="1361" w:type="dxa"/>
            <w:vAlign w:val="center"/>
          </w:tcPr>
          <w:p>
            <w:pPr>
              <w:pStyle w:val="11"/>
            </w:pPr>
          </w:p>
        </w:tc>
        <w:tc>
          <w:tcPr>
            <w:tcW w:w="1361" w:type="dxa"/>
            <w:vAlign w:val="center"/>
          </w:tcPr>
          <w:p>
            <w:pPr>
              <w:pStyle w:val="11"/>
            </w:pPr>
            <w:r>
              <w:t>9712.10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9712.10</w:t>
            </w:r>
          </w:p>
        </w:tc>
        <w:tc>
          <w:tcPr>
            <w:tcW w:w="1361" w:type="dxa"/>
            <w:vAlign w:val="center"/>
          </w:tcPr>
          <w:p>
            <w:pPr>
              <w:pStyle w:val="11"/>
            </w:pPr>
          </w:p>
        </w:tc>
        <w:tc>
          <w:tcPr>
            <w:tcW w:w="1361" w:type="dxa"/>
            <w:vAlign w:val="center"/>
          </w:tcPr>
          <w:p>
            <w:pPr>
              <w:pStyle w:val="11"/>
            </w:pPr>
            <w:r>
              <w:t>9712.10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8212.10</w:t>
            </w:r>
          </w:p>
        </w:tc>
        <w:tc>
          <w:tcPr>
            <w:tcW w:w="1361" w:type="dxa"/>
            <w:vAlign w:val="center"/>
          </w:tcPr>
          <w:p>
            <w:pPr>
              <w:pStyle w:val="11"/>
            </w:pPr>
          </w:p>
        </w:tc>
        <w:tc>
          <w:tcPr>
            <w:tcW w:w="1361" w:type="dxa"/>
            <w:vAlign w:val="center"/>
          </w:tcPr>
          <w:p>
            <w:pPr>
              <w:pStyle w:val="11"/>
            </w:pPr>
            <w:r>
              <w:t>8212.10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2110302</w:t>
            </w:r>
          </w:p>
        </w:tc>
        <w:tc>
          <w:tcPr>
            <w:tcW w:w="4535" w:type="dxa"/>
            <w:vAlign w:val="center"/>
          </w:tcPr>
          <w:p>
            <w:pPr>
              <w:pStyle w:val="12"/>
            </w:pPr>
            <w:r>
              <w:t>水体</w:t>
            </w: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r>
              <w:t>1500.00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5838.79</w:t>
            </w:r>
          </w:p>
        </w:tc>
        <w:tc>
          <w:tcPr>
            <w:tcW w:w="1361" w:type="dxa"/>
            <w:vAlign w:val="center"/>
          </w:tcPr>
          <w:p>
            <w:pPr>
              <w:pStyle w:val="11"/>
            </w:pPr>
            <w:r>
              <w:t>339.89</w:t>
            </w:r>
          </w:p>
        </w:tc>
        <w:tc>
          <w:tcPr>
            <w:tcW w:w="1361" w:type="dxa"/>
            <w:vAlign w:val="center"/>
          </w:tcPr>
          <w:p>
            <w:pPr>
              <w:pStyle w:val="11"/>
            </w:pPr>
            <w:r>
              <w:t>5498.90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429.89</w:t>
            </w:r>
          </w:p>
        </w:tc>
        <w:tc>
          <w:tcPr>
            <w:tcW w:w="1361" w:type="dxa"/>
            <w:vAlign w:val="center"/>
          </w:tcPr>
          <w:p>
            <w:pPr>
              <w:pStyle w:val="11"/>
            </w:pPr>
            <w:r>
              <w:t>339.89</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389.89</w:t>
            </w:r>
          </w:p>
        </w:tc>
        <w:tc>
          <w:tcPr>
            <w:tcW w:w="1361" w:type="dxa"/>
            <w:vAlign w:val="center"/>
          </w:tcPr>
          <w:p>
            <w:pPr>
              <w:pStyle w:val="11"/>
            </w:pPr>
            <w:r>
              <w:t>339.89</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1954.71</w:t>
            </w:r>
          </w:p>
        </w:tc>
        <w:tc>
          <w:tcPr>
            <w:tcW w:w="1361" w:type="dxa"/>
            <w:vAlign w:val="center"/>
          </w:tcPr>
          <w:p>
            <w:pPr>
              <w:pStyle w:val="11"/>
            </w:pPr>
          </w:p>
        </w:tc>
        <w:tc>
          <w:tcPr>
            <w:tcW w:w="1361" w:type="dxa"/>
            <w:vAlign w:val="center"/>
          </w:tcPr>
          <w:p>
            <w:pPr>
              <w:pStyle w:val="11"/>
            </w:pPr>
            <w:r>
              <w:t>1954.71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1954.71</w:t>
            </w:r>
          </w:p>
        </w:tc>
        <w:tc>
          <w:tcPr>
            <w:tcW w:w="1361" w:type="dxa"/>
            <w:vAlign w:val="center"/>
          </w:tcPr>
          <w:p>
            <w:pPr>
              <w:pStyle w:val="11"/>
            </w:pPr>
          </w:p>
        </w:tc>
        <w:tc>
          <w:tcPr>
            <w:tcW w:w="1361" w:type="dxa"/>
            <w:vAlign w:val="center"/>
          </w:tcPr>
          <w:p>
            <w:pPr>
              <w:pStyle w:val="11"/>
            </w:pPr>
            <w:r>
              <w:t>1954.71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1329.91</w:t>
            </w:r>
          </w:p>
        </w:tc>
        <w:tc>
          <w:tcPr>
            <w:tcW w:w="1361" w:type="dxa"/>
            <w:vAlign w:val="center"/>
          </w:tcPr>
          <w:p>
            <w:pPr>
              <w:pStyle w:val="11"/>
            </w:pPr>
          </w:p>
        </w:tc>
        <w:tc>
          <w:tcPr>
            <w:tcW w:w="1361" w:type="dxa"/>
            <w:vAlign w:val="center"/>
          </w:tcPr>
          <w:p>
            <w:pPr>
              <w:pStyle w:val="11"/>
            </w:pPr>
            <w:r>
              <w:t>1329.91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1329.91</w:t>
            </w:r>
          </w:p>
        </w:tc>
        <w:tc>
          <w:tcPr>
            <w:tcW w:w="1361" w:type="dxa"/>
            <w:vAlign w:val="center"/>
          </w:tcPr>
          <w:p>
            <w:pPr>
              <w:pStyle w:val="11"/>
            </w:pPr>
          </w:p>
        </w:tc>
        <w:tc>
          <w:tcPr>
            <w:tcW w:w="1361" w:type="dxa"/>
            <w:vAlign w:val="center"/>
          </w:tcPr>
          <w:p>
            <w:pPr>
              <w:pStyle w:val="11"/>
            </w:pPr>
            <w:r>
              <w:t>1329.91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21216</w:t>
            </w:r>
          </w:p>
        </w:tc>
        <w:tc>
          <w:tcPr>
            <w:tcW w:w="4535" w:type="dxa"/>
            <w:vAlign w:val="center"/>
          </w:tcPr>
          <w:p>
            <w:pPr>
              <w:pStyle w:val="12"/>
            </w:pPr>
            <w:r>
              <w:t>棚户区改造专项债券收入安排的支出</w:t>
            </w:r>
          </w:p>
        </w:tc>
        <w:tc>
          <w:tcPr>
            <w:tcW w:w="1361" w:type="dxa"/>
            <w:vAlign w:val="center"/>
          </w:tcPr>
          <w:p>
            <w:pPr>
              <w:pStyle w:val="11"/>
            </w:pPr>
            <w:r>
              <w:t>2115.00</w:t>
            </w:r>
          </w:p>
        </w:tc>
        <w:tc>
          <w:tcPr>
            <w:tcW w:w="1361" w:type="dxa"/>
            <w:vAlign w:val="center"/>
          </w:tcPr>
          <w:p>
            <w:pPr>
              <w:pStyle w:val="11"/>
            </w:pPr>
          </w:p>
        </w:tc>
        <w:tc>
          <w:tcPr>
            <w:tcW w:w="1361" w:type="dxa"/>
            <w:vAlign w:val="center"/>
          </w:tcPr>
          <w:p>
            <w:pPr>
              <w:pStyle w:val="11"/>
            </w:pPr>
            <w:r>
              <w:t>2115.00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2121699</w:t>
            </w:r>
          </w:p>
        </w:tc>
        <w:tc>
          <w:tcPr>
            <w:tcW w:w="4535" w:type="dxa"/>
            <w:vAlign w:val="center"/>
          </w:tcPr>
          <w:p>
            <w:pPr>
              <w:pStyle w:val="12"/>
            </w:pPr>
            <w:r>
              <w:t>其他棚户区改造专项债券收入安排的支出</w:t>
            </w:r>
          </w:p>
        </w:tc>
        <w:tc>
          <w:tcPr>
            <w:tcW w:w="1361" w:type="dxa"/>
            <w:vAlign w:val="center"/>
          </w:tcPr>
          <w:p>
            <w:pPr>
              <w:pStyle w:val="11"/>
            </w:pPr>
            <w:r>
              <w:t>2115.00</w:t>
            </w:r>
          </w:p>
        </w:tc>
        <w:tc>
          <w:tcPr>
            <w:tcW w:w="1361" w:type="dxa"/>
            <w:vAlign w:val="center"/>
          </w:tcPr>
          <w:p>
            <w:pPr>
              <w:pStyle w:val="11"/>
            </w:pPr>
          </w:p>
        </w:tc>
        <w:tc>
          <w:tcPr>
            <w:tcW w:w="1361" w:type="dxa"/>
            <w:vAlign w:val="center"/>
          </w:tcPr>
          <w:p>
            <w:pPr>
              <w:pStyle w:val="11"/>
            </w:pPr>
            <w:r>
              <w:t>2115.00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21298</w:t>
            </w:r>
          </w:p>
        </w:tc>
        <w:tc>
          <w:tcPr>
            <w:tcW w:w="4535" w:type="dxa"/>
            <w:vAlign w:val="center"/>
          </w:tcPr>
          <w:p>
            <w:pPr>
              <w:pStyle w:val="12"/>
            </w:pPr>
            <w:r>
              <w:t>超长期特别国债安排的支出</w:t>
            </w:r>
          </w:p>
        </w:tc>
        <w:tc>
          <w:tcPr>
            <w:tcW w:w="1361" w:type="dxa"/>
            <w:vAlign w:val="center"/>
          </w:tcPr>
          <w:p>
            <w:pPr>
              <w:pStyle w:val="11"/>
            </w:pPr>
            <w:r>
              <w:t>9.28</w:t>
            </w:r>
          </w:p>
        </w:tc>
        <w:tc>
          <w:tcPr>
            <w:tcW w:w="1361" w:type="dxa"/>
            <w:vAlign w:val="center"/>
          </w:tcPr>
          <w:p>
            <w:pPr>
              <w:pStyle w:val="11"/>
            </w:pPr>
          </w:p>
        </w:tc>
        <w:tc>
          <w:tcPr>
            <w:tcW w:w="1361" w:type="dxa"/>
            <w:vAlign w:val="center"/>
          </w:tcPr>
          <w:p>
            <w:pPr>
              <w:pStyle w:val="11"/>
            </w:pPr>
            <w:r>
              <w:t>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2129801</w:t>
            </w:r>
          </w:p>
        </w:tc>
        <w:tc>
          <w:tcPr>
            <w:tcW w:w="4535" w:type="dxa"/>
            <w:vAlign w:val="center"/>
          </w:tcPr>
          <w:p>
            <w:pPr>
              <w:pStyle w:val="12"/>
            </w:pPr>
            <w:r>
              <w:t>城乡社区公共设施</w:t>
            </w:r>
          </w:p>
        </w:tc>
        <w:tc>
          <w:tcPr>
            <w:tcW w:w="1361" w:type="dxa"/>
            <w:vAlign w:val="center"/>
          </w:tcPr>
          <w:p>
            <w:pPr>
              <w:pStyle w:val="11"/>
            </w:pPr>
            <w:r>
              <w:t>9.28</w:t>
            </w:r>
          </w:p>
        </w:tc>
        <w:tc>
          <w:tcPr>
            <w:tcW w:w="1361" w:type="dxa"/>
            <w:vAlign w:val="center"/>
          </w:tcPr>
          <w:p>
            <w:pPr>
              <w:pStyle w:val="11"/>
            </w:pPr>
          </w:p>
        </w:tc>
        <w:tc>
          <w:tcPr>
            <w:tcW w:w="1361" w:type="dxa"/>
            <w:vAlign w:val="center"/>
          </w:tcPr>
          <w:p>
            <w:pPr>
              <w:pStyle w:val="11"/>
            </w:pPr>
            <w:r>
              <w:t>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254.32</w:t>
            </w:r>
          </w:p>
        </w:tc>
        <w:tc>
          <w:tcPr>
            <w:tcW w:w="1361" w:type="dxa"/>
            <w:vAlign w:val="center"/>
          </w:tcPr>
          <w:p>
            <w:pPr>
              <w:pStyle w:val="11"/>
            </w:pPr>
            <w:r>
              <w:t>26.32</w:t>
            </w:r>
          </w:p>
        </w:tc>
        <w:tc>
          <w:tcPr>
            <w:tcW w:w="1361" w:type="dxa"/>
            <w:vAlign w:val="center"/>
          </w:tcPr>
          <w:p>
            <w:pPr>
              <w:pStyle w:val="11"/>
            </w:pPr>
            <w:r>
              <w:t>228.00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22101</w:t>
            </w:r>
          </w:p>
        </w:tc>
        <w:tc>
          <w:tcPr>
            <w:tcW w:w="4535" w:type="dxa"/>
            <w:vAlign w:val="center"/>
          </w:tcPr>
          <w:p>
            <w:pPr>
              <w:pStyle w:val="12"/>
            </w:pPr>
            <w:r>
              <w:t>保障性安居工程支出</w:t>
            </w:r>
          </w:p>
        </w:tc>
        <w:tc>
          <w:tcPr>
            <w:tcW w:w="1361" w:type="dxa"/>
            <w:vAlign w:val="center"/>
          </w:tcPr>
          <w:p>
            <w:pPr>
              <w:pStyle w:val="11"/>
            </w:pPr>
            <w:r>
              <w:t>228.00</w:t>
            </w:r>
          </w:p>
        </w:tc>
        <w:tc>
          <w:tcPr>
            <w:tcW w:w="1361" w:type="dxa"/>
            <w:vAlign w:val="center"/>
          </w:tcPr>
          <w:p>
            <w:pPr>
              <w:pStyle w:val="11"/>
            </w:pPr>
          </w:p>
        </w:tc>
        <w:tc>
          <w:tcPr>
            <w:tcW w:w="1361" w:type="dxa"/>
            <w:vAlign w:val="center"/>
          </w:tcPr>
          <w:p>
            <w:pPr>
              <w:pStyle w:val="11"/>
            </w:pPr>
            <w:r>
              <w:t>228.00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2210103</w:t>
            </w:r>
          </w:p>
        </w:tc>
        <w:tc>
          <w:tcPr>
            <w:tcW w:w="4535" w:type="dxa"/>
            <w:vAlign w:val="center"/>
          </w:tcPr>
          <w:p>
            <w:pPr>
              <w:pStyle w:val="12"/>
            </w:pPr>
            <w:r>
              <w:t>棚户区改造</w:t>
            </w:r>
          </w:p>
        </w:tc>
        <w:tc>
          <w:tcPr>
            <w:tcW w:w="1361" w:type="dxa"/>
            <w:vAlign w:val="center"/>
          </w:tcPr>
          <w:p>
            <w:pPr>
              <w:pStyle w:val="11"/>
            </w:pPr>
            <w:r>
              <w:t>188.00</w:t>
            </w:r>
          </w:p>
        </w:tc>
        <w:tc>
          <w:tcPr>
            <w:tcW w:w="1361" w:type="dxa"/>
            <w:vAlign w:val="center"/>
          </w:tcPr>
          <w:p>
            <w:pPr>
              <w:pStyle w:val="11"/>
            </w:pPr>
          </w:p>
        </w:tc>
        <w:tc>
          <w:tcPr>
            <w:tcW w:w="1361" w:type="dxa"/>
            <w:vAlign w:val="center"/>
          </w:tcPr>
          <w:p>
            <w:pPr>
              <w:pStyle w:val="11"/>
            </w:pPr>
            <w:r>
              <w:t>188.00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2210105</w:t>
            </w:r>
          </w:p>
        </w:tc>
        <w:tc>
          <w:tcPr>
            <w:tcW w:w="4535" w:type="dxa"/>
            <w:vAlign w:val="center"/>
          </w:tcPr>
          <w:p>
            <w:pPr>
              <w:pStyle w:val="12"/>
            </w:pPr>
            <w:r>
              <w:t>农村危房改造</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26.32</w:t>
            </w:r>
          </w:p>
        </w:tc>
        <w:tc>
          <w:tcPr>
            <w:tcW w:w="1361" w:type="dxa"/>
            <w:vAlign w:val="center"/>
          </w:tcPr>
          <w:p>
            <w:pPr>
              <w:pStyle w:val="11"/>
            </w:pPr>
            <w:r>
              <w:t>26.32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26.32</w:t>
            </w:r>
          </w:p>
        </w:tc>
        <w:tc>
          <w:tcPr>
            <w:tcW w:w="1361" w:type="dxa"/>
            <w:vAlign w:val="center"/>
          </w:tcPr>
          <w:p>
            <w:pPr>
              <w:pStyle w:val="11"/>
            </w:pPr>
            <w:r>
              <w:t>26.32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13.59</w:t>
            </w:r>
          </w:p>
        </w:tc>
        <w:tc>
          <w:tcPr>
            <w:tcW w:w="1361" w:type="dxa"/>
            <w:vAlign w:val="center"/>
          </w:tcPr>
          <w:p>
            <w:pPr>
              <w:pStyle w:val="11"/>
            </w:pPr>
          </w:p>
        </w:tc>
        <w:tc>
          <w:tcPr>
            <w:tcW w:w="1361" w:type="dxa"/>
            <w:vAlign w:val="center"/>
          </w:tcPr>
          <w:p>
            <w:pPr>
              <w:pStyle w:val="11"/>
            </w:pPr>
            <w:r>
              <w:t>13.59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13.59</w:t>
            </w:r>
          </w:p>
        </w:tc>
        <w:tc>
          <w:tcPr>
            <w:tcW w:w="1361" w:type="dxa"/>
            <w:vAlign w:val="center"/>
          </w:tcPr>
          <w:p>
            <w:pPr>
              <w:pStyle w:val="11"/>
            </w:pPr>
          </w:p>
        </w:tc>
        <w:tc>
          <w:tcPr>
            <w:tcW w:w="1361" w:type="dxa"/>
            <w:vAlign w:val="center"/>
          </w:tcPr>
          <w:p>
            <w:pPr>
              <w:pStyle w:val="11"/>
            </w:pPr>
            <w:r>
              <w:t>13.59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13.59</w:t>
            </w:r>
          </w:p>
        </w:tc>
        <w:tc>
          <w:tcPr>
            <w:tcW w:w="1361" w:type="dxa"/>
            <w:vAlign w:val="center"/>
          </w:tcPr>
          <w:p>
            <w:pPr>
              <w:pStyle w:val="11"/>
            </w:pPr>
          </w:p>
        </w:tc>
        <w:tc>
          <w:tcPr>
            <w:tcW w:w="1361" w:type="dxa"/>
            <w:vAlign w:val="center"/>
          </w:tcPr>
          <w:p>
            <w:pPr>
              <w:pStyle w:val="11"/>
            </w:pPr>
            <w:r>
              <w:t>13.59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10953.53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1329.91</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137.68</w:t>
            </w:r>
          </w:p>
        </w:tc>
        <w:tc>
          <w:tcPr>
            <w:tcW w:w="1474" w:type="dxa"/>
            <w:vAlign w:val="center"/>
          </w:tcPr>
          <w:p>
            <w:pPr>
              <w:pStyle w:val="11"/>
            </w:pPr>
            <w:r>
              <w:t>137.68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17.32</w:t>
            </w:r>
          </w:p>
        </w:tc>
        <w:tc>
          <w:tcPr>
            <w:tcW w:w="1474" w:type="dxa"/>
            <w:vAlign w:val="center"/>
          </w:tcPr>
          <w:p>
            <w:pPr>
              <w:pStyle w:val="11"/>
            </w:pPr>
            <w:r>
              <w:t>17.32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9712.10</w:t>
            </w:r>
          </w:p>
        </w:tc>
        <w:tc>
          <w:tcPr>
            <w:tcW w:w="1474" w:type="dxa"/>
            <w:vAlign w:val="center"/>
          </w:tcPr>
          <w:p>
            <w:pPr>
              <w:pStyle w:val="11"/>
            </w:pPr>
            <w:r>
              <w:t>9712.10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5838.79</w:t>
            </w:r>
          </w:p>
        </w:tc>
        <w:tc>
          <w:tcPr>
            <w:tcW w:w="1474" w:type="dxa"/>
            <w:vAlign w:val="center"/>
          </w:tcPr>
          <w:p>
            <w:pPr>
              <w:pStyle w:val="11"/>
            </w:pPr>
            <w:r>
              <w:t>2384.60</w:t>
            </w:r>
          </w:p>
        </w:tc>
        <w:tc>
          <w:tcPr>
            <w:tcW w:w="1474" w:type="dxa"/>
            <w:vAlign w:val="center"/>
          </w:tcPr>
          <w:p>
            <w:pPr>
              <w:pStyle w:val="11"/>
            </w:pPr>
            <w:r>
              <w:t>3454.19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49.00</w:t>
            </w:r>
          </w:p>
        </w:tc>
        <w:tc>
          <w:tcPr>
            <w:tcW w:w="1474" w:type="dxa"/>
            <w:vAlign w:val="center"/>
          </w:tcPr>
          <w:p>
            <w:pPr>
              <w:pStyle w:val="11"/>
            </w:pPr>
            <w:r>
              <w:t>49.00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254.32</w:t>
            </w:r>
          </w:p>
        </w:tc>
        <w:tc>
          <w:tcPr>
            <w:tcW w:w="1474" w:type="dxa"/>
            <w:vAlign w:val="center"/>
          </w:tcPr>
          <w:p>
            <w:pPr>
              <w:pStyle w:val="11"/>
            </w:pPr>
            <w:r>
              <w:t>254.32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13.59</w:t>
            </w:r>
          </w:p>
        </w:tc>
        <w:tc>
          <w:tcPr>
            <w:tcW w:w="1474" w:type="dxa"/>
            <w:vAlign w:val="center"/>
          </w:tcPr>
          <w:p>
            <w:pPr>
              <w:pStyle w:val="11"/>
            </w:pPr>
          </w:p>
        </w:tc>
        <w:tc>
          <w:tcPr>
            <w:tcW w:w="1474" w:type="dxa"/>
            <w:vAlign w:val="center"/>
          </w:tcPr>
          <w:p>
            <w:pPr>
              <w:pStyle w:val="11"/>
            </w:pPr>
            <w:r>
              <w:t>13.59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12283.44</w:t>
            </w:r>
          </w:p>
        </w:tc>
        <w:tc>
          <w:tcPr>
            <w:tcW w:w="3402" w:type="dxa"/>
            <w:vAlign w:val="center"/>
          </w:tcPr>
          <w:p>
            <w:pPr>
              <w:pStyle w:val="14"/>
            </w:pPr>
            <w:r>
              <w:t>本年支出合计</w:t>
            </w:r>
          </w:p>
        </w:tc>
        <w:tc>
          <w:tcPr>
            <w:tcW w:w="1474" w:type="dxa"/>
            <w:vAlign w:val="center"/>
          </w:tcPr>
          <w:p>
            <w:pPr>
              <w:pStyle w:val="15"/>
            </w:pPr>
            <w:r>
              <w:t>16022.80</w:t>
            </w:r>
          </w:p>
        </w:tc>
        <w:tc>
          <w:tcPr>
            <w:tcW w:w="1474" w:type="dxa"/>
            <w:vAlign w:val="center"/>
          </w:tcPr>
          <w:p>
            <w:pPr>
              <w:pStyle w:val="15"/>
            </w:pPr>
            <w:r>
              <w:t>12555.02</w:t>
            </w:r>
          </w:p>
        </w:tc>
        <w:tc>
          <w:tcPr>
            <w:tcW w:w="1474" w:type="dxa"/>
            <w:vAlign w:val="center"/>
          </w:tcPr>
          <w:p>
            <w:pPr>
              <w:pStyle w:val="15"/>
            </w:pPr>
            <w:r>
              <w:t>3467.78</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3739.36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1601.49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2137.87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16022.80</w:t>
            </w:r>
          </w:p>
        </w:tc>
        <w:tc>
          <w:tcPr>
            <w:tcW w:w="3402" w:type="dxa"/>
            <w:vAlign w:val="center"/>
          </w:tcPr>
          <w:p>
            <w:pPr>
              <w:pStyle w:val="14"/>
            </w:pPr>
            <w:r>
              <w:t>支出总计</w:t>
            </w:r>
          </w:p>
        </w:tc>
        <w:tc>
          <w:tcPr>
            <w:tcW w:w="1474" w:type="dxa"/>
            <w:vAlign w:val="center"/>
          </w:tcPr>
          <w:p>
            <w:pPr>
              <w:pStyle w:val="15"/>
            </w:pPr>
            <w:r>
              <w:t>16022.80</w:t>
            </w:r>
          </w:p>
        </w:tc>
        <w:tc>
          <w:tcPr>
            <w:tcW w:w="1474" w:type="dxa"/>
            <w:vAlign w:val="center"/>
          </w:tcPr>
          <w:p>
            <w:pPr>
              <w:pStyle w:val="15"/>
            </w:pPr>
            <w:r>
              <w:t>12555.02</w:t>
            </w:r>
          </w:p>
        </w:tc>
        <w:tc>
          <w:tcPr>
            <w:tcW w:w="1474" w:type="dxa"/>
            <w:vAlign w:val="center"/>
          </w:tcPr>
          <w:p>
            <w:pPr>
              <w:pStyle w:val="15"/>
            </w:pPr>
            <w:r>
              <w:t>3467.78</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12555.02</w:t>
            </w:r>
          </w:p>
        </w:tc>
        <w:tc>
          <w:tcPr>
            <w:tcW w:w="2551" w:type="dxa"/>
            <w:vAlign w:val="center"/>
          </w:tcPr>
          <w:p>
            <w:pPr>
              <w:pStyle w:val="15"/>
            </w:pPr>
            <w:r>
              <w:t>521.21</w:t>
            </w:r>
          </w:p>
        </w:tc>
        <w:tc>
          <w:tcPr>
            <w:tcW w:w="2551" w:type="dxa"/>
            <w:vAlign w:val="center"/>
          </w:tcPr>
          <w:p>
            <w:pPr>
              <w:pStyle w:val="15"/>
            </w:pPr>
            <w:r>
              <w:t>12033.81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137.68</w:t>
            </w:r>
          </w:p>
        </w:tc>
        <w:tc>
          <w:tcPr>
            <w:tcW w:w="2551" w:type="dxa"/>
            <w:vAlign w:val="center"/>
          </w:tcPr>
          <w:p>
            <w:pPr>
              <w:pStyle w:val="11"/>
            </w:pPr>
            <w:r>
              <w:t>137.68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137.68</w:t>
            </w:r>
          </w:p>
        </w:tc>
        <w:tc>
          <w:tcPr>
            <w:tcW w:w="2551" w:type="dxa"/>
            <w:vAlign w:val="center"/>
          </w:tcPr>
          <w:p>
            <w:pPr>
              <w:pStyle w:val="11"/>
            </w:pPr>
            <w:r>
              <w:t>137.68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111.20</w:t>
            </w:r>
          </w:p>
        </w:tc>
        <w:tc>
          <w:tcPr>
            <w:tcW w:w="2551" w:type="dxa"/>
            <w:vAlign w:val="center"/>
          </w:tcPr>
          <w:p>
            <w:pPr>
              <w:pStyle w:val="11"/>
            </w:pPr>
            <w:r>
              <w:t>111.20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26.48</w:t>
            </w:r>
          </w:p>
        </w:tc>
        <w:tc>
          <w:tcPr>
            <w:tcW w:w="2551" w:type="dxa"/>
            <w:vAlign w:val="center"/>
          </w:tcPr>
          <w:p>
            <w:pPr>
              <w:pStyle w:val="11"/>
            </w:pPr>
            <w:r>
              <w:t>26.48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17.32</w:t>
            </w:r>
          </w:p>
        </w:tc>
        <w:tc>
          <w:tcPr>
            <w:tcW w:w="2551" w:type="dxa"/>
            <w:vAlign w:val="center"/>
          </w:tcPr>
          <w:p>
            <w:pPr>
              <w:pStyle w:val="11"/>
            </w:pPr>
            <w:r>
              <w:t>17.32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17.32</w:t>
            </w:r>
          </w:p>
        </w:tc>
        <w:tc>
          <w:tcPr>
            <w:tcW w:w="2551" w:type="dxa"/>
            <w:vAlign w:val="center"/>
          </w:tcPr>
          <w:p>
            <w:pPr>
              <w:pStyle w:val="11"/>
            </w:pPr>
            <w:r>
              <w:t>17.32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17.32</w:t>
            </w:r>
          </w:p>
        </w:tc>
        <w:tc>
          <w:tcPr>
            <w:tcW w:w="2551" w:type="dxa"/>
            <w:vAlign w:val="center"/>
          </w:tcPr>
          <w:p>
            <w:pPr>
              <w:pStyle w:val="11"/>
            </w:pPr>
            <w:r>
              <w:t>17.32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9712.10</w:t>
            </w:r>
          </w:p>
        </w:tc>
        <w:tc>
          <w:tcPr>
            <w:tcW w:w="2551" w:type="dxa"/>
            <w:vAlign w:val="center"/>
          </w:tcPr>
          <w:p>
            <w:pPr>
              <w:pStyle w:val="11"/>
            </w:pPr>
          </w:p>
        </w:tc>
        <w:tc>
          <w:tcPr>
            <w:tcW w:w="2551" w:type="dxa"/>
            <w:vAlign w:val="center"/>
          </w:tcPr>
          <w:p>
            <w:pPr>
              <w:pStyle w:val="11"/>
            </w:pPr>
            <w:r>
              <w:t>9712.10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9712.10</w:t>
            </w:r>
          </w:p>
        </w:tc>
        <w:tc>
          <w:tcPr>
            <w:tcW w:w="2551" w:type="dxa"/>
            <w:vAlign w:val="center"/>
          </w:tcPr>
          <w:p>
            <w:pPr>
              <w:pStyle w:val="11"/>
            </w:pPr>
          </w:p>
        </w:tc>
        <w:tc>
          <w:tcPr>
            <w:tcW w:w="2551" w:type="dxa"/>
            <w:vAlign w:val="center"/>
          </w:tcPr>
          <w:p>
            <w:pPr>
              <w:pStyle w:val="11"/>
            </w:pPr>
            <w:r>
              <w:t>9712.10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8212.10</w:t>
            </w:r>
          </w:p>
        </w:tc>
        <w:tc>
          <w:tcPr>
            <w:tcW w:w="2551" w:type="dxa"/>
            <w:vAlign w:val="center"/>
          </w:tcPr>
          <w:p>
            <w:pPr>
              <w:pStyle w:val="11"/>
            </w:pPr>
          </w:p>
        </w:tc>
        <w:tc>
          <w:tcPr>
            <w:tcW w:w="2551" w:type="dxa"/>
            <w:vAlign w:val="center"/>
          </w:tcPr>
          <w:p>
            <w:pPr>
              <w:pStyle w:val="11"/>
            </w:pPr>
            <w:r>
              <w:t>8212.10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2110302</w:t>
            </w:r>
          </w:p>
        </w:tc>
        <w:tc>
          <w:tcPr>
            <w:tcW w:w="4535" w:type="dxa"/>
            <w:vAlign w:val="center"/>
          </w:tcPr>
          <w:p>
            <w:pPr>
              <w:pStyle w:val="12"/>
            </w:pPr>
            <w:r>
              <w:t>水体</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2384.60</w:t>
            </w:r>
          </w:p>
        </w:tc>
        <w:tc>
          <w:tcPr>
            <w:tcW w:w="2551" w:type="dxa"/>
            <w:vAlign w:val="center"/>
          </w:tcPr>
          <w:p>
            <w:pPr>
              <w:pStyle w:val="11"/>
            </w:pPr>
            <w:r>
              <w:t>339.89</w:t>
            </w:r>
          </w:p>
        </w:tc>
        <w:tc>
          <w:tcPr>
            <w:tcW w:w="2551" w:type="dxa"/>
            <w:vAlign w:val="center"/>
          </w:tcPr>
          <w:p>
            <w:pPr>
              <w:pStyle w:val="11"/>
            </w:pPr>
            <w:r>
              <w:t>2044.71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429.89</w:t>
            </w:r>
          </w:p>
        </w:tc>
        <w:tc>
          <w:tcPr>
            <w:tcW w:w="2551" w:type="dxa"/>
            <w:vAlign w:val="center"/>
          </w:tcPr>
          <w:p>
            <w:pPr>
              <w:pStyle w:val="11"/>
            </w:pPr>
            <w:r>
              <w:t>339.89</w:t>
            </w: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389.89</w:t>
            </w:r>
          </w:p>
        </w:tc>
        <w:tc>
          <w:tcPr>
            <w:tcW w:w="2551" w:type="dxa"/>
            <w:vAlign w:val="center"/>
          </w:tcPr>
          <w:p>
            <w:pPr>
              <w:pStyle w:val="11"/>
            </w:pPr>
            <w:r>
              <w:t>339.89</w:t>
            </w: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1954.71</w:t>
            </w:r>
          </w:p>
        </w:tc>
        <w:tc>
          <w:tcPr>
            <w:tcW w:w="2551" w:type="dxa"/>
            <w:vAlign w:val="center"/>
          </w:tcPr>
          <w:p>
            <w:pPr>
              <w:pStyle w:val="11"/>
            </w:pPr>
          </w:p>
        </w:tc>
        <w:tc>
          <w:tcPr>
            <w:tcW w:w="2551" w:type="dxa"/>
            <w:vAlign w:val="center"/>
          </w:tcPr>
          <w:p>
            <w:pPr>
              <w:pStyle w:val="11"/>
            </w:pPr>
            <w:r>
              <w:t>1954.71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1954.71</w:t>
            </w:r>
          </w:p>
        </w:tc>
        <w:tc>
          <w:tcPr>
            <w:tcW w:w="2551" w:type="dxa"/>
            <w:vAlign w:val="center"/>
          </w:tcPr>
          <w:p>
            <w:pPr>
              <w:pStyle w:val="11"/>
            </w:pPr>
          </w:p>
        </w:tc>
        <w:tc>
          <w:tcPr>
            <w:tcW w:w="2551" w:type="dxa"/>
            <w:vAlign w:val="center"/>
          </w:tcPr>
          <w:p>
            <w:pPr>
              <w:pStyle w:val="11"/>
            </w:pPr>
            <w:r>
              <w:t>1954.71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49.00</w:t>
            </w:r>
          </w:p>
        </w:tc>
        <w:tc>
          <w:tcPr>
            <w:tcW w:w="2551" w:type="dxa"/>
            <w:vAlign w:val="center"/>
          </w:tcPr>
          <w:p>
            <w:pPr>
              <w:pStyle w:val="11"/>
            </w:pPr>
          </w:p>
        </w:tc>
        <w:tc>
          <w:tcPr>
            <w:tcW w:w="2551" w:type="dxa"/>
            <w:vAlign w:val="center"/>
          </w:tcPr>
          <w:p>
            <w:pPr>
              <w:pStyle w:val="11"/>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49.00</w:t>
            </w:r>
          </w:p>
        </w:tc>
        <w:tc>
          <w:tcPr>
            <w:tcW w:w="2551" w:type="dxa"/>
            <w:vAlign w:val="center"/>
          </w:tcPr>
          <w:p>
            <w:pPr>
              <w:pStyle w:val="11"/>
            </w:pPr>
          </w:p>
        </w:tc>
        <w:tc>
          <w:tcPr>
            <w:tcW w:w="2551" w:type="dxa"/>
            <w:vAlign w:val="center"/>
          </w:tcPr>
          <w:p>
            <w:pPr>
              <w:pStyle w:val="11"/>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49.00</w:t>
            </w:r>
          </w:p>
        </w:tc>
        <w:tc>
          <w:tcPr>
            <w:tcW w:w="2551" w:type="dxa"/>
            <w:vAlign w:val="center"/>
          </w:tcPr>
          <w:p>
            <w:pPr>
              <w:pStyle w:val="11"/>
            </w:pPr>
          </w:p>
        </w:tc>
        <w:tc>
          <w:tcPr>
            <w:tcW w:w="2551" w:type="dxa"/>
            <w:vAlign w:val="center"/>
          </w:tcPr>
          <w:p>
            <w:pPr>
              <w:pStyle w:val="11"/>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254.32</w:t>
            </w:r>
          </w:p>
        </w:tc>
        <w:tc>
          <w:tcPr>
            <w:tcW w:w="2551" w:type="dxa"/>
            <w:vAlign w:val="center"/>
          </w:tcPr>
          <w:p>
            <w:pPr>
              <w:pStyle w:val="11"/>
            </w:pPr>
            <w:r>
              <w:t>26.32</w:t>
            </w:r>
          </w:p>
        </w:tc>
        <w:tc>
          <w:tcPr>
            <w:tcW w:w="2551" w:type="dxa"/>
            <w:vAlign w:val="center"/>
          </w:tcPr>
          <w:p>
            <w:pPr>
              <w:pStyle w:val="11"/>
            </w:pPr>
            <w:r>
              <w:t>228.00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22101</w:t>
            </w:r>
          </w:p>
        </w:tc>
        <w:tc>
          <w:tcPr>
            <w:tcW w:w="4535" w:type="dxa"/>
            <w:vAlign w:val="center"/>
          </w:tcPr>
          <w:p>
            <w:pPr>
              <w:pStyle w:val="12"/>
            </w:pPr>
            <w:r>
              <w:t>保障性安居工程支出</w:t>
            </w:r>
          </w:p>
        </w:tc>
        <w:tc>
          <w:tcPr>
            <w:tcW w:w="2551" w:type="dxa"/>
            <w:vAlign w:val="center"/>
          </w:tcPr>
          <w:p>
            <w:pPr>
              <w:pStyle w:val="11"/>
            </w:pPr>
            <w:r>
              <w:t>228.00</w:t>
            </w:r>
          </w:p>
        </w:tc>
        <w:tc>
          <w:tcPr>
            <w:tcW w:w="2551" w:type="dxa"/>
            <w:vAlign w:val="center"/>
          </w:tcPr>
          <w:p>
            <w:pPr>
              <w:pStyle w:val="11"/>
            </w:pPr>
          </w:p>
        </w:tc>
        <w:tc>
          <w:tcPr>
            <w:tcW w:w="2551" w:type="dxa"/>
            <w:vAlign w:val="center"/>
          </w:tcPr>
          <w:p>
            <w:pPr>
              <w:pStyle w:val="11"/>
            </w:pPr>
            <w:r>
              <w:t>228.00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2210103</w:t>
            </w:r>
          </w:p>
        </w:tc>
        <w:tc>
          <w:tcPr>
            <w:tcW w:w="4535" w:type="dxa"/>
            <w:vAlign w:val="center"/>
          </w:tcPr>
          <w:p>
            <w:pPr>
              <w:pStyle w:val="12"/>
            </w:pPr>
            <w:r>
              <w:t>棚户区改造</w:t>
            </w:r>
          </w:p>
        </w:tc>
        <w:tc>
          <w:tcPr>
            <w:tcW w:w="2551" w:type="dxa"/>
            <w:vAlign w:val="center"/>
          </w:tcPr>
          <w:p>
            <w:pPr>
              <w:pStyle w:val="11"/>
            </w:pPr>
            <w:r>
              <w:t>188.00</w:t>
            </w:r>
          </w:p>
        </w:tc>
        <w:tc>
          <w:tcPr>
            <w:tcW w:w="2551" w:type="dxa"/>
            <w:vAlign w:val="center"/>
          </w:tcPr>
          <w:p>
            <w:pPr>
              <w:pStyle w:val="11"/>
            </w:pPr>
          </w:p>
        </w:tc>
        <w:tc>
          <w:tcPr>
            <w:tcW w:w="2551" w:type="dxa"/>
            <w:vAlign w:val="center"/>
          </w:tcPr>
          <w:p>
            <w:pPr>
              <w:pStyle w:val="11"/>
            </w:pPr>
            <w:r>
              <w:t>188.00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2210105</w:t>
            </w:r>
          </w:p>
        </w:tc>
        <w:tc>
          <w:tcPr>
            <w:tcW w:w="4535" w:type="dxa"/>
            <w:vAlign w:val="center"/>
          </w:tcPr>
          <w:p>
            <w:pPr>
              <w:pStyle w:val="12"/>
            </w:pPr>
            <w:r>
              <w:t>农村危房改造</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26.32</w:t>
            </w:r>
          </w:p>
        </w:tc>
        <w:tc>
          <w:tcPr>
            <w:tcW w:w="2551" w:type="dxa"/>
            <w:vAlign w:val="center"/>
          </w:tcPr>
          <w:p>
            <w:pPr>
              <w:pStyle w:val="11"/>
            </w:pPr>
            <w:r>
              <w:t>26.32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26.32</w:t>
            </w:r>
          </w:p>
        </w:tc>
        <w:tc>
          <w:tcPr>
            <w:tcW w:w="2551" w:type="dxa"/>
            <w:vAlign w:val="center"/>
          </w:tcPr>
          <w:p>
            <w:pPr>
              <w:pStyle w:val="11"/>
            </w:pPr>
            <w:r>
              <w:t>26.32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521.21</w:t>
            </w:r>
          </w:p>
        </w:tc>
        <w:tc>
          <w:tcPr>
            <w:tcW w:w="2551" w:type="dxa"/>
            <w:vAlign w:val="center"/>
          </w:tcPr>
          <w:p>
            <w:pPr>
              <w:pStyle w:val="15"/>
            </w:pPr>
            <w:r>
              <w:t>383.21</w:t>
            </w:r>
          </w:p>
        </w:tc>
        <w:tc>
          <w:tcPr>
            <w:tcW w:w="2551" w:type="dxa"/>
            <w:vAlign w:val="center"/>
          </w:tcPr>
          <w:p>
            <w:pPr>
              <w:pStyle w:val="15"/>
            </w:pPr>
            <w:r>
              <w:t>138.00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271.10</w:t>
            </w:r>
          </w:p>
        </w:tc>
        <w:tc>
          <w:tcPr>
            <w:tcW w:w="2551" w:type="dxa"/>
            <w:vAlign w:val="center"/>
          </w:tcPr>
          <w:p>
            <w:pPr>
              <w:pStyle w:val="11"/>
            </w:pPr>
            <w:r>
              <w:t>271.10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79.89</w:t>
            </w:r>
          </w:p>
        </w:tc>
        <w:tc>
          <w:tcPr>
            <w:tcW w:w="2551" w:type="dxa"/>
            <w:vAlign w:val="center"/>
          </w:tcPr>
          <w:p>
            <w:pPr>
              <w:pStyle w:val="11"/>
            </w:pPr>
            <w:r>
              <w:t>79.89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56.42</w:t>
            </w:r>
          </w:p>
        </w:tc>
        <w:tc>
          <w:tcPr>
            <w:tcW w:w="2551" w:type="dxa"/>
            <w:vAlign w:val="center"/>
          </w:tcPr>
          <w:p>
            <w:pPr>
              <w:pStyle w:val="11"/>
            </w:pPr>
            <w:r>
              <w:t>56.42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64.03</w:t>
            </w:r>
          </w:p>
        </w:tc>
        <w:tc>
          <w:tcPr>
            <w:tcW w:w="2551" w:type="dxa"/>
            <w:vAlign w:val="center"/>
          </w:tcPr>
          <w:p>
            <w:pPr>
              <w:pStyle w:val="11"/>
            </w:pPr>
            <w:r>
              <w:t>64.03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26.48</w:t>
            </w:r>
          </w:p>
        </w:tc>
        <w:tc>
          <w:tcPr>
            <w:tcW w:w="2551" w:type="dxa"/>
            <w:vAlign w:val="center"/>
          </w:tcPr>
          <w:p>
            <w:pPr>
              <w:pStyle w:val="11"/>
            </w:pPr>
            <w:r>
              <w:t>26.48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8.92</w:t>
            </w:r>
          </w:p>
        </w:tc>
        <w:tc>
          <w:tcPr>
            <w:tcW w:w="2551" w:type="dxa"/>
            <w:vAlign w:val="center"/>
          </w:tcPr>
          <w:p>
            <w:pPr>
              <w:pStyle w:val="11"/>
            </w:pPr>
            <w:r>
              <w:t>8.92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8.40</w:t>
            </w:r>
          </w:p>
        </w:tc>
        <w:tc>
          <w:tcPr>
            <w:tcW w:w="2551" w:type="dxa"/>
            <w:vAlign w:val="center"/>
          </w:tcPr>
          <w:p>
            <w:pPr>
              <w:pStyle w:val="11"/>
            </w:pPr>
            <w:r>
              <w:t>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0.64</w:t>
            </w:r>
          </w:p>
        </w:tc>
        <w:tc>
          <w:tcPr>
            <w:tcW w:w="2551" w:type="dxa"/>
            <w:vAlign w:val="center"/>
          </w:tcPr>
          <w:p>
            <w:pPr>
              <w:pStyle w:val="11"/>
            </w:pPr>
            <w:r>
              <w:t>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26.32</w:t>
            </w:r>
          </w:p>
        </w:tc>
        <w:tc>
          <w:tcPr>
            <w:tcW w:w="2551" w:type="dxa"/>
            <w:vAlign w:val="center"/>
          </w:tcPr>
          <w:p>
            <w:pPr>
              <w:pStyle w:val="11"/>
            </w:pPr>
            <w:r>
              <w:t>26.32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138.00</w:t>
            </w:r>
          </w:p>
        </w:tc>
        <w:tc>
          <w:tcPr>
            <w:tcW w:w="2551" w:type="dxa"/>
            <w:vAlign w:val="center"/>
          </w:tcPr>
          <w:p>
            <w:pPr>
              <w:pStyle w:val="11"/>
            </w:pPr>
          </w:p>
        </w:tc>
        <w:tc>
          <w:tcPr>
            <w:tcW w:w="2551" w:type="dxa"/>
            <w:vAlign w:val="center"/>
          </w:tcPr>
          <w:p>
            <w:pPr>
              <w:pStyle w:val="11"/>
            </w:pPr>
            <w:r>
              <w:t>138.00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8.40</w:t>
            </w:r>
          </w:p>
        </w:tc>
        <w:tc>
          <w:tcPr>
            <w:tcW w:w="2551" w:type="dxa"/>
            <w:vAlign w:val="center"/>
          </w:tcPr>
          <w:p>
            <w:pPr>
              <w:pStyle w:val="11"/>
            </w:pPr>
          </w:p>
        </w:tc>
        <w:tc>
          <w:tcPr>
            <w:tcW w:w="2551" w:type="dxa"/>
            <w:vAlign w:val="center"/>
          </w:tcPr>
          <w:p>
            <w:pPr>
              <w:pStyle w:val="11"/>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8.26</w:t>
            </w:r>
          </w:p>
        </w:tc>
        <w:tc>
          <w:tcPr>
            <w:tcW w:w="2551" w:type="dxa"/>
            <w:vAlign w:val="center"/>
          </w:tcPr>
          <w:p>
            <w:pPr>
              <w:pStyle w:val="11"/>
            </w:pPr>
          </w:p>
        </w:tc>
        <w:tc>
          <w:tcPr>
            <w:tcW w:w="2551" w:type="dxa"/>
            <w:vAlign w:val="center"/>
          </w:tcPr>
          <w:p>
            <w:pPr>
              <w:pStyle w:val="11"/>
            </w:pPr>
            <w:r>
              <w:t>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87.87</w:t>
            </w:r>
          </w:p>
        </w:tc>
        <w:tc>
          <w:tcPr>
            <w:tcW w:w="2551" w:type="dxa"/>
            <w:vAlign w:val="center"/>
          </w:tcPr>
          <w:p>
            <w:pPr>
              <w:pStyle w:val="11"/>
            </w:pPr>
          </w:p>
        </w:tc>
        <w:tc>
          <w:tcPr>
            <w:tcW w:w="2551" w:type="dxa"/>
            <w:vAlign w:val="center"/>
          </w:tcPr>
          <w:p>
            <w:pPr>
              <w:pStyle w:val="11"/>
            </w:pPr>
            <w:r>
              <w:t>87.87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1.54</w:t>
            </w:r>
          </w:p>
        </w:tc>
        <w:tc>
          <w:tcPr>
            <w:tcW w:w="2551" w:type="dxa"/>
            <w:vAlign w:val="center"/>
          </w:tcPr>
          <w:p>
            <w:pPr>
              <w:pStyle w:val="11"/>
            </w:pPr>
          </w:p>
        </w:tc>
        <w:tc>
          <w:tcPr>
            <w:tcW w:w="2551" w:type="dxa"/>
            <w:vAlign w:val="center"/>
          </w:tcPr>
          <w:p>
            <w:pPr>
              <w:pStyle w:val="11"/>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10.74</w:t>
            </w:r>
          </w:p>
        </w:tc>
        <w:tc>
          <w:tcPr>
            <w:tcW w:w="2551" w:type="dxa"/>
            <w:vAlign w:val="center"/>
          </w:tcPr>
          <w:p>
            <w:pPr>
              <w:pStyle w:val="11"/>
            </w:pPr>
          </w:p>
        </w:tc>
        <w:tc>
          <w:tcPr>
            <w:tcW w:w="2551" w:type="dxa"/>
            <w:vAlign w:val="center"/>
          </w:tcPr>
          <w:p>
            <w:pPr>
              <w:pStyle w:val="11"/>
            </w:pPr>
            <w:r>
              <w:t>10.74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5.79</w:t>
            </w:r>
          </w:p>
        </w:tc>
        <w:tc>
          <w:tcPr>
            <w:tcW w:w="2551" w:type="dxa"/>
            <w:vAlign w:val="center"/>
          </w:tcPr>
          <w:p>
            <w:pPr>
              <w:pStyle w:val="11"/>
            </w:pPr>
          </w:p>
        </w:tc>
        <w:tc>
          <w:tcPr>
            <w:tcW w:w="2551" w:type="dxa"/>
            <w:vAlign w:val="center"/>
          </w:tcPr>
          <w:p>
            <w:pPr>
              <w:pStyle w:val="11"/>
            </w:pPr>
            <w:r>
              <w:t>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112.12</w:t>
            </w:r>
          </w:p>
        </w:tc>
        <w:tc>
          <w:tcPr>
            <w:tcW w:w="2551" w:type="dxa"/>
            <w:vAlign w:val="center"/>
          </w:tcPr>
          <w:p>
            <w:pPr>
              <w:pStyle w:val="11"/>
            </w:pPr>
            <w:r>
              <w:t>112.12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110.00</w:t>
            </w:r>
          </w:p>
        </w:tc>
        <w:tc>
          <w:tcPr>
            <w:tcW w:w="2551" w:type="dxa"/>
            <w:vAlign w:val="center"/>
          </w:tcPr>
          <w:p>
            <w:pPr>
              <w:pStyle w:val="11"/>
            </w:pPr>
            <w:r>
              <w:t>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2.11</w:t>
            </w:r>
          </w:p>
        </w:tc>
        <w:tc>
          <w:tcPr>
            <w:tcW w:w="2551" w:type="dxa"/>
            <w:vAlign w:val="center"/>
          </w:tcPr>
          <w:p>
            <w:pPr>
              <w:pStyle w:val="11"/>
            </w:pPr>
            <w:r>
              <w:t>2.11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3467.78</w:t>
            </w:r>
          </w:p>
        </w:tc>
        <w:tc>
          <w:tcPr>
            <w:tcW w:w="2551" w:type="dxa"/>
            <w:vAlign w:val="center"/>
          </w:tcPr>
          <w:p>
            <w:pPr>
              <w:pStyle w:val="15"/>
            </w:pPr>
          </w:p>
        </w:tc>
        <w:tc>
          <w:tcPr>
            <w:tcW w:w="2551" w:type="dxa"/>
            <w:vAlign w:val="center"/>
          </w:tcPr>
          <w:p>
            <w:pPr>
              <w:pStyle w:val="15"/>
            </w:pPr>
            <w:r>
              <w:t>3467.78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3454.19</w:t>
            </w:r>
          </w:p>
        </w:tc>
        <w:tc>
          <w:tcPr>
            <w:tcW w:w="2551" w:type="dxa"/>
            <w:vAlign w:val="center"/>
          </w:tcPr>
          <w:p>
            <w:pPr>
              <w:pStyle w:val="11"/>
            </w:pPr>
          </w:p>
        </w:tc>
        <w:tc>
          <w:tcPr>
            <w:tcW w:w="2551" w:type="dxa"/>
            <w:vAlign w:val="center"/>
          </w:tcPr>
          <w:p>
            <w:pPr>
              <w:pStyle w:val="11"/>
            </w:pPr>
            <w:r>
              <w:t>3454.19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1329.91</w:t>
            </w:r>
          </w:p>
        </w:tc>
        <w:tc>
          <w:tcPr>
            <w:tcW w:w="2551" w:type="dxa"/>
            <w:vAlign w:val="center"/>
          </w:tcPr>
          <w:p>
            <w:pPr>
              <w:pStyle w:val="11"/>
            </w:pPr>
          </w:p>
        </w:tc>
        <w:tc>
          <w:tcPr>
            <w:tcW w:w="2551" w:type="dxa"/>
            <w:vAlign w:val="center"/>
          </w:tcPr>
          <w:p>
            <w:pPr>
              <w:pStyle w:val="11"/>
            </w:pPr>
            <w:r>
              <w:t>1329.91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1329.91</w:t>
            </w:r>
          </w:p>
        </w:tc>
        <w:tc>
          <w:tcPr>
            <w:tcW w:w="2551" w:type="dxa"/>
            <w:vAlign w:val="center"/>
          </w:tcPr>
          <w:p>
            <w:pPr>
              <w:pStyle w:val="11"/>
            </w:pPr>
          </w:p>
        </w:tc>
        <w:tc>
          <w:tcPr>
            <w:tcW w:w="2551" w:type="dxa"/>
            <w:vAlign w:val="center"/>
          </w:tcPr>
          <w:p>
            <w:pPr>
              <w:pStyle w:val="11"/>
            </w:pPr>
            <w:r>
              <w:t>1329.91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21216</w:t>
            </w:r>
          </w:p>
        </w:tc>
        <w:tc>
          <w:tcPr>
            <w:tcW w:w="4535" w:type="dxa"/>
            <w:vAlign w:val="center"/>
          </w:tcPr>
          <w:p>
            <w:pPr>
              <w:pStyle w:val="12"/>
            </w:pPr>
            <w:r>
              <w:t>棚户区改造专项债券收入安排的支出</w:t>
            </w:r>
          </w:p>
        </w:tc>
        <w:tc>
          <w:tcPr>
            <w:tcW w:w="2551" w:type="dxa"/>
            <w:vAlign w:val="center"/>
          </w:tcPr>
          <w:p>
            <w:pPr>
              <w:pStyle w:val="11"/>
            </w:pPr>
            <w:r>
              <w:t>2115.00</w:t>
            </w:r>
          </w:p>
        </w:tc>
        <w:tc>
          <w:tcPr>
            <w:tcW w:w="2551" w:type="dxa"/>
            <w:vAlign w:val="center"/>
          </w:tcPr>
          <w:p>
            <w:pPr>
              <w:pStyle w:val="11"/>
            </w:pPr>
          </w:p>
        </w:tc>
        <w:tc>
          <w:tcPr>
            <w:tcW w:w="2551" w:type="dxa"/>
            <w:vAlign w:val="center"/>
          </w:tcPr>
          <w:p>
            <w:pPr>
              <w:pStyle w:val="11"/>
            </w:pPr>
            <w:r>
              <w:t>2115.00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2121699</w:t>
            </w:r>
          </w:p>
        </w:tc>
        <w:tc>
          <w:tcPr>
            <w:tcW w:w="4535" w:type="dxa"/>
            <w:vAlign w:val="center"/>
          </w:tcPr>
          <w:p>
            <w:pPr>
              <w:pStyle w:val="12"/>
            </w:pPr>
            <w:r>
              <w:t>其他棚户区改造专项债券收入安排的支出</w:t>
            </w:r>
          </w:p>
        </w:tc>
        <w:tc>
          <w:tcPr>
            <w:tcW w:w="2551" w:type="dxa"/>
            <w:vAlign w:val="center"/>
          </w:tcPr>
          <w:p>
            <w:pPr>
              <w:pStyle w:val="11"/>
            </w:pPr>
            <w:r>
              <w:t>2115.00</w:t>
            </w:r>
          </w:p>
        </w:tc>
        <w:tc>
          <w:tcPr>
            <w:tcW w:w="2551" w:type="dxa"/>
            <w:vAlign w:val="center"/>
          </w:tcPr>
          <w:p>
            <w:pPr>
              <w:pStyle w:val="11"/>
            </w:pPr>
          </w:p>
        </w:tc>
        <w:tc>
          <w:tcPr>
            <w:tcW w:w="2551" w:type="dxa"/>
            <w:vAlign w:val="center"/>
          </w:tcPr>
          <w:p>
            <w:pPr>
              <w:pStyle w:val="11"/>
            </w:pPr>
            <w:r>
              <w:t>2115.00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21298</w:t>
            </w:r>
          </w:p>
        </w:tc>
        <w:tc>
          <w:tcPr>
            <w:tcW w:w="4535" w:type="dxa"/>
            <w:vAlign w:val="center"/>
          </w:tcPr>
          <w:p>
            <w:pPr>
              <w:pStyle w:val="12"/>
            </w:pPr>
            <w:r>
              <w:t>超长期特别国债安排的支出</w:t>
            </w:r>
          </w:p>
        </w:tc>
        <w:tc>
          <w:tcPr>
            <w:tcW w:w="2551" w:type="dxa"/>
            <w:vAlign w:val="center"/>
          </w:tcPr>
          <w:p>
            <w:pPr>
              <w:pStyle w:val="11"/>
            </w:pPr>
            <w:r>
              <w:t>9.28</w:t>
            </w:r>
          </w:p>
        </w:tc>
        <w:tc>
          <w:tcPr>
            <w:tcW w:w="2551" w:type="dxa"/>
            <w:vAlign w:val="center"/>
          </w:tcPr>
          <w:p>
            <w:pPr>
              <w:pStyle w:val="11"/>
            </w:pPr>
          </w:p>
        </w:tc>
        <w:tc>
          <w:tcPr>
            <w:tcW w:w="2551" w:type="dxa"/>
            <w:vAlign w:val="center"/>
          </w:tcPr>
          <w:p>
            <w:pPr>
              <w:pStyle w:val="11"/>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2129801</w:t>
            </w:r>
          </w:p>
        </w:tc>
        <w:tc>
          <w:tcPr>
            <w:tcW w:w="4535" w:type="dxa"/>
            <w:vAlign w:val="center"/>
          </w:tcPr>
          <w:p>
            <w:pPr>
              <w:pStyle w:val="12"/>
            </w:pPr>
            <w:r>
              <w:t>城乡社区公共设施</w:t>
            </w:r>
          </w:p>
        </w:tc>
        <w:tc>
          <w:tcPr>
            <w:tcW w:w="2551" w:type="dxa"/>
            <w:vAlign w:val="center"/>
          </w:tcPr>
          <w:p>
            <w:pPr>
              <w:pStyle w:val="11"/>
            </w:pPr>
            <w:r>
              <w:t>9.28</w:t>
            </w:r>
          </w:p>
        </w:tc>
        <w:tc>
          <w:tcPr>
            <w:tcW w:w="2551" w:type="dxa"/>
            <w:vAlign w:val="center"/>
          </w:tcPr>
          <w:p>
            <w:pPr>
              <w:pStyle w:val="11"/>
            </w:pPr>
          </w:p>
        </w:tc>
        <w:tc>
          <w:tcPr>
            <w:tcW w:w="2551" w:type="dxa"/>
            <w:vAlign w:val="center"/>
          </w:tcPr>
          <w:p>
            <w:pPr>
              <w:pStyle w:val="11"/>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13.59</w:t>
            </w:r>
          </w:p>
        </w:tc>
        <w:tc>
          <w:tcPr>
            <w:tcW w:w="2551" w:type="dxa"/>
            <w:vAlign w:val="center"/>
          </w:tcPr>
          <w:p>
            <w:pPr>
              <w:pStyle w:val="11"/>
            </w:pPr>
          </w:p>
        </w:tc>
        <w:tc>
          <w:tcPr>
            <w:tcW w:w="2551" w:type="dxa"/>
            <w:vAlign w:val="center"/>
          </w:tcPr>
          <w:p>
            <w:pPr>
              <w:pStyle w:val="11"/>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13.59</w:t>
            </w:r>
          </w:p>
        </w:tc>
        <w:tc>
          <w:tcPr>
            <w:tcW w:w="2551" w:type="dxa"/>
            <w:vAlign w:val="center"/>
          </w:tcPr>
          <w:p>
            <w:pPr>
              <w:pStyle w:val="11"/>
            </w:pPr>
          </w:p>
        </w:tc>
        <w:tc>
          <w:tcPr>
            <w:tcW w:w="2551" w:type="dxa"/>
            <w:vAlign w:val="center"/>
          </w:tcPr>
          <w:p>
            <w:pPr>
              <w:pStyle w:val="11"/>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13.59</w:t>
            </w:r>
          </w:p>
        </w:tc>
        <w:tc>
          <w:tcPr>
            <w:tcW w:w="2551" w:type="dxa"/>
            <w:vAlign w:val="center"/>
          </w:tcPr>
          <w:p>
            <w:pPr>
              <w:pStyle w:val="11"/>
            </w:pPr>
          </w:p>
        </w:tc>
        <w:tc>
          <w:tcPr>
            <w:tcW w:w="2551" w:type="dxa"/>
            <w:vAlign w:val="center"/>
          </w:tcPr>
          <w:p>
            <w:pPr>
              <w:pStyle w:val="11"/>
            </w:pPr>
            <w:r>
              <w:t>13.59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石家庄市鹿泉区住房和城乡建设局本级2026年单位预算信息公开情况说明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按照《中华人民共和国预算法》、《地方预决算公开操作规程》和《关于进一步推进预算公开工作的实施意见》规定，现将石家庄市鹿泉区住房和城乡建设局本级2026年单位预算公开如下：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pStyle w:val="17"/>
      </w:pPr>
      <w:r>
        <w:t>（二）贯彻落实党中央、国务院和省、市、区关于城市管理相关工作的方针政策和法律法规。拟订城市管理中长期发展规划和年度计划并组织实施。</w:t>
      </w:r>
    </w:p>
    <w:p>
      <w:pPr>
        <w:pStyle w:val="17"/>
      </w:pPr>
      <w: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pStyle w:val="17"/>
      </w:pPr>
      <w:r>
        <w:t>(四)负责推进住房制度改革。贯彻落实住房政策，指导住房建设，推动住房制度改革；拟订住房建设发展规划并组织实施。</w:t>
      </w:r>
    </w:p>
    <w:p>
      <w:pPr>
        <w:pStyle w:val="17"/>
      </w:pPr>
      <w:r>
        <w:t>(五)负责全区房地产市场的监督管理。贯彻落实房地产市场调控政策并监督执行；落实上级房地产业行业发展规划、产业政策和房地产开发、房屋交易、房屋租赁、房地产估价与经纪管理的规章制度并监督实施。</w:t>
      </w:r>
    </w:p>
    <w:p>
      <w:pPr>
        <w:pStyle w:val="17"/>
      </w:pPr>
      <w:r>
        <w:t>(六)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pStyle w:val="17"/>
      </w:pPr>
      <w: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pStyle w:val="17"/>
      </w:pPr>
      <w:r>
        <w:t>(八)推进新型城镇化（国家新型城镇化综合试点）建设工作。</w:t>
      </w:r>
    </w:p>
    <w:p>
      <w:pPr>
        <w:pStyle w:val="17"/>
      </w:pPr>
      <w: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pStyle w:val="17"/>
      </w:pPr>
      <w: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pStyle w:val="17"/>
      </w:pPr>
      <w: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pStyle w:val="17"/>
      </w:pPr>
      <w: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pStyle w:val="17"/>
      </w:pPr>
      <w: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17"/>
      </w:pPr>
      <w:r>
        <w:t>(十四)负责全区污水处理及污水处理行业管理工作。</w:t>
      </w:r>
    </w:p>
    <w:p>
      <w:pPr>
        <w:pStyle w:val="17"/>
      </w:pPr>
      <w:r>
        <w:t>(十五)负责全区燃气行业管理工作。</w:t>
      </w:r>
    </w:p>
    <w:p>
      <w:pPr>
        <w:pStyle w:val="17"/>
      </w:pPr>
      <w:r>
        <w:t>(十六)负责城市建设档案监督管理工作。</w:t>
      </w:r>
    </w:p>
    <w:p>
      <w:pPr>
        <w:pStyle w:val="17"/>
      </w:pPr>
      <w:r>
        <w:t>(十七)负责直管公有住房的资产、售房款和售后维修资金的管理工作。会同有关部门做好支油、支铁建设协调工作。会同有关部门，做好城市建设行业涉及本部门的相关专业规划的编制和实施工作。</w:t>
      </w:r>
    </w:p>
    <w:p>
      <w:pPr>
        <w:pStyle w:val="17"/>
      </w:pPr>
      <w:r>
        <w:t>(十八)负责住房城乡建设行业信息采集、整理、统计、分析、发布等工作。</w:t>
      </w:r>
    </w:p>
    <w:p>
      <w:pPr>
        <w:pStyle w:val="17"/>
      </w:pPr>
      <w:r>
        <w:t>(十九)负责城区防汛工作。研究部署城区防汛工作，开展城区防汛宣传，提高全社会的防洪减灾意识，会同有关部门做好城区自然灾害应急处置工作。</w:t>
      </w:r>
    </w:p>
    <w:p>
      <w:pPr>
        <w:pStyle w:val="17"/>
      </w:pPr>
      <w:r>
        <w:t>(二十)实施范围内法律法规规章规定的行政处罚权有关的行政强制措施。</w:t>
      </w:r>
    </w:p>
    <w:p>
      <w:pPr>
        <w:pStyle w:val="17"/>
      </w:pPr>
      <w:r>
        <w:t>(二十一)完成区委、区政府交办的其他任务。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石家庄市鹿泉区住房和城乡建设局本级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16022.80万元，其中：一般公共预算收入10953.53万元，基金预算收入1329.91万元，国有资本经营预算收入0.00万元，财政专户核拨收入0.00万元，单位资金收入0.00万元，上年结转结余3739.36万元。</w:t>
      </w:r>
    </w:p>
    <w:p>
      <w:pPr>
        <w:pStyle w:val="18"/>
      </w:pPr>
      <w:r>
        <w:t>2、支出说明</w:t>
      </w:r>
    </w:p>
    <w:p>
      <w:pPr>
        <w:pStyle w:val="18"/>
      </w:pPr>
      <w:r>
        <w:t>收支预算总表支出栏、基本支出表、项目支出表按经济分类和支出功能分类科目编制，反映石家庄市鹿泉区住房和城乡建设局本级年度单位预算中支出预算的总体情况。2026年支出预算16022.80万元，其中基本支出521.21万元，包括人员经费383.21万元和日常公用经费138.00万元；项目支出15501.59万元，主要为基础设施建设项目资金等支出。</w:t>
      </w:r>
    </w:p>
    <w:p>
      <w:pPr>
        <w:pStyle w:val="18"/>
      </w:pPr>
      <w:r>
        <w:t>3、比上年增减情况</w:t>
      </w:r>
    </w:p>
    <w:p>
      <w:pPr>
        <w:pStyle w:val="18"/>
      </w:pPr>
      <w:r>
        <w:t>2026年预算收支安排16022.80万元，较2025年预算减少3766.98万元，其中：基本支出增加4.60万元，主要为人员变动增加。项目支出减少3771.58万元，主要为减少基础设施建设项目。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2026年，我单位机关运行经费共计安排138.00万元，主要用于日常维修、办公用房水电费、办公用房取暖费、办公用房物业管理费等日常运行支出。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5.40万元，其中因公出国（境）费0.00万元；公务用车购置及运维费5.40万元（其中：公务用车购置费为0.00万元，公务用车运维费5.40万元)；公务接待费0.00万元。与2025年相比增加0.00万元，增减变化的主要原因是与2025年相比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jc w:val="left"/>
        <w:outlineLvl w:val="5"/>
        <w:rPr>
          <w:rFonts w:ascii="黑体" w:hAnsi="黑体" w:eastAsia="黑体" w:cs="黑体"/>
          <w:color w:val="000000"/>
          <w:sz w:val="32"/>
        </w:rPr>
      </w:pPr>
    </w:p>
    <w:p>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1、2016-2020年农村自闭阀特殊补贴绩效目标表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13011026P00155110036D</w:t>
            </w:r>
          </w:p>
        </w:tc>
        <w:tc>
          <w:tcPr>
            <w:tcW w:w="2835" w:type="dxa"/>
            <w:vAlign w:val="center"/>
          </w:tcPr>
          <w:p>
            <w:pPr>
              <w:pStyle w:val="10"/>
            </w:pPr>
            <w:r>
              <w:t>项目名称</w:t>
            </w:r>
          </w:p>
        </w:tc>
        <w:tc>
          <w:tcPr>
            <w:tcW w:w="6095" w:type="dxa"/>
            <w:gridSpan w:val="3"/>
            <w:vAlign w:val="center"/>
          </w:tcPr>
          <w:p>
            <w:pPr>
              <w:pStyle w:val="12"/>
            </w:pPr>
            <w:r>
              <w:t>2016-2020年农村自闭阀特殊补贴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0.43</w:t>
            </w:r>
          </w:p>
        </w:tc>
        <w:tc>
          <w:tcPr>
            <w:tcW w:w="2835" w:type="dxa"/>
            <w:vAlign w:val="center"/>
          </w:tcPr>
          <w:p>
            <w:pPr>
              <w:pStyle w:val="10"/>
            </w:pPr>
            <w:r>
              <w:t>其中：财政    资金</w:t>
            </w:r>
          </w:p>
        </w:tc>
        <w:tc>
          <w:tcPr>
            <w:tcW w:w="2551" w:type="dxa"/>
            <w:vAlign w:val="center"/>
          </w:tcPr>
          <w:p>
            <w:pPr>
              <w:pStyle w:val="12"/>
            </w:pPr>
            <w:r>
              <w:t>0.43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为特困农村气代煤用户1218户，加装具有自动切断功能的安全装置，强化燃气行业安全管理，坚决防范事故发生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1.为特困农村气代煤用户1218户，加装具有自动切断功能的安全装置，强化燃气行业安全管理，坚决防范事故发生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补助农村气代煤管道用气户</w:t>
            </w:r>
          </w:p>
        </w:tc>
        <w:tc>
          <w:tcPr>
            <w:tcW w:w="5386" w:type="dxa"/>
            <w:vAlign w:val="center"/>
          </w:tcPr>
          <w:p>
            <w:pPr>
              <w:pStyle w:val="12"/>
            </w:pPr>
            <w:r>
              <w:t>享受自闭阀补贴户数</w:t>
            </w:r>
          </w:p>
        </w:tc>
        <w:tc>
          <w:tcPr>
            <w:tcW w:w="2268" w:type="dxa"/>
            <w:vAlign w:val="center"/>
          </w:tcPr>
          <w:p>
            <w:pPr>
              <w:pStyle w:val="12"/>
            </w:pPr>
            <w:r>
              <w:t>1218户</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自闭阀安装补贴任务完成率</w:t>
            </w:r>
          </w:p>
        </w:tc>
        <w:tc>
          <w:tcPr>
            <w:tcW w:w="5386" w:type="dxa"/>
            <w:vAlign w:val="center"/>
          </w:tcPr>
          <w:p>
            <w:pPr>
              <w:pStyle w:val="12"/>
            </w:pPr>
            <w:r>
              <w:t xml:space="preserve">   已安装自闭阀用户占应安装完成率</w:t>
            </w:r>
          </w:p>
        </w:tc>
        <w:tc>
          <w:tcPr>
            <w:tcW w:w="2268" w:type="dxa"/>
            <w:vAlign w:val="center"/>
          </w:tcPr>
          <w:p>
            <w:pPr>
              <w:pStyle w:val="12"/>
            </w:pPr>
            <w:r>
              <w:t>100%</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自闭阀安装补贴标准</w:t>
            </w:r>
          </w:p>
        </w:tc>
        <w:tc>
          <w:tcPr>
            <w:tcW w:w="5386" w:type="dxa"/>
            <w:vAlign w:val="center"/>
          </w:tcPr>
          <w:p>
            <w:pPr>
              <w:pStyle w:val="12"/>
            </w:pPr>
            <w:r>
              <w:t xml:space="preserve">  对燃气用户安装自闭阀户均补贴</w:t>
            </w:r>
          </w:p>
        </w:tc>
        <w:tc>
          <w:tcPr>
            <w:tcW w:w="2268" w:type="dxa"/>
            <w:vAlign w:val="center"/>
          </w:tcPr>
          <w:p>
            <w:pPr>
              <w:pStyle w:val="12"/>
            </w:pPr>
            <w:r>
              <w:t>50元/户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安装发放自闭阀补贴时间</w:t>
            </w:r>
          </w:p>
          <w:p>
            <w:pPr>
              <w:pStyle w:val="12"/>
            </w:pPr>
          </w:p>
        </w:tc>
        <w:tc>
          <w:tcPr>
            <w:tcW w:w="5386" w:type="dxa"/>
            <w:vAlign w:val="center"/>
          </w:tcPr>
          <w:p>
            <w:pPr>
              <w:pStyle w:val="12"/>
            </w:pPr>
            <w:r>
              <w:t xml:space="preserve"> 按照文件资金补贴拨付程序</w:t>
            </w:r>
          </w:p>
        </w:tc>
        <w:tc>
          <w:tcPr>
            <w:tcW w:w="2268" w:type="dxa"/>
            <w:vAlign w:val="center"/>
          </w:tcPr>
          <w:p>
            <w:pPr>
              <w:pStyle w:val="12"/>
            </w:pPr>
            <w:r>
              <w:t xml:space="preserve"> 按照文件资金补贴拨付程序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农村气代煤自闭阀补贴受益户数</w:t>
            </w:r>
          </w:p>
        </w:tc>
        <w:tc>
          <w:tcPr>
            <w:tcW w:w="5386" w:type="dxa"/>
            <w:vAlign w:val="center"/>
          </w:tcPr>
          <w:p>
            <w:pPr>
              <w:pStyle w:val="12"/>
            </w:pPr>
            <w:r>
              <w:t>农村气代煤自闭阀补贴户数</w:t>
            </w:r>
          </w:p>
        </w:tc>
        <w:tc>
          <w:tcPr>
            <w:tcW w:w="2268" w:type="dxa"/>
            <w:vAlign w:val="center"/>
          </w:tcPr>
          <w:p>
            <w:pPr>
              <w:pStyle w:val="12"/>
            </w:pPr>
            <w:r>
              <w:t>1218户</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农村气代煤自闭阀使用时间保障约8年</w:t>
            </w:r>
          </w:p>
        </w:tc>
        <w:tc>
          <w:tcPr>
            <w:tcW w:w="5386" w:type="dxa"/>
            <w:vAlign w:val="center"/>
          </w:tcPr>
          <w:p>
            <w:pPr>
              <w:pStyle w:val="12"/>
            </w:pPr>
            <w:r>
              <w:t>农村气代煤自闭阀补贴受益户数保障约8年</w:t>
            </w:r>
          </w:p>
        </w:tc>
        <w:tc>
          <w:tcPr>
            <w:tcW w:w="2268" w:type="dxa"/>
            <w:vAlign w:val="center"/>
          </w:tcPr>
          <w:p>
            <w:pPr>
              <w:pStyle w:val="12"/>
            </w:pPr>
            <w:r>
              <w:t>≥8年</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2、2016-2020年双代用户2023-2024年运行补贴费用（旧欠）绩效目标表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13011026P001526100339</w:t>
            </w:r>
          </w:p>
        </w:tc>
        <w:tc>
          <w:tcPr>
            <w:tcW w:w="2835" w:type="dxa"/>
            <w:vAlign w:val="center"/>
          </w:tcPr>
          <w:p>
            <w:pPr>
              <w:pStyle w:val="10"/>
            </w:pPr>
            <w:r>
              <w:t>项目名称</w:t>
            </w:r>
          </w:p>
        </w:tc>
        <w:tc>
          <w:tcPr>
            <w:tcW w:w="6095" w:type="dxa"/>
            <w:gridSpan w:val="3"/>
            <w:vAlign w:val="center"/>
          </w:tcPr>
          <w:p>
            <w:pPr>
              <w:pStyle w:val="12"/>
            </w:pPr>
            <w:r>
              <w:t>2016-2020年双代用户2023-2024年运行补贴费用（旧欠）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2425.54</w:t>
            </w:r>
          </w:p>
        </w:tc>
        <w:tc>
          <w:tcPr>
            <w:tcW w:w="2835" w:type="dxa"/>
            <w:vAlign w:val="center"/>
          </w:tcPr>
          <w:p>
            <w:pPr>
              <w:pStyle w:val="10"/>
            </w:pPr>
            <w:r>
              <w:t>其中：财政    资金</w:t>
            </w:r>
          </w:p>
        </w:tc>
        <w:tc>
          <w:tcPr>
            <w:tcW w:w="2551" w:type="dxa"/>
            <w:vAlign w:val="center"/>
          </w:tcPr>
          <w:p>
            <w:pPr>
              <w:pStyle w:val="12"/>
            </w:pPr>
            <w:r>
              <w:t>2425.54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已经发放双代补贴占应补贴完成率</w:t>
            </w:r>
          </w:p>
        </w:tc>
        <w:tc>
          <w:tcPr>
            <w:tcW w:w="2268" w:type="dxa"/>
            <w:vAlign w:val="center"/>
          </w:tcPr>
          <w:p>
            <w:pPr>
              <w:pStyle w:val="12"/>
            </w:pPr>
            <w:r>
              <w:t>100%</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煤改气用户发放2023—2024年天然气用户均补贴标准</w:t>
            </w:r>
          </w:p>
        </w:tc>
        <w:tc>
          <w:tcPr>
            <w:tcW w:w="2268" w:type="dxa"/>
            <w:vAlign w:val="center"/>
          </w:tcPr>
          <w:p>
            <w:pPr>
              <w:pStyle w:val="12"/>
            </w:pPr>
            <w:r>
              <w:t>800元/户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煤改电用户发放2023—2024年煤改电用户均补贴标准</w:t>
            </w:r>
          </w:p>
        </w:tc>
        <w:tc>
          <w:tcPr>
            <w:tcW w:w="2268" w:type="dxa"/>
            <w:vAlign w:val="center"/>
          </w:tcPr>
          <w:p>
            <w:pPr>
              <w:pStyle w:val="12"/>
            </w:pPr>
            <w:r>
              <w:t>1000元/户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全区双代运行补贴户数</w:t>
            </w:r>
          </w:p>
        </w:tc>
        <w:tc>
          <w:tcPr>
            <w:tcW w:w="2268" w:type="dxa"/>
            <w:vAlign w:val="center"/>
          </w:tcPr>
          <w:p>
            <w:pPr>
              <w:pStyle w:val="12"/>
            </w:pPr>
            <w:r>
              <w:t>≤95385户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双代补贴户数</w:t>
            </w:r>
          </w:p>
        </w:tc>
        <w:tc>
          <w:tcPr>
            <w:tcW w:w="2268" w:type="dxa"/>
            <w:vAlign w:val="center"/>
          </w:tcPr>
          <w:p>
            <w:pPr>
              <w:pStyle w:val="12"/>
            </w:pPr>
            <w:r>
              <w:t>≤95385户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三年到期后，根据实际制定补贴政策</w:t>
            </w:r>
          </w:p>
        </w:tc>
        <w:tc>
          <w:tcPr>
            <w:tcW w:w="5386" w:type="dxa"/>
            <w:vAlign w:val="center"/>
          </w:tcPr>
          <w:p>
            <w:pPr>
              <w:pStyle w:val="12"/>
            </w:pPr>
            <w:r>
              <w:t>双代补贴户数</w:t>
            </w:r>
          </w:p>
        </w:tc>
        <w:tc>
          <w:tcPr>
            <w:tcW w:w="2268" w:type="dxa"/>
            <w:vAlign w:val="center"/>
          </w:tcPr>
          <w:p>
            <w:pPr>
              <w:pStyle w:val="12"/>
            </w:pPr>
            <w:r>
              <w:t>根据（石财建【2019】75号文件要求</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3、2024年度石家庄市鹿泉区城市体检项目绩效目标表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13011026P001556101847</w:t>
            </w:r>
          </w:p>
        </w:tc>
        <w:tc>
          <w:tcPr>
            <w:tcW w:w="2835" w:type="dxa"/>
            <w:vAlign w:val="center"/>
          </w:tcPr>
          <w:p>
            <w:pPr>
              <w:pStyle w:val="10"/>
            </w:pPr>
            <w:r>
              <w:t>项目名称</w:t>
            </w:r>
          </w:p>
        </w:tc>
        <w:tc>
          <w:tcPr>
            <w:tcW w:w="6095" w:type="dxa"/>
            <w:gridSpan w:val="3"/>
            <w:vAlign w:val="center"/>
          </w:tcPr>
          <w:p>
            <w:pPr>
              <w:pStyle w:val="12"/>
            </w:pPr>
            <w:r>
              <w:t>2024年度石家庄市鹿泉区城市体检项目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w:t>
            </w:r>
          </w:p>
        </w:tc>
        <w:tc>
          <w:tcPr>
            <w:tcW w:w="2835" w:type="dxa"/>
            <w:vAlign w:val="center"/>
          </w:tcPr>
          <w:p>
            <w:pPr>
              <w:pStyle w:val="10"/>
            </w:pPr>
            <w:r>
              <w:t>其中：财政    资金</w:t>
            </w:r>
          </w:p>
        </w:tc>
        <w:tc>
          <w:tcPr>
            <w:tcW w:w="2551" w:type="dxa"/>
            <w:vAlign w:val="center"/>
          </w:tcPr>
          <w:p>
            <w:pPr>
              <w:pStyle w:val="12"/>
            </w:pPr>
            <w:r>
              <w:t>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城市体检项目成本</w:t>
            </w:r>
          </w:p>
        </w:tc>
        <w:tc>
          <w:tcPr>
            <w:tcW w:w="5386" w:type="dxa"/>
            <w:vAlign w:val="center"/>
          </w:tcPr>
          <w:p>
            <w:pPr>
              <w:pStyle w:val="12"/>
            </w:pPr>
            <w:r>
              <w:t>城市体检项目总成本</w:t>
            </w:r>
          </w:p>
        </w:tc>
        <w:tc>
          <w:tcPr>
            <w:tcW w:w="2268" w:type="dxa"/>
            <w:vAlign w:val="center"/>
          </w:tcPr>
          <w:p>
            <w:pPr>
              <w:pStyle w:val="12"/>
            </w:pPr>
            <w:r>
              <w:t>65万元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城市体检项目验收合格率</w:t>
            </w:r>
          </w:p>
        </w:tc>
        <w:tc>
          <w:tcPr>
            <w:tcW w:w="5386" w:type="dxa"/>
            <w:vAlign w:val="center"/>
          </w:tcPr>
          <w:p>
            <w:pPr>
              <w:pStyle w:val="12"/>
            </w:pPr>
            <w:r>
              <w:t>通过专家评审验收通过比例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城市体检项目按时完成率</w:t>
            </w:r>
          </w:p>
        </w:tc>
        <w:tc>
          <w:tcPr>
            <w:tcW w:w="5386" w:type="dxa"/>
            <w:vAlign w:val="center"/>
          </w:tcPr>
          <w:p>
            <w:pPr>
              <w:pStyle w:val="12"/>
            </w:pPr>
            <w:r>
              <w:t>城市体检项目按时完成率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城市体检辖区和辖区建成区范围</w:t>
            </w:r>
          </w:p>
        </w:tc>
        <w:tc>
          <w:tcPr>
            <w:tcW w:w="5386" w:type="dxa"/>
            <w:vAlign w:val="center"/>
          </w:tcPr>
          <w:p>
            <w:pPr>
              <w:pStyle w:val="12"/>
            </w:pPr>
            <w:r>
              <w:t>辖区建成区面积41.93平方公里</w:t>
            </w:r>
          </w:p>
        </w:tc>
        <w:tc>
          <w:tcPr>
            <w:tcW w:w="2268" w:type="dxa"/>
            <w:vAlign w:val="center"/>
          </w:tcPr>
          <w:p>
            <w:pPr>
              <w:pStyle w:val="12"/>
            </w:pPr>
            <w:r>
              <w:t>41.93平方公里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推进绿色发展和提供人居环境质量</w:t>
            </w:r>
          </w:p>
        </w:tc>
        <w:tc>
          <w:tcPr>
            <w:tcW w:w="5386" w:type="dxa"/>
            <w:vAlign w:val="center"/>
          </w:tcPr>
          <w:p>
            <w:pPr>
              <w:pStyle w:val="12"/>
            </w:pPr>
            <w:r>
              <w:t>增强人民群众的幸福感、获得感、安全感</w:t>
            </w:r>
          </w:p>
        </w:tc>
        <w:tc>
          <w:tcPr>
            <w:tcW w:w="2268" w:type="dxa"/>
            <w:vAlign w:val="center"/>
          </w:tcPr>
          <w:p>
            <w:pPr>
              <w:pStyle w:val="12"/>
            </w:pPr>
            <w:r>
              <w:t>达到要求标准</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人民群众的满意程度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4、2025年度石家庄市鹿泉区城市体检项目绩效目标表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13011026P00155610185T</w:t>
            </w:r>
          </w:p>
        </w:tc>
        <w:tc>
          <w:tcPr>
            <w:tcW w:w="2835" w:type="dxa"/>
            <w:vAlign w:val="center"/>
          </w:tcPr>
          <w:p>
            <w:pPr>
              <w:pStyle w:val="10"/>
            </w:pPr>
            <w:r>
              <w:t>项目名称</w:t>
            </w:r>
          </w:p>
        </w:tc>
        <w:tc>
          <w:tcPr>
            <w:tcW w:w="6095" w:type="dxa"/>
            <w:gridSpan w:val="3"/>
            <w:vAlign w:val="center"/>
          </w:tcPr>
          <w:p>
            <w:pPr>
              <w:pStyle w:val="12"/>
            </w:pPr>
            <w:r>
              <w:t>2025年度石家庄市鹿泉区城市体检项目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3.48</w:t>
            </w:r>
          </w:p>
        </w:tc>
        <w:tc>
          <w:tcPr>
            <w:tcW w:w="2835" w:type="dxa"/>
            <w:vAlign w:val="center"/>
          </w:tcPr>
          <w:p>
            <w:pPr>
              <w:pStyle w:val="10"/>
            </w:pPr>
            <w:r>
              <w:t>其中：财政    资金</w:t>
            </w:r>
          </w:p>
        </w:tc>
        <w:tc>
          <w:tcPr>
            <w:tcW w:w="2551" w:type="dxa"/>
            <w:vAlign w:val="center"/>
          </w:tcPr>
          <w:p>
            <w:pPr>
              <w:pStyle w:val="12"/>
            </w:pPr>
            <w:r>
              <w:t>3.48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城市体检项目成本</w:t>
            </w:r>
          </w:p>
        </w:tc>
        <w:tc>
          <w:tcPr>
            <w:tcW w:w="5386" w:type="dxa"/>
            <w:vAlign w:val="center"/>
          </w:tcPr>
          <w:p>
            <w:pPr>
              <w:pStyle w:val="12"/>
            </w:pPr>
            <w:r>
              <w:t>城市体检项目总成本</w:t>
            </w:r>
          </w:p>
        </w:tc>
        <w:tc>
          <w:tcPr>
            <w:tcW w:w="2268" w:type="dxa"/>
            <w:vAlign w:val="center"/>
          </w:tcPr>
          <w:p>
            <w:pPr>
              <w:pStyle w:val="12"/>
            </w:pPr>
            <w:r>
              <w:t>50万元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城市体检项目验收合格率</w:t>
            </w:r>
          </w:p>
        </w:tc>
        <w:tc>
          <w:tcPr>
            <w:tcW w:w="5386" w:type="dxa"/>
            <w:vAlign w:val="center"/>
          </w:tcPr>
          <w:p>
            <w:pPr>
              <w:pStyle w:val="12"/>
            </w:pPr>
            <w:r>
              <w:t>通过专家评审验收通过比例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城市体检项目按时完成率</w:t>
            </w:r>
          </w:p>
        </w:tc>
        <w:tc>
          <w:tcPr>
            <w:tcW w:w="5386" w:type="dxa"/>
            <w:vAlign w:val="center"/>
          </w:tcPr>
          <w:p>
            <w:pPr>
              <w:pStyle w:val="12"/>
            </w:pPr>
            <w:r>
              <w:t>城市体检项目按时完成率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城市体检辖区和辖区建成区范围</w:t>
            </w:r>
          </w:p>
        </w:tc>
        <w:tc>
          <w:tcPr>
            <w:tcW w:w="5386" w:type="dxa"/>
            <w:vAlign w:val="center"/>
          </w:tcPr>
          <w:p>
            <w:pPr>
              <w:pStyle w:val="12"/>
            </w:pPr>
            <w:r>
              <w:t>辖区建成区面积46.96平方公里</w:t>
            </w:r>
          </w:p>
        </w:tc>
        <w:tc>
          <w:tcPr>
            <w:tcW w:w="2268" w:type="dxa"/>
            <w:vAlign w:val="center"/>
          </w:tcPr>
          <w:p>
            <w:pPr>
              <w:pStyle w:val="12"/>
            </w:pPr>
            <w:r>
              <w:t>46.96平方公里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推进绿色发展和提供人居环境质量</w:t>
            </w:r>
          </w:p>
        </w:tc>
        <w:tc>
          <w:tcPr>
            <w:tcW w:w="5386" w:type="dxa"/>
            <w:vAlign w:val="center"/>
          </w:tcPr>
          <w:p>
            <w:pPr>
              <w:pStyle w:val="12"/>
            </w:pPr>
            <w:r>
              <w:t>增强人民群众的幸福感、获得感、安全感</w:t>
            </w:r>
          </w:p>
        </w:tc>
        <w:tc>
          <w:tcPr>
            <w:tcW w:w="2268" w:type="dxa"/>
            <w:vAlign w:val="center"/>
          </w:tcPr>
          <w:p>
            <w:pPr>
              <w:pStyle w:val="12"/>
            </w:pPr>
            <w:r>
              <w:t>达到要求标准</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人民群众的满意程度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5、2025年重点区域扬尘污染防治网格工作经费绩效目标表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13011025P00000110468H</w:t>
            </w:r>
          </w:p>
        </w:tc>
        <w:tc>
          <w:tcPr>
            <w:tcW w:w="2835" w:type="dxa"/>
            <w:vAlign w:val="center"/>
          </w:tcPr>
          <w:p>
            <w:pPr>
              <w:pStyle w:val="10"/>
            </w:pPr>
            <w:r>
              <w:t>项目名称</w:t>
            </w:r>
          </w:p>
        </w:tc>
        <w:tc>
          <w:tcPr>
            <w:tcW w:w="6095" w:type="dxa"/>
            <w:gridSpan w:val="3"/>
            <w:vAlign w:val="center"/>
          </w:tcPr>
          <w:p>
            <w:pPr>
              <w:pStyle w:val="12"/>
            </w:pPr>
            <w:r>
              <w:t>2025年重点区域扬尘污染防治网格工作经费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15.49</w:t>
            </w:r>
          </w:p>
        </w:tc>
        <w:tc>
          <w:tcPr>
            <w:tcW w:w="2835" w:type="dxa"/>
            <w:vAlign w:val="center"/>
          </w:tcPr>
          <w:p>
            <w:pPr>
              <w:pStyle w:val="10"/>
            </w:pPr>
            <w:r>
              <w:t>其中：财政    资金</w:t>
            </w:r>
          </w:p>
        </w:tc>
        <w:tc>
          <w:tcPr>
            <w:tcW w:w="2551" w:type="dxa"/>
            <w:vAlign w:val="center"/>
          </w:tcPr>
          <w:p>
            <w:pPr>
              <w:pStyle w:val="12"/>
            </w:pPr>
            <w:r>
              <w:t>15.49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保障重点区域正常运行，有效减少扬尘污染。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1.保障重点区域正常运行，有效减少扬尘污染。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搭建工地网格数量</w:t>
            </w:r>
          </w:p>
        </w:tc>
        <w:tc>
          <w:tcPr>
            <w:tcW w:w="5386" w:type="dxa"/>
            <w:vAlign w:val="center"/>
          </w:tcPr>
          <w:p>
            <w:pPr>
              <w:pStyle w:val="12"/>
            </w:pPr>
            <w:r>
              <w:t>工地网格数量</w:t>
            </w:r>
          </w:p>
        </w:tc>
        <w:tc>
          <w:tcPr>
            <w:tcW w:w="2268" w:type="dxa"/>
            <w:vAlign w:val="center"/>
          </w:tcPr>
          <w:p>
            <w:pPr>
              <w:pStyle w:val="12"/>
            </w:pPr>
            <w:r>
              <w:t>237个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搭建其他网格数量</w:t>
            </w:r>
          </w:p>
        </w:tc>
        <w:tc>
          <w:tcPr>
            <w:tcW w:w="5386" w:type="dxa"/>
            <w:vAlign w:val="center"/>
          </w:tcPr>
          <w:p>
            <w:pPr>
              <w:pStyle w:val="12"/>
            </w:pPr>
            <w:r>
              <w:t>其他网格数量</w:t>
            </w:r>
          </w:p>
        </w:tc>
        <w:tc>
          <w:tcPr>
            <w:tcW w:w="2268" w:type="dxa"/>
            <w:vAlign w:val="center"/>
          </w:tcPr>
          <w:p>
            <w:pPr>
              <w:pStyle w:val="12"/>
            </w:pPr>
            <w:r>
              <w:t>276个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网格覆盖县区数量</w:t>
            </w:r>
          </w:p>
        </w:tc>
        <w:tc>
          <w:tcPr>
            <w:tcW w:w="5386" w:type="dxa"/>
            <w:vAlign w:val="center"/>
          </w:tcPr>
          <w:p>
            <w:pPr>
              <w:pStyle w:val="12"/>
            </w:pPr>
            <w:r>
              <w:t>覆盖区县</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网格员每日定期巡查次数</w:t>
            </w:r>
          </w:p>
        </w:tc>
        <w:tc>
          <w:tcPr>
            <w:tcW w:w="5386" w:type="dxa"/>
            <w:vAlign w:val="center"/>
          </w:tcPr>
          <w:p>
            <w:pPr>
              <w:pStyle w:val="12"/>
            </w:pPr>
            <w:r>
              <w:t>巡查次数</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落实工作积分机制</w:t>
            </w:r>
          </w:p>
        </w:tc>
        <w:tc>
          <w:tcPr>
            <w:tcW w:w="5386" w:type="dxa"/>
            <w:vAlign w:val="center"/>
          </w:tcPr>
          <w:p>
            <w:pPr>
              <w:pStyle w:val="12"/>
            </w:pPr>
            <w:r>
              <w:t>工作积分</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每月积分情况由县区核实后在规定时间上报的比率</w:t>
            </w:r>
          </w:p>
        </w:tc>
        <w:tc>
          <w:tcPr>
            <w:tcW w:w="5386" w:type="dxa"/>
            <w:vAlign w:val="center"/>
          </w:tcPr>
          <w:p>
            <w:pPr>
              <w:pStyle w:val="12"/>
            </w:pPr>
            <w:r>
              <w:t>规定时间上报</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每月支出成本</w:t>
            </w:r>
          </w:p>
        </w:tc>
        <w:tc>
          <w:tcPr>
            <w:tcW w:w="5386" w:type="dxa"/>
            <w:vAlign w:val="center"/>
          </w:tcPr>
          <w:p>
            <w:pPr>
              <w:pStyle w:val="12"/>
            </w:pPr>
            <w:r>
              <w:t>支出成本</w:t>
            </w:r>
          </w:p>
        </w:tc>
        <w:tc>
          <w:tcPr>
            <w:tcW w:w="2268" w:type="dxa"/>
            <w:vAlign w:val="center"/>
          </w:tcPr>
          <w:p>
            <w:pPr>
              <w:pStyle w:val="12"/>
            </w:pPr>
            <w:r>
              <w:t>按规定核算金额</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减少扬尘污染</w:t>
            </w:r>
          </w:p>
        </w:tc>
        <w:tc>
          <w:tcPr>
            <w:tcW w:w="5386" w:type="dxa"/>
            <w:vAlign w:val="center"/>
          </w:tcPr>
          <w:p>
            <w:pPr>
              <w:pStyle w:val="12"/>
            </w:pPr>
            <w:r>
              <w:t>减少扬尘污染</w:t>
            </w:r>
          </w:p>
        </w:tc>
        <w:tc>
          <w:tcPr>
            <w:tcW w:w="2268" w:type="dxa"/>
            <w:vAlign w:val="center"/>
          </w:tcPr>
          <w:p>
            <w:pPr>
              <w:pStyle w:val="12"/>
            </w:pPr>
            <w:r>
              <w:t>减少污染</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推进我区空气质量改善</w:t>
            </w:r>
          </w:p>
        </w:tc>
        <w:tc>
          <w:tcPr>
            <w:tcW w:w="5386" w:type="dxa"/>
            <w:vAlign w:val="center"/>
          </w:tcPr>
          <w:p>
            <w:pPr>
              <w:pStyle w:val="12"/>
            </w:pPr>
            <w:r>
              <w:t>推进空气质量</w:t>
            </w:r>
          </w:p>
        </w:tc>
        <w:tc>
          <w:tcPr>
            <w:tcW w:w="2268" w:type="dxa"/>
            <w:vAlign w:val="center"/>
          </w:tcPr>
          <w:p>
            <w:pPr>
              <w:pStyle w:val="12"/>
            </w:pPr>
            <w:r>
              <w:t>提高空气质量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6、2026年1-12月份重点区域扬尘污染防治网格工作经费绩效目标表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13011026P00000110496C</w:t>
            </w:r>
          </w:p>
        </w:tc>
        <w:tc>
          <w:tcPr>
            <w:tcW w:w="2835" w:type="dxa"/>
            <w:vAlign w:val="center"/>
          </w:tcPr>
          <w:p>
            <w:pPr>
              <w:pStyle w:val="10"/>
            </w:pPr>
            <w:r>
              <w:t>项目名称</w:t>
            </w:r>
          </w:p>
        </w:tc>
        <w:tc>
          <w:tcPr>
            <w:tcW w:w="6095" w:type="dxa"/>
            <w:gridSpan w:val="3"/>
            <w:vAlign w:val="center"/>
          </w:tcPr>
          <w:p>
            <w:pPr>
              <w:pStyle w:val="12"/>
            </w:pPr>
            <w:r>
              <w:t>2026年1-12月份重点区域扬尘污染防治网格工作经费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7.20</w:t>
            </w:r>
          </w:p>
        </w:tc>
        <w:tc>
          <w:tcPr>
            <w:tcW w:w="2835" w:type="dxa"/>
            <w:vAlign w:val="center"/>
          </w:tcPr>
          <w:p>
            <w:pPr>
              <w:pStyle w:val="10"/>
            </w:pPr>
            <w:r>
              <w:t>其中：财政    资金</w:t>
            </w:r>
          </w:p>
        </w:tc>
        <w:tc>
          <w:tcPr>
            <w:tcW w:w="2551" w:type="dxa"/>
            <w:vAlign w:val="center"/>
          </w:tcPr>
          <w:p>
            <w:pPr>
              <w:pStyle w:val="12"/>
            </w:pPr>
            <w:r>
              <w:t>7.20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保障重点区域正常运行，有效减少扬尘污染。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1.保障重点区域正常运行，有效减少扬尘污染。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搭建工地网格数量</w:t>
            </w:r>
          </w:p>
        </w:tc>
        <w:tc>
          <w:tcPr>
            <w:tcW w:w="5386" w:type="dxa"/>
            <w:vAlign w:val="center"/>
          </w:tcPr>
          <w:p>
            <w:pPr>
              <w:pStyle w:val="12"/>
            </w:pPr>
            <w:r>
              <w:t>工地网格数量</w:t>
            </w:r>
          </w:p>
        </w:tc>
        <w:tc>
          <w:tcPr>
            <w:tcW w:w="2268" w:type="dxa"/>
            <w:vAlign w:val="center"/>
          </w:tcPr>
          <w:p>
            <w:pPr>
              <w:pStyle w:val="12"/>
            </w:pPr>
            <w:r>
              <w:t>4个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网格覆盖县区数量</w:t>
            </w:r>
          </w:p>
        </w:tc>
        <w:tc>
          <w:tcPr>
            <w:tcW w:w="5386" w:type="dxa"/>
            <w:vAlign w:val="center"/>
          </w:tcPr>
          <w:p>
            <w:pPr>
              <w:pStyle w:val="12"/>
            </w:pPr>
            <w:r>
              <w:t>覆盖区县</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网格员每日定期巡查次数</w:t>
            </w:r>
          </w:p>
        </w:tc>
        <w:tc>
          <w:tcPr>
            <w:tcW w:w="5386" w:type="dxa"/>
            <w:vAlign w:val="center"/>
          </w:tcPr>
          <w:p>
            <w:pPr>
              <w:pStyle w:val="12"/>
            </w:pPr>
            <w:r>
              <w:t>巡查次数</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落实工作积分机制</w:t>
            </w:r>
          </w:p>
        </w:tc>
        <w:tc>
          <w:tcPr>
            <w:tcW w:w="5386" w:type="dxa"/>
            <w:vAlign w:val="center"/>
          </w:tcPr>
          <w:p>
            <w:pPr>
              <w:pStyle w:val="12"/>
            </w:pPr>
            <w:r>
              <w:t>工作积分</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每月积分情况由县区核实后在规定时间上报的比率</w:t>
            </w:r>
          </w:p>
        </w:tc>
        <w:tc>
          <w:tcPr>
            <w:tcW w:w="5386" w:type="dxa"/>
            <w:vAlign w:val="center"/>
          </w:tcPr>
          <w:p>
            <w:pPr>
              <w:pStyle w:val="12"/>
            </w:pPr>
            <w:r>
              <w:t>规定时间上报</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每月支出成本</w:t>
            </w:r>
          </w:p>
        </w:tc>
        <w:tc>
          <w:tcPr>
            <w:tcW w:w="5386" w:type="dxa"/>
            <w:vAlign w:val="center"/>
          </w:tcPr>
          <w:p>
            <w:pPr>
              <w:pStyle w:val="12"/>
            </w:pPr>
            <w:r>
              <w:t>支出成本</w:t>
            </w:r>
          </w:p>
        </w:tc>
        <w:tc>
          <w:tcPr>
            <w:tcW w:w="2268" w:type="dxa"/>
            <w:vAlign w:val="center"/>
          </w:tcPr>
          <w:p>
            <w:pPr>
              <w:pStyle w:val="12"/>
            </w:pPr>
            <w:r>
              <w:t>按规定核算金额</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减少扬尘污染</w:t>
            </w:r>
          </w:p>
        </w:tc>
        <w:tc>
          <w:tcPr>
            <w:tcW w:w="5386" w:type="dxa"/>
            <w:vAlign w:val="center"/>
          </w:tcPr>
          <w:p>
            <w:pPr>
              <w:pStyle w:val="12"/>
            </w:pPr>
            <w:r>
              <w:t>减少扬尘污染</w:t>
            </w:r>
          </w:p>
        </w:tc>
        <w:tc>
          <w:tcPr>
            <w:tcW w:w="2268" w:type="dxa"/>
            <w:vAlign w:val="center"/>
          </w:tcPr>
          <w:p>
            <w:pPr>
              <w:pStyle w:val="12"/>
            </w:pPr>
            <w:r>
              <w:t>减少污染</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推进我区空气质量改善</w:t>
            </w:r>
          </w:p>
        </w:tc>
        <w:tc>
          <w:tcPr>
            <w:tcW w:w="5386" w:type="dxa"/>
            <w:vAlign w:val="center"/>
          </w:tcPr>
          <w:p>
            <w:pPr>
              <w:pStyle w:val="12"/>
            </w:pPr>
            <w:r>
              <w:t>推进空气质量</w:t>
            </w:r>
          </w:p>
        </w:tc>
        <w:tc>
          <w:tcPr>
            <w:tcW w:w="2268" w:type="dxa"/>
            <w:vAlign w:val="center"/>
          </w:tcPr>
          <w:p>
            <w:pPr>
              <w:pStyle w:val="12"/>
            </w:pPr>
            <w:r>
              <w:t>提高空气质量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7、2026年城镇居民自闭阀安装补贴（旧欠）绩效目标表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13011026P00155110031B</w:t>
            </w:r>
          </w:p>
        </w:tc>
        <w:tc>
          <w:tcPr>
            <w:tcW w:w="2835" w:type="dxa"/>
            <w:vAlign w:val="center"/>
          </w:tcPr>
          <w:p>
            <w:pPr>
              <w:pStyle w:val="10"/>
            </w:pPr>
            <w:r>
              <w:t>项目名称</w:t>
            </w:r>
          </w:p>
        </w:tc>
        <w:tc>
          <w:tcPr>
            <w:tcW w:w="6095" w:type="dxa"/>
            <w:gridSpan w:val="3"/>
            <w:vAlign w:val="center"/>
          </w:tcPr>
          <w:p>
            <w:pPr>
              <w:pStyle w:val="12"/>
            </w:pPr>
            <w:r>
              <w:t>2026年城镇居民自闭阀安装补贴（旧欠）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8.70</w:t>
            </w:r>
          </w:p>
        </w:tc>
        <w:tc>
          <w:tcPr>
            <w:tcW w:w="2835" w:type="dxa"/>
            <w:vAlign w:val="center"/>
          </w:tcPr>
          <w:p>
            <w:pPr>
              <w:pStyle w:val="10"/>
            </w:pPr>
            <w:r>
              <w:t>其中：财政    资金</w:t>
            </w:r>
          </w:p>
        </w:tc>
        <w:tc>
          <w:tcPr>
            <w:tcW w:w="2551" w:type="dxa"/>
            <w:vAlign w:val="center"/>
          </w:tcPr>
          <w:p>
            <w:pPr>
              <w:pStyle w:val="12"/>
            </w:pPr>
            <w:r>
              <w:t>8.70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为全区域范围内城镇6.9896万户既有住宅和单位燃气用户加装具有自动切断功能的安全装置，强化燃气行业安全管理，坚决防范事故发生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1.为全区域范围内城镇6.9896万户既有住宅和单位燃气用户加装具有自动切断功能的安全装置，强化燃气行业安全管理，坚决防范事故发生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安装城镇既有管道燃气用户数量</w:t>
            </w:r>
          </w:p>
        </w:tc>
        <w:tc>
          <w:tcPr>
            <w:tcW w:w="5386" w:type="dxa"/>
            <w:vAlign w:val="center"/>
          </w:tcPr>
          <w:p>
            <w:pPr>
              <w:pStyle w:val="12"/>
            </w:pPr>
            <w:r>
              <w:t>享受自闭阀补贴户数</w:t>
            </w:r>
          </w:p>
        </w:tc>
        <w:tc>
          <w:tcPr>
            <w:tcW w:w="2268" w:type="dxa"/>
            <w:vAlign w:val="center"/>
          </w:tcPr>
          <w:p>
            <w:pPr>
              <w:pStyle w:val="12"/>
            </w:pPr>
            <w:r>
              <w:t>69896 户</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自闭阀安装补贴任务完成率</w:t>
            </w:r>
          </w:p>
        </w:tc>
        <w:tc>
          <w:tcPr>
            <w:tcW w:w="5386" w:type="dxa"/>
            <w:vAlign w:val="center"/>
          </w:tcPr>
          <w:p>
            <w:pPr>
              <w:pStyle w:val="12"/>
            </w:pPr>
            <w:r>
              <w:t>已安装自闭阀用户占应安装完成率</w:t>
            </w:r>
          </w:p>
        </w:tc>
        <w:tc>
          <w:tcPr>
            <w:tcW w:w="2268" w:type="dxa"/>
            <w:vAlign w:val="center"/>
          </w:tcPr>
          <w:p>
            <w:pPr>
              <w:pStyle w:val="12"/>
            </w:pPr>
            <w:r>
              <w:t>100%</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安装发放自闭阀时间</w:t>
            </w:r>
          </w:p>
        </w:tc>
        <w:tc>
          <w:tcPr>
            <w:tcW w:w="5386" w:type="dxa"/>
            <w:vAlign w:val="center"/>
          </w:tcPr>
          <w:p>
            <w:pPr>
              <w:pStyle w:val="12"/>
            </w:pPr>
            <w:r>
              <w:t xml:space="preserve"> 安装发放自闭阀时间</w:t>
            </w:r>
          </w:p>
        </w:tc>
        <w:tc>
          <w:tcPr>
            <w:tcW w:w="2268" w:type="dxa"/>
            <w:vAlign w:val="center"/>
          </w:tcPr>
          <w:p>
            <w:pPr>
              <w:pStyle w:val="12"/>
            </w:pPr>
            <w:r>
              <w:t>及时安装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自闭阀安装补贴标准</w:t>
            </w:r>
          </w:p>
        </w:tc>
        <w:tc>
          <w:tcPr>
            <w:tcW w:w="5386" w:type="dxa"/>
            <w:vAlign w:val="center"/>
          </w:tcPr>
          <w:p>
            <w:pPr>
              <w:pStyle w:val="12"/>
            </w:pPr>
            <w:r>
              <w:t>对城镇燃气用户安装自闭阀户均补贴</w:t>
            </w:r>
          </w:p>
        </w:tc>
        <w:tc>
          <w:tcPr>
            <w:tcW w:w="2268" w:type="dxa"/>
            <w:vAlign w:val="center"/>
          </w:tcPr>
          <w:p>
            <w:pPr>
              <w:pStyle w:val="12"/>
            </w:pPr>
            <w:r>
              <w:t xml:space="preserve"> 元/户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城镇自闭阀补贴受益户数</w:t>
            </w:r>
          </w:p>
        </w:tc>
        <w:tc>
          <w:tcPr>
            <w:tcW w:w="5386" w:type="dxa"/>
            <w:vAlign w:val="center"/>
          </w:tcPr>
          <w:p>
            <w:pPr>
              <w:pStyle w:val="12"/>
            </w:pPr>
            <w:r>
              <w:t>城镇自闭阀补贴户数</w:t>
            </w:r>
          </w:p>
        </w:tc>
        <w:tc>
          <w:tcPr>
            <w:tcW w:w="2268" w:type="dxa"/>
            <w:vAlign w:val="center"/>
          </w:tcPr>
          <w:p>
            <w:pPr>
              <w:pStyle w:val="12"/>
            </w:pPr>
            <w:r>
              <w:t>69896 户</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城镇自闭阀使用时间保障约8年</w:t>
            </w:r>
          </w:p>
        </w:tc>
        <w:tc>
          <w:tcPr>
            <w:tcW w:w="5386" w:type="dxa"/>
            <w:vAlign w:val="center"/>
          </w:tcPr>
          <w:p>
            <w:pPr>
              <w:pStyle w:val="12"/>
            </w:pPr>
            <w:r>
              <w:t>城镇自闭阀补贴受益户数保障约8年</w:t>
            </w:r>
          </w:p>
        </w:tc>
        <w:tc>
          <w:tcPr>
            <w:tcW w:w="2268" w:type="dxa"/>
            <w:vAlign w:val="center"/>
          </w:tcPr>
          <w:p>
            <w:pPr>
              <w:pStyle w:val="12"/>
            </w:pPr>
            <w:r>
              <w:t>8年</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 xml:space="preserve"> 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8、2026年传统村落保护利用专项规划编制绩效目标表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13011026P00160610011K</w:t>
            </w:r>
          </w:p>
        </w:tc>
        <w:tc>
          <w:tcPr>
            <w:tcW w:w="2835" w:type="dxa"/>
            <w:vAlign w:val="center"/>
          </w:tcPr>
          <w:p>
            <w:pPr>
              <w:pStyle w:val="10"/>
            </w:pPr>
            <w:r>
              <w:t>项目名称</w:t>
            </w:r>
          </w:p>
        </w:tc>
        <w:tc>
          <w:tcPr>
            <w:tcW w:w="6095" w:type="dxa"/>
            <w:gridSpan w:val="3"/>
            <w:vAlign w:val="center"/>
          </w:tcPr>
          <w:p>
            <w:pPr>
              <w:pStyle w:val="12"/>
            </w:pPr>
            <w:r>
              <w:t>2026年传统村落保护利用专项规划编制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0.48</w:t>
            </w:r>
          </w:p>
        </w:tc>
        <w:tc>
          <w:tcPr>
            <w:tcW w:w="2835" w:type="dxa"/>
            <w:vAlign w:val="center"/>
          </w:tcPr>
          <w:p>
            <w:pPr>
              <w:pStyle w:val="10"/>
            </w:pPr>
            <w:r>
              <w:t>其中：财政    资金</w:t>
            </w:r>
          </w:p>
        </w:tc>
        <w:tc>
          <w:tcPr>
            <w:tcW w:w="2551" w:type="dxa"/>
            <w:vAlign w:val="center"/>
          </w:tcPr>
          <w:p>
            <w:pPr>
              <w:pStyle w:val="12"/>
            </w:pPr>
            <w:r>
              <w:t>0.48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完成2个传统村落保护规划，规划期至2035年的保护利用专项规划编制、修编和报批。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1.完成2个传统村落保护规划，规划期至2035年的保护利用专项规划编制、修编和报批。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专项规划编制完成时间</w:t>
            </w:r>
          </w:p>
        </w:tc>
        <w:tc>
          <w:tcPr>
            <w:tcW w:w="5386" w:type="dxa"/>
            <w:vAlign w:val="center"/>
          </w:tcPr>
          <w:p>
            <w:pPr>
              <w:pStyle w:val="12"/>
            </w:pPr>
            <w:r>
              <w:t>完成规划期至2035年的保护利用专项规划编制、修编和报批</w:t>
            </w:r>
          </w:p>
        </w:tc>
        <w:tc>
          <w:tcPr>
            <w:tcW w:w="2268" w:type="dxa"/>
            <w:vAlign w:val="center"/>
          </w:tcPr>
          <w:p>
            <w:pPr>
              <w:pStyle w:val="12"/>
            </w:pPr>
            <w:r>
              <w:t>2023年底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涉及传统村落数量</w:t>
            </w:r>
          </w:p>
        </w:tc>
        <w:tc>
          <w:tcPr>
            <w:tcW w:w="5386" w:type="dxa"/>
            <w:vAlign w:val="center"/>
          </w:tcPr>
          <w:p>
            <w:pPr>
              <w:pStyle w:val="12"/>
            </w:pPr>
            <w:r>
              <w:t>按我区传统村落数量完成规划编制、修编</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专项编制实用率</w:t>
            </w:r>
          </w:p>
        </w:tc>
        <w:tc>
          <w:tcPr>
            <w:tcW w:w="5386" w:type="dxa"/>
            <w:vAlign w:val="center"/>
          </w:tcPr>
          <w:p>
            <w:pPr>
              <w:pStyle w:val="12"/>
            </w:pPr>
            <w:r>
              <w:t>编制规划对传统村落的保护和利用效果</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完成专项编制、修编成本</w:t>
            </w:r>
          </w:p>
        </w:tc>
        <w:tc>
          <w:tcPr>
            <w:tcW w:w="5386" w:type="dxa"/>
            <w:vAlign w:val="center"/>
          </w:tcPr>
          <w:p>
            <w:pPr>
              <w:pStyle w:val="12"/>
            </w:pPr>
            <w:r>
              <w:t>完成传统村落保护利用专项编制、修编所需费用</w:t>
            </w:r>
          </w:p>
        </w:tc>
        <w:tc>
          <w:tcPr>
            <w:tcW w:w="2268" w:type="dxa"/>
            <w:vAlign w:val="center"/>
          </w:tcPr>
          <w:p>
            <w:pPr>
              <w:pStyle w:val="12"/>
            </w:pPr>
            <w:r>
              <w:t>8.6万元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传统村落利用保护数量</w:t>
            </w:r>
          </w:p>
        </w:tc>
        <w:tc>
          <w:tcPr>
            <w:tcW w:w="5386" w:type="dxa"/>
            <w:vAlign w:val="center"/>
          </w:tcPr>
          <w:p>
            <w:pPr>
              <w:pStyle w:val="12"/>
            </w:pPr>
            <w:r>
              <w:t>涉及我区两个传统村落</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项目持续发挥作用时间</w:t>
            </w:r>
          </w:p>
        </w:tc>
        <w:tc>
          <w:tcPr>
            <w:tcW w:w="5386" w:type="dxa"/>
            <w:vAlign w:val="center"/>
          </w:tcPr>
          <w:p>
            <w:pPr>
              <w:pStyle w:val="12"/>
            </w:pPr>
            <w:r>
              <w:t>传统村落专项规划编制、修编可持续期限</w:t>
            </w:r>
          </w:p>
        </w:tc>
        <w:tc>
          <w:tcPr>
            <w:tcW w:w="2268" w:type="dxa"/>
            <w:vAlign w:val="center"/>
          </w:tcPr>
          <w:p>
            <w:pPr>
              <w:pStyle w:val="12"/>
            </w:pPr>
            <w:r>
              <w:t>≥13年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改善人居环境</w:t>
            </w:r>
          </w:p>
        </w:tc>
        <w:tc>
          <w:tcPr>
            <w:tcW w:w="5386" w:type="dxa"/>
            <w:vAlign w:val="center"/>
          </w:tcPr>
          <w:p>
            <w:pPr>
              <w:pStyle w:val="12"/>
            </w:pPr>
            <w:r>
              <w:t>完善基础设施、保护非物质文化遗产</w:t>
            </w:r>
          </w:p>
        </w:tc>
        <w:tc>
          <w:tcPr>
            <w:tcW w:w="2268" w:type="dxa"/>
            <w:vAlign w:val="center"/>
          </w:tcPr>
          <w:p>
            <w:pPr>
              <w:pStyle w:val="12"/>
            </w:pPr>
            <w:r>
              <w:t>较以前年度显著改善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2个传统村落</w:t>
            </w:r>
          </w:p>
        </w:tc>
        <w:tc>
          <w:tcPr>
            <w:tcW w:w="5386" w:type="dxa"/>
            <w:vAlign w:val="center"/>
          </w:tcPr>
          <w:p>
            <w:pPr>
              <w:pStyle w:val="12"/>
            </w:pPr>
            <w:r>
              <w:t>我区两个传统村落对规划编制的满意度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9、2026年村级监管员工资绩效目标表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13011026P00155110030P</w:t>
            </w:r>
          </w:p>
        </w:tc>
        <w:tc>
          <w:tcPr>
            <w:tcW w:w="2835" w:type="dxa"/>
            <w:vAlign w:val="center"/>
          </w:tcPr>
          <w:p>
            <w:pPr>
              <w:pStyle w:val="10"/>
            </w:pPr>
            <w:r>
              <w:t>项目名称</w:t>
            </w:r>
          </w:p>
        </w:tc>
        <w:tc>
          <w:tcPr>
            <w:tcW w:w="6095" w:type="dxa"/>
            <w:gridSpan w:val="3"/>
            <w:vAlign w:val="center"/>
          </w:tcPr>
          <w:p>
            <w:pPr>
              <w:pStyle w:val="12"/>
            </w:pPr>
            <w:r>
              <w:t>2026年村级监管员工资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及时发放安全监管员补助，督促监管员日常巡查，坚决遏制各类安全生产事故的发生。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1.及时发放安全监管员补助，督促监管员日常巡查，坚决遏制各类安全生产事故的发生。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燃气安全协管员补助标准</w:t>
            </w:r>
          </w:p>
        </w:tc>
        <w:tc>
          <w:tcPr>
            <w:tcW w:w="5386" w:type="dxa"/>
            <w:vAlign w:val="center"/>
          </w:tcPr>
          <w:p>
            <w:pPr>
              <w:pStyle w:val="12"/>
            </w:pPr>
            <w:r>
              <w:t>实际发放采暖季燃气安全协管员补助标准</w:t>
            </w:r>
          </w:p>
        </w:tc>
        <w:tc>
          <w:tcPr>
            <w:tcW w:w="2268" w:type="dxa"/>
            <w:vAlign w:val="center"/>
          </w:tcPr>
          <w:p>
            <w:pPr>
              <w:pStyle w:val="12"/>
            </w:pPr>
            <w:r>
              <w:t>500月/人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燃气安全协管员人数</w:t>
            </w:r>
          </w:p>
        </w:tc>
        <w:tc>
          <w:tcPr>
            <w:tcW w:w="5386" w:type="dxa"/>
            <w:vAlign w:val="center"/>
          </w:tcPr>
          <w:p>
            <w:pPr>
              <w:pStyle w:val="12"/>
            </w:pPr>
            <w:r>
              <w:t>全区共实施煤改气项目201个村,按政策要求每村配置1-3名燃气安全协员</w:t>
            </w:r>
          </w:p>
        </w:tc>
        <w:tc>
          <w:tcPr>
            <w:tcW w:w="2268" w:type="dxa"/>
            <w:vAlign w:val="center"/>
          </w:tcPr>
          <w:p>
            <w:pPr>
              <w:pStyle w:val="12"/>
            </w:pPr>
            <w:r>
              <w:t>322名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安全隐患排查率</w:t>
            </w:r>
          </w:p>
        </w:tc>
        <w:tc>
          <w:tcPr>
            <w:tcW w:w="5386" w:type="dxa"/>
            <w:vAlign w:val="center"/>
          </w:tcPr>
          <w:p>
            <w:pPr>
              <w:pStyle w:val="12"/>
            </w:pPr>
            <w:r>
              <w:t>实际排查的隐患数量占发现数量的比例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巡检覆盖率</w:t>
            </w:r>
          </w:p>
        </w:tc>
        <w:tc>
          <w:tcPr>
            <w:tcW w:w="5386" w:type="dxa"/>
            <w:vAlign w:val="center"/>
          </w:tcPr>
          <w:p>
            <w:pPr>
              <w:pStyle w:val="12"/>
            </w:pPr>
            <w:r>
              <w:t>村级安全员及燃气公司协管员在非采暖季及采暖季期间每月对村里农户壁挂炉及燃气管道进行常规巡检，并建立台账，及时给农户解决问题</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燃气安全协管员补助标准</w:t>
            </w:r>
          </w:p>
        </w:tc>
        <w:tc>
          <w:tcPr>
            <w:tcW w:w="5386" w:type="dxa"/>
            <w:vAlign w:val="center"/>
          </w:tcPr>
          <w:p>
            <w:pPr>
              <w:pStyle w:val="12"/>
            </w:pPr>
            <w:r>
              <w:t>实际发放非采暖季燃气安全协管员补助标准</w:t>
            </w:r>
          </w:p>
        </w:tc>
        <w:tc>
          <w:tcPr>
            <w:tcW w:w="2268" w:type="dxa"/>
            <w:vAlign w:val="center"/>
          </w:tcPr>
          <w:p>
            <w:pPr>
              <w:pStyle w:val="12"/>
            </w:pPr>
            <w:r>
              <w:t>200月/人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能够长期较好地开展燃气安全巡查工作，保障燃气使用安全。</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巡管安全员满意度</w:t>
            </w:r>
          </w:p>
        </w:tc>
        <w:tc>
          <w:tcPr>
            <w:tcW w:w="5386" w:type="dxa"/>
            <w:vAlign w:val="center"/>
          </w:tcPr>
          <w:p>
            <w:pPr>
              <w:pStyle w:val="12"/>
            </w:pPr>
            <w:r>
              <w:t>对燃气管道巡视安全人员和较满意的人员人数</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10、2026年工程旧欠绩效目标表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13011026P00160610003Y</w:t>
            </w:r>
          </w:p>
        </w:tc>
        <w:tc>
          <w:tcPr>
            <w:tcW w:w="2835" w:type="dxa"/>
            <w:vAlign w:val="center"/>
          </w:tcPr>
          <w:p>
            <w:pPr>
              <w:pStyle w:val="10"/>
            </w:pPr>
            <w:r>
              <w:t>项目名称</w:t>
            </w:r>
          </w:p>
        </w:tc>
        <w:tc>
          <w:tcPr>
            <w:tcW w:w="6095" w:type="dxa"/>
            <w:gridSpan w:val="3"/>
            <w:vAlign w:val="center"/>
          </w:tcPr>
          <w:p>
            <w:pPr>
              <w:pStyle w:val="12"/>
            </w:pPr>
            <w:r>
              <w:t>2026年工程旧欠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46.97</w:t>
            </w:r>
          </w:p>
        </w:tc>
        <w:tc>
          <w:tcPr>
            <w:tcW w:w="2835" w:type="dxa"/>
            <w:vAlign w:val="center"/>
          </w:tcPr>
          <w:p>
            <w:pPr>
              <w:pStyle w:val="10"/>
            </w:pPr>
            <w:r>
              <w:t>其中：财政    资金</w:t>
            </w:r>
          </w:p>
        </w:tc>
        <w:tc>
          <w:tcPr>
            <w:tcW w:w="2551" w:type="dxa"/>
            <w:vAlign w:val="center"/>
          </w:tcPr>
          <w:p>
            <w:pPr>
              <w:pStyle w:val="12"/>
            </w:pPr>
            <w:r>
              <w:t>46.97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完成37个项目工程清欠，完善基础设施建设，提升城市形象。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1.完成37个项目工程清欠，完善基础设施建设，提升城市形象。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清理建设工程项目数</w:t>
            </w:r>
          </w:p>
        </w:tc>
        <w:tc>
          <w:tcPr>
            <w:tcW w:w="5386" w:type="dxa"/>
            <w:vAlign w:val="center"/>
          </w:tcPr>
          <w:p>
            <w:pPr>
              <w:pStyle w:val="12"/>
            </w:pPr>
            <w:r>
              <w:t>清理旧建设工程项目数量</w:t>
            </w:r>
          </w:p>
        </w:tc>
        <w:tc>
          <w:tcPr>
            <w:tcW w:w="2268" w:type="dxa"/>
            <w:vAlign w:val="center"/>
          </w:tcPr>
          <w:p>
            <w:pPr>
              <w:pStyle w:val="12"/>
            </w:pPr>
            <w:r>
              <w:t>37个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清欠工作完成率</w:t>
            </w:r>
          </w:p>
        </w:tc>
        <w:tc>
          <w:tcPr>
            <w:tcW w:w="5386" w:type="dxa"/>
            <w:vAlign w:val="center"/>
          </w:tcPr>
          <w:p>
            <w:pPr>
              <w:pStyle w:val="12"/>
            </w:pPr>
            <w:r>
              <w:t>清理工程旧欠完成占总旧欠工程德总量</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清欠工作完成及时率</w:t>
            </w:r>
          </w:p>
        </w:tc>
        <w:tc>
          <w:tcPr>
            <w:tcW w:w="5386" w:type="dxa"/>
            <w:vAlign w:val="center"/>
          </w:tcPr>
          <w:p>
            <w:pPr>
              <w:pStyle w:val="12"/>
            </w:pPr>
            <w:r>
              <w:t>清理完成的工作量占旧欠总工程量的比率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清欠项目成本</w:t>
            </w:r>
          </w:p>
        </w:tc>
        <w:tc>
          <w:tcPr>
            <w:tcW w:w="5386" w:type="dxa"/>
            <w:vAlign w:val="center"/>
          </w:tcPr>
          <w:p>
            <w:pPr>
              <w:pStyle w:val="12"/>
            </w:pPr>
            <w:r>
              <w:t>支付工程旧欠的金额</w:t>
            </w:r>
          </w:p>
        </w:tc>
        <w:tc>
          <w:tcPr>
            <w:tcW w:w="2268" w:type="dxa"/>
            <w:vAlign w:val="center"/>
          </w:tcPr>
          <w:p>
            <w:pPr>
              <w:pStyle w:val="12"/>
            </w:pPr>
            <w:r>
              <w:t>≤9387.02万元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清欠工作完成率</w:t>
            </w:r>
          </w:p>
        </w:tc>
        <w:tc>
          <w:tcPr>
            <w:tcW w:w="5386" w:type="dxa"/>
            <w:vAlign w:val="center"/>
          </w:tcPr>
          <w:p>
            <w:pPr>
              <w:pStyle w:val="12"/>
            </w:pPr>
            <w:r>
              <w:t>各项工作任务按时完成率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11、2026年光纤专线接入及监控平台维护绩效目标表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13011026P001505100141</w:t>
            </w:r>
          </w:p>
        </w:tc>
        <w:tc>
          <w:tcPr>
            <w:tcW w:w="2835" w:type="dxa"/>
            <w:vAlign w:val="center"/>
          </w:tcPr>
          <w:p>
            <w:pPr>
              <w:pStyle w:val="10"/>
            </w:pPr>
            <w:r>
              <w:t>项目名称</w:t>
            </w:r>
          </w:p>
        </w:tc>
        <w:tc>
          <w:tcPr>
            <w:tcW w:w="6095" w:type="dxa"/>
            <w:gridSpan w:val="3"/>
            <w:vAlign w:val="center"/>
          </w:tcPr>
          <w:p>
            <w:pPr>
              <w:pStyle w:val="12"/>
            </w:pPr>
            <w:r>
              <w:t>2026年光纤专线接入及监控平台维护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施工工地进行光纤宽带接入,提供高质量的互联网专线线路，保证监控系统通畅，通过每日巡查、监控及时发现扬尘不达标的问题，及时监督整改，达到“六个百分百”及“两个全覆盖”要求，减少扬尘大气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施工工地进行光纤宽带接入,提供高质量的互联网专线线路，保证监控系统通畅，通过每日巡查、监控及时发现扬尘不达标的问题，及时监督整改，达到“六个百分百”及“两个全覆盖”要求，减少扬尘大气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政务外网租赁成本</w:t>
            </w:r>
          </w:p>
        </w:tc>
        <w:tc>
          <w:tcPr>
            <w:tcW w:w="5386" w:type="dxa"/>
            <w:vAlign w:val="center"/>
          </w:tcPr>
          <w:p>
            <w:pPr>
              <w:pStyle w:val="12"/>
            </w:pPr>
            <w:r>
              <w:t>监控光纤政务外网费用</w:t>
            </w:r>
          </w:p>
        </w:tc>
        <w:tc>
          <w:tcPr>
            <w:tcW w:w="2268" w:type="dxa"/>
            <w:vAlign w:val="center"/>
          </w:tcPr>
          <w:p>
            <w:pPr>
              <w:pStyle w:val="12"/>
            </w:pPr>
            <w:r>
              <w:t>4.8万元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机房专线成本</w:t>
            </w:r>
          </w:p>
        </w:tc>
        <w:tc>
          <w:tcPr>
            <w:tcW w:w="5386" w:type="dxa"/>
            <w:vAlign w:val="center"/>
          </w:tcPr>
          <w:p>
            <w:pPr>
              <w:pStyle w:val="12"/>
            </w:pPr>
            <w:r>
              <w:t>机房专线费用</w:t>
            </w:r>
          </w:p>
        </w:tc>
        <w:tc>
          <w:tcPr>
            <w:tcW w:w="2268" w:type="dxa"/>
            <w:vAlign w:val="center"/>
          </w:tcPr>
          <w:p>
            <w:pPr>
              <w:pStyle w:val="12"/>
            </w:pPr>
            <w:r>
              <w:t>2.4万元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运维成本</w:t>
            </w:r>
          </w:p>
        </w:tc>
        <w:tc>
          <w:tcPr>
            <w:tcW w:w="5386" w:type="dxa"/>
            <w:vAlign w:val="center"/>
          </w:tcPr>
          <w:p>
            <w:pPr>
              <w:pStyle w:val="12"/>
            </w:pPr>
            <w:r>
              <w:t>监控运行维护费用</w:t>
            </w:r>
          </w:p>
        </w:tc>
        <w:tc>
          <w:tcPr>
            <w:tcW w:w="2268" w:type="dxa"/>
            <w:vAlign w:val="center"/>
          </w:tcPr>
          <w:p>
            <w:pPr>
              <w:pStyle w:val="12"/>
            </w:pPr>
            <w:r>
              <w:t>12万元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光纤租用量</w:t>
            </w:r>
          </w:p>
        </w:tc>
        <w:tc>
          <w:tcPr>
            <w:tcW w:w="5386" w:type="dxa"/>
            <w:vAlign w:val="center"/>
          </w:tcPr>
          <w:p>
            <w:pPr>
              <w:pStyle w:val="12"/>
            </w:pPr>
            <w:r>
              <w:t>租用的光纤的量</w:t>
            </w:r>
          </w:p>
        </w:tc>
        <w:tc>
          <w:tcPr>
            <w:tcW w:w="2268" w:type="dxa"/>
            <w:vAlign w:val="center"/>
          </w:tcPr>
          <w:p>
            <w:pPr>
              <w:pStyle w:val="12"/>
            </w:pPr>
            <w:r>
              <w:t>150条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光纤租赁成本</w:t>
            </w:r>
          </w:p>
        </w:tc>
        <w:tc>
          <w:tcPr>
            <w:tcW w:w="5386" w:type="dxa"/>
            <w:vAlign w:val="center"/>
          </w:tcPr>
          <w:p>
            <w:pPr>
              <w:pStyle w:val="12"/>
            </w:pPr>
            <w:r>
              <w:t>光纤租赁成本</w:t>
            </w:r>
          </w:p>
        </w:tc>
        <w:tc>
          <w:tcPr>
            <w:tcW w:w="2268" w:type="dxa"/>
            <w:vAlign w:val="center"/>
          </w:tcPr>
          <w:p>
            <w:pPr>
              <w:pStyle w:val="12"/>
            </w:pPr>
            <w:r>
              <w:t>400元/月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光纤故障率</w:t>
            </w:r>
          </w:p>
        </w:tc>
        <w:tc>
          <w:tcPr>
            <w:tcW w:w="5386" w:type="dxa"/>
            <w:vAlign w:val="center"/>
          </w:tcPr>
          <w:p>
            <w:pPr>
              <w:pStyle w:val="12"/>
            </w:pPr>
            <w:r>
              <w:t>光纤故障率</w:t>
            </w:r>
          </w:p>
        </w:tc>
        <w:tc>
          <w:tcPr>
            <w:tcW w:w="2268" w:type="dxa"/>
            <w:vAlign w:val="center"/>
          </w:tcPr>
          <w:p>
            <w:pPr>
              <w:pStyle w:val="12"/>
            </w:pPr>
            <w:r>
              <w:t>达到《电信服务质量标准》保证通信业务安全畅通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故障修复时限</w:t>
            </w:r>
          </w:p>
        </w:tc>
        <w:tc>
          <w:tcPr>
            <w:tcW w:w="5386" w:type="dxa"/>
            <w:vAlign w:val="center"/>
          </w:tcPr>
          <w:p>
            <w:pPr>
              <w:pStyle w:val="12"/>
            </w:pPr>
            <w:r>
              <w:t>出现故障后及时修复的时间</w:t>
            </w:r>
          </w:p>
        </w:tc>
        <w:tc>
          <w:tcPr>
            <w:tcW w:w="2268" w:type="dxa"/>
            <w:vAlign w:val="center"/>
          </w:tcPr>
          <w:p>
            <w:pPr>
              <w:pStyle w:val="12"/>
            </w:pPr>
            <w:r>
              <w:t>≤24小时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整改完成率</w:t>
            </w:r>
          </w:p>
        </w:tc>
        <w:tc>
          <w:tcPr>
            <w:tcW w:w="5386" w:type="dxa"/>
            <w:vAlign w:val="center"/>
          </w:tcPr>
          <w:p>
            <w:pPr>
              <w:pStyle w:val="12"/>
            </w:pPr>
            <w:r>
              <w:t>扬尘整改完成量占发现量的比例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施工过程达标情况</w:t>
            </w:r>
          </w:p>
        </w:tc>
        <w:tc>
          <w:tcPr>
            <w:tcW w:w="5386" w:type="dxa"/>
            <w:vAlign w:val="center"/>
          </w:tcPr>
          <w:p>
            <w:pPr>
              <w:pStyle w:val="12"/>
            </w:pPr>
            <w:r>
              <w:t>所有的施工现场达到的标准</w:t>
            </w:r>
          </w:p>
        </w:tc>
        <w:tc>
          <w:tcPr>
            <w:tcW w:w="2268" w:type="dxa"/>
            <w:vAlign w:val="center"/>
          </w:tcPr>
          <w:p>
            <w:pPr>
              <w:pStyle w:val="12"/>
            </w:pPr>
            <w:r>
              <w:t>“六个百分百”“两个全覆盖”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w:t>
            </w:r>
          </w:p>
        </w:tc>
        <w:tc>
          <w:tcPr>
            <w:tcW w:w="5386" w:type="dxa"/>
            <w:vAlign w:val="center"/>
          </w:tcPr>
          <w:p>
            <w:pPr>
              <w:pStyle w:val="12"/>
            </w:pPr>
            <w:r>
              <w:t>群众对建筑施工现场扬尘治理整体满意度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12、2026年居民用户加装物联网报警及切断装置项目绩效目标表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13011026P00155110035R</w:t>
            </w:r>
          </w:p>
        </w:tc>
        <w:tc>
          <w:tcPr>
            <w:tcW w:w="2835" w:type="dxa"/>
            <w:vAlign w:val="center"/>
          </w:tcPr>
          <w:p>
            <w:pPr>
              <w:pStyle w:val="10"/>
            </w:pPr>
            <w:r>
              <w:t>项目名称</w:t>
            </w:r>
          </w:p>
        </w:tc>
        <w:tc>
          <w:tcPr>
            <w:tcW w:w="6095" w:type="dxa"/>
            <w:gridSpan w:val="3"/>
            <w:vAlign w:val="center"/>
          </w:tcPr>
          <w:p>
            <w:pPr>
              <w:pStyle w:val="12"/>
            </w:pPr>
            <w:r>
              <w:t>2026年居民用户加装物联网报警及切断装置项目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2.75</w:t>
            </w:r>
          </w:p>
        </w:tc>
        <w:tc>
          <w:tcPr>
            <w:tcW w:w="2835" w:type="dxa"/>
            <w:vAlign w:val="center"/>
          </w:tcPr>
          <w:p>
            <w:pPr>
              <w:pStyle w:val="10"/>
            </w:pPr>
            <w:r>
              <w:t>其中：财政    资金</w:t>
            </w:r>
          </w:p>
        </w:tc>
        <w:tc>
          <w:tcPr>
            <w:tcW w:w="2551" w:type="dxa"/>
            <w:vAlign w:val="center"/>
          </w:tcPr>
          <w:p>
            <w:pPr>
              <w:pStyle w:val="12"/>
            </w:pPr>
            <w:r>
              <w:t>2.75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为切实提升液化气居民用户安全用气水平和燃气泄漏预警检测能力，从根本上预防和减少事故发生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1.为切实提升液化气居民用户安全用气水平和燃气泄漏预警检测能力，从根本上预防和减少事故发生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全区液化气居民户数</w:t>
            </w:r>
          </w:p>
        </w:tc>
        <w:tc>
          <w:tcPr>
            <w:tcW w:w="5386" w:type="dxa"/>
            <w:vAlign w:val="center"/>
          </w:tcPr>
          <w:p>
            <w:pPr>
              <w:pStyle w:val="12"/>
            </w:pPr>
            <w:r>
              <w:t>全区居民液化气使用户数</w:t>
            </w:r>
          </w:p>
        </w:tc>
        <w:tc>
          <w:tcPr>
            <w:tcW w:w="2268" w:type="dxa"/>
            <w:vAlign w:val="center"/>
          </w:tcPr>
          <w:p>
            <w:pPr>
              <w:pStyle w:val="12"/>
            </w:pPr>
            <w:r>
              <w:t>3823户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完成工作目标所需要资金</w:t>
            </w:r>
          </w:p>
          <w:p>
            <w:pPr>
              <w:pStyle w:val="12"/>
            </w:pPr>
          </w:p>
        </w:tc>
        <w:tc>
          <w:tcPr>
            <w:tcW w:w="5386" w:type="dxa"/>
            <w:vAlign w:val="center"/>
          </w:tcPr>
          <w:p>
            <w:pPr>
              <w:pStyle w:val="12"/>
            </w:pPr>
            <w:r>
              <w:t>完成工作目标所需要资金</w:t>
            </w:r>
          </w:p>
          <w:p>
            <w:pPr>
              <w:pStyle w:val="12"/>
            </w:pPr>
          </w:p>
        </w:tc>
        <w:tc>
          <w:tcPr>
            <w:tcW w:w="2268" w:type="dxa"/>
            <w:vAlign w:val="center"/>
          </w:tcPr>
          <w:p>
            <w:pPr>
              <w:pStyle w:val="12"/>
            </w:pPr>
            <w:r>
              <w:t>3.88万元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满意程度</w:t>
            </w:r>
          </w:p>
        </w:tc>
        <w:tc>
          <w:tcPr>
            <w:tcW w:w="5386" w:type="dxa"/>
            <w:vAlign w:val="center"/>
          </w:tcPr>
          <w:p>
            <w:pPr>
              <w:pStyle w:val="12"/>
            </w:pPr>
            <w:r>
              <w:t>满意程度</w:t>
            </w:r>
          </w:p>
        </w:tc>
        <w:tc>
          <w:tcPr>
            <w:tcW w:w="2268" w:type="dxa"/>
            <w:vAlign w:val="center"/>
          </w:tcPr>
          <w:p>
            <w:pPr>
              <w:pStyle w:val="12"/>
            </w:pPr>
            <w:r>
              <w:t>≥90%</w:t>
            </w:r>
          </w:p>
        </w:tc>
        <w:tc>
          <w:tcPr>
            <w:tcW w:w="1276" w:type="dxa"/>
            <w:vAlign w:val="center"/>
          </w:tcPr>
          <w:p>
            <w:pPr>
              <w:pStyle w:val="12"/>
            </w:pPr>
            <w:r>
              <w:t>走访调查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13、2026年局机关及科室工作经费绩效目标表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13011026P00001110055B</w:t>
            </w:r>
          </w:p>
        </w:tc>
        <w:tc>
          <w:tcPr>
            <w:tcW w:w="2835" w:type="dxa"/>
            <w:vAlign w:val="center"/>
          </w:tcPr>
          <w:p>
            <w:pPr>
              <w:pStyle w:val="10"/>
            </w:pPr>
            <w:r>
              <w:t>项目名称</w:t>
            </w:r>
          </w:p>
        </w:tc>
        <w:tc>
          <w:tcPr>
            <w:tcW w:w="6095" w:type="dxa"/>
            <w:gridSpan w:val="3"/>
            <w:vAlign w:val="center"/>
          </w:tcPr>
          <w:p>
            <w:pPr>
              <w:pStyle w:val="12"/>
            </w:pPr>
            <w:r>
              <w:t>2026年局机关及科室工作经费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用于弥补正常公用经费不足，维修维护办公楼内部环境，保障正常办公和单位形象。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1.用于弥补正常公用经费不足，维修维护办公楼内部环境，保障正常办公和单位形象。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≥100人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日常经费支出</w:t>
            </w:r>
          </w:p>
        </w:tc>
        <w:tc>
          <w:tcPr>
            <w:tcW w:w="5386" w:type="dxa"/>
            <w:vAlign w:val="center"/>
          </w:tcPr>
          <w:p>
            <w:pPr>
              <w:pStyle w:val="12"/>
            </w:pPr>
            <w:r>
              <w:t>办公费、水电费、维修维护费及其他费用的支出</w:t>
            </w:r>
          </w:p>
        </w:tc>
        <w:tc>
          <w:tcPr>
            <w:tcW w:w="2268" w:type="dxa"/>
            <w:vAlign w:val="center"/>
          </w:tcPr>
          <w:p>
            <w:pPr>
              <w:pStyle w:val="12"/>
            </w:pPr>
            <w:r>
              <w:t>按统一规定执行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保障日常需要维持单位正常运转</w:t>
            </w:r>
          </w:p>
        </w:tc>
        <w:tc>
          <w:tcPr>
            <w:tcW w:w="5386" w:type="dxa"/>
            <w:vAlign w:val="center"/>
          </w:tcPr>
          <w:p>
            <w:pPr>
              <w:pStyle w:val="12"/>
            </w:pPr>
            <w:r>
              <w:t>保障日常需要维持单位正常运转</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业务能力增强</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单位人员对日常工作满意程度</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14、2026年老旧小区物业全覆盖补贴费用绩效目标表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13011026P00160610007D</w:t>
            </w:r>
          </w:p>
        </w:tc>
        <w:tc>
          <w:tcPr>
            <w:tcW w:w="2835" w:type="dxa"/>
            <w:vAlign w:val="center"/>
          </w:tcPr>
          <w:p>
            <w:pPr>
              <w:pStyle w:val="10"/>
            </w:pPr>
            <w:r>
              <w:t>项目名称</w:t>
            </w:r>
          </w:p>
        </w:tc>
        <w:tc>
          <w:tcPr>
            <w:tcW w:w="6095" w:type="dxa"/>
            <w:gridSpan w:val="3"/>
            <w:vAlign w:val="center"/>
          </w:tcPr>
          <w:p>
            <w:pPr>
              <w:pStyle w:val="12"/>
            </w:pPr>
            <w:r>
              <w:t>2026年老旧小区物业全覆盖补贴费用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加大辖区内老旧小区整治改造力度，为物业服务企业进驻创造条件。同时引导和鼓励物业服务企业自觉履行社会责任，主动承接老旧小区服务。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1.加大辖区内老旧小区整治改造力度，为物业服务企业进驻创造条件。同时引导和鼓励物业服务企业自觉履行社会责任，主动承接老旧小区服务。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老旧小区物业补贴面积</w:t>
            </w:r>
          </w:p>
        </w:tc>
        <w:tc>
          <w:tcPr>
            <w:tcW w:w="5386" w:type="dxa"/>
            <w:vAlign w:val="center"/>
          </w:tcPr>
          <w:p>
            <w:pPr>
              <w:pStyle w:val="12"/>
            </w:pPr>
            <w:r>
              <w:t>老旧小区物业补贴面积93.2万平方米</w:t>
            </w:r>
          </w:p>
        </w:tc>
        <w:tc>
          <w:tcPr>
            <w:tcW w:w="2268" w:type="dxa"/>
            <w:vAlign w:val="center"/>
          </w:tcPr>
          <w:p>
            <w:pPr>
              <w:pStyle w:val="12"/>
            </w:pPr>
            <w:r>
              <w:t>≥93.2万平房米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老旧小区物业补贴完成率</w:t>
            </w:r>
          </w:p>
        </w:tc>
        <w:tc>
          <w:tcPr>
            <w:tcW w:w="5386" w:type="dxa"/>
            <w:vAlign w:val="center"/>
          </w:tcPr>
          <w:p>
            <w:pPr>
              <w:pStyle w:val="12"/>
            </w:pPr>
            <w:r>
              <w:t>对引进物业的老旧小区补贴完成率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老旧小区物业补贴时间</w:t>
            </w:r>
          </w:p>
        </w:tc>
        <w:tc>
          <w:tcPr>
            <w:tcW w:w="5386" w:type="dxa"/>
            <w:vAlign w:val="center"/>
          </w:tcPr>
          <w:p>
            <w:pPr>
              <w:pStyle w:val="12"/>
            </w:pPr>
            <w:r>
              <w:t>入住的小区自2023年1月1日开始发放补助</w:t>
            </w:r>
          </w:p>
        </w:tc>
        <w:tc>
          <w:tcPr>
            <w:tcW w:w="2268" w:type="dxa"/>
            <w:vAlign w:val="center"/>
          </w:tcPr>
          <w:p>
            <w:pPr>
              <w:pStyle w:val="12"/>
            </w:pPr>
            <w:r>
              <w:t>2023年1月1日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老旧小区物业补贴单位成本</w:t>
            </w:r>
          </w:p>
        </w:tc>
        <w:tc>
          <w:tcPr>
            <w:tcW w:w="5386" w:type="dxa"/>
            <w:vAlign w:val="center"/>
          </w:tcPr>
          <w:p>
            <w:pPr>
              <w:pStyle w:val="12"/>
            </w:pPr>
            <w:r>
              <w:t>一类小区每平米补贴单价0.3元/月，二类小区每平米补贴单价0.15元/月。</w:t>
            </w:r>
          </w:p>
        </w:tc>
        <w:tc>
          <w:tcPr>
            <w:tcW w:w="2268" w:type="dxa"/>
            <w:vAlign w:val="center"/>
          </w:tcPr>
          <w:p>
            <w:pPr>
              <w:pStyle w:val="12"/>
            </w:pPr>
            <w:r>
              <w:t>按《鹿泉区“红色物业”承接老旧小区服务若干扶持办法》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完善老旧小区基础设施，便与引进物业管理，得到小区住户的充分认可。</w:t>
            </w:r>
          </w:p>
        </w:tc>
        <w:tc>
          <w:tcPr>
            <w:tcW w:w="2268" w:type="dxa"/>
            <w:vAlign w:val="center"/>
          </w:tcPr>
          <w:p>
            <w:pPr>
              <w:pStyle w:val="12"/>
            </w:pPr>
            <w:r>
              <w:t>小区业主认可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老旧小区物业补贴群众满意度</w:t>
            </w:r>
          </w:p>
        </w:tc>
        <w:tc>
          <w:tcPr>
            <w:tcW w:w="5386" w:type="dxa"/>
            <w:vAlign w:val="center"/>
          </w:tcPr>
          <w:p>
            <w:pPr>
              <w:pStyle w:val="12"/>
            </w:pPr>
            <w:r>
              <w:t>群众满意数量占总数的比例</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15、2026年鹿泉区城市地下管网和地下综合管廊建设改造实施方案绩效目标表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13011026P00155610180Q</w:t>
            </w:r>
          </w:p>
        </w:tc>
        <w:tc>
          <w:tcPr>
            <w:tcW w:w="2835" w:type="dxa"/>
            <w:vAlign w:val="center"/>
          </w:tcPr>
          <w:p>
            <w:pPr>
              <w:pStyle w:val="10"/>
            </w:pPr>
            <w:r>
              <w:t>项目名称</w:t>
            </w:r>
          </w:p>
        </w:tc>
        <w:tc>
          <w:tcPr>
            <w:tcW w:w="6095" w:type="dxa"/>
            <w:gridSpan w:val="3"/>
            <w:vAlign w:val="center"/>
          </w:tcPr>
          <w:p>
            <w:pPr>
              <w:pStyle w:val="12"/>
            </w:pPr>
            <w:r>
              <w:t>2026年鹿泉区城市地下管网和地下综合管廊建设改造实施方案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w:t>
            </w:r>
          </w:p>
        </w:tc>
        <w:tc>
          <w:tcPr>
            <w:tcW w:w="2835" w:type="dxa"/>
            <w:vAlign w:val="center"/>
          </w:tcPr>
          <w:p>
            <w:pPr>
              <w:pStyle w:val="10"/>
            </w:pPr>
            <w:r>
              <w:t>其中：财政    资金</w:t>
            </w:r>
          </w:p>
        </w:tc>
        <w:tc>
          <w:tcPr>
            <w:tcW w:w="2551" w:type="dxa"/>
            <w:vAlign w:val="center"/>
          </w:tcPr>
          <w:p>
            <w:pPr>
              <w:pStyle w:val="12"/>
            </w:pPr>
            <w:r>
              <w:t>1.32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按时完成规划纲要、文本、图册的编制，对城区及开发区综合管廊做出规划，为我区城市建设提供重要依据。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1.按时完成规划纲要、文本、图册的编制，对城区及开发区综合管廊做出规划，为我区城市建设提供重要依据。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规划成果编制标准</w:t>
            </w:r>
          </w:p>
        </w:tc>
        <w:tc>
          <w:tcPr>
            <w:tcW w:w="5386" w:type="dxa"/>
            <w:vAlign w:val="center"/>
          </w:tcPr>
          <w:p>
            <w:pPr>
              <w:pStyle w:val="12"/>
            </w:pPr>
            <w:r>
              <w:t>编制完成规划文本，规划图册等相关文件</w:t>
            </w:r>
          </w:p>
        </w:tc>
        <w:tc>
          <w:tcPr>
            <w:tcW w:w="2268" w:type="dxa"/>
            <w:vAlign w:val="center"/>
          </w:tcPr>
          <w:p>
            <w:pPr>
              <w:pStyle w:val="12"/>
            </w:pPr>
            <w:r>
              <w:t>纸质成果10套、电子成果2套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完成规划面积</w:t>
            </w:r>
          </w:p>
        </w:tc>
        <w:tc>
          <w:tcPr>
            <w:tcW w:w="5386" w:type="dxa"/>
            <w:vAlign w:val="center"/>
          </w:tcPr>
          <w:p>
            <w:pPr>
              <w:pStyle w:val="12"/>
            </w:pPr>
            <w:r>
              <w:t>完成城区和开发区规划总面积</w:t>
            </w:r>
          </w:p>
        </w:tc>
        <w:tc>
          <w:tcPr>
            <w:tcW w:w="2268" w:type="dxa"/>
            <w:vAlign w:val="center"/>
          </w:tcPr>
          <w:p>
            <w:pPr>
              <w:pStyle w:val="12"/>
            </w:pPr>
            <w:r>
              <w:t>≥42平方公里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规划编制时间</w:t>
            </w:r>
          </w:p>
        </w:tc>
        <w:tc>
          <w:tcPr>
            <w:tcW w:w="5386" w:type="dxa"/>
            <w:vAlign w:val="center"/>
          </w:tcPr>
          <w:p>
            <w:pPr>
              <w:pStyle w:val="12"/>
            </w:pPr>
            <w:r>
              <w:t>规划文本编制时间</w:t>
            </w:r>
          </w:p>
        </w:tc>
        <w:tc>
          <w:tcPr>
            <w:tcW w:w="2268" w:type="dxa"/>
            <w:vAlign w:val="center"/>
          </w:tcPr>
          <w:p>
            <w:pPr>
              <w:pStyle w:val="12"/>
            </w:pPr>
            <w:r>
              <w:t>≤6月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鹿泉区城市地下综合管廊专项规划成本</w:t>
            </w:r>
          </w:p>
        </w:tc>
        <w:tc>
          <w:tcPr>
            <w:tcW w:w="5386" w:type="dxa"/>
            <w:vAlign w:val="center"/>
          </w:tcPr>
          <w:p>
            <w:pPr>
              <w:pStyle w:val="12"/>
            </w:pPr>
            <w:r>
              <w:t>规划编制费用总成本</w:t>
            </w:r>
          </w:p>
        </w:tc>
        <w:tc>
          <w:tcPr>
            <w:tcW w:w="2268" w:type="dxa"/>
            <w:vAlign w:val="center"/>
          </w:tcPr>
          <w:p>
            <w:pPr>
              <w:pStyle w:val="12"/>
            </w:pPr>
            <w:r>
              <w:t>≤27.8万元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可持续使用时间</w:t>
            </w:r>
          </w:p>
        </w:tc>
        <w:tc>
          <w:tcPr>
            <w:tcW w:w="5386" w:type="dxa"/>
            <w:vAlign w:val="center"/>
          </w:tcPr>
          <w:p>
            <w:pPr>
              <w:pStyle w:val="12"/>
            </w:pPr>
            <w:r>
              <w:t>规划文本使用的时间（2022-2035）</w:t>
            </w:r>
          </w:p>
        </w:tc>
        <w:tc>
          <w:tcPr>
            <w:tcW w:w="2268" w:type="dxa"/>
            <w:vAlign w:val="center"/>
          </w:tcPr>
          <w:p>
            <w:pPr>
              <w:pStyle w:val="12"/>
            </w:pPr>
            <w:r>
              <w:t>≥13年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16、2026年鹿泉区污水处理厂投资返还金及污泥处置费绩效目标表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13011026P00154510020B</w:t>
            </w:r>
          </w:p>
        </w:tc>
        <w:tc>
          <w:tcPr>
            <w:tcW w:w="2835" w:type="dxa"/>
            <w:vAlign w:val="center"/>
          </w:tcPr>
          <w:p>
            <w:pPr>
              <w:pStyle w:val="10"/>
            </w:pPr>
            <w:r>
              <w:t>项目名称</w:t>
            </w:r>
          </w:p>
        </w:tc>
        <w:tc>
          <w:tcPr>
            <w:tcW w:w="6095" w:type="dxa"/>
            <w:gridSpan w:val="3"/>
            <w:vAlign w:val="center"/>
          </w:tcPr>
          <w:p>
            <w:pPr>
              <w:pStyle w:val="12"/>
            </w:pPr>
            <w:r>
              <w:t>2026年鹿泉区污水处理厂投资返还金及污泥处置费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750.00</w:t>
            </w:r>
          </w:p>
        </w:tc>
        <w:tc>
          <w:tcPr>
            <w:tcW w:w="2835" w:type="dxa"/>
            <w:vAlign w:val="center"/>
          </w:tcPr>
          <w:p>
            <w:pPr>
              <w:pStyle w:val="10"/>
            </w:pPr>
            <w:r>
              <w:t>其中：财政    资金</w:t>
            </w:r>
          </w:p>
        </w:tc>
        <w:tc>
          <w:tcPr>
            <w:tcW w:w="2551" w:type="dxa"/>
            <w:vAlign w:val="center"/>
          </w:tcPr>
          <w:p>
            <w:pPr>
              <w:pStyle w:val="12"/>
            </w:pPr>
            <w:r>
              <w:t>750.00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污水处理量</w:t>
            </w:r>
          </w:p>
        </w:tc>
        <w:tc>
          <w:tcPr>
            <w:tcW w:w="5386" w:type="dxa"/>
            <w:vAlign w:val="center"/>
          </w:tcPr>
          <w:p>
            <w:pPr>
              <w:pStyle w:val="12"/>
            </w:pPr>
            <w:r>
              <w:t>污水日产量</w:t>
            </w:r>
          </w:p>
        </w:tc>
        <w:tc>
          <w:tcPr>
            <w:tcW w:w="2268" w:type="dxa"/>
            <w:vAlign w:val="center"/>
          </w:tcPr>
          <w:p>
            <w:pPr>
              <w:pStyle w:val="12"/>
            </w:pPr>
            <w:r>
              <w:t>≥3万/立方米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污水处理质量标准</w:t>
            </w:r>
          </w:p>
        </w:tc>
        <w:tc>
          <w:tcPr>
            <w:tcW w:w="5386" w:type="dxa"/>
            <w:vAlign w:val="center"/>
          </w:tcPr>
          <w:p>
            <w:pPr>
              <w:pStyle w:val="12"/>
            </w:pPr>
            <w:r>
              <w:t>全年污水处理达标排放</w:t>
            </w:r>
          </w:p>
        </w:tc>
        <w:tc>
          <w:tcPr>
            <w:tcW w:w="2268" w:type="dxa"/>
            <w:vAlign w:val="center"/>
          </w:tcPr>
          <w:p>
            <w:pPr>
              <w:pStyle w:val="12"/>
            </w:pPr>
            <w:r>
              <w:t>IV类水标准</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污水处理及时性</w:t>
            </w:r>
          </w:p>
        </w:tc>
        <w:tc>
          <w:tcPr>
            <w:tcW w:w="5386" w:type="dxa"/>
            <w:vAlign w:val="center"/>
          </w:tcPr>
          <w:p>
            <w:pPr>
              <w:pStyle w:val="12"/>
            </w:pPr>
            <w:r>
              <w:t>污水处理全年及时性</w:t>
            </w:r>
          </w:p>
        </w:tc>
        <w:tc>
          <w:tcPr>
            <w:tcW w:w="2268" w:type="dxa"/>
            <w:vAlign w:val="center"/>
          </w:tcPr>
          <w:p>
            <w:pPr>
              <w:pStyle w:val="12"/>
            </w:pPr>
            <w:r>
              <w:t>及时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污水处理返还成本</w:t>
            </w:r>
          </w:p>
        </w:tc>
        <w:tc>
          <w:tcPr>
            <w:tcW w:w="5386" w:type="dxa"/>
            <w:vAlign w:val="center"/>
          </w:tcPr>
          <w:p>
            <w:pPr>
              <w:pStyle w:val="12"/>
            </w:pPr>
            <w:r>
              <w:t>每立方米处理标准</w:t>
            </w:r>
          </w:p>
        </w:tc>
        <w:tc>
          <w:tcPr>
            <w:tcW w:w="2268" w:type="dxa"/>
            <w:vAlign w:val="center"/>
          </w:tcPr>
          <w:p>
            <w:pPr>
              <w:pStyle w:val="12"/>
            </w:pPr>
            <w:r>
              <w:t>1-12月份1.88元/立方米/立方米/天。</w:t>
            </w:r>
          </w:p>
        </w:tc>
        <w:tc>
          <w:tcPr>
            <w:tcW w:w="1276"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污水处理达标率</w:t>
            </w:r>
          </w:p>
        </w:tc>
        <w:tc>
          <w:tcPr>
            <w:tcW w:w="5386" w:type="dxa"/>
            <w:vAlign w:val="center"/>
          </w:tcPr>
          <w:p>
            <w:pPr>
              <w:pStyle w:val="12"/>
            </w:pPr>
            <w:r>
              <w:t>达标污水量占污水处理量的比例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对环境影响</w:t>
            </w:r>
          </w:p>
        </w:tc>
        <w:tc>
          <w:tcPr>
            <w:tcW w:w="5386" w:type="dxa"/>
            <w:vAlign w:val="center"/>
          </w:tcPr>
          <w:p>
            <w:pPr>
              <w:pStyle w:val="12"/>
            </w:pPr>
            <w:r>
              <w:t>回收利用效果</w:t>
            </w:r>
          </w:p>
        </w:tc>
        <w:tc>
          <w:tcPr>
            <w:tcW w:w="2268" w:type="dxa"/>
            <w:vAlign w:val="center"/>
          </w:tcPr>
          <w:p>
            <w:pPr>
              <w:pStyle w:val="12"/>
            </w:pPr>
            <w:r>
              <w:t>污水处理后可再利用发电、绿化、生态水系补水。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满意和较满意人数占被调查人数比例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17、2026年鹿泉区污水处理厂再生水回用设施运营权拍卖及评估费用绩效目标表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13011026P00155610175Y</w:t>
            </w:r>
          </w:p>
        </w:tc>
        <w:tc>
          <w:tcPr>
            <w:tcW w:w="2835" w:type="dxa"/>
            <w:vAlign w:val="center"/>
          </w:tcPr>
          <w:p>
            <w:pPr>
              <w:pStyle w:val="10"/>
            </w:pPr>
            <w:r>
              <w:t>项目名称</w:t>
            </w:r>
          </w:p>
        </w:tc>
        <w:tc>
          <w:tcPr>
            <w:tcW w:w="6095" w:type="dxa"/>
            <w:gridSpan w:val="3"/>
            <w:vAlign w:val="center"/>
          </w:tcPr>
          <w:p>
            <w:pPr>
              <w:pStyle w:val="12"/>
            </w:pPr>
            <w:r>
              <w:t>2026年鹿泉区污水处理厂再生水回用设施运营权拍卖及评估费用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完成鹿泉区污水处理厂再生水回用设施拍卖工作费用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1.完成鹿泉区污水处理厂再生水回用设施拍卖工作费用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提交成果报告</w:t>
            </w:r>
          </w:p>
        </w:tc>
        <w:tc>
          <w:tcPr>
            <w:tcW w:w="5386" w:type="dxa"/>
            <w:vAlign w:val="center"/>
          </w:tcPr>
          <w:p>
            <w:pPr>
              <w:pStyle w:val="12"/>
            </w:pPr>
            <w:r>
              <w:t>提交成果报告</w:t>
            </w:r>
          </w:p>
        </w:tc>
        <w:tc>
          <w:tcPr>
            <w:tcW w:w="2268" w:type="dxa"/>
            <w:vAlign w:val="center"/>
          </w:tcPr>
          <w:p>
            <w:pPr>
              <w:pStyle w:val="12"/>
            </w:pPr>
            <w:r>
              <w:t>3套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提交成果报告质量</w:t>
            </w:r>
          </w:p>
        </w:tc>
        <w:tc>
          <w:tcPr>
            <w:tcW w:w="5386" w:type="dxa"/>
            <w:vAlign w:val="center"/>
          </w:tcPr>
          <w:p>
            <w:pPr>
              <w:pStyle w:val="12"/>
            </w:pPr>
            <w:r>
              <w:t>提交成果报告质量</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任务完成时间</w:t>
            </w:r>
          </w:p>
        </w:tc>
        <w:tc>
          <w:tcPr>
            <w:tcW w:w="5386" w:type="dxa"/>
            <w:vAlign w:val="center"/>
          </w:tcPr>
          <w:p>
            <w:pPr>
              <w:pStyle w:val="12"/>
            </w:pPr>
            <w:r>
              <w:t>任务完成时间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w:t>
            </w:r>
          </w:p>
        </w:tc>
        <w:tc>
          <w:tcPr>
            <w:tcW w:w="5386" w:type="dxa"/>
            <w:vAlign w:val="center"/>
          </w:tcPr>
          <w:p>
            <w:pPr>
              <w:pStyle w:val="12"/>
            </w:pPr>
            <w:r>
              <w:t>预算控制</w:t>
            </w:r>
          </w:p>
        </w:tc>
        <w:tc>
          <w:tcPr>
            <w:tcW w:w="2268" w:type="dxa"/>
            <w:vAlign w:val="center"/>
          </w:tcPr>
          <w:p>
            <w:pPr>
              <w:pStyle w:val="12"/>
            </w:pPr>
            <w:r>
              <w:t>≤18.8万元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可持续使用时间</w:t>
            </w:r>
          </w:p>
        </w:tc>
        <w:tc>
          <w:tcPr>
            <w:tcW w:w="5386" w:type="dxa"/>
            <w:vAlign w:val="center"/>
          </w:tcPr>
          <w:p>
            <w:pPr>
              <w:pStyle w:val="12"/>
            </w:pPr>
            <w:r>
              <w:t>文本使用的时间（2022-2035）</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18、2026年农村煤改气第三方评估绩效目标表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13011026P00155110033J</w:t>
            </w:r>
          </w:p>
        </w:tc>
        <w:tc>
          <w:tcPr>
            <w:tcW w:w="2835" w:type="dxa"/>
            <w:vAlign w:val="center"/>
          </w:tcPr>
          <w:p>
            <w:pPr>
              <w:pStyle w:val="10"/>
            </w:pPr>
            <w:r>
              <w:t>项目名称</w:t>
            </w:r>
          </w:p>
        </w:tc>
        <w:tc>
          <w:tcPr>
            <w:tcW w:w="6095" w:type="dxa"/>
            <w:gridSpan w:val="3"/>
            <w:vAlign w:val="center"/>
          </w:tcPr>
          <w:p>
            <w:pPr>
              <w:pStyle w:val="12"/>
            </w:pPr>
            <w:r>
              <w:t>2026年农村煤改气第三方评估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8.05</w:t>
            </w:r>
          </w:p>
        </w:tc>
        <w:tc>
          <w:tcPr>
            <w:tcW w:w="2835" w:type="dxa"/>
            <w:vAlign w:val="center"/>
          </w:tcPr>
          <w:p>
            <w:pPr>
              <w:pStyle w:val="10"/>
            </w:pPr>
            <w:r>
              <w:t>其中：财政    资金</w:t>
            </w:r>
          </w:p>
        </w:tc>
        <w:tc>
          <w:tcPr>
            <w:tcW w:w="2551" w:type="dxa"/>
            <w:vAlign w:val="center"/>
          </w:tcPr>
          <w:p>
            <w:pPr>
              <w:pStyle w:val="12"/>
            </w:pPr>
            <w:r>
              <w:t>8.05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对全区农村气代煤用户10％约9500户，城镇约2000户设施安全运行、燃气企业经营服务和“双代”设备维修服务等情况开展农村煤第三方评估。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1.对全区农村气代煤用户10％约9500户，城镇约2000户设施安全运行、燃气企业经营服务和“双代”设备维修服务等情况开展农村煤第三方评估。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气代煤安全评估户数</w:t>
            </w:r>
          </w:p>
        </w:tc>
        <w:tc>
          <w:tcPr>
            <w:tcW w:w="5386" w:type="dxa"/>
            <w:vAlign w:val="center"/>
          </w:tcPr>
          <w:p>
            <w:pPr>
              <w:pStyle w:val="12"/>
            </w:pPr>
            <w:r>
              <w:t>气代煤安全评估户数</w:t>
            </w:r>
          </w:p>
        </w:tc>
        <w:tc>
          <w:tcPr>
            <w:tcW w:w="2268" w:type="dxa"/>
            <w:vAlign w:val="center"/>
          </w:tcPr>
          <w:p>
            <w:pPr>
              <w:pStyle w:val="12"/>
            </w:pPr>
            <w:r>
              <w:t>≤11500户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燃气安全评估完成率</w:t>
            </w:r>
          </w:p>
        </w:tc>
        <w:tc>
          <w:tcPr>
            <w:tcW w:w="5386" w:type="dxa"/>
            <w:vAlign w:val="center"/>
          </w:tcPr>
          <w:p>
            <w:pPr>
              <w:pStyle w:val="12"/>
            </w:pPr>
            <w:r>
              <w:t>燃气安全评估完成率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燃气安全评估按时完成时间</w:t>
            </w:r>
          </w:p>
        </w:tc>
        <w:tc>
          <w:tcPr>
            <w:tcW w:w="5386" w:type="dxa"/>
            <w:vAlign w:val="center"/>
          </w:tcPr>
          <w:p>
            <w:pPr>
              <w:pStyle w:val="12"/>
            </w:pPr>
            <w:r>
              <w:t>燃气安全评估按时完成时间</w:t>
            </w:r>
          </w:p>
        </w:tc>
        <w:tc>
          <w:tcPr>
            <w:tcW w:w="2268" w:type="dxa"/>
            <w:vAlign w:val="center"/>
          </w:tcPr>
          <w:p>
            <w:pPr>
              <w:pStyle w:val="12"/>
            </w:pPr>
            <w:r>
              <w:t>采暖季结束后</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燃气安全评估单位成本</w:t>
            </w:r>
          </w:p>
        </w:tc>
        <w:tc>
          <w:tcPr>
            <w:tcW w:w="5386" w:type="dxa"/>
            <w:vAlign w:val="center"/>
          </w:tcPr>
          <w:p>
            <w:pPr>
              <w:pStyle w:val="12"/>
            </w:pPr>
            <w:r>
              <w:t>燃气安全评估单位成本</w:t>
            </w:r>
          </w:p>
        </w:tc>
        <w:tc>
          <w:tcPr>
            <w:tcW w:w="2268" w:type="dxa"/>
            <w:vAlign w:val="center"/>
          </w:tcPr>
          <w:p>
            <w:pPr>
              <w:pStyle w:val="12"/>
            </w:pPr>
            <w:r>
              <w:t>100元/户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气代煤安全评估效益</w:t>
            </w:r>
          </w:p>
        </w:tc>
        <w:tc>
          <w:tcPr>
            <w:tcW w:w="5386" w:type="dxa"/>
            <w:vAlign w:val="center"/>
          </w:tcPr>
          <w:p>
            <w:pPr>
              <w:pStyle w:val="12"/>
            </w:pPr>
            <w:r>
              <w:t>气代煤安全评估效益</w:t>
            </w:r>
          </w:p>
        </w:tc>
        <w:tc>
          <w:tcPr>
            <w:tcW w:w="2268" w:type="dxa"/>
            <w:vAlign w:val="center"/>
          </w:tcPr>
          <w:p>
            <w:pPr>
              <w:pStyle w:val="12"/>
            </w:pPr>
            <w:r>
              <w:t>采暖季结束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19、2026年农村气代煤更换安全保护装置（旧欠）绩效目标表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13011026P00155110032Y</w:t>
            </w:r>
          </w:p>
        </w:tc>
        <w:tc>
          <w:tcPr>
            <w:tcW w:w="2835" w:type="dxa"/>
            <w:vAlign w:val="center"/>
          </w:tcPr>
          <w:p>
            <w:pPr>
              <w:pStyle w:val="10"/>
            </w:pPr>
            <w:r>
              <w:t>项目名称</w:t>
            </w:r>
          </w:p>
        </w:tc>
        <w:tc>
          <w:tcPr>
            <w:tcW w:w="6095" w:type="dxa"/>
            <w:gridSpan w:val="3"/>
            <w:vAlign w:val="center"/>
          </w:tcPr>
          <w:p>
            <w:pPr>
              <w:pStyle w:val="12"/>
            </w:pPr>
            <w:r>
              <w:t>2026年农村气代煤更换安全保护装置（旧欠）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70.09</w:t>
            </w:r>
          </w:p>
        </w:tc>
        <w:tc>
          <w:tcPr>
            <w:tcW w:w="2835" w:type="dxa"/>
            <w:vAlign w:val="center"/>
          </w:tcPr>
          <w:p>
            <w:pPr>
              <w:pStyle w:val="10"/>
            </w:pPr>
            <w:r>
              <w:t>其中：财政    资金</w:t>
            </w:r>
          </w:p>
        </w:tc>
        <w:tc>
          <w:tcPr>
            <w:tcW w:w="2551" w:type="dxa"/>
            <w:vAlign w:val="center"/>
          </w:tcPr>
          <w:p>
            <w:pPr>
              <w:pStyle w:val="12"/>
            </w:pPr>
            <w:r>
              <w:t>70.09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为全区域范围内农村气代煤94905用户加装具有自动切断功能的安全装置，强化燃气行业安全管理，坚决防范事故发生。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1.为全区域范围内农村气代煤94905用户加装具有自动切断功能的安全装置，强化燃气行业安全管理，坚决防范事故发生。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安装农村气代煤管道用气户数量</w:t>
            </w:r>
          </w:p>
        </w:tc>
        <w:tc>
          <w:tcPr>
            <w:tcW w:w="5386" w:type="dxa"/>
            <w:vAlign w:val="center"/>
          </w:tcPr>
          <w:p>
            <w:pPr>
              <w:pStyle w:val="12"/>
            </w:pPr>
            <w:r>
              <w:t>享受自闭阀补贴户数</w:t>
            </w:r>
          </w:p>
        </w:tc>
        <w:tc>
          <w:tcPr>
            <w:tcW w:w="2268" w:type="dxa"/>
            <w:vAlign w:val="center"/>
          </w:tcPr>
          <w:p>
            <w:pPr>
              <w:pStyle w:val="12"/>
            </w:pPr>
            <w:r>
              <w:t>94905户</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自闭阀安装任务完成率</w:t>
            </w:r>
          </w:p>
        </w:tc>
        <w:tc>
          <w:tcPr>
            <w:tcW w:w="5386" w:type="dxa"/>
            <w:vAlign w:val="center"/>
          </w:tcPr>
          <w:p>
            <w:pPr>
              <w:pStyle w:val="12"/>
            </w:pPr>
            <w:r>
              <w:t>已安装自闭阀用户占应安装完成率</w:t>
            </w:r>
          </w:p>
        </w:tc>
        <w:tc>
          <w:tcPr>
            <w:tcW w:w="2268" w:type="dxa"/>
            <w:vAlign w:val="center"/>
          </w:tcPr>
          <w:p>
            <w:pPr>
              <w:pStyle w:val="12"/>
            </w:pPr>
            <w:r>
              <w:t>100%</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安装发放自闭阀时间</w:t>
            </w:r>
          </w:p>
        </w:tc>
        <w:tc>
          <w:tcPr>
            <w:tcW w:w="5386" w:type="dxa"/>
            <w:vAlign w:val="center"/>
          </w:tcPr>
          <w:p>
            <w:pPr>
              <w:pStyle w:val="12"/>
            </w:pPr>
            <w:r>
              <w:t xml:space="preserve"> 按照要求及时安装自闭阀</w:t>
            </w:r>
          </w:p>
        </w:tc>
        <w:tc>
          <w:tcPr>
            <w:tcW w:w="2268" w:type="dxa"/>
            <w:vAlign w:val="center"/>
          </w:tcPr>
          <w:p>
            <w:pPr>
              <w:pStyle w:val="12"/>
            </w:pPr>
            <w:r>
              <w:t>及时安装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自闭阀安装补贴标准</w:t>
            </w:r>
          </w:p>
        </w:tc>
        <w:tc>
          <w:tcPr>
            <w:tcW w:w="5386" w:type="dxa"/>
            <w:vAlign w:val="center"/>
          </w:tcPr>
          <w:p>
            <w:pPr>
              <w:pStyle w:val="12"/>
            </w:pPr>
            <w:r>
              <w:t xml:space="preserve"> 对城镇燃气用户安装自闭阀户均补贴</w:t>
            </w:r>
          </w:p>
        </w:tc>
        <w:tc>
          <w:tcPr>
            <w:tcW w:w="2268" w:type="dxa"/>
            <w:vAlign w:val="center"/>
          </w:tcPr>
          <w:p>
            <w:pPr>
              <w:pStyle w:val="12"/>
            </w:pPr>
            <w:r>
              <w:t>元/户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农村气代煤自闭阀补贴受益户数</w:t>
            </w:r>
          </w:p>
        </w:tc>
        <w:tc>
          <w:tcPr>
            <w:tcW w:w="5386" w:type="dxa"/>
            <w:vAlign w:val="center"/>
          </w:tcPr>
          <w:p>
            <w:pPr>
              <w:pStyle w:val="12"/>
            </w:pPr>
            <w:r>
              <w:t>农村气代煤自闭阀补贴户数</w:t>
            </w:r>
          </w:p>
        </w:tc>
        <w:tc>
          <w:tcPr>
            <w:tcW w:w="2268" w:type="dxa"/>
            <w:vAlign w:val="center"/>
          </w:tcPr>
          <w:p>
            <w:pPr>
              <w:pStyle w:val="12"/>
            </w:pPr>
            <w:r>
              <w:t>≤95000户</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农村气代煤自闭阀使用时间保障约8年</w:t>
            </w:r>
          </w:p>
        </w:tc>
        <w:tc>
          <w:tcPr>
            <w:tcW w:w="5386" w:type="dxa"/>
            <w:vAlign w:val="center"/>
          </w:tcPr>
          <w:p>
            <w:pPr>
              <w:pStyle w:val="12"/>
            </w:pPr>
            <w:r>
              <w:t>农村气代煤自闭阀补贴受益户数保障约8年</w:t>
            </w:r>
          </w:p>
        </w:tc>
        <w:tc>
          <w:tcPr>
            <w:tcW w:w="2268" w:type="dxa"/>
            <w:vAlign w:val="center"/>
          </w:tcPr>
          <w:p>
            <w:pPr>
              <w:pStyle w:val="12"/>
            </w:pPr>
            <w:r>
              <w:t>8年</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 xml:space="preserve"> 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20、2026年农村危房改造补助资金绩效目标表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13011026P00161810002X</w:t>
            </w:r>
          </w:p>
        </w:tc>
        <w:tc>
          <w:tcPr>
            <w:tcW w:w="2835" w:type="dxa"/>
            <w:vAlign w:val="center"/>
          </w:tcPr>
          <w:p>
            <w:pPr>
              <w:pStyle w:val="10"/>
            </w:pPr>
            <w:r>
              <w:t>项目名称</w:t>
            </w:r>
          </w:p>
        </w:tc>
        <w:tc>
          <w:tcPr>
            <w:tcW w:w="6095" w:type="dxa"/>
            <w:gridSpan w:val="3"/>
            <w:vAlign w:val="center"/>
          </w:tcPr>
          <w:p>
            <w:pPr>
              <w:pStyle w:val="12"/>
            </w:pPr>
            <w:r>
              <w:t>2026年农村危房改造补助资金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改造危房，解决五保户、建档立卡贫困户等“四类重点人员”的住房安全问题。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1.改造危房，解决五保户、建档立卡贫困户等“四类重点人员”的住房安全问题。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危房改造数量</w:t>
            </w:r>
          </w:p>
        </w:tc>
        <w:tc>
          <w:tcPr>
            <w:tcW w:w="5386" w:type="dxa"/>
            <w:vAlign w:val="center"/>
          </w:tcPr>
          <w:p>
            <w:pPr>
              <w:pStyle w:val="12"/>
            </w:pPr>
            <w:r>
              <w:t>危房改造数量</w:t>
            </w:r>
          </w:p>
        </w:tc>
        <w:tc>
          <w:tcPr>
            <w:tcW w:w="2268" w:type="dxa"/>
            <w:vAlign w:val="center"/>
          </w:tcPr>
          <w:p>
            <w:pPr>
              <w:pStyle w:val="12"/>
            </w:pPr>
            <w:r>
              <w:t>≥1户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改造后验收合格率</w:t>
            </w:r>
          </w:p>
        </w:tc>
        <w:tc>
          <w:tcPr>
            <w:tcW w:w="5386" w:type="dxa"/>
            <w:vAlign w:val="center"/>
          </w:tcPr>
          <w:p>
            <w:pPr>
              <w:pStyle w:val="12"/>
            </w:pPr>
            <w:r>
              <w:t>危房改造验收合格率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危房改造按时完成率</w:t>
            </w:r>
          </w:p>
        </w:tc>
        <w:tc>
          <w:tcPr>
            <w:tcW w:w="5386" w:type="dxa"/>
            <w:vAlign w:val="center"/>
          </w:tcPr>
          <w:p>
            <w:pPr>
              <w:pStyle w:val="12"/>
            </w:pPr>
            <w:r>
              <w:t>当年改造完成占需改造危房的比率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补助资金发放标准</w:t>
            </w:r>
          </w:p>
        </w:tc>
        <w:tc>
          <w:tcPr>
            <w:tcW w:w="5386" w:type="dxa"/>
            <w:vAlign w:val="center"/>
          </w:tcPr>
          <w:p>
            <w:pPr>
              <w:pStyle w:val="12"/>
            </w:pPr>
            <w:r>
              <w:t>新建每户改造资金4万元</w:t>
            </w:r>
          </w:p>
        </w:tc>
        <w:tc>
          <w:tcPr>
            <w:tcW w:w="2268" w:type="dxa"/>
            <w:vAlign w:val="center"/>
          </w:tcPr>
          <w:p>
            <w:pPr>
              <w:pStyle w:val="12"/>
            </w:pPr>
            <w:r>
              <w:t>4万元/户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新建房屋保证安全期限</w:t>
            </w:r>
          </w:p>
        </w:tc>
        <w:tc>
          <w:tcPr>
            <w:tcW w:w="5386" w:type="dxa"/>
            <w:vAlign w:val="center"/>
          </w:tcPr>
          <w:p>
            <w:pPr>
              <w:pStyle w:val="12"/>
            </w:pPr>
            <w:r>
              <w:t>新建危房质量保证期限</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危房改造用户满意度</w:t>
            </w:r>
          </w:p>
        </w:tc>
        <w:tc>
          <w:tcPr>
            <w:tcW w:w="2268" w:type="dxa"/>
            <w:vAlign w:val="center"/>
          </w:tcPr>
          <w:p>
            <w:pPr>
              <w:pStyle w:val="12"/>
            </w:pPr>
            <w:r>
              <w:t>≥90%</w:t>
            </w:r>
          </w:p>
        </w:tc>
        <w:tc>
          <w:tcPr>
            <w:tcW w:w="1276" w:type="dxa"/>
            <w:vAlign w:val="center"/>
          </w:tcPr>
          <w:p>
            <w:pPr>
              <w:pStyle w:val="12"/>
            </w:pPr>
            <w:r>
              <w:t>现场走访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21、2026年气代煤售后服务保险绩效目标表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13011026P00155110029C</w:t>
            </w:r>
          </w:p>
        </w:tc>
        <w:tc>
          <w:tcPr>
            <w:tcW w:w="2835" w:type="dxa"/>
            <w:vAlign w:val="center"/>
          </w:tcPr>
          <w:p>
            <w:pPr>
              <w:pStyle w:val="10"/>
            </w:pPr>
            <w:r>
              <w:t>项目名称</w:t>
            </w:r>
          </w:p>
        </w:tc>
        <w:tc>
          <w:tcPr>
            <w:tcW w:w="6095" w:type="dxa"/>
            <w:gridSpan w:val="3"/>
            <w:vAlign w:val="center"/>
          </w:tcPr>
          <w:p>
            <w:pPr>
              <w:pStyle w:val="12"/>
            </w:pPr>
            <w:r>
              <w:t>2026年气代煤售后服务保险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95.00</w:t>
            </w:r>
          </w:p>
        </w:tc>
        <w:tc>
          <w:tcPr>
            <w:tcW w:w="2835" w:type="dxa"/>
            <w:vAlign w:val="center"/>
          </w:tcPr>
          <w:p>
            <w:pPr>
              <w:pStyle w:val="10"/>
            </w:pPr>
            <w:r>
              <w:t>其中：财政    资金</w:t>
            </w:r>
          </w:p>
        </w:tc>
        <w:tc>
          <w:tcPr>
            <w:tcW w:w="2551" w:type="dxa"/>
            <w:vAlign w:val="center"/>
          </w:tcPr>
          <w:p>
            <w:pPr>
              <w:pStyle w:val="12"/>
            </w:pPr>
            <w:r>
              <w:t>95.00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保障对92547气代煤用户壁挂炉安全使用、温暖过冬。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气代煤售后服务补贴户数</w:t>
            </w:r>
          </w:p>
        </w:tc>
        <w:tc>
          <w:tcPr>
            <w:tcW w:w="5386" w:type="dxa"/>
            <w:vAlign w:val="center"/>
          </w:tcPr>
          <w:p>
            <w:pPr>
              <w:pStyle w:val="12"/>
            </w:pPr>
            <w:r>
              <w:t>气代煤售后服务补贴户数</w:t>
            </w:r>
          </w:p>
        </w:tc>
        <w:tc>
          <w:tcPr>
            <w:tcW w:w="2268" w:type="dxa"/>
            <w:vAlign w:val="center"/>
          </w:tcPr>
          <w:p>
            <w:pPr>
              <w:pStyle w:val="12"/>
            </w:pPr>
            <w:r>
              <w:t>≥92547户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气代煤售后服务完成率</w:t>
            </w:r>
          </w:p>
        </w:tc>
        <w:tc>
          <w:tcPr>
            <w:tcW w:w="5386" w:type="dxa"/>
            <w:vAlign w:val="center"/>
          </w:tcPr>
          <w:p>
            <w:pPr>
              <w:pStyle w:val="12"/>
            </w:pPr>
            <w:r>
              <w:t>完成气代气代煤用户安检、维修、保险情况</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售后服务及时率</w:t>
            </w:r>
          </w:p>
        </w:tc>
        <w:tc>
          <w:tcPr>
            <w:tcW w:w="5386" w:type="dxa"/>
            <w:vAlign w:val="center"/>
          </w:tcPr>
          <w:p>
            <w:pPr>
              <w:pStyle w:val="12"/>
            </w:pPr>
            <w:r>
              <w:t>及时完成每户售后服务安检维修保险</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售后维修补贴标准</w:t>
            </w:r>
          </w:p>
        </w:tc>
        <w:tc>
          <w:tcPr>
            <w:tcW w:w="5386" w:type="dxa"/>
            <w:vAlign w:val="center"/>
          </w:tcPr>
          <w:p>
            <w:pPr>
              <w:pStyle w:val="12"/>
            </w:pPr>
            <w:r>
              <w:t>售后服务补贴标准</w:t>
            </w:r>
          </w:p>
        </w:tc>
        <w:tc>
          <w:tcPr>
            <w:tcW w:w="2268" w:type="dxa"/>
            <w:vAlign w:val="center"/>
          </w:tcPr>
          <w:p>
            <w:pPr>
              <w:pStyle w:val="12"/>
            </w:pPr>
            <w:r>
              <w:t>50元/户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气代煤安全使用户数</w:t>
            </w:r>
          </w:p>
        </w:tc>
        <w:tc>
          <w:tcPr>
            <w:tcW w:w="5386" w:type="dxa"/>
            <w:vAlign w:val="center"/>
          </w:tcPr>
          <w:p>
            <w:pPr>
              <w:pStyle w:val="12"/>
            </w:pPr>
            <w:r>
              <w:t>确保气代煤用户安全用气,保障燃气壁挂炉稳定运行</w:t>
            </w:r>
          </w:p>
        </w:tc>
        <w:tc>
          <w:tcPr>
            <w:tcW w:w="2268" w:type="dxa"/>
            <w:vAlign w:val="center"/>
          </w:tcPr>
          <w:p>
            <w:pPr>
              <w:pStyle w:val="12"/>
            </w:pPr>
            <w:r>
              <w:t>92547户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政策实施年限</w:t>
            </w:r>
          </w:p>
        </w:tc>
        <w:tc>
          <w:tcPr>
            <w:tcW w:w="5386" w:type="dxa"/>
            <w:vAlign w:val="center"/>
          </w:tcPr>
          <w:p>
            <w:pPr>
              <w:pStyle w:val="12"/>
            </w:pPr>
            <w:r>
              <w:t>确保气代煤用户安全用气,保障燃气壁挂炉稳定运行</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群众满意度占总数的比例</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22、2026年气代煤售后服务补贴（旧欠）绩效目标表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13011026P00155110028Q</w:t>
            </w:r>
          </w:p>
        </w:tc>
        <w:tc>
          <w:tcPr>
            <w:tcW w:w="2835" w:type="dxa"/>
            <w:vAlign w:val="center"/>
          </w:tcPr>
          <w:p>
            <w:pPr>
              <w:pStyle w:val="10"/>
            </w:pPr>
            <w:r>
              <w:t>项目名称</w:t>
            </w:r>
          </w:p>
        </w:tc>
        <w:tc>
          <w:tcPr>
            <w:tcW w:w="6095" w:type="dxa"/>
            <w:gridSpan w:val="3"/>
            <w:vAlign w:val="center"/>
          </w:tcPr>
          <w:p>
            <w:pPr>
              <w:pStyle w:val="12"/>
            </w:pPr>
            <w:r>
              <w:t>2026年气代煤售后服务补贴（旧欠）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25.87</w:t>
            </w:r>
          </w:p>
        </w:tc>
        <w:tc>
          <w:tcPr>
            <w:tcW w:w="2835" w:type="dxa"/>
            <w:vAlign w:val="center"/>
          </w:tcPr>
          <w:p>
            <w:pPr>
              <w:pStyle w:val="10"/>
            </w:pPr>
            <w:r>
              <w:t>其中：财政    资金</w:t>
            </w:r>
          </w:p>
        </w:tc>
        <w:tc>
          <w:tcPr>
            <w:tcW w:w="2551" w:type="dxa"/>
            <w:vAlign w:val="center"/>
          </w:tcPr>
          <w:p>
            <w:pPr>
              <w:pStyle w:val="12"/>
            </w:pPr>
            <w:r>
              <w:t>25.87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保障对92547气代煤用户壁挂炉安全使用、温暖过冬。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气代煤售后服务补贴户数</w:t>
            </w:r>
          </w:p>
        </w:tc>
        <w:tc>
          <w:tcPr>
            <w:tcW w:w="5386" w:type="dxa"/>
            <w:vAlign w:val="center"/>
          </w:tcPr>
          <w:p>
            <w:pPr>
              <w:pStyle w:val="12"/>
            </w:pPr>
            <w:r>
              <w:t>气代煤售后服务补贴户数</w:t>
            </w:r>
          </w:p>
        </w:tc>
        <w:tc>
          <w:tcPr>
            <w:tcW w:w="2268" w:type="dxa"/>
            <w:vAlign w:val="center"/>
          </w:tcPr>
          <w:p>
            <w:pPr>
              <w:pStyle w:val="12"/>
            </w:pPr>
            <w:r>
              <w:t>≥92547户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气代煤售后服务完成率</w:t>
            </w:r>
          </w:p>
        </w:tc>
        <w:tc>
          <w:tcPr>
            <w:tcW w:w="5386" w:type="dxa"/>
            <w:vAlign w:val="center"/>
          </w:tcPr>
          <w:p>
            <w:pPr>
              <w:pStyle w:val="12"/>
            </w:pPr>
            <w:r>
              <w:t>完成气代气代煤用户安检、维修、保险情况</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售后服务及时率</w:t>
            </w:r>
          </w:p>
        </w:tc>
        <w:tc>
          <w:tcPr>
            <w:tcW w:w="5386" w:type="dxa"/>
            <w:vAlign w:val="center"/>
          </w:tcPr>
          <w:p>
            <w:pPr>
              <w:pStyle w:val="12"/>
            </w:pPr>
            <w:r>
              <w:t>及时完成每户售后服务安检维修保险</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售后维修补贴标准</w:t>
            </w:r>
          </w:p>
        </w:tc>
        <w:tc>
          <w:tcPr>
            <w:tcW w:w="5386" w:type="dxa"/>
            <w:vAlign w:val="center"/>
          </w:tcPr>
          <w:p>
            <w:pPr>
              <w:pStyle w:val="12"/>
            </w:pPr>
            <w:r>
              <w:t>售后服务补贴标准</w:t>
            </w:r>
          </w:p>
        </w:tc>
        <w:tc>
          <w:tcPr>
            <w:tcW w:w="2268" w:type="dxa"/>
            <w:vAlign w:val="center"/>
          </w:tcPr>
          <w:p>
            <w:pPr>
              <w:pStyle w:val="12"/>
            </w:pPr>
            <w:r>
              <w:t>50元/户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气代煤安全使用户数</w:t>
            </w:r>
          </w:p>
        </w:tc>
        <w:tc>
          <w:tcPr>
            <w:tcW w:w="5386" w:type="dxa"/>
            <w:vAlign w:val="center"/>
          </w:tcPr>
          <w:p>
            <w:pPr>
              <w:pStyle w:val="12"/>
            </w:pPr>
            <w:r>
              <w:t>确保气代煤用户安全用气,保障燃气壁挂炉稳定运行</w:t>
            </w:r>
          </w:p>
        </w:tc>
        <w:tc>
          <w:tcPr>
            <w:tcW w:w="2268" w:type="dxa"/>
            <w:vAlign w:val="center"/>
          </w:tcPr>
          <w:p>
            <w:pPr>
              <w:pStyle w:val="12"/>
            </w:pPr>
            <w:r>
              <w:t>92547户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政策实施年限</w:t>
            </w:r>
          </w:p>
        </w:tc>
        <w:tc>
          <w:tcPr>
            <w:tcW w:w="5386" w:type="dxa"/>
            <w:vAlign w:val="center"/>
          </w:tcPr>
          <w:p>
            <w:pPr>
              <w:pStyle w:val="12"/>
            </w:pPr>
            <w:r>
              <w:t>确保气代煤用户安全用气,保障燃气壁挂炉稳定运行</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群众满意度占总数的比例</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23、2026年燃气监管平台绩效目标表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13011026P001551100346</w:t>
            </w:r>
          </w:p>
        </w:tc>
        <w:tc>
          <w:tcPr>
            <w:tcW w:w="2835" w:type="dxa"/>
            <w:vAlign w:val="center"/>
          </w:tcPr>
          <w:p>
            <w:pPr>
              <w:pStyle w:val="10"/>
            </w:pPr>
            <w:r>
              <w:t>项目名称</w:t>
            </w:r>
          </w:p>
        </w:tc>
        <w:tc>
          <w:tcPr>
            <w:tcW w:w="6095" w:type="dxa"/>
            <w:gridSpan w:val="3"/>
            <w:vAlign w:val="center"/>
          </w:tcPr>
          <w:p>
            <w:pPr>
              <w:pStyle w:val="12"/>
            </w:pPr>
            <w:r>
              <w:t>2026年燃气监管平台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3.12</w:t>
            </w:r>
          </w:p>
        </w:tc>
        <w:tc>
          <w:tcPr>
            <w:tcW w:w="2835" w:type="dxa"/>
            <w:vAlign w:val="center"/>
          </w:tcPr>
          <w:p>
            <w:pPr>
              <w:pStyle w:val="10"/>
            </w:pPr>
            <w:r>
              <w:t>其中：财政    资金</w:t>
            </w:r>
          </w:p>
        </w:tc>
        <w:tc>
          <w:tcPr>
            <w:tcW w:w="2551" w:type="dxa"/>
            <w:vAlign w:val="center"/>
          </w:tcPr>
          <w:p>
            <w:pPr>
              <w:pStyle w:val="12"/>
            </w:pPr>
            <w:r>
              <w:t>3.12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燃气监管平台建设资源费用，对全区燃气约22万户燃气用户安全进行监管，用于燃气用户安全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1.燃气监管平台建设资源费用，对全区燃气约22万户燃气用户安全进行监管，用于燃气用户安全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燃气监管平台建设数量</w:t>
            </w:r>
          </w:p>
        </w:tc>
        <w:tc>
          <w:tcPr>
            <w:tcW w:w="5386" w:type="dxa"/>
            <w:vAlign w:val="center"/>
          </w:tcPr>
          <w:p>
            <w:pPr>
              <w:pStyle w:val="12"/>
            </w:pPr>
            <w:r>
              <w:t>燃气监管平台建设数量</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燃气监管平台完成率</w:t>
            </w:r>
          </w:p>
        </w:tc>
        <w:tc>
          <w:tcPr>
            <w:tcW w:w="5386" w:type="dxa"/>
            <w:vAlign w:val="center"/>
          </w:tcPr>
          <w:p>
            <w:pPr>
              <w:pStyle w:val="12"/>
            </w:pPr>
            <w:r>
              <w:t>燃气监管平台完成率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燃气安全平台建设按时完成率</w:t>
            </w:r>
          </w:p>
        </w:tc>
        <w:tc>
          <w:tcPr>
            <w:tcW w:w="5386" w:type="dxa"/>
            <w:vAlign w:val="center"/>
          </w:tcPr>
          <w:p>
            <w:pPr>
              <w:pStyle w:val="12"/>
            </w:pPr>
            <w:r>
              <w:t>燃气安全平台建设按时完成率</w:t>
            </w:r>
          </w:p>
        </w:tc>
        <w:tc>
          <w:tcPr>
            <w:tcW w:w="2268" w:type="dxa"/>
            <w:vAlign w:val="center"/>
          </w:tcPr>
          <w:p>
            <w:pPr>
              <w:pStyle w:val="12"/>
            </w:pPr>
            <w:r>
              <w:t>6月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燃气安全监管平台成本</w:t>
            </w:r>
          </w:p>
        </w:tc>
        <w:tc>
          <w:tcPr>
            <w:tcW w:w="5386" w:type="dxa"/>
            <w:vAlign w:val="center"/>
          </w:tcPr>
          <w:p>
            <w:pPr>
              <w:pStyle w:val="12"/>
            </w:pPr>
            <w:r>
              <w:t>燃气安全监管平台成本</w:t>
            </w:r>
          </w:p>
        </w:tc>
        <w:tc>
          <w:tcPr>
            <w:tcW w:w="2268" w:type="dxa"/>
            <w:vAlign w:val="center"/>
          </w:tcPr>
          <w:p>
            <w:pPr>
              <w:pStyle w:val="12"/>
            </w:pPr>
            <w:r>
              <w:t>≤44.5万元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监管平台使用时间</w:t>
            </w:r>
          </w:p>
        </w:tc>
        <w:tc>
          <w:tcPr>
            <w:tcW w:w="5386" w:type="dxa"/>
            <w:vAlign w:val="center"/>
          </w:tcPr>
          <w:p>
            <w:pPr>
              <w:pStyle w:val="12"/>
            </w:pPr>
            <w:r>
              <w:t>监管平台使用时间</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24、2026年上庄污水处理厂投资返还金及污泥出处置费绩效目标表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13011026P00154510021Y</w:t>
            </w:r>
          </w:p>
        </w:tc>
        <w:tc>
          <w:tcPr>
            <w:tcW w:w="2835" w:type="dxa"/>
            <w:vAlign w:val="center"/>
          </w:tcPr>
          <w:p>
            <w:pPr>
              <w:pStyle w:val="10"/>
            </w:pPr>
            <w:r>
              <w:t>项目名称</w:t>
            </w:r>
          </w:p>
        </w:tc>
        <w:tc>
          <w:tcPr>
            <w:tcW w:w="6095" w:type="dxa"/>
            <w:gridSpan w:val="3"/>
            <w:vAlign w:val="center"/>
          </w:tcPr>
          <w:p>
            <w:pPr>
              <w:pStyle w:val="12"/>
            </w:pPr>
            <w:r>
              <w:t>2026年上庄污水处理厂投资返还金及污泥出处置费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750.00</w:t>
            </w:r>
          </w:p>
        </w:tc>
        <w:tc>
          <w:tcPr>
            <w:tcW w:w="2835" w:type="dxa"/>
            <w:vAlign w:val="center"/>
          </w:tcPr>
          <w:p>
            <w:pPr>
              <w:pStyle w:val="10"/>
            </w:pPr>
            <w:r>
              <w:t>其中：财政    资金</w:t>
            </w:r>
          </w:p>
        </w:tc>
        <w:tc>
          <w:tcPr>
            <w:tcW w:w="2551" w:type="dxa"/>
            <w:vAlign w:val="center"/>
          </w:tcPr>
          <w:p>
            <w:pPr>
              <w:pStyle w:val="12"/>
            </w:pPr>
            <w:r>
              <w:t>750.00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污水处理质量标准</w:t>
            </w:r>
          </w:p>
        </w:tc>
        <w:tc>
          <w:tcPr>
            <w:tcW w:w="5386" w:type="dxa"/>
            <w:vAlign w:val="center"/>
          </w:tcPr>
          <w:p>
            <w:pPr>
              <w:pStyle w:val="12"/>
            </w:pPr>
            <w:r>
              <w:t>全年污水处理达标排放</w:t>
            </w:r>
          </w:p>
        </w:tc>
        <w:tc>
          <w:tcPr>
            <w:tcW w:w="2268" w:type="dxa"/>
            <w:vAlign w:val="center"/>
          </w:tcPr>
          <w:p>
            <w:pPr>
              <w:pStyle w:val="12"/>
            </w:pPr>
            <w:r>
              <w:t>IV类水标准</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污水处理及时性</w:t>
            </w:r>
          </w:p>
        </w:tc>
        <w:tc>
          <w:tcPr>
            <w:tcW w:w="5386" w:type="dxa"/>
            <w:vAlign w:val="center"/>
          </w:tcPr>
          <w:p>
            <w:pPr>
              <w:pStyle w:val="12"/>
            </w:pPr>
            <w:r>
              <w:t>污水处理全年完成及时性</w:t>
            </w:r>
          </w:p>
        </w:tc>
        <w:tc>
          <w:tcPr>
            <w:tcW w:w="2268" w:type="dxa"/>
            <w:vAlign w:val="center"/>
          </w:tcPr>
          <w:p>
            <w:pPr>
              <w:pStyle w:val="12"/>
            </w:pPr>
            <w:r>
              <w:t>及时</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污水日处理量</w:t>
            </w:r>
          </w:p>
        </w:tc>
        <w:tc>
          <w:tcPr>
            <w:tcW w:w="5386" w:type="dxa"/>
            <w:vAlign w:val="center"/>
          </w:tcPr>
          <w:p>
            <w:pPr>
              <w:pStyle w:val="12"/>
            </w:pPr>
            <w:r>
              <w:t>污水日产量</w:t>
            </w:r>
          </w:p>
        </w:tc>
        <w:tc>
          <w:tcPr>
            <w:tcW w:w="2268" w:type="dxa"/>
            <w:vAlign w:val="center"/>
          </w:tcPr>
          <w:p>
            <w:pPr>
              <w:pStyle w:val="12"/>
            </w:pPr>
            <w:r>
              <w:t>≥5万/立方米</w:t>
            </w:r>
          </w:p>
        </w:tc>
        <w:tc>
          <w:tcPr>
            <w:tcW w:w="1276"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污水处理返还成本</w:t>
            </w:r>
          </w:p>
        </w:tc>
        <w:tc>
          <w:tcPr>
            <w:tcW w:w="5386" w:type="dxa"/>
            <w:vAlign w:val="center"/>
          </w:tcPr>
          <w:p>
            <w:pPr>
              <w:pStyle w:val="12"/>
            </w:pPr>
            <w:r>
              <w:t>每立方米处理标准</w:t>
            </w:r>
          </w:p>
        </w:tc>
        <w:tc>
          <w:tcPr>
            <w:tcW w:w="2268" w:type="dxa"/>
            <w:vAlign w:val="center"/>
          </w:tcPr>
          <w:p>
            <w:pPr>
              <w:pStyle w:val="12"/>
            </w:pPr>
            <w:r>
              <w:t>1.88元/立方米/天</w:t>
            </w:r>
          </w:p>
        </w:tc>
        <w:tc>
          <w:tcPr>
            <w:tcW w:w="1276"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污水处理达标率</w:t>
            </w:r>
          </w:p>
        </w:tc>
        <w:tc>
          <w:tcPr>
            <w:tcW w:w="5386" w:type="dxa"/>
            <w:vAlign w:val="center"/>
          </w:tcPr>
          <w:p>
            <w:pPr>
              <w:pStyle w:val="12"/>
            </w:pPr>
            <w:r>
              <w:t>达标污水量占污水处理量的比例</w:t>
            </w:r>
          </w:p>
        </w:tc>
        <w:tc>
          <w:tcPr>
            <w:tcW w:w="2268" w:type="dxa"/>
            <w:vAlign w:val="center"/>
          </w:tcPr>
          <w:p>
            <w:pPr>
              <w:pStyle w:val="12"/>
            </w:pPr>
            <w:r>
              <w:t>≥100%</w:t>
            </w:r>
          </w:p>
        </w:tc>
        <w:tc>
          <w:tcPr>
            <w:tcW w:w="1276"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对环境影响</w:t>
            </w:r>
          </w:p>
        </w:tc>
        <w:tc>
          <w:tcPr>
            <w:tcW w:w="5386" w:type="dxa"/>
            <w:vAlign w:val="center"/>
          </w:tcPr>
          <w:p>
            <w:pPr>
              <w:pStyle w:val="12"/>
            </w:pPr>
            <w:r>
              <w:t>回收利用效果</w:t>
            </w:r>
          </w:p>
        </w:tc>
        <w:tc>
          <w:tcPr>
            <w:tcW w:w="2268" w:type="dxa"/>
            <w:vAlign w:val="center"/>
          </w:tcPr>
          <w:p>
            <w:pPr>
              <w:pStyle w:val="12"/>
            </w:pPr>
            <w:r>
              <w:t>污水处理后可再利用发电、绿化灌溉、洒水等。</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满意和较满意人数占被调查人数的比例</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25、2026年石家庄市鹿泉区城市更新专项规划编制绩效目标表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13011026P00155610181C</w:t>
            </w:r>
          </w:p>
        </w:tc>
        <w:tc>
          <w:tcPr>
            <w:tcW w:w="2835" w:type="dxa"/>
            <w:vAlign w:val="center"/>
          </w:tcPr>
          <w:p>
            <w:pPr>
              <w:pStyle w:val="10"/>
            </w:pPr>
            <w:r>
              <w:t>项目名称</w:t>
            </w:r>
          </w:p>
        </w:tc>
        <w:tc>
          <w:tcPr>
            <w:tcW w:w="6095" w:type="dxa"/>
            <w:gridSpan w:val="3"/>
            <w:vAlign w:val="center"/>
          </w:tcPr>
          <w:p>
            <w:pPr>
              <w:pStyle w:val="12"/>
            </w:pPr>
            <w:r>
              <w:t>2026年石家庄市鹿泉区城市更新专项规划编制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6.49</w:t>
            </w:r>
          </w:p>
        </w:tc>
        <w:tc>
          <w:tcPr>
            <w:tcW w:w="2835" w:type="dxa"/>
            <w:vAlign w:val="center"/>
          </w:tcPr>
          <w:p>
            <w:pPr>
              <w:pStyle w:val="10"/>
            </w:pPr>
            <w:r>
              <w:t>其中：财政    资金</w:t>
            </w:r>
          </w:p>
        </w:tc>
        <w:tc>
          <w:tcPr>
            <w:tcW w:w="2551" w:type="dxa"/>
            <w:vAlign w:val="center"/>
          </w:tcPr>
          <w:p>
            <w:pPr>
              <w:pStyle w:val="12"/>
            </w:pPr>
            <w:r>
              <w:t>6.49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城市更新专项规划围绕老旧小区改造、基础设施升级、保障历史文化资源保护、带动社会投资。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1.城市更新专项规划围绕老旧小区改造、基础设施升级、保障历史文化资源保护、带动社会投资。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专项规划编制完成率</w:t>
            </w:r>
          </w:p>
        </w:tc>
        <w:tc>
          <w:tcPr>
            <w:tcW w:w="5386" w:type="dxa"/>
            <w:vAlign w:val="center"/>
          </w:tcPr>
          <w:p>
            <w:pPr>
              <w:pStyle w:val="12"/>
            </w:pPr>
            <w:r>
              <w:t>城市更新专项规划编制及审批完成比例</w:t>
            </w:r>
          </w:p>
        </w:tc>
        <w:tc>
          <w:tcPr>
            <w:tcW w:w="2268" w:type="dxa"/>
            <w:vAlign w:val="center"/>
          </w:tcPr>
          <w:p>
            <w:pPr>
              <w:pStyle w:val="12"/>
            </w:pPr>
            <w:r>
              <w:t>≥100%</w:t>
            </w:r>
          </w:p>
        </w:tc>
        <w:tc>
          <w:tcPr>
            <w:tcW w:w="1276" w:type="dxa"/>
            <w:vAlign w:val="center"/>
          </w:tcPr>
          <w:p>
            <w:pPr>
              <w:pStyle w:val="12"/>
            </w:pPr>
            <w:r>
              <w:t>依据《石家庄市城市更新行动实施方案》及鹿泉区年度工作目标，确保规划编制按时完成并通过审批。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城市更新项目验收合格的比例</w:t>
            </w:r>
          </w:p>
        </w:tc>
        <w:tc>
          <w:tcPr>
            <w:tcW w:w="2268" w:type="dxa"/>
            <w:vAlign w:val="center"/>
          </w:tcPr>
          <w:p>
            <w:pPr>
              <w:pStyle w:val="12"/>
            </w:pPr>
            <w:r>
              <w:t>≥95%</w:t>
            </w:r>
          </w:p>
        </w:tc>
        <w:tc>
          <w:tcPr>
            <w:tcW w:w="1276" w:type="dxa"/>
            <w:vAlign w:val="center"/>
          </w:tcPr>
          <w:p>
            <w:pPr>
              <w:pStyle w:val="12"/>
            </w:pPr>
            <w:r>
              <w:t>参照《河北省城市更新项目验收管理办法》，结合鹿泉区过往项目验收达标率设定。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按计划时间节点完成的项目比例</w:t>
            </w:r>
          </w:p>
        </w:tc>
        <w:tc>
          <w:tcPr>
            <w:tcW w:w="2268" w:type="dxa"/>
            <w:vAlign w:val="center"/>
          </w:tcPr>
          <w:p>
            <w:pPr>
              <w:pStyle w:val="12"/>
            </w:pPr>
            <w:r>
              <w:t>≥95%</w:t>
            </w:r>
          </w:p>
        </w:tc>
        <w:tc>
          <w:tcPr>
            <w:tcW w:w="1276" w:type="dxa"/>
            <w:vAlign w:val="center"/>
          </w:tcPr>
          <w:p>
            <w:pPr>
              <w:pStyle w:val="12"/>
            </w:pPr>
            <w:r>
              <w:t>基于鹿泉区城市更新项目年度实施计划及同类项目历史履约情况。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实际支出与预算的比例</w:t>
            </w:r>
          </w:p>
        </w:tc>
        <w:tc>
          <w:tcPr>
            <w:tcW w:w="2268" w:type="dxa"/>
            <w:vAlign w:val="center"/>
          </w:tcPr>
          <w:p>
            <w:pPr>
              <w:pStyle w:val="12"/>
            </w:pPr>
            <w:r>
              <w:t>≤100%</w:t>
            </w:r>
          </w:p>
        </w:tc>
        <w:tc>
          <w:tcPr>
            <w:tcW w:w="1276" w:type="dxa"/>
            <w:vAlign w:val="center"/>
          </w:tcPr>
          <w:p>
            <w:pPr>
              <w:pStyle w:val="12"/>
            </w:pPr>
            <w:r>
              <w:t>依据财政预算管理要求，确保资金使用合规且 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提升城市品质，改善人居环境</w:t>
            </w:r>
          </w:p>
        </w:tc>
        <w:tc>
          <w:tcPr>
            <w:tcW w:w="5386" w:type="dxa"/>
            <w:vAlign w:val="center"/>
          </w:tcPr>
          <w:p>
            <w:pPr>
              <w:pStyle w:val="12"/>
            </w:pPr>
            <w:r>
              <w:t>建立可持续运营管理机制的项目比例</w:t>
            </w:r>
          </w:p>
        </w:tc>
        <w:tc>
          <w:tcPr>
            <w:tcW w:w="2268" w:type="dxa"/>
            <w:vAlign w:val="center"/>
          </w:tcPr>
          <w:p>
            <w:pPr>
              <w:pStyle w:val="12"/>
            </w:pPr>
            <w:r>
              <w:t>≥80%</w:t>
            </w:r>
          </w:p>
        </w:tc>
        <w:tc>
          <w:tcPr>
            <w:tcW w:w="1276" w:type="dxa"/>
            <w:vAlign w:val="center"/>
          </w:tcPr>
          <w:p>
            <w:pPr>
              <w:pStyle w:val="12"/>
            </w:pPr>
            <w:r>
              <w:t>结合《完整社区建设指南》及鹿泉区老旧小区改造长效运营经验设定。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带动社会投资金额</w:t>
            </w:r>
          </w:p>
        </w:tc>
        <w:tc>
          <w:tcPr>
            <w:tcW w:w="5386" w:type="dxa"/>
            <w:vAlign w:val="center"/>
          </w:tcPr>
          <w:p>
            <w:pPr>
              <w:pStyle w:val="12"/>
            </w:pPr>
            <w:r>
              <w:t>城市更新项目带动的社会总投资（亿元）</w:t>
            </w:r>
          </w:p>
        </w:tc>
        <w:tc>
          <w:tcPr>
            <w:tcW w:w="2268" w:type="dxa"/>
            <w:vAlign w:val="center"/>
          </w:tcPr>
          <w:p>
            <w:pPr>
              <w:pStyle w:val="12"/>
            </w:pPr>
            <w:r>
              <w:t>≥7亿</w:t>
            </w:r>
          </w:p>
        </w:tc>
        <w:tc>
          <w:tcPr>
            <w:tcW w:w="1276" w:type="dxa"/>
            <w:vAlign w:val="center"/>
          </w:tcPr>
          <w:p>
            <w:pPr>
              <w:pStyle w:val="12"/>
            </w:pPr>
            <w:r>
              <w:t>参考鹿泉区近年城市更新项目投资带动效应及年度招商目标测算。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受益居民人数</w:t>
            </w:r>
          </w:p>
        </w:tc>
        <w:tc>
          <w:tcPr>
            <w:tcW w:w="5386" w:type="dxa"/>
            <w:vAlign w:val="center"/>
          </w:tcPr>
          <w:p>
            <w:pPr>
              <w:pStyle w:val="12"/>
            </w:pPr>
            <w:r>
              <w:t>城市更新直接受益的居民人数（人）</w:t>
            </w:r>
          </w:p>
        </w:tc>
        <w:tc>
          <w:tcPr>
            <w:tcW w:w="2268" w:type="dxa"/>
            <w:vAlign w:val="center"/>
          </w:tcPr>
          <w:p>
            <w:pPr>
              <w:pStyle w:val="12"/>
            </w:pPr>
            <w:r>
              <w:t>≥20000人</w:t>
            </w:r>
          </w:p>
        </w:tc>
        <w:tc>
          <w:tcPr>
            <w:tcW w:w="1276" w:type="dxa"/>
            <w:vAlign w:val="center"/>
          </w:tcPr>
          <w:p>
            <w:pPr>
              <w:pStyle w:val="12"/>
            </w:pPr>
            <w:r>
              <w:t>依据年度老旧小区改造、基础设施覆盖范围等任务量测算。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绿化覆盖率提升</w:t>
            </w:r>
          </w:p>
        </w:tc>
        <w:tc>
          <w:tcPr>
            <w:tcW w:w="5386" w:type="dxa"/>
            <w:vAlign w:val="center"/>
          </w:tcPr>
          <w:p>
            <w:pPr>
              <w:pStyle w:val="12"/>
            </w:pPr>
            <w:r>
              <w:t>更新片区内绿化面积的提升比率</w:t>
            </w:r>
          </w:p>
        </w:tc>
        <w:tc>
          <w:tcPr>
            <w:tcW w:w="2268" w:type="dxa"/>
            <w:vAlign w:val="center"/>
          </w:tcPr>
          <w:p>
            <w:pPr>
              <w:pStyle w:val="12"/>
            </w:pPr>
            <w:r>
              <w:t>≥10%</w:t>
            </w:r>
          </w:p>
        </w:tc>
        <w:tc>
          <w:tcPr>
            <w:tcW w:w="1276" w:type="dxa"/>
            <w:vAlign w:val="center"/>
          </w:tcPr>
          <w:p>
            <w:pPr>
              <w:pStyle w:val="12"/>
            </w:pPr>
            <w:r>
              <w:t>依据《鹿泉区国土空间总体规划（2021—2035年）》中生态提升目标设定。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受益居民对更新效果的满意度评分</w:t>
            </w:r>
          </w:p>
        </w:tc>
        <w:tc>
          <w:tcPr>
            <w:tcW w:w="2268" w:type="dxa"/>
            <w:vAlign w:val="center"/>
          </w:tcPr>
          <w:p>
            <w:pPr>
              <w:pStyle w:val="12"/>
            </w:pPr>
            <w:r>
              <w:t>≥85%</w:t>
            </w:r>
          </w:p>
        </w:tc>
        <w:tc>
          <w:tcPr>
            <w:tcW w:w="1276" w:type="dxa"/>
            <w:vAlign w:val="center"/>
          </w:tcPr>
          <w:p>
            <w:pPr>
              <w:pStyle w:val="12"/>
            </w:pPr>
            <w:r>
              <w:t>参照河北省民生项目满意度评价基准及鹿泉区过往民生项目满意度数据。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26、2026年石家庄市鹿泉区城市体检项目绩效目标表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13011026P001556101820</w:t>
            </w:r>
          </w:p>
        </w:tc>
        <w:tc>
          <w:tcPr>
            <w:tcW w:w="2835" w:type="dxa"/>
            <w:vAlign w:val="center"/>
          </w:tcPr>
          <w:p>
            <w:pPr>
              <w:pStyle w:val="10"/>
            </w:pPr>
            <w:r>
              <w:t>项目名称</w:t>
            </w:r>
          </w:p>
        </w:tc>
        <w:tc>
          <w:tcPr>
            <w:tcW w:w="6095" w:type="dxa"/>
            <w:gridSpan w:val="3"/>
            <w:vAlign w:val="center"/>
          </w:tcPr>
          <w:p>
            <w:pPr>
              <w:pStyle w:val="12"/>
            </w:pPr>
            <w:r>
              <w:t>2026年石家庄市鹿泉区城市体检项目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4.55</w:t>
            </w:r>
          </w:p>
        </w:tc>
        <w:tc>
          <w:tcPr>
            <w:tcW w:w="2835" w:type="dxa"/>
            <w:vAlign w:val="center"/>
          </w:tcPr>
          <w:p>
            <w:pPr>
              <w:pStyle w:val="10"/>
            </w:pPr>
            <w:r>
              <w:t>其中：财政    资金</w:t>
            </w:r>
          </w:p>
        </w:tc>
        <w:tc>
          <w:tcPr>
            <w:tcW w:w="2551" w:type="dxa"/>
            <w:vAlign w:val="center"/>
          </w:tcPr>
          <w:p>
            <w:pPr>
              <w:pStyle w:val="12"/>
            </w:pPr>
            <w:r>
              <w:t>4.55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城市体检项目成本</w:t>
            </w:r>
          </w:p>
        </w:tc>
        <w:tc>
          <w:tcPr>
            <w:tcW w:w="5386" w:type="dxa"/>
            <w:vAlign w:val="center"/>
          </w:tcPr>
          <w:p>
            <w:pPr>
              <w:pStyle w:val="12"/>
            </w:pPr>
            <w:r>
              <w:t>城市体检项目总成本</w:t>
            </w:r>
          </w:p>
        </w:tc>
        <w:tc>
          <w:tcPr>
            <w:tcW w:w="2268" w:type="dxa"/>
            <w:vAlign w:val="center"/>
          </w:tcPr>
          <w:p>
            <w:pPr>
              <w:pStyle w:val="12"/>
            </w:pPr>
            <w:r>
              <w:t>65万元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城市体检项目验收合格率</w:t>
            </w:r>
          </w:p>
        </w:tc>
        <w:tc>
          <w:tcPr>
            <w:tcW w:w="5386" w:type="dxa"/>
            <w:vAlign w:val="center"/>
          </w:tcPr>
          <w:p>
            <w:pPr>
              <w:pStyle w:val="12"/>
            </w:pPr>
            <w:r>
              <w:t>通过专家评审验收通过比例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城市体检项目按时完成率</w:t>
            </w:r>
          </w:p>
        </w:tc>
        <w:tc>
          <w:tcPr>
            <w:tcW w:w="5386" w:type="dxa"/>
            <w:vAlign w:val="center"/>
          </w:tcPr>
          <w:p>
            <w:pPr>
              <w:pStyle w:val="12"/>
            </w:pPr>
            <w:r>
              <w:t>城市体检项目按时完成率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城市体检辖区和辖区建成区范围</w:t>
            </w:r>
          </w:p>
        </w:tc>
        <w:tc>
          <w:tcPr>
            <w:tcW w:w="5386" w:type="dxa"/>
            <w:vAlign w:val="center"/>
          </w:tcPr>
          <w:p>
            <w:pPr>
              <w:pStyle w:val="12"/>
            </w:pPr>
            <w:r>
              <w:t>辖区建成区面积46.96平方公里</w:t>
            </w:r>
          </w:p>
        </w:tc>
        <w:tc>
          <w:tcPr>
            <w:tcW w:w="2268" w:type="dxa"/>
            <w:vAlign w:val="center"/>
          </w:tcPr>
          <w:p>
            <w:pPr>
              <w:pStyle w:val="12"/>
            </w:pPr>
            <w:r>
              <w:t>46.96平方公里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推进绿色发展和提供人居环境质量</w:t>
            </w:r>
          </w:p>
        </w:tc>
        <w:tc>
          <w:tcPr>
            <w:tcW w:w="5386" w:type="dxa"/>
            <w:vAlign w:val="center"/>
          </w:tcPr>
          <w:p>
            <w:pPr>
              <w:pStyle w:val="12"/>
            </w:pPr>
            <w:r>
              <w:t>增强人民群众的幸福感、获得感、安全感</w:t>
            </w:r>
          </w:p>
        </w:tc>
        <w:tc>
          <w:tcPr>
            <w:tcW w:w="2268" w:type="dxa"/>
            <w:vAlign w:val="center"/>
          </w:tcPr>
          <w:p>
            <w:pPr>
              <w:pStyle w:val="12"/>
            </w:pPr>
            <w:r>
              <w:t>达到要求标准</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人民群众的满意程度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27、2026年石家庄市鹿泉区海绵城市专项规划编制绩效目标表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13011026P00155610183K</w:t>
            </w:r>
          </w:p>
        </w:tc>
        <w:tc>
          <w:tcPr>
            <w:tcW w:w="2835" w:type="dxa"/>
            <w:vAlign w:val="center"/>
          </w:tcPr>
          <w:p>
            <w:pPr>
              <w:pStyle w:val="10"/>
            </w:pPr>
            <w:r>
              <w:t>项目名称</w:t>
            </w:r>
          </w:p>
        </w:tc>
        <w:tc>
          <w:tcPr>
            <w:tcW w:w="6095" w:type="dxa"/>
            <w:gridSpan w:val="3"/>
            <w:vAlign w:val="center"/>
          </w:tcPr>
          <w:p>
            <w:pPr>
              <w:pStyle w:val="12"/>
            </w:pPr>
            <w:r>
              <w:t>2026年石家庄市鹿泉区海绵城市专项规划编制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6.79</w:t>
            </w:r>
          </w:p>
        </w:tc>
        <w:tc>
          <w:tcPr>
            <w:tcW w:w="2835" w:type="dxa"/>
            <w:vAlign w:val="center"/>
          </w:tcPr>
          <w:p>
            <w:pPr>
              <w:pStyle w:val="10"/>
            </w:pPr>
            <w:r>
              <w:t>其中：财政    资金</w:t>
            </w:r>
          </w:p>
        </w:tc>
        <w:tc>
          <w:tcPr>
            <w:tcW w:w="2551" w:type="dxa"/>
            <w:vAlign w:val="center"/>
          </w:tcPr>
          <w:p>
            <w:pPr>
              <w:pStyle w:val="12"/>
            </w:pPr>
            <w:r>
              <w:t>6.79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完成鹿泉区海绵城市专项规划的编制与效果交付，构建符合区域特点的海绵城市建设管控体系，为后续城市防洪排涝、生态修复及高质量发展一共科学的规划依据。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1.完成鹿泉区海绵城市专项规划的编制与效果交付，构建符合区域特点的海绵城市建设管控体系，为后续城市防洪排涝、生态修复及高质量发展一共科学的规划依据。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规划成果编制数量</w:t>
            </w:r>
          </w:p>
        </w:tc>
        <w:tc>
          <w:tcPr>
            <w:tcW w:w="5386" w:type="dxa"/>
            <w:vAlign w:val="center"/>
          </w:tcPr>
          <w:p>
            <w:pPr>
              <w:pStyle w:val="12"/>
            </w:pPr>
            <w:r>
              <w:t>完成专线规划的文本、图集、说明书等成果</w:t>
            </w:r>
          </w:p>
        </w:tc>
        <w:tc>
          <w:tcPr>
            <w:tcW w:w="2268" w:type="dxa"/>
            <w:vAlign w:val="center"/>
          </w:tcPr>
          <w:p>
            <w:pPr>
              <w:pStyle w:val="12"/>
            </w:pPr>
            <w:r>
              <w:t>≥100%</w:t>
            </w:r>
          </w:p>
        </w:tc>
        <w:tc>
          <w:tcPr>
            <w:tcW w:w="1276" w:type="dxa"/>
            <w:vAlign w:val="center"/>
          </w:tcPr>
          <w:p>
            <w:pPr>
              <w:pStyle w:val="12"/>
            </w:pPr>
            <w:r>
              <w:t>依据《海绵城市专项规划编制暂行规定》需要形成包含文本、预计、说明说的完成成果体系，确保规划可落地实施。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成果合规性</w:t>
            </w:r>
          </w:p>
        </w:tc>
        <w:tc>
          <w:tcPr>
            <w:tcW w:w="5386" w:type="dxa"/>
            <w:vAlign w:val="center"/>
          </w:tcPr>
          <w:p>
            <w:pPr>
              <w:pStyle w:val="12"/>
            </w:pPr>
            <w:r>
              <w:t>规划成果符合《海绵城市建设技术指南》《河北省海绵城市建设标准》等国家及地方规范</w:t>
            </w:r>
          </w:p>
        </w:tc>
        <w:tc>
          <w:tcPr>
            <w:tcW w:w="2268" w:type="dxa"/>
            <w:vAlign w:val="center"/>
          </w:tcPr>
          <w:p>
            <w:pPr>
              <w:pStyle w:val="12"/>
            </w:pPr>
            <w:r>
              <w:t>100%符合</w:t>
            </w:r>
          </w:p>
        </w:tc>
        <w:tc>
          <w:tcPr>
            <w:tcW w:w="1276" w:type="dxa"/>
            <w:vAlign w:val="center"/>
          </w:tcPr>
          <w:p>
            <w:pPr>
              <w:pStyle w:val="12"/>
            </w:pPr>
            <w:r>
              <w:t>严格遵循《海绵城市建设技术指南》《河北省海绵城市建设标准》等国家及地方规范，保障规划技术路线与管控要求合规。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节点任务完成率</w:t>
            </w:r>
          </w:p>
        </w:tc>
        <w:tc>
          <w:tcPr>
            <w:tcW w:w="5386" w:type="dxa"/>
            <w:vAlign w:val="center"/>
          </w:tcPr>
          <w:p>
            <w:pPr>
              <w:pStyle w:val="12"/>
            </w:pPr>
            <w:r>
              <w:t>各阶段（现状调研、方案编制、征求意见）任务按时完成比例）</w:t>
            </w:r>
          </w:p>
        </w:tc>
        <w:tc>
          <w:tcPr>
            <w:tcW w:w="2268" w:type="dxa"/>
            <w:vAlign w:val="center"/>
          </w:tcPr>
          <w:p>
            <w:pPr>
              <w:pStyle w:val="12"/>
            </w:pPr>
            <w:r>
              <w:t>≥100%</w:t>
            </w:r>
          </w:p>
        </w:tc>
        <w:tc>
          <w:tcPr>
            <w:tcW w:w="1276" w:type="dxa"/>
            <w:vAlign w:val="center"/>
          </w:tcPr>
          <w:p>
            <w:pPr>
              <w:pStyle w:val="12"/>
            </w:pPr>
            <w:r>
              <w:t>参照同类规划项目的实施周期，确保各阶段任务按时交付。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预算控制率</w:t>
            </w:r>
          </w:p>
        </w:tc>
        <w:tc>
          <w:tcPr>
            <w:tcW w:w="5386" w:type="dxa"/>
            <w:vAlign w:val="center"/>
          </w:tcPr>
          <w:p>
            <w:pPr>
              <w:pStyle w:val="12"/>
            </w:pPr>
            <w:r>
              <w:t>项目实际支出不超过批复预算</w:t>
            </w:r>
          </w:p>
        </w:tc>
        <w:tc>
          <w:tcPr>
            <w:tcW w:w="2268" w:type="dxa"/>
            <w:vAlign w:val="center"/>
          </w:tcPr>
          <w:p>
            <w:pPr>
              <w:pStyle w:val="12"/>
            </w:pPr>
            <w:r>
              <w:t>≤100%</w:t>
            </w:r>
          </w:p>
        </w:tc>
        <w:tc>
          <w:tcPr>
            <w:tcW w:w="1276" w:type="dxa"/>
            <w:vAlign w:val="center"/>
          </w:tcPr>
          <w:p>
            <w:pPr>
              <w:pStyle w:val="12"/>
            </w:pPr>
            <w:r>
              <w:t>依据项目批复预算及财政资金管理要求，确保实际支出不超预算，保障资金使用效益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雨水年径流总量控制率提升</w:t>
            </w:r>
          </w:p>
        </w:tc>
        <w:tc>
          <w:tcPr>
            <w:tcW w:w="5386" w:type="dxa"/>
            <w:vAlign w:val="center"/>
          </w:tcPr>
          <w:p>
            <w:pPr>
              <w:pStyle w:val="12"/>
            </w:pPr>
            <w:r>
              <w:t>规划是时候城市建成区雨水年径总量控制达到目标要求</w:t>
            </w:r>
          </w:p>
        </w:tc>
        <w:tc>
          <w:tcPr>
            <w:tcW w:w="2268" w:type="dxa"/>
            <w:vAlign w:val="center"/>
          </w:tcPr>
          <w:p>
            <w:pPr>
              <w:pStyle w:val="12"/>
            </w:pPr>
            <w:r>
              <w:t>≥85%</w:t>
            </w:r>
          </w:p>
        </w:tc>
        <w:tc>
          <w:tcPr>
            <w:tcW w:w="1276" w:type="dxa"/>
            <w:vAlign w:val="center"/>
          </w:tcPr>
          <w:p>
            <w:pPr>
              <w:pStyle w:val="12"/>
            </w:pPr>
            <w:r>
              <w:t>依据《石家庄市海绵城市建设实施方案》城市建成区雨水年径总量控制率需达到80%的目标要求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公众海绵城市认知率</w:t>
            </w:r>
          </w:p>
        </w:tc>
        <w:tc>
          <w:tcPr>
            <w:tcW w:w="5386" w:type="dxa"/>
            <w:vAlign w:val="center"/>
          </w:tcPr>
          <w:p>
            <w:pPr>
              <w:pStyle w:val="12"/>
            </w:pPr>
            <w:r>
              <w:t>市民对海绵城市理念及建设成效的知程度</w:t>
            </w:r>
          </w:p>
        </w:tc>
        <w:tc>
          <w:tcPr>
            <w:tcW w:w="2268" w:type="dxa"/>
            <w:vAlign w:val="center"/>
          </w:tcPr>
          <w:p>
            <w:pPr>
              <w:pStyle w:val="12"/>
            </w:pPr>
            <w:r>
              <w:t>≥90%</w:t>
            </w:r>
          </w:p>
        </w:tc>
        <w:tc>
          <w:tcPr>
            <w:tcW w:w="1276" w:type="dxa"/>
            <w:vAlign w:val="center"/>
          </w:tcPr>
          <w:p>
            <w:pPr>
              <w:pStyle w:val="12"/>
            </w:pPr>
            <w:r>
              <w:t>参考国内同类城市海绵城市宣传成效数据，结合本地宣传推广技术设定目标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基础设施运维成本节约</w:t>
            </w:r>
          </w:p>
        </w:tc>
        <w:tc>
          <w:tcPr>
            <w:tcW w:w="5386" w:type="dxa"/>
            <w:vAlign w:val="center"/>
          </w:tcPr>
          <w:p>
            <w:pPr>
              <w:pStyle w:val="12"/>
            </w:pPr>
            <w:r>
              <w:t>海绵设施减少的市政排水设施运维成本</w:t>
            </w:r>
          </w:p>
        </w:tc>
        <w:tc>
          <w:tcPr>
            <w:tcW w:w="2268" w:type="dxa"/>
            <w:vAlign w:val="center"/>
          </w:tcPr>
          <w:p>
            <w:pPr>
              <w:pStyle w:val="12"/>
            </w:pPr>
            <w:r>
              <w:t>年节约300万元</w:t>
            </w:r>
          </w:p>
        </w:tc>
        <w:tc>
          <w:tcPr>
            <w:tcW w:w="1276" w:type="dxa"/>
            <w:vAlign w:val="center"/>
          </w:tcPr>
          <w:p>
            <w:pPr>
              <w:pStyle w:val="12"/>
            </w:pPr>
            <w:r>
              <w:t>基于海绵设施替代传统排水设施的经验数据、测算年运维成本节约额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规划有效期</w:t>
            </w:r>
          </w:p>
        </w:tc>
        <w:tc>
          <w:tcPr>
            <w:tcW w:w="5386" w:type="dxa"/>
            <w:vAlign w:val="center"/>
          </w:tcPr>
          <w:p>
            <w:pPr>
              <w:pStyle w:val="12"/>
            </w:pPr>
            <w:r>
              <w:t>规划成果对城市建设的指导年限</w:t>
            </w:r>
          </w:p>
        </w:tc>
        <w:tc>
          <w:tcPr>
            <w:tcW w:w="2268" w:type="dxa"/>
            <w:vAlign w:val="center"/>
          </w:tcPr>
          <w:p>
            <w:pPr>
              <w:pStyle w:val="12"/>
            </w:pPr>
            <w:r>
              <w:t>≥10年</w:t>
            </w:r>
          </w:p>
        </w:tc>
        <w:tc>
          <w:tcPr>
            <w:tcW w:w="1276" w:type="dxa"/>
            <w:vAlign w:val="center"/>
          </w:tcPr>
          <w:p>
            <w:pPr>
              <w:pStyle w:val="12"/>
            </w:pPr>
            <w:r>
              <w:t>依据城市规划编制相关规定，专项规划指导年限一般不低于10年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公众满意度</w:t>
            </w:r>
          </w:p>
        </w:tc>
        <w:tc>
          <w:tcPr>
            <w:tcW w:w="5386" w:type="dxa"/>
            <w:vAlign w:val="center"/>
          </w:tcPr>
          <w:p>
            <w:pPr>
              <w:pStyle w:val="12"/>
            </w:pPr>
            <w:r>
              <w:t>通过问卷调查等方式获取的市民的满意度</w:t>
            </w:r>
          </w:p>
        </w:tc>
        <w:tc>
          <w:tcPr>
            <w:tcW w:w="2268" w:type="dxa"/>
            <w:vAlign w:val="center"/>
          </w:tcPr>
          <w:p>
            <w:pPr>
              <w:pStyle w:val="12"/>
            </w:pPr>
            <w:r>
              <w:t>≥85%</w:t>
            </w:r>
          </w:p>
        </w:tc>
        <w:tc>
          <w:tcPr>
            <w:tcW w:w="1276" w:type="dxa"/>
            <w:vAlign w:val="center"/>
          </w:tcPr>
          <w:p>
            <w:pPr>
              <w:pStyle w:val="12"/>
            </w:pPr>
            <w:r>
              <w:t>参照政府购买服务项目满意度评价的行业惯例，结合市民对生态环境改善的期望设定目标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28、2026年石家庄市鹿泉区铁路征地拆迁工程专项资金绩效目标表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13011026P00000810004W</w:t>
            </w:r>
          </w:p>
        </w:tc>
        <w:tc>
          <w:tcPr>
            <w:tcW w:w="2835" w:type="dxa"/>
            <w:vAlign w:val="center"/>
          </w:tcPr>
          <w:p>
            <w:pPr>
              <w:pStyle w:val="10"/>
            </w:pPr>
            <w:r>
              <w:t>项目名称</w:t>
            </w:r>
          </w:p>
        </w:tc>
        <w:tc>
          <w:tcPr>
            <w:tcW w:w="6095" w:type="dxa"/>
            <w:gridSpan w:val="3"/>
            <w:vAlign w:val="center"/>
          </w:tcPr>
          <w:p>
            <w:pPr>
              <w:pStyle w:val="12"/>
            </w:pPr>
            <w:r>
              <w:t>2026年石家庄市鹿泉区铁路征地拆迁工程专项资金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保障铁路征迁货运系统专线资金。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1.保障铁路征迁货运系统专线资金。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支持企业数量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工期完工时间</w:t>
            </w:r>
          </w:p>
        </w:tc>
        <w:tc>
          <w:tcPr>
            <w:tcW w:w="5386" w:type="dxa"/>
            <w:vAlign w:val="center"/>
          </w:tcPr>
          <w:p>
            <w:pPr>
              <w:pStyle w:val="12"/>
            </w:pPr>
            <w:r>
              <w:t>工期完工时间</w:t>
            </w:r>
          </w:p>
        </w:tc>
        <w:tc>
          <w:tcPr>
            <w:tcW w:w="2268" w:type="dxa"/>
            <w:vAlign w:val="center"/>
          </w:tcPr>
          <w:p>
            <w:pPr>
              <w:pStyle w:val="12"/>
            </w:pPr>
            <w:r>
              <w:t>已完工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控制在预算成本内</w:t>
            </w:r>
          </w:p>
        </w:tc>
        <w:tc>
          <w:tcPr>
            <w:tcW w:w="5386" w:type="dxa"/>
            <w:vAlign w:val="center"/>
          </w:tcPr>
          <w:p>
            <w:pPr>
              <w:pStyle w:val="12"/>
            </w:pPr>
            <w:r>
              <w:t>控制在预算成本内</w:t>
            </w:r>
          </w:p>
        </w:tc>
        <w:tc>
          <w:tcPr>
            <w:tcW w:w="2268" w:type="dxa"/>
            <w:vAlign w:val="center"/>
          </w:tcPr>
          <w:p>
            <w:pPr>
              <w:pStyle w:val="12"/>
            </w:pPr>
            <w:r>
              <w:t>100万元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资产可持续使用年限</w:t>
            </w:r>
          </w:p>
        </w:tc>
        <w:tc>
          <w:tcPr>
            <w:tcW w:w="5386" w:type="dxa"/>
            <w:vAlign w:val="center"/>
          </w:tcPr>
          <w:p>
            <w:pPr>
              <w:pStyle w:val="12"/>
            </w:pPr>
            <w:r>
              <w:t>反映基建项目形成的固定资产可持续使用的年限情况。</w:t>
            </w:r>
          </w:p>
        </w:tc>
        <w:tc>
          <w:tcPr>
            <w:tcW w:w="2268" w:type="dxa"/>
            <w:vAlign w:val="center"/>
          </w:tcPr>
          <w:p>
            <w:pPr>
              <w:pStyle w:val="12"/>
            </w:pPr>
            <w:r>
              <w:t>≥30年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29、2026年石家庄市鹿泉区新型城镇化规划（2021-2035年）绩效目标表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13011026P001606100100</w:t>
            </w:r>
          </w:p>
        </w:tc>
        <w:tc>
          <w:tcPr>
            <w:tcW w:w="2835" w:type="dxa"/>
            <w:vAlign w:val="center"/>
          </w:tcPr>
          <w:p>
            <w:pPr>
              <w:pStyle w:val="10"/>
            </w:pPr>
            <w:r>
              <w:t>项目名称</w:t>
            </w:r>
          </w:p>
        </w:tc>
        <w:tc>
          <w:tcPr>
            <w:tcW w:w="6095" w:type="dxa"/>
            <w:gridSpan w:val="3"/>
            <w:vAlign w:val="center"/>
          </w:tcPr>
          <w:p>
            <w:pPr>
              <w:pStyle w:val="12"/>
            </w:pPr>
            <w:r>
              <w:t>2026年石家庄市鹿泉区新型城镇化规划（2021-2035年）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w:t>
            </w:r>
          </w:p>
        </w:tc>
        <w:tc>
          <w:tcPr>
            <w:tcW w:w="2835" w:type="dxa"/>
            <w:vAlign w:val="center"/>
          </w:tcPr>
          <w:p>
            <w:pPr>
              <w:pStyle w:val="10"/>
            </w:pPr>
            <w:r>
              <w:t>其中：财政    资金</w:t>
            </w:r>
          </w:p>
        </w:tc>
        <w:tc>
          <w:tcPr>
            <w:tcW w:w="2551" w:type="dxa"/>
            <w:vAlign w:val="center"/>
          </w:tcPr>
          <w:p>
            <w:pPr>
              <w:pStyle w:val="12"/>
            </w:pPr>
            <w:r>
              <w:t>1.05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完成我区新型城镇化规划，规划期至2023年，指导我区创建全国新型城镇化建设示范区。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1.完成我区新型城镇化规划，规划期至2023年，指导我区创建全国新型城镇化建设示范区。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规划编制完成率</w:t>
            </w:r>
          </w:p>
        </w:tc>
        <w:tc>
          <w:tcPr>
            <w:tcW w:w="5386" w:type="dxa"/>
            <w:vAlign w:val="center"/>
          </w:tcPr>
          <w:p>
            <w:pPr>
              <w:pStyle w:val="12"/>
            </w:pPr>
            <w:r>
              <w:t>鹿泉区新型城镇化规划（2021-2035）编制100%完成</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规划编制实用率</w:t>
            </w:r>
          </w:p>
        </w:tc>
        <w:tc>
          <w:tcPr>
            <w:tcW w:w="5386" w:type="dxa"/>
            <w:vAlign w:val="center"/>
          </w:tcPr>
          <w:p>
            <w:pPr>
              <w:pStyle w:val="12"/>
            </w:pPr>
            <w:r>
              <w:t>新型城镇化规划对创建全国新型城镇化建设示范区的指导效果</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规划编制完成时间</w:t>
            </w:r>
          </w:p>
        </w:tc>
        <w:tc>
          <w:tcPr>
            <w:tcW w:w="5386" w:type="dxa"/>
            <w:vAlign w:val="center"/>
          </w:tcPr>
          <w:p>
            <w:pPr>
              <w:pStyle w:val="12"/>
            </w:pPr>
            <w:r>
              <w:t>完成规划期至2035年的新型城镇化规划</w:t>
            </w:r>
          </w:p>
        </w:tc>
        <w:tc>
          <w:tcPr>
            <w:tcW w:w="2268" w:type="dxa"/>
            <w:vAlign w:val="center"/>
          </w:tcPr>
          <w:p>
            <w:pPr>
              <w:pStyle w:val="12"/>
            </w:pPr>
            <w:r>
              <w:t>2023年底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完成规划编制成本</w:t>
            </w:r>
          </w:p>
        </w:tc>
        <w:tc>
          <w:tcPr>
            <w:tcW w:w="5386" w:type="dxa"/>
            <w:vAlign w:val="center"/>
          </w:tcPr>
          <w:p>
            <w:pPr>
              <w:pStyle w:val="12"/>
            </w:pPr>
            <w:r>
              <w:t>完成鹿泉区新型城镇化规划（2021-2035）编制所需费用</w:t>
            </w:r>
          </w:p>
        </w:tc>
        <w:tc>
          <w:tcPr>
            <w:tcW w:w="2268" w:type="dxa"/>
            <w:vAlign w:val="center"/>
          </w:tcPr>
          <w:p>
            <w:pPr>
              <w:pStyle w:val="12"/>
            </w:pPr>
            <w:r>
              <w:t>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指导作用</w:t>
            </w:r>
          </w:p>
        </w:tc>
        <w:tc>
          <w:tcPr>
            <w:tcW w:w="5386" w:type="dxa"/>
            <w:vAlign w:val="center"/>
          </w:tcPr>
          <w:p>
            <w:pPr>
              <w:pStyle w:val="12"/>
            </w:pPr>
            <w:r>
              <w:t>指导鹿泉区达到全国新型城镇化建设示范区水平</w:t>
            </w:r>
          </w:p>
        </w:tc>
        <w:tc>
          <w:tcPr>
            <w:tcW w:w="2268" w:type="dxa"/>
            <w:vAlign w:val="center"/>
          </w:tcPr>
          <w:p>
            <w:pPr>
              <w:pStyle w:val="12"/>
            </w:pPr>
            <w:r>
              <w:t>达到全国示范区水平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规划持续发挥作用时间</w:t>
            </w:r>
          </w:p>
        </w:tc>
        <w:tc>
          <w:tcPr>
            <w:tcW w:w="5386" w:type="dxa"/>
            <w:vAlign w:val="center"/>
          </w:tcPr>
          <w:p>
            <w:pPr>
              <w:pStyle w:val="12"/>
            </w:pPr>
            <w:r>
              <w:t>规划编制可持续期限</w:t>
            </w:r>
          </w:p>
        </w:tc>
        <w:tc>
          <w:tcPr>
            <w:tcW w:w="2268" w:type="dxa"/>
            <w:vAlign w:val="center"/>
          </w:tcPr>
          <w:p>
            <w:pPr>
              <w:pStyle w:val="12"/>
            </w:pPr>
            <w:r>
              <w:t>13年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群众对规划编制的满意率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30、2026年石家庄西部上庄污水处理厂扩建工程绩效目标表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13011026P00155610179D</w:t>
            </w:r>
          </w:p>
        </w:tc>
        <w:tc>
          <w:tcPr>
            <w:tcW w:w="2835" w:type="dxa"/>
            <w:vAlign w:val="center"/>
          </w:tcPr>
          <w:p>
            <w:pPr>
              <w:pStyle w:val="10"/>
            </w:pPr>
            <w:r>
              <w:t>项目名称</w:t>
            </w:r>
          </w:p>
        </w:tc>
        <w:tc>
          <w:tcPr>
            <w:tcW w:w="6095" w:type="dxa"/>
            <w:gridSpan w:val="3"/>
            <w:vAlign w:val="center"/>
          </w:tcPr>
          <w:p>
            <w:pPr>
              <w:pStyle w:val="12"/>
            </w:pPr>
            <w:r>
              <w:t>2026年石家庄西部上庄污水处理厂扩建工程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100.90</w:t>
            </w:r>
          </w:p>
        </w:tc>
        <w:tc>
          <w:tcPr>
            <w:tcW w:w="2835" w:type="dxa"/>
            <w:vAlign w:val="center"/>
          </w:tcPr>
          <w:p>
            <w:pPr>
              <w:pStyle w:val="10"/>
            </w:pPr>
            <w:r>
              <w:t>其中：财政    资金</w:t>
            </w:r>
          </w:p>
        </w:tc>
        <w:tc>
          <w:tcPr>
            <w:tcW w:w="2551" w:type="dxa"/>
            <w:vAlign w:val="center"/>
          </w:tcPr>
          <w:p>
            <w:pPr>
              <w:pStyle w:val="12"/>
            </w:pPr>
            <w:r>
              <w:t>100.90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在原有 5 万立方米/日的基础上扩建 5 万立方米/日（即建成后处理规模 10 万立方米/日），污水厂扩建后提高了污水处理能力，能有效防止污水外溢，保护环境。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1.在原有 5 万立方米/日的基础上扩建 5 万立方米/日（即建成后处理规模 10 万立方米/日），污水厂扩建后提高了污水处理能力，能有效防止污水外溢，保护环境。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扩建增加每日的污水处理量</w:t>
            </w:r>
          </w:p>
        </w:tc>
        <w:tc>
          <w:tcPr>
            <w:tcW w:w="5386" w:type="dxa"/>
            <w:vAlign w:val="center"/>
          </w:tcPr>
          <w:p>
            <w:pPr>
              <w:pStyle w:val="12"/>
            </w:pPr>
            <w:r>
              <w:t>该项目扩建的污水处理每日的总量</w:t>
            </w:r>
          </w:p>
        </w:tc>
        <w:tc>
          <w:tcPr>
            <w:tcW w:w="2268" w:type="dxa"/>
            <w:vAlign w:val="center"/>
          </w:tcPr>
          <w:p>
            <w:pPr>
              <w:pStyle w:val="12"/>
            </w:pPr>
            <w:r>
              <w:t>5万立方米/日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建设工程质量合格率（%）</w:t>
            </w:r>
          </w:p>
        </w:tc>
        <w:tc>
          <w:tcPr>
            <w:tcW w:w="5386" w:type="dxa"/>
            <w:vAlign w:val="center"/>
          </w:tcPr>
          <w:p>
            <w:pPr>
              <w:pStyle w:val="12"/>
            </w:pPr>
            <w:r>
              <w:t>项目完工验收合格数/项目总数*100%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及时完成工程量占需要完成工程量的比例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w:t>
            </w:r>
          </w:p>
        </w:tc>
        <w:tc>
          <w:tcPr>
            <w:tcW w:w="5386" w:type="dxa"/>
            <w:vAlign w:val="center"/>
          </w:tcPr>
          <w:p>
            <w:pPr>
              <w:pStyle w:val="12"/>
            </w:pPr>
            <w:r>
              <w:t>工程建设成本</w:t>
            </w:r>
          </w:p>
        </w:tc>
        <w:tc>
          <w:tcPr>
            <w:tcW w:w="2268" w:type="dxa"/>
            <w:vAlign w:val="center"/>
          </w:tcPr>
          <w:p>
            <w:pPr>
              <w:pStyle w:val="12"/>
            </w:pPr>
            <w:r>
              <w:t>≤11780.67万元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污水处理厂使用年限</w:t>
            </w:r>
          </w:p>
        </w:tc>
        <w:tc>
          <w:tcPr>
            <w:tcW w:w="5386" w:type="dxa"/>
            <w:vAlign w:val="center"/>
          </w:tcPr>
          <w:p>
            <w:pPr>
              <w:pStyle w:val="12"/>
            </w:pPr>
            <w:r>
              <w:t>污水处理厂使用年限</w:t>
            </w:r>
          </w:p>
        </w:tc>
        <w:tc>
          <w:tcPr>
            <w:tcW w:w="2268" w:type="dxa"/>
            <w:vAlign w:val="center"/>
          </w:tcPr>
          <w:p>
            <w:pPr>
              <w:pStyle w:val="12"/>
            </w:pPr>
            <w:r>
              <w:t>≥20年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反映项目实施后受益人群的满意度情况</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31、2026年石家庄西部上庄污水处理厂扩建运营费绩效目标表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13011026P00155610178R</w:t>
            </w:r>
          </w:p>
        </w:tc>
        <w:tc>
          <w:tcPr>
            <w:tcW w:w="2835" w:type="dxa"/>
            <w:vAlign w:val="center"/>
          </w:tcPr>
          <w:p>
            <w:pPr>
              <w:pStyle w:val="10"/>
            </w:pPr>
            <w:r>
              <w:t>项目名称</w:t>
            </w:r>
          </w:p>
        </w:tc>
        <w:tc>
          <w:tcPr>
            <w:tcW w:w="6095" w:type="dxa"/>
            <w:gridSpan w:val="3"/>
            <w:vAlign w:val="center"/>
          </w:tcPr>
          <w:p>
            <w:pPr>
              <w:pStyle w:val="12"/>
            </w:pPr>
            <w:r>
              <w:t>2026年石家庄西部上庄污水处理厂扩建运营费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完成污水处理厂运营服务费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1.完成污水处理厂运营服务费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提交成果报告</w:t>
            </w:r>
          </w:p>
        </w:tc>
        <w:tc>
          <w:tcPr>
            <w:tcW w:w="5386" w:type="dxa"/>
            <w:vAlign w:val="center"/>
          </w:tcPr>
          <w:p>
            <w:pPr>
              <w:pStyle w:val="12"/>
            </w:pPr>
            <w:r>
              <w:t>提交成果报告</w:t>
            </w:r>
          </w:p>
        </w:tc>
        <w:tc>
          <w:tcPr>
            <w:tcW w:w="2268" w:type="dxa"/>
            <w:vAlign w:val="center"/>
          </w:tcPr>
          <w:p>
            <w:pPr>
              <w:pStyle w:val="12"/>
            </w:pPr>
            <w:r>
              <w:t>3套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提交成果报告质量</w:t>
            </w:r>
          </w:p>
        </w:tc>
        <w:tc>
          <w:tcPr>
            <w:tcW w:w="5386" w:type="dxa"/>
            <w:vAlign w:val="center"/>
          </w:tcPr>
          <w:p>
            <w:pPr>
              <w:pStyle w:val="12"/>
            </w:pPr>
            <w:r>
              <w:t>提交成果报告质量</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任务完成时间</w:t>
            </w:r>
          </w:p>
        </w:tc>
        <w:tc>
          <w:tcPr>
            <w:tcW w:w="5386" w:type="dxa"/>
            <w:vAlign w:val="center"/>
          </w:tcPr>
          <w:p>
            <w:pPr>
              <w:pStyle w:val="12"/>
            </w:pPr>
            <w:r>
              <w:t>任务完成时间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w:t>
            </w:r>
          </w:p>
        </w:tc>
        <w:tc>
          <w:tcPr>
            <w:tcW w:w="5386" w:type="dxa"/>
            <w:vAlign w:val="center"/>
          </w:tcPr>
          <w:p>
            <w:pPr>
              <w:pStyle w:val="12"/>
            </w:pPr>
            <w:r>
              <w:t>预算控制</w:t>
            </w:r>
          </w:p>
        </w:tc>
        <w:tc>
          <w:tcPr>
            <w:tcW w:w="2268" w:type="dxa"/>
            <w:vAlign w:val="center"/>
          </w:tcPr>
          <w:p>
            <w:pPr>
              <w:pStyle w:val="12"/>
            </w:pPr>
            <w:r>
              <w:t>≤1080万元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可持续使用时间</w:t>
            </w:r>
          </w:p>
        </w:tc>
        <w:tc>
          <w:tcPr>
            <w:tcW w:w="5386" w:type="dxa"/>
            <w:vAlign w:val="center"/>
          </w:tcPr>
          <w:p>
            <w:pPr>
              <w:pStyle w:val="12"/>
            </w:pPr>
            <w:r>
              <w:t>运营时间</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32、2026年污水处理代征服务费及管网附属管护费绩效目标表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13011026P00155610176J</w:t>
            </w:r>
          </w:p>
        </w:tc>
        <w:tc>
          <w:tcPr>
            <w:tcW w:w="2835" w:type="dxa"/>
            <w:vAlign w:val="center"/>
          </w:tcPr>
          <w:p>
            <w:pPr>
              <w:pStyle w:val="10"/>
            </w:pPr>
            <w:r>
              <w:t>项目名称</w:t>
            </w:r>
          </w:p>
        </w:tc>
        <w:tc>
          <w:tcPr>
            <w:tcW w:w="6095" w:type="dxa"/>
            <w:gridSpan w:val="3"/>
            <w:vAlign w:val="center"/>
          </w:tcPr>
          <w:p>
            <w:pPr>
              <w:pStyle w:val="12"/>
            </w:pPr>
            <w:r>
              <w:t>2026年污水处理代征服务费及管网附属管护费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共雇佣30人对50公里的管网和泵站进行巡护和维护疏通管理，给予代征单位污水处理费3%的服务费。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1.共雇佣30人对50公里的管网和泵站进行巡护和维护疏通管理，给予代征单位污水处理费3%的服务费。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雇佣人数</w:t>
            </w:r>
          </w:p>
        </w:tc>
        <w:tc>
          <w:tcPr>
            <w:tcW w:w="5386" w:type="dxa"/>
            <w:vAlign w:val="center"/>
          </w:tcPr>
          <w:p>
            <w:pPr>
              <w:pStyle w:val="12"/>
            </w:pPr>
            <w:r>
              <w:t>维护泵站管网运行人员</w:t>
            </w:r>
          </w:p>
        </w:tc>
        <w:tc>
          <w:tcPr>
            <w:tcW w:w="2268" w:type="dxa"/>
            <w:vAlign w:val="center"/>
          </w:tcPr>
          <w:p>
            <w:pPr>
              <w:pStyle w:val="12"/>
            </w:pPr>
            <w:r>
              <w:t>≥30人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维护管网长度</w:t>
            </w:r>
          </w:p>
        </w:tc>
        <w:tc>
          <w:tcPr>
            <w:tcW w:w="5386" w:type="dxa"/>
            <w:vAlign w:val="center"/>
          </w:tcPr>
          <w:p>
            <w:pPr>
              <w:pStyle w:val="12"/>
            </w:pPr>
            <w:r>
              <w:t>维护泵站污水管网管护长度</w:t>
            </w:r>
          </w:p>
        </w:tc>
        <w:tc>
          <w:tcPr>
            <w:tcW w:w="2268" w:type="dxa"/>
            <w:vAlign w:val="center"/>
          </w:tcPr>
          <w:p>
            <w:pPr>
              <w:pStyle w:val="12"/>
            </w:pPr>
            <w:r>
              <w:t>≥50公里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维护污水管网及时率</w:t>
            </w:r>
          </w:p>
        </w:tc>
        <w:tc>
          <w:tcPr>
            <w:tcW w:w="5386" w:type="dxa"/>
            <w:vAlign w:val="center"/>
          </w:tcPr>
          <w:p>
            <w:pPr>
              <w:pStyle w:val="12"/>
            </w:pPr>
            <w:r>
              <w:t>维护污水管道损坏及修复及时率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维护泵站管网成本</w:t>
            </w:r>
          </w:p>
        </w:tc>
        <w:tc>
          <w:tcPr>
            <w:tcW w:w="5386" w:type="dxa"/>
            <w:vAlign w:val="center"/>
          </w:tcPr>
          <w:p>
            <w:pPr>
              <w:pStyle w:val="12"/>
            </w:pPr>
            <w:r>
              <w:t>维护泵站、管网日常运行、维修、管护、工资、电费等</w:t>
            </w:r>
          </w:p>
        </w:tc>
        <w:tc>
          <w:tcPr>
            <w:tcW w:w="2268" w:type="dxa"/>
            <w:vAlign w:val="center"/>
          </w:tcPr>
          <w:p>
            <w:pPr>
              <w:pStyle w:val="12"/>
            </w:pPr>
            <w:r>
              <w:t>138万</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污水处理费待征服务费</w:t>
            </w:r>
          </w:p>
        </w:tc>
        <w:tc>
          <w:tcPr>
            <w:tcW w:w="5386" w:type="dxa"/>
            <w:vAlign w:val="center"/>
          </w:tcPr>
          <w:p>
            <w:pPr>
              <w:pStyle w:val="12"/>
            </w:pPr>
            <w:r>
              <w:t>保障污水处理费征收工作正常收缴</w:t>
            </w:r>
          </w:p>
        </w:tc>
        <w:tc>
          <w:tcPr>
            <w:tcW w:w="2268" w:type="dxa"/>
            <w:vAlign w:val="center"/>
          </w:tcPr>
          <w:p>
            <w:pPr>
              <w:pStyle w:val="12"/>
            </w:pPr>
            <w:r>
              <w:t>支付污水处理费代征费3%</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维护泵站管网完成率</w:t>
            </w:r>
          </w:p>
        </w:tc>
        <w:tc>
          <w:tcPr>
            <w:tcW w:w="5386" w:type="dxa"/>
            <w:vAlign w:val="center"/>
          </w:tcPr>
          <w:p>
            <w:pPr>
              <w:pStyle w:val="12"/>
            </w:pPr>
            <w:r>
              <w:t>维护泵站管网全年合格率达到百分比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解决周边企业居民污水收集处理</w:t>
            </w:r>
          </w:p>
        </w:tc>
        <w:tc>
          <w:tcPr>
            <w:tcW w:w="5386" w:type="dxa"/>
            <w:vAlign w:val="center"/>
          </w:tcPr>
          <w:p>
            <w:pPr>
              <w:pStyle w:val="12"/>
            </w:pPr>
            <w:r>
              <w:t>解决主管网周边居民生活污水集中收集处理问题</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收益群众满意度（%）</w:t>
            </w:r>
          </w:p>
        </w:tc>
        <w:tc>
          <w:tcPr>
            <w:tcW w:w="5386" w:type="dxa"/>
            <w:vAlign w:val="center"/>
          </w:tcPr>
          <w:p>
            <w:pPr>
              <w:pStyle w:val="12"/>
            </w:pPr>
            <w:r>
              <w:t>收水范围内收益群众满意度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33、2026年物业公司审计费绩效目标表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13011026P00160610009L</w:t>
            </w:r>
          </w:p>
        </w:tc>
        <w:tc>
          <w:tcPr>
            <w:tcW w:w="2835" w:type="dxa"/>
            <w:vAlign w:val="center"/>
          </w:tcPr>
          <w:p>
            <w:pPr>
              <w:pStyle w:val="10"/>
            </w:pPr>
            <w:r>
              <w:t>项目名称</w:t>
            </w:r>
          </w:p>
        </w:tc>
        <w:tc>
          <w:tcPr>
            <w:tcW w:w="6095" w:type="dxa"/>
            <w:gridSpan w:val="3"/>
            <w:vAlign w:val="center"/>
          </w:tcPr>
          <w:p>
            <w:pPr>
              <w:pStyle w:val="12"/>
            </w:pPr>
            <w:r>
              <w:t>2026年物业公司审计费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w:t>
            </w:r>
          </w:p>
        </w:tc>
        <w:tc>
          <w:tcPr>
            <w:tcW w:w="2835" w:type="dxa"/>
            <w:vAlign w:val="center"/>
          </w:tcPr>
          <w:p>
            <w:pPr>
              <w:pStyle w:val="10"/>
            </w:pPr>
            <w:r>
              <w:t>其中：财政    资金</w:t>
            </w:r>
          </w:p>
        </w:tc>
        <w:tc>
          <w:tcPr>
            <w:tcW w:w="2551" w:type="dxa"/>
            <w:vAlign w:val="center"/>
          </w:tcPr>
          <w:p>
            <w:pPr>
              <w:pStyle w:val="12"/>
            </w:pPr>
            <w:r>
              <w:t>1.05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审查物业公司费用专款专用，杜绝资金抽逃。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1.审查物业公司费用专款专用，杜绝资金抽逃。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监督检查覆盖率</w:t>
            </w:r>
          </w:p>
        </w:tc>
        <w:tc>
          <w:tcPr>
            <w:tcW w:w="5386" w:type="dxa"/>
            <w:vAlign w:val="center"/>
          </w:tcPr>
          <w:p>
            <w:pPr>
              <w:pStyle w:val="12"/>
            </w:pPr>
            <w:r>
              <w:t>反映监督检查覆盖情况。</w:t>
            </w:r>
          </w:p>
        </w:tc>
        <w:tc>
          <w:tcPr>
            <w:tcW w:w="2268" w:type="dxa"/>
            <w:vAlign w:val="center"/>
          </w:tcPr>
          <w:p>
            <w:pPr>
              <w:pStyle w:val="12"/>
            </w:pPr>
            <w:r>
              <w:t>全区重点物业公司</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问题整改率</w:t>
            </w:r>
          </w:p>
        </w:tc>
        <w:tc>
          <w:tcPr>
            <w:tcW w:w="5386" w:type="dxa"/>
            <w:vAlign w:val="center"/>
          </w:tcPr>
          <w:p>
            <w:pPr>
              <w:pStyle w:val="12"/>
            </w:pPr>
            <w:r>
              <w:t>反映问题整改情况。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审计时间</w:t>
            </w:r>
          </w:p>
        </w:tc>
        <w:tc>
          <w:tcPr>
            <w:tcW w:w="5386" w:type="dxa"/>
            <w:vAlign w:val="center"/>
          </w:tcPr>
          <w:p>
            <w:pPr>
              <w:pStyle w:val="12"/>
            </w:pPr>
            <w:r>
              <w:t>审计工作时间情况。</w:t>
            </w:r>
          </w:p>
        </w:tc>
        <w:tc>
          <w:tcPr>
            <w:tcW w:w="2268" w:type="dxa"/>
            <w:vAlign w:val="center"/>
          </w:tcPr>
          <w:p>
            <w:pPr>
              <w:pStyle w:val="12"/>
            </w:pPr>
            <w:r>
              <w:t>本年度</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5386" w:type="dxa"/>
            <w:vAlign w:val="center"/>
          </w:tcPr>
          <w:p>
            <w:pPr>
              <w:pStyle w:val="12"/>
            </w:pPr>
            <w:r>
              <w:t>预算成本</w:t>
            </w:r>
          </w:p>
        </w:tc>
        <w:tc>
          <w:tcPr>
            <w:tcW w:w="2268" w:type="dxa"/>
            <w:vAlign w:val="center"/>
          </w:tcPr>
          <w:p>
            <w:pPr>
              <w:pStyle w:val="12"/>
            </w:pPr>
            <w:r>
              <w:t>预算批复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审计建议采纳率</w:t>
            </w:r>
          </w:p>
        </w:tc>
        <w:tc>
          <w:tcPr>
            <w:tcW w:w="5386" w:type="dxa"/>
            <w:vAlign w:val="center"/>
          </w:tcPr>
          <w:p>
            <w:pPr>
              <w:pStyle w:val="12"/>
            </w:pPr>
            <w:r>
              <w:t>反映审计建议采纳情况。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34、2026年县城建设三年成效宣传片绩效目标表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13011026P001606100127</w:t>
            </w:r>
          </w:p>
        </w:tc>
        <w:tc>
          <w:tcPr>
            <w:tcW w:w="2835" w:type="dxa"/>
            <w:vAlign w:val="center"/>
          </w:tcPr>
          <w:p>
            <w:pPr>
              <w:pStyle w:val="10"/>
            </w:pPr>
            <w:r>
              <w:t>项目名称</w:t>
            </w:r>
          </w:p>
        </w:tc>
        <w:tc>
          <w:tcPr>
            <w:tcW w:w="6095" w:type="dxa"/>
            <w:gridSpan w:val="3"/>
            <w:vAlign w:val="center"/>
          </w:tcPr>
          <w:p>
            <w:pPr>
              <w:pStyle w:val="12"/>
            </w:pPr>
            <w:r>
              <w:t>2026年县城建设三年成效宣传片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0.21</w:t>
            </w:r>
          </w:p>
        </w:tc>
        <w:tc>
          <w:tcPr>
            <w:tcW w:w="2835" w:type="dxa"/>
            <w:vAlign w:val="center"/>
          </w:tcPr>
          <w:p>
            <w:pPr>
              <w:pStyle w:val="10"/>
            </w:pPr>
            <w:r>
              <w:t>其中：财政    资金</w:t>
            </w:r>
          </w:p>
        </w:tc>
        <w:tc>
          <w:tcPr>
            <w:tcW w:w="2551" w:type="dxa"/>
            <w:vAlign w:val="center"/>
          </w:tcPr>
          <w:p>
            <w:pPr>
              <w:pStyle w:val="12"/>
            </w:pPr>
            <w:r>
              <w:t>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通过宣传片制作1次、媒体宣传报道，提高我区县城建设美誉度和知名度。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1.通过宣传片制作1次、媒体宣传报道，提高我区县城建设美誉度和知名度。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纪实片制作次数</w:t>
            </w:r>
          </w:p>
        </w:tc>
        <w:tc>
          <w:tcPr>
            <w:tcW w:w="5386" w:type="dxa"/>
            <w:vAlign w:val="center"/>
          </w:tcPr>
          <w:p>
            <w:pPr>
              <w:pStyle w:val="12"/>
            </w:pPr>
            <w:r>
              <w:t>制作县城建设纪实片，召开全市县城建设工作会议时进行播放。</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宣传成本</w:t>
            </w:r>
          </w:p>
        </w:tc>
        <w:tc>
          <w:tcPr>
            <w:tcW w:w="5386" w:type="dxa"/>
            <w:vAlign w:val="center"/>
          </w:tcPr>
          <w:p>
            <w:pPr>
              <w:pStyle w:val="12"/>
            </w:pPr>
            <w:r>
              <w:t>电视台宣传费用</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各项业务工作完成率（%）</w:t>
            </w:r>
          </w:p>
        </w:tc>
        <w:tc>
          <w:tcPr>
            <w:tcW w:w="5386" w:type="dxa"/>
            <w:vAlign w:val="center"/>
          </w:tcPr>
          <w:p>
            <w:pPr>
              <w:pStyle w:val="12"/>
            </w:pPr>
            <w:r>
              <w:t>实际工作完成占应完成工作的比率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完成宣传报道的时间</w:t>
            </w:r>
          </w:p>
        </w:tc>
        <w:tc>
          <w:tcPr>
            <w:tcW w:w="5386" w:type="dxa"/>
            <w:vAlign w:val="center"/>
          </w:tcPr>
          <w:p>
            <w:pPr>
              <w:pStyle w:val="12"/>
            </w:pPr>
            <w:r>
              <w:t>在7月、完成宣传报道</w:t>
            </w:r>
          </w:p>
        </w:tc>
        <w:tc>
          <w:tcPr>
            <w:tcW w:w="2268" w:type="dxa"/>
            <w:vAlign w:val="center"/>
          </w:tcPr>
          <w:p>
            <w:pPr>
              <w:pStyle w:val="12"/>
            </w:pPr>
            <w:r>
              <w:t>7月完成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提升县城建设品质</w:t>
            </w:r>
          </w:p>
        </w:tc>
        <w:tc>
          <w:tcPr>
            <w:tcW w:w="5386" w:type="dxa"/>
            <w:vAlign w:val="center"/>
          </w:tcPr>
          <w:p>
            <w:pPr>
              <w:pStyle w:val="12"/>
            </w:pPr>
            <w:r>
              <w:t>展示我区县城建设良好形象和工作成效。提高我区美誉度和知名度。</w:t>
            </w:r>
          </w:p>
        </w:tc>
        <w:tc>
          <w:tcPr>
            <w:tcW w:w="2268" w:type="dxa"/>
            <w:vAlign w:val="center"/>
          </w:tcPr>
          <w:p>
            <w:pPr>
              <w:pStyle w:val="12"/>
            </w:pPr>
            <w:r>
              <w:t>显著提高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群众对县城建设基本满意。</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35、2026年一案两书编制费用绩效目标表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13011026P00160610004J</w:t>
            </w:r>
          </w:p>
        </w:tc>
        <w:tc>
          <w:tcPr>
            <w:tcW w:w="2835" w:type="dxa"/>
            <w:vAlign w:val="center"/>
          </w:tcPr>
          <w:p>
            <w:pPr>
              <w:pStyle w:val="10"/>
            </w:pPr>
            <w:r>
              <w:t>项目名称</w:t>
            </w:r>
          </w:p>
        </w:tc>
        <w:tc>
          <w:tcPr>
            <w:tcW w:w="6095" w:type="dxa"/>
            <w:gridSpan w:val="3"/>
            <w:vAlign w:val="center"/>
          </w:tcPr>
          <w:p>
            <w:pPr>
              <w:pStyle w:val="12"/>
            </w:pPr>
            <w:r>
              <w:t>2026年一案两书编制费用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3.92</w:t>
            </w:r>
          </w:p>
        </w:tc>
        <w:tc>
          <w:tcPr>
            <w:tcW w:w="2835" w:type="dxa"/>
            <w:vAlign w:val="center"/>
          </w:tcPr>
          <w:p>
            <w:pPr>
              <w:pStyle w:val="10"/>
            </w:pPr>
            <w:r>
              <w:t>其中：财政    资金</w:t>
            </w:r>
          </w:p>
        </w:tc>
        <w:tc>
          <w:tcPr>
            <w:tcW w:w="2551" w:type="dxa"/>
            <w:vAlign w:val="center"/>
          </w:tcPr>
          <w:p>
            <w:pPr>
              <w:pStyle w:val="12"/>
            </w:pPr>
            <w:r>
              <w:t>3.92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完成项目一案两书编制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1.完成项目一案两书编制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提交成果报告</w:t>
            </w:r>
          </w:p>
        </w:tc>
        <w:tc>
          <w:tcPr>
            <w:tcW w:w="5386" w:type="dxa"/>
            <w:vAlign w:val="center"/>
          </w:tcPr>
          <w:p>
            <w:pPr>
              <w:pStyle w:val="12"/>
            </w:pPr>
            <w:r>
              <w:t>提交成果报告</w:t>
            </w:r>
          </w:p>
        </w:tc>
        <w:tc>
          <w:tcPr>
            <w:tcW w:w="2268" w:type="dxa"/>
            <w:vAlign w:val="center"/>
          </w:tcPr>
          <w:p>
            <w:pPr>
              <w:pStyle w:val="12"/>
            </w:pPr>
            <w:r>
              <w:t>3套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提交成果报告质量</w:t>
            </w:r>
          </w:p>
        </w:tc>
        <w:tc>
          <w:tcPr>
            <w:tcW w:w="5386" w:type="dxa"/>
            <w:vAlign w:val="center"/>
          </w:tcPr>
          <w:p>
            <w:pPr>
              <w:pStyle w:val="12"/>
            </w:pPr>
            <w:r>
              <w:t>提交成果报告质量</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任务完成时间</w:t>
            </w:r>
          </w:p>
        </w:tc>
        <w:tc>
          <w:tcPr>
            <w:tcW w:w="5386" w:type="dxa"/>
            <w:vAlign w:val="center"/>
          </w:tcPr>
          <w:p>
            <w:pPr>
              <w:pStyle w:val="12"/>
            </w:pPr>
            <w:r>
              <w:t>任务完成时间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w:t>
            </w:r>
          </w:p>
        </w:tc>
        <w:tc>
          <w:tcPr>
            <w:tcW w:w="5386" w:type="dxa"/>
            <w:vAlign w:val="center"/>
          </w:tcPr>
          <w:p>
            <w:pPr>
              <w:pStyle w:val="12"/>
            </w:pPr>
            <w:r>
              <w:t>预算控制</w:t>
            </w:r>
          </w:p>
        </w:tc>
        <w:tc>
          <w:tcPr>
            <w:tcW w:w="2268" w:type="dxa"/>
            <w:vAlign w:val="center"/>
          </w:tcPr>
          <w:p>
            <w:pPr>
              <w:pStyle w:val="12"/>
            </w:pPr>
            <w:r>
              <w:t>≤56万元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可持续使用时间</w:t>
            </w:r>
          </w:p>
        </w:tc>
        <w:tc>
          <w:tcPr>
            <w:tcW w:w="5386" w:type="dxa"/>
            <w:vAlign w:val="center"/>
          </w:tcPr>
          <w:p>
            <w:pPr>
              <w:pStyle w:val="12"/>
            </w:pPr>
            <w:r>
              <w:t>文本使用的时间（2022-2035）</w:t>
            </w:r>
          </w:p>
        </w:tc>
        <w:tc>
          <w:tcPr>
            <w:tcW w:w="2268" w:type="dxa"/>
            <w:vAlign w:val="center"/>
          </w:tcPr>
          <w:p>
            <w:pPr>
              <w:pStyle w:val="12"/>
            </w:pPr>
            <w:r>
              <w:t>≥13年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36、2026年一街村城中村改造项目（海山馨苑）回迁安置房建安成本返还绩效目标表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13011026P000008100012</w:t>
            </w:r>
          </w:p>
        </w:tc>
        <w:tc>
          <w:tcPr>
            <w:tcW w:w="2835" w:type="dxa"/>
            <w:vAlign w:val="center"/>
          </w:tcPr>
          <w:p>
            <w:pPr>
              <w:pStyle w:val="10"/>
            </w:pPr>
            <w:r>
              <w:t>项目名称</w:t>
            </w:r>
          </w:p>
        </w:tc>
        <w:tc>
          <w:tcPr>
            <w:tcW w:w="6095" w:type="dxa"/>
            <w:gridSpan w:val="3"/>
            <w:vAlign w:val="center"/>
          </w:tcPr>
          <w:p>
            <w:pPr>
              <w:pStyle w:val="12"/>
            </w:pPr>
            <w:r>
              <w:t>2026年一街村城中村改造项目（海山馨苑）回迁安置房建安成本返还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731.91</w:t>
            </w:r>
          </w:p>
        </w:tc>
        <w:tc>
          <w:tcPr>
            <w:tcW w:w="2835" w:type="dxa"/>
            <w:vAlign w:val="center"/>
          </w:tcPr>
          <w:p>
            <w:pPr>
              <w:pStyle w:val="10"/>
            </w:pPr>
            <w:r>
              <w:t>其中：财政    资金</w:t>
            </w:r>
          </w:p>
        </w:tc>
        <w:tc>
          <w:tcPr>
            <w:tcW w:w="2551" w:type="dxa"/>
            <w:vAlign w:val="center"/>
          </w:tcPr>
          <w:p>
            <w:pPr>
              <w:pStyle w:val="12"/>
            </w:pPr>
            <w:r>
              <w:t>731.91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建设回迁安置用房，解决群众住房问题。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1.建设回迁安置用房，解决群众住房问题。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回迁安置房建设总面积</w:t>
            </w:r>
          </w:p>
        </w:tc>
        <w:tc>
          <w:tcPr>
            <w:tcW w:w="5386" w:type="dxa"/>
            <w:vAlign w:val="center"/>
          </w:tcPr>
          <w:p>
            <w:pPr>
              <w:pStyle w:val="12"/>
            </w:pPr>
            <w:r>
              <w:t>回迁安置房建设总面积</w:t>
            </w:r>
          </w:p>
        </w:tc>
        <w:tc>
          <w:tcPr>
            <w:tcW w:w="2268" w:type="dxa"/>
            <w:vAlign w:val="center"/>
          </w:tcPr>
          <w:p>
            <w:pPr>
              <w:pStyle w:val="12"/>
            </w:pPr>
            <w:r>
              <w:t>97778平方米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项目验收通过率（%）</w:t>
            </w:r>
          </w:p>
        </w:tc>
        <w:tc>
          <w:tcPr>
            <w:tcW w:w="5386" w:type="dxa"/>
            <w:vAlign w:val="center"/>
          </w:tcPr>
          <w:p>
            <w:pPr>
              <w:pStyle w:val="12"/>
            </w:pPr>
            <w:r>
              <w:t>项目验收通过率（%）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工期完工时间</w:t>
            </w:r>
          </w:p>
        </w:tc>
        <w:tc>
          <w:tcPr>
            <w:tcW w:w="5386" w:type="dxa"/>
            <w:vAlign w:val="center"/>
          </w:tcPr>
          <w:p>
            <w:pPr>
              <w:pStyle w:val="12"/>
            </w:pPr>
            <w:r>
              <w:t>工期完工时间</w:t>
            </w:r>
          </w:p>
        </w:tc>
        <w:tc>
          <w:tcPr>
            <w:tcW w:w="2268" w:type="dxa"/>
            <w:vAlign w:val="center"/>
          </w:tcPr>
          <w:p>
            <w:pPr>
              <w:pStyle w:val="12"/>
            </w:pPr>
            <w:r>
              <w:t>已完工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10159.62万元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工程使用年限</w:t>
            </w:r>
          </w:p>
        </w:tc>
        <w:tc>
          <w:tcPr>
            <w:tcW w:w="5386" w:type="dxa"/>
            <w:vAlign w:val="center"/>
          </w:tcPr>
          <w:p>
            <w:pPr>
              <w:pStyle w:val="12"/>
            </w:pPr>
            <w:r>
              <w:t>工程使用年限</w:t>
            </w:r>
          </w:p>
        </w:tc>
        <w:tc>
          <w:tcPr>
            <w:tcW w:w="2268" w:type="dxa"/>
            <w:vAlign w:val="center"/>
          </w:tcPr>
          <w:p>
            <w:pPr>
              <w:pStyle w:val="12"/>
            </w:pPr>
            <w:r>
              <w:t>≥70年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随机走访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37、2026年纵二街征地费用绩效目标表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13011026P00000810005G</w:t>
            </w:r>
          </w:p>
        </w:tc>
        <w:tc>
          <w:tcPr>
            <w:tcW w:w="2835" w:type="dxa"/>
            <w:vAlign w:val="center"/>
          </w:tcPr>
          <w:p>
            <w:pPr>
              <w:pStyle w:val="10"/>
            </w:pPr>
            <w:r>
              <w:t>项目名称</w:t>
            </w:r>
          </w:p>
        </w:tc>
        <w:tc>
          <w:tcPr>
            <w:tcW w:w="6095" w:type="dxa"/>
            <w:gridSpan w:val="3"/>
            <w:vAlign w:val="center"/>
          </w:tcPr>
          <w:p>
            <w:pPr>
              <w:pStyle w:val="12"/>
            </w:pPr>
            <w:r>
              <w:t>2026年纵二街征地费用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完成纵二街项目征地费用支付工作，确保资金及时拨付。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1.完成纵二街项目征地费用支付工作，确保资金及时拨付。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征地亩数</w:t>
            </w:r>
          </w:p>
        </w:tc>
        <w:tc>
          <w:tcPr>
            <w:tcW w:w="5386" w:type="dxa"/>
            <w:vAlign w:val="center"/>
          </w:tcPr>
          <w:p>
            <w:pPr>
              <w:pStyle w:val="12"/>
            </w:pPr>
            <w:r>
              <w:t>征用土地数量</w:t>
            </w:r>
          </w:p>
        </w:tc>
        <w:tc>
          <w:tcPr>
            <w:tcW w:w="2268" w:type="dxa"/>
            <w:vAlign w:val="center"/>
          </w:tcPr>
          <w:p>
            <w:pPr>
              <w:pStyle w:val="12"/>
            </w:pPr>
            <w:r>
              <w:t>10.65亩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征地费用发放准确率</w:t>
            </w:r>
          </w:p>
        </w:tc>
        <w:tc>
          <w:tcPr>
            <w:tcW w:w="5386" w:type="dxa"/>
            <w:vAlign w:val="center"/>
          </w:tcPr>
          <w:p>
            <w:pPr>
              <w:pStyle w:val="12"/>
            </w:pPr>
            <w:r>
              <w:t>征地费发放准确率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征地费用支付率</w:t>
            </w:r>
          </w:p>
        </w:tc>
        <w:tc>
          <w:tcPr>
            <w:tcW w:w="5386" w:type="dxa"/>
            <w:vAlign w:val="center"/>
          </w:tcPr>
          <w:p>
            <w:pPr>
              <w:pStyle w:val="12"/>
            </w:pPr>
            <w:r>
              <w:t>征地费用按时支付率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征地费用成本</w:t>
            </w:r>
          </w:p>
        </w:tc>
        <w:tc>
          <w:tcPr>
            <w:tcW w:w="5386" w:type="dxa"/>
            <w:vAlign w:val="center"/>
          </w:tcPr>
          <w:p>
            <w:pPr>
              <w:pStyle w:val="12"/>
            </w:pPr>
            <w:r>
              <w:t>征用单位成本</w:t>
            </w:r>
          </w:p>
        </w:tc>
        <w:tc>
          <w:tcPr>
            <w:tcW w:w="2268" w:type="dxa"/>
            <w:vAlign w:val="center"/>
          </w:tcPr>
          <w:p>
            <w:pPr>
              <w:pStyle w:val="12"/>
            </w:pPr>
            <w:r>
              <w:t>≤360万元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完成征地面积的建设完成率</w:t>
            </w:r>
          </w:p>
        </w:tc>
        <w:tc>
          <w:tcPr>
            <w:tcW w:w="5386" w:type="dxa"/>
            <w:vAlign w:val="center"/>
          </w:tcPr>
          <w:p>
            <w:pPr>
              <w:pStyle w:val="12"/>
            </w:pPr>
            <w:r>
              <w:t>实际收到征地费用户数占征地农户数的比例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各项工作任务按时完成率</w:t>
            </w:r>
          </w:p>
        </w:tc>
        <w:tc>
          <w:tcPr>
            <w:tcW w:w="5386" w:type="dxa"/>
            <w:vAlign w:val="center"/>
          </w:tcPr>
          <w:p>
            <w:pPr>
              <w:pStyle w:val="12"/>
            </w:pPr>
            <w:r>
              <w:t>各项工作任务按时完成率</w:t>
            </w:r>
          </w:p>
        </w:tc>
        <w:tc>
          <w:tcPr>
            <w:tcW w:w="2268" w:type="dxa"/>
            <w:vAlign w:val="center"/>
          </w:tcPr>
          <w:p>
            <w:pPr>
              <w:pStyle w:val="12"/>
            </w:pPr>
            <w:r>
              <w:t>按要求及时完成各项工程</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满意和较满意人数占被征地人数的比例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38、2026年租地费绩效目标表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13011026P000006100397</w:t>
            </w:r>
          </w:p>
        </w:tc>
        <w:tc>
          <w:tcPr>
            <w:tcW w:w="2835" w:type="dxa"/>
            <w:vAlign w:val="center"/>
          </w:tcPr>
          <w:p>
            <w:pPr>
              <w:pStyle w:val="10"/>
            </w:pPr>
            <w:r>
              <w:t>项目名称</w:t>
            </w:r>
          </w:p>
        </w:tc>
        <w:tc>
          <w:tcPr>
            <w:tcW w:w="6095" w:type="dxa"/>
            <w:gridSpan w:val="3"/>
            <w:vAlign w:val="center"/>
          </w:tcPr>
          <w:p>
            <w:pPr>
              <w:pStyle w:val="12"/>
            </w:pPr>
            <w:r>
              <w:t>2026年租地费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174.00</w:t>
            </w:r>
          </w:p>
        </w:tc>
        <w:tc>
          <w:tcPr>
            <w:tcW w:w="2835" w:type="dxa"/>
            <w:vAlign w:val="center"/>
          </w:tcPr>
          <w:p>
            <w:pPr>
              <w:pStyle w:val="10"/>
            </w:pPr>
            <w:r>
              <w:t>其中：财政    资金</w:t>
            </w:r>
          </w:p>
        </w:tc>
        <w:tc>
          <w:tcPr>
            <w:tcW w:w="2551" w:type="dxa"/>
            <w:vAlign w:val="center"/>
          </w:tcPr>
          <w:p>
            <w:pPr>
              <w:pStyle w:val="12"/>
            </w:pPr>
            <w:r>
              <w:t>174.00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完成建设租地费用补偿工作，确保资金及时拨付。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1.完成建设租地费用补偿工作，确保资金及时拨付。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租地亩数</w:t>
            </w:r>
          </w:p>
        </w:tc>
        <w:tc>
          <w:tcPr>
            <w:tcW w:w="5386" w:type="dxa"/>
            <w:vAlign w:val="center"/>
          </w:tcPr>
          <w:p>
            <w:pPr>
              <w:pStyle w:val="12"/>
            </w:pPr>
            <w:r>
              <w:t>租用土地数量</w:t>
            </w:r>
          </w:p>
        </w:tc>
        <w:tc>
          <w:tcPr>
            <w:tcW w:w="2268" w:type="dxa"/>
            <w:vAlign w:val="center"/>
          </w:tcPr>
          <w:p>
            <w:pPr>
              <w:pStyle w:val="12"/>
            </w:pPr>
            <w:r>
              <w:t>537.13亩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租地补偿费发放标准达标率</w:t>
            </w:r>
          </w:p>
        </w:tc>
        <w:tc>
          <w:tcPr>
            <w:tcW w:w="5386" w:type="dxa"/>
            <w:vAlign w:val="center"/>
          </w:tcPr>
          <w:p>
            <w:pPr>
              <w:pStyle w:val="12"/>
            </w:pPr>
            <w:r>
              <w:t>补偿费发放标准达标率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租地费支付</w:t>
            </w:r>
          </w:p>
        </w:tc>
        <w:tc>
          <w:tcPr>
            <w:tcW w:w="5386" w:type="dxa"/>
            <w:vAlign w:val="center"/>
          </w:tcPr>
          <w:p>
            <w:pPr>
              <w:pStyle w:val="12"/>
            </w:pPr>
            <w:r>
              <w:t>每年租地费用支付按合同约定期限</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租地标准</w:t>
            </w:r>
          </w:p>
        </w:tc>
        <w:tc>
          <w:tcPr>
            <w:tcW w:w="5386" w:type="dxa"/>
            <w:vAlign w:val="center"/>
          </w:tcPr>
          <w:p>
            <w:pPr>
              <w:pStyle w:val="12"/>
            </w:pPr>
            <w:r>
              <w:t>每亩地补贴标准</w:t>
            </w:r>
          </w:p>
        </w:tc>
        <w:tc>
          <w:tcPr>
            <w:tcW w:w="2268" w:type="dxa"/>
            <w:vAlign w:val="center"/>
          </w:tcPr>
          <w:p>
            <w:pPr>
              <w:pStyle w:val="12"/>
            </w:pPr>
            <w:r>
              <w:t>1440元/亩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完成租地面积的建设完成率</w:t>
            </w:r>
          </w:p>
        </w:tc>
        <w:tc>
          <w:tcPr>
            <w:tcW w:w="5386" w:type="dxa"/>
            <w:vAlign w:val="center"/>
          </w:tcPr>
          <w:p>
            <w:pPr>
              <w:pStyle w:val="12"/>
            </w:pPr>
            <w:r>
              <w:t>实际收到租地补贴户数占租地农户数的比例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各项工作任务按时完成率</w:t>
            </w:r>
          </w:p>
        </w:tc>
        <w:tc>
          <w:tcPr>
            <w:tcW w:w="5386" w:type="dxa"/>
            <w:vAlign w:val="center"/>
          </w:tcPr>
          <w:p>
            <w:pPr>
              <w:pStyle w:val="12"/>
            </w:pPr>
            <w:r>
              <w:t>各项工作任务按时完成率</w:t>
            </w:r>
          </w:p>
        </w:tc>
        <w:tc>
          <w:tcPr>
            <w:tcW w:w="2268" w:type="dxa"/>
            <w:vAlign w:val="center"/>
          </w:tcPr>
          <w:p>
            <w:pPr>
              <w:pStyle w:val="12"/>
            </w:pPr>
            <w:r>
              <w:t>按要求及时完成各项工程</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满意和较满意人数占被补贴人数的比例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39、630台账绩效目标表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13011025P00156410465C</w:t>
            </w:r>
          </w:p>
        </w:tc>
        <w:tc>
          <w:tcPr>
            <w:tcW w:w="2835" w:type="dxa"/>
            <w:vAlign w:val="center"/>
          </w:tcPr>
          <w:p>
            <w:pPr>
              <w:pStyle w:val="10"/>
            </w:pPr>
            <w:r>
              <w:t>项目名称</w:t>
            </w:r>
          </w:p>
        </w:tc>
        <w:tc>
          <w:tcPr>
            <w:tcW w:w="6095" w:type="dxa"/>
            <w:gridSpan w:val="3"/>
            <w:vAlign w:val="center"/>
          </w:tcPr>
          <w:p>
            <w:pPr>
              <w:pStyle w:val="12"/>
            </w:pPr>
            <w:r>
              <w:t>630台账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13.59</w:t>
            </w:r>
          </w:p>
        </w:tc>
        <w:tc>
          <w:tcPr>
            <w:tcW w:w="2835" w:type="dxa"/>
            <w:vAlign w:val="center"/>
          </w:tcPr>
          <w:p>
            <w:pPr>
              <w:pStyle w:val="10"/>
            </w:pPr>
            <w:r>
              <w:t>其中：财政    资金</w:t>
            </w:r>
          </w:p>
        </w:tc>
        <w:tc>
          <w:tcPr>
            <w:tcW w:w="2551" w:type="dxa"/>
            <w:vAlign w:val="center"/>
          </w:tcPr>
          <w:p>
            <w:pPr>
              <w:pStyle w:val="12"/>
            </w:pPr>
            <w:r>
              <w:t>13.59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完成177个项目工程款，完善基础设施建设，提升城市形象。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1.完成177个项目工程款，完善基础设施建设，提升城市形象。</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清理建设工程项目数</w:t>
            </w:r>
          </w:p>
        </w:tc>
        <w:tc>
          <w:tcPr>
            <w:tcW w:w="5386" w:type="dxa"/>
            <w:vAlign w:val="center"/>
          </w:tcPr>
          <w:p>
            <w:pPr>
              <w:pStyle w:val="12"/>
            </w:pPr>
            <w:r>
              <w:t>清理旧建设工程项目数量</w:t>
            </w:r>
          </w:p>
        </w:tc>
        <w:tc>
          <w:tcPr>
            <w:tcW w:w="2268" w:type="dxa"/>
            <w:vAlign w:val="center"/>
          </w:tcPr>
          <w:p>
            <w:pPr>
              <w:pStyle w:val="12"/>
            </w:pPr>
            <w:r>
              <w:t>177个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清欠工作完成率</w:t>
            </w:r>
          </w:p>
        </w:tc>
        <w:tc>
          <w:tcPr>
            <w:tcW w:w="5386" w:type="dxa"/>
            <w:vAlign w:val="center"/>
          </w:tcPr>
          <w:p>
            <w:pPr>
              <w:pStyle w:val="12"/>
            </w:pPr>
            <w:r>
              <w:t>清理工程旧欠完成占总旧欠工程德总量</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清欠工作完成及时率</w:t>
            </w:r>
          </w:p>
        </w:tc>
        <w:tc>
          <w:tcPr>
            <w:tcW w:w="5386" w:type="dxa"/>
            <w:vAlign w:val="center"/>
          </w:tcPr>
          <w:p>
            <w:pPr>
              <w:pStyle w:val="12"/>
            </w:pPr>
            <w:r>
              <w:t>清理完成的工作量占旧欠总工程量的比率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清欠项目成本</w:t>
            </w:r>
          </w:p>
        </w:tc>
        <w:tc>
          <w:tcPr>
            <w:tcW w:w="5386" w:type="dxa"/>
            <w:vAlign w:val="center"/>
          </w:tcPr>
          <w:p>
            <w:pPr>
              <w:pStyle w:val="12"/>
            </w:pPr>
            <w:r>
              <w:t>支付工程旧欠的金额</w:t>
            </w:r>
          </w:p>
        </w:tc>
        <w:tc>
          <w:tcPr>
            <w:tcW w:w="2268" w:type="dxa"/>
            <w:vAlign w:val="center"/>
          </w:tcPr>
          <w:p>
            <w:pPr>
              <w:pStyle w:val="12"/>
            </w:pPr>
            <w:r>
              <w:t>≤19770.15万元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清欠工作完成率</w:t>
            </w:r>
          </w:p>
        </w:tc>
        <w:tc>
          <w:tcPr>
            <w:tcW w:w="5386" w:type="dxa"/>
            <w:vAlign w:val="center"/>
          </w:tcPr>
          <w:p>
            <w:pPr>
              <w:pStyle w:val="12"/>
            </w:pPr>
            <w:r>
              <w:t>各项工作任务按时完成率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40、关于提前下达2025年部分中央财政城镇保障性安居工程补助资金绩效目标表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13011025P00161710008F</w:t>
            </w:r>
          </w:p>
        </w:tc>
        <w:tc>
          <w:tcPr>
            <w:tcW w:w="2835" w:type="dxa"/>
            <w:vAlign w:val="center"/>
          </w:tcPr>
          <w:p>
            <w:pPr>
              <w:pStyle w:val="10"/>
            </w:pPr>
            <w:r>
              <w:t>项目名称</w:t>
            </w:r>
          </w:p>
        </w:tc>
        <w:tc>
          <w:tcPr>
            <w:tcW w:w="6095" w:type="dxa"/>
            <w:gridSpan w:val="3"/>
            <w:vAlign w:val="center"/>
          </w:tcPr>
          <w:p>
            <w:pPr>
              <w:pStyle w:val="12"/>
            </w:pPr>
            <w:r>
              <w:t>关于提前下达2025年部分中央财政城镇保障性安居工程补助资金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67.00</w:t>
            </w:r>
          </w:p>
        </w:tc>
        <w:tc>
          <w:tcPr>
            <w:tcW w:w="2835" w:type="dxa"/>
            <w:vAlign w:val="center"/>
          </w:tcPr>
          <w:p>
            <w:pPr>
              <w:pStyle w:val="10"/>
            </w:pPr>
            <w:r>
              <w:t>其中：财政    资金</w:t>
            </w:r>
          </w:p>
        </w:tc>
        <w:tc>
          <w:tcPr>
            <w:tcW w:w="2551" w:type="dxa"/>
            <w:vAlign w:val="center"/>
          </w:tcPr>
          <w:p>
            <w:pPr>
              <w:pStyle w:val="12"/>
            </w:pPr>
            <w:r>
              <w:t>67.00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按时完成鹿泉区城市危旧房改造项目用地面积为10758.44平方米，改善居民居住环境。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1.按时完成鹿泉区城市危旧房改造项目用地面积为10758.44平方米，改善居民居住环境。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危旧房改造项目用地面积</w:t>
            </w:r>
          </w:p>
        </w:tc>
        <w:tc>
          <w:tcPr>
            <w:tcW w:w="5386" w:type="dxa"/>
            <w:vAlign w:val="center"/>
          </w:tcPr>
          <w:p>
            <w:pPr>
              <w:pStyle w:val="12"/>
            </w:pPr>
            <w:r>
              <w:t>危旧房改造项目用地面积29485.36平方米</w:t>
            </w:r>
          </w:p>
        </w:tc>
        <w:tc>
          <w:tcPr>
            <w:tcW w:w="2268" w:type="dxa"/>
            <w:vAlign w:val="center"/>
          </w:tcPr>
          <w:p>
            <w:pPr>
              <w:pStyle w:val="12"/>
            </w:pPr>
            <w:r>
              <w:t>10758.44平方米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危旧房改造项目完成率</w:t>
            </w:r>
          </w:p>
        </w:tc>
        <w:tc>
          <w:tcPr>
            <w:tcW w:w="5386" w:type="dxa"/>
            <w:vAlign w:val="center"/>
          </w:tcPr>
          <w:p>
            <w:pPr>
              <w:pStyle w:val="12"/>
            </w:pPr>
            <w:r>
              <w:t>危旧房改造项目完成率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危旧房改造项目按时完成率</w:t>
            </w:r>
          </w:p>
        </w:tc>
        <w:tc>
          <w:tcPr>
            <w:tcW w:w="5386" w:type="dxa"/>
            <w:vAlign w:val="center"/>
          </w:tcPr>
          <w:p>
            <w:pPr>
              <w:pStyle w:val="12"/>
            </w:pPr>
            <w:r>
              <w:t>危旧房改造项目按时完成率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危旧房改造项目成本</w:t>
            </w:r>
          </w:p>
        </w:tc>
        <w:tc>
          <w:tcPr>
            <w:tcW w:w="5386" w:type="dxa"/>
            <w:vAlign w:val="center"/>
          </w:tcPr>
          <w:p>
            <w:pPr>
              <w:pStyle w:val="12"/>
            </w:pPr>
            <w:r>
              <w:t>危旧房改造项目成本</w:t>
            </w:r>
          </w:p>
        </w:tc>
        <w:tc>
          <w:tcPr>
            <w:tcW w:w="2268" w:type="dxa"/>
            <w:vAlign w:val="center"/>
          </w:tcPr>
          <w:p>
            <w:pPr>
              <w:pStyle w:val="12"/>
            </w:pPr>
            <w:r>
              <w:t>67万元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危旧房改造项目长期使用性</w:t>
            </w:r>
          </w:p>
        </w:tc>
        <w:tc>
          <w:tcPr>
            <w:tcW w:w="5386" w:type="dxa"/>
            <w:vAlign w:val="center"/>
          </w:tcPr>
          <w:p>
            <w:pPr>
              <w:pStyle w:val="12"/>
            </w:pPr>
            <w:r>
              <w:t>危旧房改造项目长期使用性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危旧房改造项目受益户数</w:t>
            </w:r>
          </w:p>
        </w:tc>
        <w:tc>
          <w:tcPr>
            <w:tcW w:w="5386" w:type="dxa"/>
            <w:vAlign w:val="center"/>
          </w:tcPr>
          <w:p>
            <w:pPr>
              <w:pStyle w:val="12"/>
            </w:pPr>
            <w:r>
              <w:t>危旧房改造项目社会效益受益户数</w:t>
            </w:r>
          </w:p>
        </w:tc>
        <w:tc>
          <w:tcPr>
            <w:tcW w:w="2268" w:type="dxa"/>
            <w:vAlign w:val="center"/>
          </w:tcPr>
          <w:p>
            <w:pPr>
              <w:pStyle w:val="12"/>
            </w:pPr>
            <w:r>
              <w:t>151户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危旧房改造项目群众满意度</w:t>
            </w:r>
          </w:p>
        </w:tc>
        <w:tc>
          <w:tcPr>
            <w:tcW w:w="5386" w:type="dxa"/>
            <w:vAlign w:val="center"/>
          </w:tcPr>
          <w:p>
            <w:pPr>
              <w:pStyle w:val="12"/>
            </w:pPr>
            <w:r>
              <w:t>危旧房改造项目群众满意度数量满意占比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41、关于提前下达2025年省级城镇保障性安居工程补助资金绩效目标表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13011025P001617100093</w:t>
            </w:r>
          </w:p>
        </w:tc>
        <w:tc>
          <w:tcPr>
            <w:tcW w:w="2835" w:type="dxa"/>
            <w:vAlign w:val="center"/>
          </w:tcPr>
          <w:p>
            <w:pPr>
              <w:pStyle w:val="10"/>
            </w:pPr>
            <w:r>
              <w:t>项目名称</w:t>
            </w:r>
          </w:p>
        </w:tc>
        <w:tc>
          <w:tcPr>
            <w:tcW w:w="6095" w:type="dxa"/>
            <w:gridSpan w:val="3"/>
            <w:vAlign w:val="center"/>
          </w:tcPr>
          <w:p>
            <w:pPr>
              <w:pStyle w:val="12"/>
            </w:pPr>
            <w:r>
              <w:t>关于提前下达2025年省级城镇保障性安居工程补助资金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71.00</w:t>
            </w:r>
          </w:p>
        </w:tc>
        <w:tc>
          <w:tcPr>
            <w:tcW w:w="2835" w:type="dxa"/>
            <w:vAlign w:val="center"/>
          </w:tcPr>
          <w:p>
            <w:pPr>
              <w:pStyle w:val="10"/>
            </w:pPr>
            <w:r>
              <w:t>其中：财政    资金</w:t>
            </w:r>
          </w:p>
        </w:tc>
        <w:tc>
          <w:tcPr>
            <w:tcW w:w="2551" w:type="dxa"/>
            <w:vAlign w:val="center"/>
          </w:tcPr>
          <w:p>
            <w:pPr>
              <w:pStyle w:val="12"/>
            </w:pPr>
            <w:r>
              <w:t>71.00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按时完成鹿泉区城市危旧房改造项目用地面积为10785.44平方米，改善居民居住环境。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1.按时完成鹿泉区城市危旧房改造项目用地面积为10785.44平方米，改善居民居住环境。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危旧房改造项目用地面积</w:t>
            </w:r>
          </w:p>
        </w:tc>
        <w:tc>
          <w:tcPr>
            <w:tcW w:w="5386" w:type="dxa"/>
            <w:vAlign w:val="center"/>
          </w:tcPr>
          <w:p>
            <w:pPr>
              <w:pStyle w:val="12"/>
            </w:pPr>
            <w:r>
              <w:t>危旧房改造项目用地面积29485.36平方米</w:t>
            </w:r>
          </w:p>
        </w:tc>
        <w:tc>
          <w:tcPr>
            <w:tcW w:w="2268" w:type="dxa"/>
            <w:vAlign w:val="center"/>
          </w:tcPr>
          <w:p>
            <w:pPr>
              <w:pStyle w:val="12"/>
            </w:pPr>
            <w:r>
              <w:t>10758.44平方米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危旧房改造项目完成率</w:t>
            </w:r>
          </w:p>
        </w:tc>
        <w:tc>
          <w:tcPr>
            <w:tcW w:w="5386" w:type="dxa"/>
            <w:vAlign w:val="center"/>
          </w:tcPr>
          <w:p>
            <w:pPr>
              <w:pStyle w:val="12"/>
            </w:pPr>
            <w:r>
              <w:t>危旧房改造项目完成率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危旧房改造项目按时完成率</w:t>
            </w:r>
          </w:p>
        </w:tc>
        <w:tc>
          <w:tcPr>
            <w:tcW w:w="5386" w:type="dxa"/>
            <w:vAlign w:val="center"/>
          </w:tcPr>
          <w:p>
            <w:pPr>
              <w:pStyle w:val="12"/>
            </w:pPr>
            <w:r>
              <w:t>危旧房改造项目按时完成率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危旧房改造项目成本</w:t>
            </w:r>
          </w:p>
        </w:tc>
        <w:tc>
          <w:tcPr>
            <w:tcW w:w="5386" w:type="dxa"/>
            <w:vAlign w:val="center"/>
          </w:tcPr>
          <w:p>
            <w:pPr>
              <w:pStyle w:val="12"/>
            </w:pPr>
            <w:r>
              <w:t>危旧房改造项目成本</w:t>
            </w:r>
          </w:p>
        </w:tc>
        <w:tc>
          <w:tcPr>
            <w:tcW w:w="2268" w:type="dxa"/>
            <w:vAlign w:val="center"/>
          </w:tcPr>
          <w:p>
            <w:pPr>
              <w:pStyle w:val="12"/>
            </w:pPr>
            <w:r>
              <w:t>71万元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危旧房改造项目长期使用性</w:t>
            </w:r>
          </w:p>
        </w:tc>
        <w:tc>
          <w:tcPr>
            <w:tcW w:w="5386" w:type="dxa"/>
            <w:vAlign w:val="center"/>
          </w:tcPr>
          <w:p>
            <w:pPr>
              <w:pStyle w:val="12"/>
            </w:pPr>
            <w:r>
              <w:t>危旧房改造项目长期使用性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危旧房改造项目受益户数</w:t>
            </w:r>
          </w:p>
        </w:tc>
        <w:tc>
          <w:tcPr>
            <w:tcW w:w="5386" w:type="dxa"/>
            <w:vAlign w:val="center"/>
          </w:tcPr>
          <w:p>
            <w:pPr>
              <w:pStyle w:val="12"/>
            </w:pPr>
            <w:r>
              <w:t>危旧房改造项目社会效益受益户数</w:t>
            </w:r>
          </w:p>
        </w:tc>
        <w:tc>
          <w:tcPr>
            <w:tcW w:w="2268" w:type="dxa"/>
            <w:vAlign w:val="center"/>
          </w:tcPr>
          <w:p>
            <w:pPr>
              <w:pStyle w:val="12"/>
            </w:pPr>
            <w:r>
              <w:t>151户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危旧房改造项目群众满意度</w:t>
            </w:r>
          </w:p>
        </w:tc>
        <w:tc>
          <w:tcPr>
            <w:tcW w:w="5386" w:type="dxa"/>
            <w:vAlign w:val="center"/>
          </w:tcPr>
          <w:p>
            <w:pPr>
              <w:pStyle w:val="12"/>
            </w:pPr>
            <w:r>
              <w:t>危旧房改造项目群众满意度数量满意占比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42、关于提前下达2025年中央大气污染防治资金（用于农村地区气代煤改造任务运行补贴）绩效目标表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13011025P00152610017H</w:t>
            </w:r>
          </w:p>
        </w:tc>
        <w:tc>
          <w:tcPr>
            <w:tcW w:w="2835" w:type="dxa"/>
            <w:vAlign w:val="center"/>
          </w:tcPr>
          <w:p>
            <w:pPr>
              <w:pStyle w:val="10"/>
            </w:pPr>
            <w:r>
              <w:t>项目名称</w:t>
            </w:r>
          </w:p>
        </w:tc>
        <w:tc>
          <w:tcPr>
            <w:tcW w:w="6095" w:type="dxa"/>
            <w:gridSpan w:val="3"/>
            <w:vAlign w:val="center"/>
          </w:tcPr>
          <w:p>
            <w:pPr>
              <w:pStyle w:val="12"/>
            </w:pPr>
            <w:r>
              <w:t>关于提前下达2025年中央大气污染防治资金（用于农村地区气代煤改造任务运行补贴）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351.00</w:t>
            </w:r>
          </w:p>
        </w:tc>
        <w:tc>
          <w:tcPr>
            <w:tcW w:w="2835" w:type="dxa"/>
            <w:vAlign w:val="center"/>
          </w:tcPr>
          <w:p>
            <w:pPr>
              <w:pStyle w:val="10"/>
            </w:pPr>
            <w:r>
              <w:t>其中：财政    资金</w:t>
            </w:r>
          </w:p>
        </w:tc>
        <w:tc>
          <w:tcPr>
            <w:tcW w:w="2551" w:type="dxa"/>
            <w:vAlign w:val="center"/>
          </w:tcPr>
          <w:p>
            <w:pPr>
              <w:pStyle w:val="12"/>
            </w:pPr>
            <w:r>
              <w:t>351.00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采暖季后对农村双代用户进行补贴，鼓励农户使用清洁能源取暖，减轻农户采暖费用，有效减少大气污染物排放。</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2017年区区双代运行补贴户数</w:t>
            </w:r>
          </w:p>
        </w:tc>
        <w:tc>
          <w:tcPr>
            <w:tcW w:w="2268" w:type="dxa"/>
            <w:vAlign w:val="center"/>
          </w:tcPr>
          <w:p>
            <w:pPr>
              <w:pStyle w:val="12"/>
            </w:pPr>
            <w:r>
              <w:t>≤82082户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2017年度煤改气用户发放2025-2026年天然气用户均补贴标准</w:t>
            </w:r>
          </w:p>
        </w:tc>
        <w:tc>
          <w:tcPr>
            <w:tcW w:w="2268" w:type="dxa"/>
            <w:vAlign w:val="center"/>
          </w:tcPr>
          <w:p>
            <w:pPr>
              <w:pStyle w:val="12"/>
            </w:pPr>
            <w:r>
              <w:t>160元/户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2017年度煤改电用户发放2025-2026年煤改电用户均补贴标准</w:t>
            </w:r>
          </w:p>
        </w:tc>
        <w:tc>
          <w:tcPr>
            <w:tcW w:w="2268" w:type="dxa"/>
            <w:vAlign w:val="center"/>
          </w:tcPr>
          <w:p>
            <w:pPr>
              <w:pStyle w:val="12"/>
            </w:pPr>
            <w:r>
              <w:t>200元/户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2017年双代补贴户数</w:t>
            </w:r>
          </w:p>
        </w:tc>
        <w:tc>
          <w:tcPr>
            <w:tcW w:w="2268" w:type="dxa"/>
            <w:vAlign w:val="center"/>
          </w:tcPr>
          <w:p>
            <w:pPr>
              <w:pStyle w:val="12"/>
            </w:pPr>
            <w:r>
              <w:t>82082户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2017年双代补贴户数</w:t>
            </w:r>
          </w:p>
        </w:tc>
        <w:tc>
          <w:tcPr>
            <w:tcW w:w="2268" w:type="dxa"/>
            <w:vAlign w:val="center"/>
          </w:tcPr>
          <w:p>
            <w:pPr>
              <w:pStyle w:val="12"/>
            </w:pPr>
            <w:r>
              <w:t>根据石财建【2021】77号文</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43、关于提前下达2025年中央大气污染防治资金（用于区级承担补贴资金）绩效目标表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13011025P001526100204</w:t>
            </w:r>
          </w:p>
        </w:tc>
        <w:tc>
          <w:tcPr>
            <w:tcW w:w="2835" w:type="dxa"/>
            <w:vAlign w:val="center"/>
          </w:tcPr>
          <w:p>
            <w:pPr>
              <w:pStyle w:val="10"/>
            </w:pPr>
            <w:r>
              <w:t>项目名称</w:t>
            </w:r>
          </w:p>
        </w:tc>
        <w:tc>
          <w:tcPr>
            <w:tcW w:w="6095" w:type="dxa"/>
            <w:gridSpan w:val="3"/>
            <w:vAlign w:val="center"/>
          </w:tcPr>
          <w:p>
            <w:pPr>
              <w:pStyle w:val="12"/>
            </w:pPr>
            <w:r>
              <w:t>关于提前下达2025年中央大气污染防治资金（用于区级承担补贴资金）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333.00</w:t>
            </w:r>
          </w:p>
        </w:tc>
        <w:tc>
          <w:tcPr>
            <w:tcW w:w="2835" w:type="dxa"/>
            <w:vAlign w:val="center"/>
          </w:tcPr>
          <w:p>
            <w:pPr>
              <w:pStyle w:val="10"/>
            </w:pPr>
            <w:r>
              <w:t>其中：财政    资金</w:t>
            </w:r>
          </w:p>
        </w:tc>
        <w:tc>
          <w:tcPr>
            <w:tcW w:w="2551" w:type="dxa"/>
            <w:vAlign w:val="center"/>
          </w:tcPr>
          <w:p>
            <w:pPr>
              <w:pStyle w:val="12"/>
            </w:pPr>
            <w:r>
              <w:t>333.00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2016、2017年区区双代运行补贴户数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2016、2017年度煤改气用户发放2025-2026年天然气用户均补贴标准</w:t>
            </w:r>
          </w:p>
        </w:tc>
        <w:tc>
          <w:tcPr>
            <w:tcW w:w="2268" w:type="dxa"/>
            <w:vAlign w:val="center"/>
          </w:tcPr>
          <w:p>
            <w:pPr>
              <w:pStyle w:val="12"/>
            </w:pPr>
            <w:r>
              <w:t>160元/户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2016、2017年度煤改电用户发放2025-2026年煤改电用户均补贴标准</w:t>
            </w:r>
          </w:p>
        </w:tc>
        <w:tc>
          <w:tcPr>
            <w:tcW w:w="2268" w:type="dxa"/>
            <w:vAlign w:val="center"/>
          </w:tcPr>
          <w:p>
            <w:pPr>
              <w:pStyle w:val="12"/>
            </w:pPr>
            <w:r>
              <w:t>200元/户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2016、2017年双代补贴户数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2016、2017年双代补贴户数</w:t>
            </w:r>
          </w:p>
        </w:tc>
        <w:tc>
          <w:tcPr>
            <w:tcW w:w="2268" w:type="dxa"/>
            <w:vAlign w:val="center"/>
          </w:tcPr>
          <w:p>
            <w:pPr>
              <w:pStyle w:val="12"/>
            </w:pPr>
            <w:r>
              <w:t>根据石财建【2021】77号文</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44、关于提前下达2025年中央大气污染防治资金（用于市级承担补贴资金）绩效目标表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13011025P00152610019Q</w:t>
            </w:r>
          </w:p>
        </w:tc>
        <w:tc>
          <w:tcPr>
            <w:tcW w:w="2835" w:type="dxa"/>
            <w:vAlign w:val="center"/>
          </w:tcPr>
          <w:p>
            <w:pPr>
              <w:pStyle w:val="10"/>
            </w:pPr>
            <w:r>
              <w:t>项目名称</w:t>
            </w:r>
          </w:p>
        </w:tc>
        <w:tc>
          <w:tcPr>
            <w:tcW w:w="6095" w:type="dxa"/>
            <w:gridSpan w:val="3"/>
            <w:vAlign w:val="center"/>
          </w:tcPr>
          <w:p>
            <w:pPr>
              <w:pStyle w:val="12"/>
            </w:pPr>
            <w:r>
              <w:t>关于提前下达2025年中央大气污染防治资金（用于市级承担补贴资金）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466.00</w:t>
            </w:r>
          </w:p>
        </w:tc>
        <w:tc>
          <w:tcPr>
            <w:tcW w:w="2835" w:type="dxa"/>
            <w:vAlign w:val="center"/>
          </w:tcPr>
          <w:p>
            <w:pPr>
              <w:pStyle w:val="10"/>
            </w:pPr>
            <w:r>
              <w:t>其中：财政    资金</w:t>
            </w:r>
          </w:p>
        </w:tc>
        <w:tc>
          <w:tcPr>
            <w:tcW w:w="2551" w:type="dxa"/>
            <w:vAlign w:val="center"/>
          </w:tcPr>
          <w:p>
            <w:pPr>
              <w:pStyle w:val="12"/>
            </w:pPr>
            <w:r>
              <w:t>466.00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2016、2017年区区双代运行补贴户数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2016、2017年度煤改气用户发放2025-2026年天然气用户均补贴标准</w:t>
            </w:r>
          </w:p>
        </w:tc>
        <w:tc>
          <w:tcPr>
            <w:tcW w:w="2268" w:type="dxa"/>
            <w:vAlign w:val="center"/>
          </w:tcPr>
          <w:p>
            <w:pPr>
              <w:pStyle w:val="12"/>
            </w:pPr>
            <w:r>
              <w:t>160元/户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2016、2017年度煤改电用户发放2025-2026年煤改电用户均补贴标准</w:t>
            </w:r>
          </w:p>
        </w:tc>
        <w:tc>
          <w:tcPr>
            <w:tcW w:w="2268" w:type="dxa"/>
            <w:vAlign w:val="center"/>
          </w:tcPr>
          <w:p>
            <w:pPr>
              <w:pStyle w:val="12"/>
            </w:pPr>
            <w:r>
              <w:t>200元/户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2016、2017年双代补贴户数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2016、2017年双代补贴户数</w:t>
            </w:r>
          </w:p>
        </w:tc>
        <w:tc>
          <w:tcPr>
            <w:tcW w:w="2268" w:type="dxa"/>
            <w:vAlign w:val="center"/>
          </w:tcPr>
          <w:p>
            <w:pPr>
              <w:pStyle w:val="12"/>
            </w:pPr>
            <w:r>
              <w:t>根据石财建【2021】77号文</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45、关于提前下达2026年省级城镇保障性安居工程补助资金绩效目标表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13011026P00161710019D</w:t>
            </w:r>
          </w:p>
        </w:tc>
        <w:tc>
          <w:tcPr>
            <w:tcW w:w="2835" w:type="dxa"/>
            <w:vAlign w:val="center"/>
          </w:tcPr>
          <w:p>
            <w:pPr>
              <w:pStyle w:val="10"/>
            </w:pPr>
            <w:r>
              <w:t>项目名称</w:t>
            </w:r>
          </w:p>
        </w:tc>
        <w:tc>
          <w:tcPr>
            <w:tcW w:w="6095" w:type="dxa"/>
            <w:gridSpan w:val="3"/>
            <w:vAlign w:val="center"/>
          </w:tcPr>
          <w:p>
            <w:pPr>
              <w:pStyle w:val="12"/>
            </w:pPr>
            <w:r>
              <w:t>关于提前下达2026年省级城镇保障性安居工程补助资金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按时完成鹿泉区城市危旧房改造项目用地面积为10758.44平方米，改善居民居住环境。</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1.按时完成鹿泉区城市危旧房改造项目用地面积为10758.44平方米，改善居民居住环境。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危旧房改造项目用地面积</w:t>
            </w:r>
          </w:p>
        </w:tc>
        <w:tc>
          <w:tcPr>
            <w:tcW w:w="5386" w:type="dxa"/>
            <w:vAlign w:val="center"/>
          </w:tcPr>
          <w:p>
            <w:pPr>
              <w:pStyle w:val="12"/>
            </w:pPr>
            <w:r>
              <w:t>危旧房改造项目用地面积29485.36平方米</w:t>
            </w:r>
          </w:p>
        </w:tc>
        <w:tc>
          <w:tcPr>
            <w:tcW w:w="2268" w:type="dxa"/>
            <w:vAlign w:val="center"/>
          </w:tcPr>
          <w:p>
            <w:pPr>
              <w:pStyle w:val="12"/>
            </w:pPr>
            <w:r>
              <w:t>10758.44平方米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危旧房改造项目完成率</w:t>
            </w:r>
          </w:p>
        </w:tc>
        <w:tc>
          <w:tcPr>
            <w:tcW w:w="5386" w:type="dxa"/>
            <w:vAlign w:val="center"/>
          </w:tcPr>
          <w:p>
            <w:pPr>
              <w:pStyle w:val="12"/>
            </w:pPr>
            <w:r>
              <w:t>危旧房改造项目完成率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危旧房改造项目按时完成率</w:t>
            </w:r>
          </w:p>
        </w:tc>
        <w:tc>
          <w:tcPr>
            <w:tcW w:w="5386" w:type="dxa"/>
            <w:vAlign w:val="center"/>
          </w:tcPr>
          <w:p>
            <w:pPr>
              <w:pStyle w:val="12"/>
            </w:pPr>
            <w:r>
              <w:t>危旧房改造项目按时完成率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危旧房改造项目成本</w:t>
            </w:r>
          </w:p>
        </w:tc>
        <w:tc>
          <w:tcPr>
            <w:tcW w:w="5386" w:type="dxa"/>
            <w:vAlign w:val="center"/>
          </w:tcPr>
          <w:p>
            <w:pPr>
              <w:pStyle w:val="12"/>
            </w:pPr>
            <w:r>
              <w:t>危旧房改造项目成本</w:t>
            </w:r>
          </w:p>
        </w:tc>
        <w:tc>
          <w:tcPr>
            <w:tcW w:w="2268" w:type="dxa"/>
            <w:vAlign w:val="center"/>
          </w:tcPr>
          <w:p>
            <w:pPr>
              <w:pStyle w:val="12"/>
            </w:pPr>
            <w:r>
              <w:t>11万元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危旧房改造项目长期使用性</w:t>
            </w:r>
          </w:p>
        </w:tc>
        <w:tc>
          <w:tcPr>
            <w:tcW w:w="5386" w:type="dxa"/>
            <w:vAlign w:val="center"/>
          </w:tcPr>
          <w:p>
            <w:pPr>
              <w:pStyle w:val="12"/>
            </w:pPr>
            <w:r>
              <w:t>危旧房改造项目长期使用性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危旧房改造项目受益户数</w:t>
            </w:r>
          </w:p>
        </w:tc>
        <w:tc>
          <w:tcPr>
            <w:tcW w:w="5386" w:type="dxa"/>
            <w:vAlign w:val="center"/>
          </w:tcPr>
          <w:p>
            <w:pPr>
              <w:pStyle w:val="12"/>
            </w:pPr>
            <w:r>
              <w:t>危旧房改造项目社会效益受益户数</w:t>
            </w:r>
          </w:p>
        </w:tc>
        <w:tc>
          <w:tcPr>
            <w:tcW w:w="2268" w:type="dxa"/>
            <w:vAlign w:val="center"/>
          </w:tcPr>
          <w:p>
            <w:pPr>
              <w:pStyle w:val="12"/>
            </w:pPr>
            <w:r>
              <w:t>151户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危旧房改造项目群众满意度</w:t>
            </w:r>
          </w:p>
        </w:tc>
        <w:tc>
          <w:tcPr>
            <w:tcW w:w="5386" w:type="dxa"/>
            <w:vAlign w:val="center"/>
          </w:tcPr>
          <w:p>
            <w:pPr>
              <w:pStyle w:val="12"/>
            </w:pPr>
            <w:r>
              <w:t>危旧房改造项目群众满意度数量满意占比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46、关于提前下达2026年省级大气污染防治（建筑节能补助）专项资金绩效目标表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13011026P000001104945</w:t>
            </w:r>
          </w:p>
        </w:tc>
        <w:tc>
          <w:tcPr>
            <w:tcW w:w="2835" w:type="dxa"/>
            <w:vAlign w:val="center"/>
          </w:tcPr>
          <w:p>
            <w:pPr>
              <w:pStyle w:val="10"/>
            </w:pPr>
            <w:r>
              <w:t>项目名称</w:t>
            </w:r>
          </w:p>
        </w:tc>
        <w:tc>
          <w:tcPr>
            <w:tcW w:w="6095" w:type="dxa"/>
            <w:gridSpan w:val="3"/>
            <w:vAlign w:val="center"/>
          </w:tcPr>
          <w:p>
            <w:pPr>
              <w:pStyle w:val="12"/>
            </w:pPr>
            <w:r>
              <w:t>关于提前下达2026年省级大气污染防治（建筑节能补助）专项资金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830.90</w:t>
            </w:r>
          </w:p>
        </w:tc>
        <w:tc>
          <w:tcPr>
            <w:tcW w:w="2835" w:type="dxa"/>
            <w:vAlign w:val="center"/>
          </w:tcPr>
          <w:p>
            <w:pPr>
              <w:pStyle w:val="10"/>
            </w:pPr>
            <w:r>
              <w:t>其中：财政    资金</w:t>
            </w:r>
          </w:p>
        </w:tc>
        <w:tc>
          <w:tcPr>
            <w:tcW w:w="2551" w:type="dxa"/>
            <w:vAlign w:val="center"/>
          </w:tcPr>
          <w:p>
            <w:pPr>
              <w:pStyle w:val="12"/>
            </w:pPr>
            <w:r>
              <w:t>830.90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通过补助建筑节能项目，推动建筑节能减排。</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1.通过补助建筑节能项目，推动建筑节能减排。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资金补助超低能耗建筑面积</w:t>
            </w:r>
          </w:p>
        </w:tc>
        <w:tc>
          <w:tcPr>
            <w:tcW w:w="5386" w:type="dxa"/>
            <w:vAlign w:val="center"/>
          </w:tcPr>
          <w:p>
            <w:pPr>
              <w:pStyle w:val="12"/>
            </w:pPr>
            <w:r>
              <w:t>资金补助超低能耗建筑面积</w:t>
            </w:r>
          </w:p>
        </w:tc>
        <w:tc>
          <w:tcPr>
            <w:tcW w:w="2268" w:type="dxa"/>
            <w:vAlign w:val="center"/>
          </w:tcPr>
          <w:p>
            <w:pPr>
              <w:pStyle w:val="12"/>
            </w:pPr>
            <w:r>
              <w:t>82925.16平方米</w:t>
            </w:r>
          </w:p>
        </w:tc>
        <w:tc>
          <w:tcPr>
            <w:tcW w:w="1276" w:type="dxa"/>
            <w:vAlign w:val="center"/>
          </w:tcPr>
          <w:p>
            <w:pPr>
              <w:pStyle w:val="12"/>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补助超低能耗建筑符合被动式超低能耗建筑设计标准</w:t>
            </w:r>
          </w:p>
        </w:tc>
        <w:tc>
          <w:tcPr>
            <w:tcW w:w="5386" w:type="dxa"/>
            <w:vAlign w:val="center"/>
          </w:tcPr>
          <w:p>
            <w:pPr>
              <w:pStyle w:val="12"/>
            </w:pPr>
            <w:r>
              <w:t>补助超低能耗建筑符合被动式超低能耗建筑设计标准</w:t>
            </w:r>
          </w:p>
        </w:tc>
        <w:tc>
          <w:tcPr>
            <w:tcW w:w="2268" w:type="dxa"/>
            <w:vAlign w:val="center"/>
          </w:tcPr>
          <w:p>
            <w:pPr>
              <w:pStyle w:val="12"/>
            </w:pPr>
            <w:r>
              <w:t>符合被动式超低能耗建筑设计标准</w:t>
            </w:r>
          </w:p>
        </w:tc>
        <w:tc>
          <w:tcPr>
            <w:tcW w:w="1276" w:type="dxa"/>
            <w:vAlign w:val="center"/>
          </w:tcPr>
          <w:p>
            <w:pPr>
              <w:pStyle w:val="12"/>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完成年度建设任务时限</w:t>
            </w:r>
          </w:p>
        </w:tc>
        <w:tc>
          <w:tcPr>
            <w:tcW w:w="5386" w:type="dxa"/>
            <w:vAlign w:val="center"/>
          </w:tcPr>
          <w:p>
            <w:pPr>
              <w:pStyle w:val="12"/>
            </w:pPr>
            <w:r>
              <w:t>完成年度建设任务时限</w:t>
            </w:r>
          </w:p>
        </w:tc>
        <w:tc>
          <w:tcPr>
            <w:tcW w:w="2268" w:type="dxa"/>
            <w:vAlign w:val="center"/>
          </w:tcPr>
          <w:p>
            <w:pPr>
              <w:pStyle w:val="12"/>
            </w:pPr>
            <w:r>
              <w:t>2027年12月底</w:t>
            </w:r>
          </w:p>
        </w:tc>
        <w:tc>
          <w:tcPr>
            <w:tcW w:w="1276" w:type="dxa"/>
            <w:vAlign w:val="center"/>
          </w:tcPr>
          <w:p>
            <w:pPr>
              <w:pStyle w:val="12"/>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补助超低能耗建筑项目补助标准符合专项资金管理办法要求</w:t>
            </w:r>
          </w:p>
        </w:tc>
        <w:tc>
          <w:tcPr>
            <w:tcW w:w="5386" w:type="dxa"/>
            <w:vAlign w:val="center"/>
          </w:tcPr>
          <w:p>
            <w:pPr>
              <w:pStyle w:val="12"/>
            </w:pPr>
            <w:r>
              <w:t>补助超低能耗建筑项目补助标准符合专项资金管理办法要求</w:t>
            </w:r>
          </w:p>
        </w:tc>
        <w:tc>
          <w:tcPr>
            <w:tcW w:w="2268" w:type="dxa"/>
            <w:vAlign w:val="center"/>
          </w:tcPr>
          <w:p>
            <w:pPr>
              <w:pStyle w:val="12"/>
            </w:pPr>
            <w:r>
              <w:t>≤500万元</w:t>
            </w:r>
          </w:p>
        </w:tc>
        <w:tc>
          <w:tcPr>
            <w:tcW w:w="1276" w:type="dxa"/>
            <w:vAlign w:val="center"/>
          </w:tcPr>
          <w:p>
            <w:pPr>
              <w:pStyle w:val="12"/>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推动超低能耗建筑发展</w:t>
            </w:r>
          </w:p>
        </w:tc>
        <w:tc>
          <w:tcPr>
            <w:tcW w:w="5386" w:type="dxa"/>
            <w:vAlign w:val="center"/>
          </w:tcPr>
          <w:p>
            <w:pPr>
              <w:pStyle w:val="12"/>
            </w:pPr>
            <w:r>
              <w:t>推动超低能耗建筑发展</w:t>
            </w:r>
          </w:p>
        </w:tc>
        <w:tc>
          <w:tcPr>
            <w:tcW w:w="2268" w:type="dxa"/>
            <w:vAlign w:val="center"/>
          </w:tcPr>
          <w:p>
            <w:pPr>
              <w:pStyle w:val="12"/>
            </w:pPr>
            <w:r>
              <w:t>通过补助超低能耗建筑示范项目，推动本地超低能耗建筑发展。</w:t>
            </w:r>
          </w:p>
        </w:tc>
        <w:tc>
          <w:tcPr>
            <w:tcW w:w="1276" w:type="dxa"/>
            <w:vAlign w:val="center"/>
          </w:tcPr>
          <w:p>
            <w:pPr>
              <w:pStyle w:val="12"/>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推动超低能耗建筑发展</w:t>
            </w:r>
          </w:p>
        </w:tc>
        <w:tc>
          <w:tcPr>
            <w:tcW w:w="5386" w:type="dxa"/>
            <w:vAlign w:val="center"/>
          </w:tcPr>
          <w:p>
            <w:pPr>
              <w:pStyle w:val="12"/>
            </w:pPr>
            <w:r>
              <w:t>推动超低能耗建筑发展</w:t>
            </w:r>
          </w:p>
        </w:tc>
        <w:tc>
          <w:tcPr>
            <w:tcW w:w="2268" w:type="dxa"/>
            <w:vAlign w:val="center"/>
          </w:tcPr>
          <w:p>
            <w:pPr>
              <w:pStyle w:val="12"/>
            </w:pPr>
            <w:r>
              <w:t>通过补助超低能耗建筑示范项目，推动本地超低能耗建筑发展。</w:t>
            </w:r>
          </w:p>
        </w:tc>
        <w:tc>
          <w:tcPr>
            <w:tcW w:w="1276" w:type="dxa"/>
            <w:vAlign w:val="center"/>
          </w:tcPr>
          <w:p>
            <w:pPr>
              <w:pStyle w:val="12"/>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随机走访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47、关于提前下达2026年省级乡村振兴专项资金绩效目标表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13011026P00002110053B</w:t>
            </w:r>
          </w:p>
        </w:tc>
        <w:tc>
          <w:tcPr>
            <w:tcW w:w="2835" w:type="dxa"/>
            <w:vAlign w:val="center"/>
          </w:tcPr>
          <w:p>
            <w:pPr>
              <w:pStyle w:val="10"/>
            </w:pPr>
            <w:r>
              <w:t>项目名称</w:t>
            </w:r>
          </w:p>
        </w:tc>
        <w:tc>
          <w:tcPr>
            <w:tcW w:w="6095" w:type="dxa"/>
            <w:gridSpan w:val="3"/>
            <w:vAlign w:val="center"/>
          </w:tcPr>
          <w:p>
            <w:pPr>
              <w:pStyle w:val="12"/>
            </w:pPr>
            <w:r>
              <w:t>关于提前下达2026年省级乡村振兴专项资金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49.00</w:t>
            </w:r>
          </w:p>
        </w:tc>
        <w:tc>
          <w:tcPr>
            <w:tcW w:w="2835" w:type="dxa"/>
            <w:vAlign w:val="center"/>
          </w:tcPr>
          <w:p>
            <w:pPr>
              <w:pStyle w:val="10"/>
            </w:pPr>
            <w:r>
              <w:t>其中：财政    资金</w:t>
            </w:r>
          </w:p>
        </w:tc>
        <w:tc>
          <w:tcPr>
            <w:tcW w:w="2551" w:type="dxa"/>
            <w:vAlign w:val="center"/>
          </w:tcPr>
          <w:p>
            <w:pPr>
              <w:pStyle w:val="12"/>
            </w:pPr>
            <w:r>
              <w:t>49.00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补助的装配式农房数量</w:t>
            </w:r>
          </w:p>
        </w:tc>
        <w:tc>
          <w:tcPr>
            <w:tcW w:w="5386" w:type="dxa"/>
            <w:vAlign w:val="center"/>
          </w:tcPr>
          <w:p>
            <w:pPr>
              <w:pStyle w:val="12"/>
            </w:pPr>
            <w:r>
              <w:t>县（区）2026年装配式农房建设试点户数</w:t>
            </w:r>
          </w:p>
        </w:tc>
        <w:tc>
          <w:tcPr>
            <w:tcW w:w="2268" w:type="dxa"/>
            <w:vAlign w:val="center"/>
          </w:tcPr>
          <w:p>
            <w:pPr>
              <w:pStyle w:val="12"/>
            </w:pPr>
            <w:r>
              <w:t>49户</w:t>
            </w:r>
          </w:p>
        </w:tc>
        <w:tc>
          <w:tcPr>
            <w:tcW w:w="1276" w:type="dxa"/>
            <w:vAlign w:val="center"/>
          </w:tcPr>
          <w:p>
            <w:pPr>
              <w:pStyle w:val="12"/>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补助户选用装配式建筑方式</w:t>
            </w:r>
          </w:p>
        </w:tc>
        <w:tc>
          <w:tcPr>
            <w:tcW w:w="5386" w:type="dxa"/>
            <w:vAlign w:val="center"/>
          </w:tcPr>
          <w:p>
            <w:pPr>
              <w:pStyle w:val="12"/>
            </w:pPr>
            <w:r>
              <w:t>装配式农村住房建设完成后验收合格率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当年建设完成占需建设完成的比例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补助装配式农房标准</w:t>
            </w:r>
          </w:p>
        </w:tc>
        <w:tc>
          <w:tcPr>
            <w:tcW w:w="5386" w:type="dxa"/>
            <w:vAlign w:val="center"/>
          </w:tcPr>
          <w:p>
            <w:pPr>
              <w:pStyle w:val="12"/>
            </w:pPr>
            <w:r>
              <w:t>对装配式农村住房建设示范户我区补助不得少于1万元</w:t>
            </w:r>
          </w:p>
        </w:tc>
        <w:tc>
          <w:tcPr>
            <w:tcW w:w="2268" w:type="dxa"/>
            <w:vAlign w:val="center"/>
          </w:tcPr>
          <w:p>
            <w:pPr>
              <w:pStyle w:val="12"/>
            </w:pPr>
            <w:r>
              <w:t>1万元/户</w:t>
            </w:r>
          </w:p>
        </w:tc>
        <w:tc>
          <w:tcPr>
            <w:tcW w:w="1276" w:type="dxa"/>
            <w:vAlign w:val="center"/>
          </w:tcPr>
          <w:p>
            <w:pPr>
              <w:pStyle w:val="12"/>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引导提高农房建设水平</w:t>
            </w:r>
          </w:p>
        </w:tc>
        <w:tc>
          <w:tcPr>
            <w:tcW w:w="5386" w:type="dxa"/>
            <w:vAlign w:val="center"/>
          </w:tcPr>
          <w:p>
            <w:pPr>
              <w:pStyle w:val="12"/>
            </w:pPr>
            <w:r>
              <w:t>引导提高农房建设水平</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新建装配式农村住房示范户满意度</w:t>
            </w:r>
          </w:p>
        </w:tc>
        <w:tc>
          <w:tcPr>
            <w:tcW w:w="2268" w:type="dxa"/>
            <w:vAlign w:val="center"/>
          </w:tcPr>
          <w:p>
            <w:pPr>
              <w:pStyle w:val="12"/>
            </w:pPr>
            <w:r>
              <w:t>≥90%</w:t>
            </w:r>
          </w:p>
        </w:tc>
        <w:tc>
          <w:tcPr>
            <w:tcW w:w="1276" w:type="dxa"/>
            <w:vAlign w:val="center"/>
          </w:tcPr>
          <w:p>
            <w:pPr>
              <w:pStyle w:val="12"/>
            </w:pPr>
            <w:r>
              <w:t>现场走访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48、关于提前下达2026年中央大气污染防治资金绩效目标表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13011026P00152610020J</w:t>
            </w:r>
          </w:p>
        </w:tc>
        <w:tc>
          <w:tcPr>
            <w:tcW w:w="2835" w:type="dxa"/>
            <w:vAlign w:val="center"/>
          </w:tcPr>
          <w:p>
            <w:pPr>
              <w:pStyle w:val="10"/>
            </w:pPr>
            <w:r>
              <w:t>项目名称</w:t>
            </w:r>
          </w:p>
        </w:tc>
        <w:tc>
          <w:tcPr>
            <w:tcW w:w="6095" w:type="dxa"/>
            <w:gridSpan w:val="3"/>
            <w:vAlign w:val="center"/>
          </w:tcPr>
          <w:p>
            <w:pPr>
              <w:pStyle w:val="12"/>
            </w:pPr>
            <w:r>
              <w:t>关于提前下达2026年中央大气污染防治资金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591.00</w:t>
            </w:r>
          </w:p>
        </w:tc>
        <w:tc>
          <w:tcPr>
            <w:tcW w:w="2835" w:type="dxa"/>
            <w:vAlign w:val="center"/>
          </w:tcPr>
          <w:p>
            <w:pPr>
              <w:pStyle w:val="10"/>
            </w:pPr>
            <w:r>
              <w:t>其中：财政    资金</w:t>
            </w:r>
          </w:p>
        </w:tc>
        <w:tc>
          <w:tcPr>
            <w:tcW w:w="2551" w:type="dxa"/>
            <w:vAlign w:val="center"/>
          </w:tcPr>
          <w:p>
            <w:pPr>
              <w:pStyle w:val="12"/>
            </w:pPr>
            <w:r>
              <w:t>591.00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2016、2017年区区双代运行补贴户数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2016、2017年度煤改气用户发放2026-2027年天然气用户均补贴标准</w:t>
            </w:r>
          </w:p>
        </w:tc>
        <w:tc>
          <w:tcPr>
            <w:tcW w:w="2268" w:type="dxa"/>
            <w:vAlign w:val="center"/>
          </w:tcPr>
          <w:p>
            <w:pPr>
              <w:pStyle w:val="12"/>
            </w:pPr>
            <w:r>
              <w:t>160元/户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2016、2017年度煤改电用户发放2026-2027年煤改电用户均补贴标准</w:t>
            </w:r>
          </w:p>
        </w:tc>
        <w:tc>
          <w:tcPr>
            <w:tcW w:w="2268" w:type="dxa"/>
            <w:vAlign w:val="center"/>
          </w:tcPr>
          <w:p>
            <w:pPr>
              <w:pStyle w:val="12"/>
            </w:pPr>
            <w:r>
              <w:t>200元/户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2016、2017年双代补贴户数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2016、2017年双代补贴户数</w:t>
            </w:r>
          </w:p>
        </w:tc>
        <w:tc>
          <w:tcPr>
            <w:tcW w:w="2268" w:type="dxa"/>
            <w:vAlign w:val="center"/>
          </w:tcPr>
          <w:p>
            <w:pPr>
              <w:pStyle w:val="12"/>
            </w:pPr>
            <w:r>
              <w:t>根据石财建【2021】77号文</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49、关于提前下达2026年中央大气污染防治资金绩效目标表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13011026P001526100216</w:t>
            </w:r>
          </w:p>
        </w:tc>
        <w:tc>
          <w:tcPr>
            <w:tcW w:w="2835" w:type="dxa"/>
            <w:vAlign w:val="center"/>
          </w:tcPr>
          <w:p>
            <w:pPr>
              <w:pStyle w:val="10"/>
            </w:pPr>
            <w:r>
              <w:t>项目名称</w:t>
            </w:r>
          </w:p>
        </w:tc>
        <w:tc>
          <w:tcPr>
            <w:tcW w:w="6095" w:type="dxa"/>
            <w:gridSpan w:val="3"/>
            <w:vAlign w:val="center"/>
          </w:tcPr>
          <w:p>
            <w:pPr>
              <w:pStyle w:val="12"/>
            </w:pPr>
            <w:r>
              <w:t>关于提前下达2026年中央大气污染防治资金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394.00</w:t>
            </w:r>
          </w:p>
        </w:tc>
        <w:tc>
          <w:tcPr>
            <w:tcW w:w="2835" w:type="dxa"/>
            <w:vAlign w:val="center"/>
          </w:tcPr>
          <w:p>
            <w:pPr>
              <w:pStyle w:val="10"/>
            </w:pPr>
            <w:r>
              <w:t>其中：财政    资金</w:t>
            </w:r>
          </w:p>
        </w:tc>
        <w:tc>
          <w:tcPr>
            <w:tcW w:w="2551" w:type="dxa"/>
            <w:vAlign w:val="center"/>
          </w:tcPr>
          <w:p>
            <w:pPr>
              <w:pStyle w:val="12"/>
            </w:pPr>
            <w:r>
              <w:t>394.00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2016、2017年区区双代运行补贴户数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2016、2017年度煤改气用户发放2026-2027年天然气用户均补贴标准</w:t>
            </w:r>
          </w:p>
        </w:tc>
        <w:tc>
          <w:tcPr>
            <w:tcW w:w="2268" w:type="dxa"/>
            <w:vAlign w:val="center"/>
          </w:tcPr>
          <w:p>
            <w:pPr>
              <w:pStyle w:val="12"/>
            </w:pPr>
            <w:r>
              <w:t>160元/户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2016、2017年度煤改电用户发放2026-2027年煤改电用户均补贴标准</w:t>
            </w:r>
          </w:p>
        </w:tc>
        <w:tc>
          <w:tcPr>
            <w:tcW w:w="2268" w:type="dxa"/>
            <w:vAlign w:val="center"/>
          </w:tcPr>
          <w:p>
            <w:pPr>
              <w:pStyle w:val="12"/>
            </w:pPr>
            <w:r>
              <w:t>200元/户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2016、2017年双代补贴户数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2016、2017年双代补贴户数</w:t>
            </w:r>
          </w:p>
        </w:tc>
        <w:tc>
          <w:tcPr>
            <w:tcW w:w="2268" w:type="dxa"/>
            <w:vAlign w:val="center"/>
          </w:tcPr>
          <w:p>
            <w:pPr>
              <w:pStyle w:val="12"/>
            </w:pPr>
            <w:r>
              <w:t>根据石财建【2021】77号文</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50、关于下达2024年第十批新增政府债券资金（棚户区改造）绩效目标表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13011024P00000110444W</w:t>
            </w:r>
          </w:p>
        </w:tc>
        <w:tc>
          <w:tcPr>
            <w:tcW w:w="2835" w:type="dxa"/>
            <w:vAlign w:val="center"/>
          </w:tcPr>
          <w:p>
            <w:pPr>
              <w:pStyle w:val="10"/>
            </w:pPr>
            <w:r>
              <w:t>项目名称</w:t>
            </w:r>
          </w:p>
        </w:tc>
        <w:tc>
          <w:tcPr>
            <w:tcW w:w="6095" w:type="dxa"/>
            <w:gridSpan w:val="3"/>
            <w:vAlign w:val="center"/>
          </w:tcPr>
          <w:p>
            <w:pPr>
              <w:pStyle w:val="12"/>
            </w:pPr>
            <w:r>
              <w:t>关于下达2024年第十批新增政府债券资金（棚户区改造）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按时完成鹿泉区车站区域集中安置棚户区改造项目用地面积为29485.36平方米，改善居民居住环境。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1.按时完成鹿泉区车站区域集中安置棚户区改造项目用地面积为29485.36平方米，改善居民居住环境。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棚户区改造项目用地面积</w:t>
            </w:r>
          </w:p>
        </w:tc>
        <w:tc>
          <w:tcPr>
            <w:tcW w:w="5386" w:type="dxa"/>
            <w:vAlign w:val="center"/>
          </w:tcPr>
          <w:p>
            <w:pPr>
              <w:pStyle w:val="12"/>
            </w:pPr>
            <w:r>
              <w:t>棚户区改造项目用地面积29485.36平方米</w:t>
            </w:r>
          </w:p>
        </w:tc>
        <w:tc>
          <w:tcPr>
            <w:tcW w:w="2268" w:type="dxa"/>
            <w:vAlign w:val="center"/>
          </w:tcPr>
          <w:p>
            <w:pPr>
              <w:pStyle w:val="12"/>
            </w:pPr>
            <w:r>
              <w:t>≥29485.36平方米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棚户区改造项目完成率</w:t>
            </w:r>
          </w:p>
        </w:tc>
        <w:tc>
          <w:tcPr>
            <w:tcW w:w="5386" w:type="dxa"/>
            <w:vAlign w:val="center"/>
          </w:tcPr>
          <w:p>
            <w:pPr>
              <w:pStyle w:val="12"/>
            </w:pPr>
            <w:r>
              <w:t>棚户区改造项目完成率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棚户区改造项目按时完成率</w:t>
            </w:r>
          </w:p>
        </w:tc>
        <w:tc>
          <w:tcPr>
            <w:tcW w:w="5386" w:type="dxa"/>
            <w:vAlign w:val="center"/>
          </w:tcPr>
          <w:p>
            <w:pPr>
              <w:pStyle w:val="12"/>
            </w:pPr>
            <w:r>
              <w:t>棚户区改造项目按时完成率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棚户区改造项目部分成本</w:t>
            </w:r>
          </w:p>
        </w:tc>
        <w:tc>
          <w:tcPr>
            <w:tcW w:w="5386" w:type="dxa"/>
            <w:vAlign w:val="center"/>
          </w:tcPr>
          <w:p>
            <w:pPr>
              <w:pStyle w:val="12"/>
            </w:pPr>
            <w:r>
              <w:t>棚户区改造项目部分成本</w:t>
            </w:r>
          </w:p>
        </w:tc>
        <w:tc>
          <w:tcPr>
            <w:tcW w:w="2268" w:type="dxa"/>
            <w:vAlign w:val="center"/>
          </w:tcPr>
          <w:p>
            <w:pPr>
              <w:pStyle w:val="12"/>
            </w:pPr>
            <w:r>
              <w:t>2000万元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棚户区改造项目长期使用性</w:t>
            </w:r>
          </w:p>
        </w:tc>
        <w:tc>
          <w:tcPr>
            <w:tcW w:w="5386" w:type="dxa"/>
            <w:vAlign w:val="center"/>
          </w:tcPr>
          <w:p>
            <w:pPr>
              <w:pStyle w:val="12"/>
            </w:pPr>
            <w:r>
              <w:t>棚户区改造项目长期使用性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棚户区改造项目受益户数</w:t>
            </w:r>
          </w:p>
        </w:tc>
        <w:tc>
          <w:tcPr>
            <w:tcW w:w="5386" w:type="dxa"/>
            <w:vAlign w:val="center"/>
          </w:tcPr>
          <w:p>
            <w:pPr>
              <w:pStyle w:val="12"/>
            </w:pPr>
            <w:r>
              <w:t>棚户区改造项目社会效益受益户数</w:t>
            </w:r>
          </w:p>
        </w:tc>
        <w:tc>
          <w:tcPr>
            <w:tcW w:w="2268" w:type="dxa"/>
            <w:vAlign w:val="center"/>
          </w:tcPr>
          <w:p>
            <w:pPr>
              <w:pStyle w:val="12"/>
            </w:pPr>
            <w:r>
              <w:t>484户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棚户区改造项目群众满意度</w:t>
            </w:r>
          </w:p>
        </w:tc>
        <w:tc>
          <w:tcPr>
            <w:tcW w:w="5386" w:type="dxa"/>
            <w:vAlign w:val="center"/>
          </w:tcPr>
          <w:p>
            <w:pPr>
              <w:pStyle w:val="12"/>
            </w:pPr>
            <w:r>
              <w:t>棚户区改造项目群众满意度数量满意占比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51、关于下达2024年第五批新增政府债券资金（棚户区改造）绩效目标表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13011024P000001104174</w:t>
            </w:r>
          </w:p>
        </w:tc>
        <w:tc>
          <w:tcPr>
            <w:tcW w:w="2835" w:type="dxa"/>
            <w:vAlign w:val="center"/>
          </w:tcPr>
          <w:p>
            <w:pPr>
              <w:pStyle w:val="10"/>
            </w:pPr>
            <w:r>
              <w:t>项目名称</w:t>
            </w:r>
          </w:p>
        </w:tc>
        <w:tc>
          <w:tcPr>
            <w:tcW w:w="6095" w:type="dxa"/>
            <w:gridSpan w:val="3"/>
            <w:vAlign w:val="center"/>
          </w:tcPr>
          <w:p>
            <w:pPr>
              <w:pStyle w:val="12"/>
            </w:pPr>
            <w:r>
              <w:t>关于下达2024年第五批新增政府债券资金（棚户区改造）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按时完成鹿泉区车站区域集中安置棚户区改造项目用地面积为29485.36平方米，改善居民居住环境。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1.按时完成鹿泉区车站区域集中安置棚户区改造项目用地面积为29485.36平方米，改善居民居住环境。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棚户区改造项目用地面积</w:t>
            </w:r>
          </w:p>
        </w:tc>
        <w:tc>
          <w:tcPr>
            <w:tcW w:w="5386" w:type="dxa"/>
            <w:vAlign w:val="center"/>
          </w:tcPr>
          <w:p>
            <w:pPr>
              <w:pStyle w:val="12"/>
            </w:pPr>
            <w:r>
              <w:t>棚户区改造项目用地面积29485.36平方米</w:t>
            </w:r>
          </w:p>
        </w:tc>
        <w:tc>
          <w:tcPr>
            <w:tcW w:w="2268" w:type="dxa"/>
            <w:vAlign w:val="center"/>
          </w:tcPr>
          <w:p>
            <w:pPr>
              <w:pStyle w:val="12"/>
            </w:pPr>
            <w:r>
              <w:t>≥29485.36平方米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棚户区改造项目完成率</w:t>
            </w:r>
          </w:p>
        </w:tc>
        <w:tc>
          <w:tcPr>
            <w:tcW w:w="5386" w:type="dxa"/>
            <w:vAlign w:val="center"/>
          </w:tcPr>
          <w:p>
            <w:pPr>
              <w:pStyle w:val="12"/>
            </w:pPr>
            <w:r>
              <w:t>棚户区改造项目完成率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棚户区改造项目按时完成率</w:t>
            </w:r>
          </w:p>
        </w:tc>
        <w:tc>
          <w:tcPr>
            <w:tcW w:w="5386" w:type="dxa"/>
            <w:vAlign w:val="center"/>
          </w:tcPr>
          <w:p>
            <w:pPr>
              <w:pStyle w:val="12"/>
            </w:pPr>
            <w:r>
              <w:t>棚户区改造项目按时完成率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棚户区改造项目部分成本</w:t>
            </w:r>
          </w:p>
        </w:tc>
        <w:tc>
          <w:tcPr>
            <w:tcW w:w="5386" w:type="dxa"/>
            <w:vAlign w:val="center"/>
          </w:tcPr>
          <w:p>
            <w:pPr>
              <w:pStyle w:val="12"/>
            </w:pPr>
            <w:r>
              <w:t>棚户区改造项目部分成本</w:t>
            </w:r>
          </w:p>
        </w:tc>
        <w:tc>
          <w:tcPr>
            <w:tcW w:w="2268" w:type="dxa"/>
            <w:vAlign w:val="center"/>
          </w:tcPr>
          <w:p>
            <w:pPr>
              <w:pStyle w:val="12"/>
            </w:pPr>
            <w:r>
              <w:t>≥2000万元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棚户区改造项目长期使用性</w:t>
            </w:r>
          </w:p>
        </w:tc>
        <w:tc>
          <w:tcPr>
            <w:tcW w:w="5386" w:type="dxa"/>
            <w:vAlign w:val="center"/>
          </w:tcPr>
          <w:p>
            <w:pPr>
              <w:pStyle w:val="12"/>
            </w:pPr>
            <w:r>
              <w:t>棚户区改造项目长期使用性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棚户区改造项目受益户数</w:t>
            </w:r>
          </w:p>
        </w:tc>
        <w:tc>
          <w:tcPr>
            <w:tcW w:w="5386" w:type="dxa"/>
            <w:vAlign w:val="center"/>
          </w:tcPr>
          <w:p>
            <w:pPr>
              <w:pStyle w:val="12"/>
            </w:pPr>
            <w:r>
              <w:t>棚户区改造项目社会效益受益户数</w:t>
            </w:r>
          </w:p>
        </w:tc>
        <w:tc>
          <w:tcPr>
            <w:tcW w:w="2268" w:type="dxa"/>
            <w:vAlign w:val="center"/>
          </w:tcPr>
          <w:p>
            <w:pPr>
              <w:pStyle w:val="12"/>
            </w:pPr>
            <w:r>
              <w:t>≥484户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棚户区改造项目群众满意度</w:t>
            </w:r>
          </w:p>
        </w:tc>
        <w:tc>
          <w:tcPr>
            <w:tcW w:w="5386" w:type="dxa"/>
            <w:vAlign w:val="center"/>
          </w:tcPr>
          <w:p>
            <w:pPr>
              <w:pStyle w:val="12"/>
            </w:pPr>
            <w:r>
              <w:t>棚户区改造项目群众满意度数量满意占比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52、关于下达2025年省级城镇保障性安居工程补助资金绩效目标表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13011025P001617100139</w:t>
            </w:r>
          </w:p>
        </w:tc>
        <w:tc>
          <w:tcPr>
            <w:tcW w:w="2835" w:type="dxa"/>
            <w:vAlign w:val="center"/>
          </w:tcPr>
          <w:p>
            <w:pPr>
              <w:pStyle w:val="10"/>
            </w:pPr>
            <w:r>
              <w:t>项目名称</w:t>
            </w:r>
          </w:p>
        </w:tc>
        <w:tc>
          <w:tcPr>
            <w:tcW w:w="6095" w:type="dxa"/>
            <w:gridSpan w:val="3"/>
            <w:vAlign w:val="center"/>
          </w:tcPr>
          <w:p>
            <w:pPr>
              <w:pStyle w:val="12"/>
            </w:pPr>
            <w:r>
              <w:t>关于下达2025年省级城镇保障性安居工程补助资金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按时完成鹿泉区城市危旧房改造项目用地面积为10785.44平方米，改善居民居住环境。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1.按时完成鹿泉区城市危旧房改造项目用地面积为10785.44平方米，改善居民居住环境。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危旧房改造项目用地面积</w:t>
            </w:r>
          </w:p>
        </w:tc>
        <w:tc>
          <w:tcPr>
            <w:tcW w:w="5386" w:type="dxa"/>
            <w:vAlign w:val="center"/>
          </w:tcPr>
          <w:p>
            <w:pPr>
              <w:pStyle w:val="12"/>
            </w:pPr>
            <w:r>
              <w:t>危旧房改造项目用地面积29485.36平方米</w:t>
            </w:r>
          </w:p>
        </w:tc>
        <w:tc>
          <w:tcPr>
            <w:tcW w:w="2268" w:type="dxa"/>
            <w:vAlign w:val="center"/>
          </w:tcPr>
          <w:p>
            <w:pPr>
              <w:pStyle w:val="12"/>
            </w:pPr>
            <w:r>
              <w:t>10758.44平方米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危旧房改造项目完成率</w:t>
            </w:r>
          </w:p>
        </w:tc>
        <w:tc>
          <w:tcPr>
            <w:tcW w:w="5386" w:type="dxa"/>
            <w:vAlign w:val="center"/>
          </w:tcPr>
          <w:p>
            <w:pPr>
              <w:pStyle w:val="12"/>
            </w:pPr>
            <w:r>
              <w:t>危旧房改造项目完成率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危旧房改造项目按时完成率</w:t>
            </w:r>
          </w:p>
        </w:tc>
        <w:tc>
          <w:tcPr>
            <w:tcW w:w="5386" w:type="dxa"/>
            <w:vAlign w:val="center"/>
          </w:tcPr>
          <w:p>
            <w:pPr>
              <w:pStyle w:val="12"/>
            </w:pPr>
            <w:r>
              <w:t>危旧房改造项目按时完成率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危旧房改造项目成本</w:t>
            </w:r>
          </w:p>
        </w:tc>
        <w:tc>
          <w:tcPr>
            <w:tcW w:w="5386" w:type="dxa"/>
            <w:vAlign w:val="center"/>
          </w:tcPr>
          <w:p>
            <w:pPr>
              <w:pStyle w:val="12"/>
            </w:pPr>
            <w:r>
              <w:t>危旧房改造项目成本</w:t>
            </w:r>
          </w:p>
        </w:tc>
        <w:tc>
          <w:tcPr>
            <w:tcW w:w="2268" w:type="dxa"/>
            <w:vAlign w:val="center"/>
          </w:tcPr>
          <w:p>
            <w:pPr>
              <w:pStyle w:val="12"/>
            </w:pPr>
            <w:r>
              <w:t>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危旧房改造项目长期使用性</w:t>
            </w:r>
          </w:p>
        </w:tc>
        <w:tc>
          <w:tcPr>
            <w:tcW w:w="5386" w:type="dxa"/>
            <w:vAlign w:val="center"/>
          </w:tcPr>
          <w:p>
            <w:pPr>
              <w:pStyle w:val="12"/>
            </w:pPr>
            <w:r>
              <w:t>危旧房改造项目长期使用性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危旧房改造项目受益户数</w:t>
            </w:r>
          </w:p>
        </w:tc>
        <w:tc>
          <w:tcPr>
            <w:tcW w:w="5386" w:type="dxa"/>
            <w:vAlign w:val="center"/>
          </w:tcPr>
          <w:p>
            <w:pPr>
              <w:pStyle w:val="12"/>
            </w:pPr>
            <w:r>
              <w:t>危旧房改造项目社会效益受益户数</w:t>
            </w:r>
          </w:p>
        </w:tc>
        <w:tc>
          <w:tcPr>
            <w:tcW w:w="2268" w:type="dxa"/>
            <w:vAlign w:val="center"/>
          </w:tcPr>
          <w:p>
            <w:pPr>
              <w:pStyle w:val="12"/>
            </w:pPr>
            <w:r>
              <w:t>151户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危旧房改造项目群众满意度</w:t>
            </w:r>
          </w:p>
        </w:tc>
        <w:tc>
          <w:tcPr>
            <w:tcW w:w="5386" w:type="dxa"/>
            <w:vAlign w:val="center"/>
          </w:tcPr>
          <w:p>
            <w:pPr>
              <w:pStyle w:val="12"/>
            </w:pPr>
            <w:r>
              <w:t>危旧房改造项目群众满意度数量满意占比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53、关于下达2025年中央财政城镇保障性安居工程补助资金绩效目标表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13011025P00161710015G</w:t>
            </w:r>
          </w:p>
        </w:tc>
        <w:tc>
          <w:tcPr>
            <w:tcW w:w="2835" w:type="dxa"/>
            <w:vAlign w:val="center"/>
          </w:tcPr>
          <w:p>
            <w:pPr>
              <w:pStyle w:val="10"/>
            </w:pPr>
            <w:r>
              <w:t>项目名称</w:t>
            </w:r>
          </w:p>
        </w:tc>
        <w:tc>
          <w:tcPr>
            <w:tcW w:w="6095" w:type="dxa"/>
            <w:gridSpan w:val="3"/>
            <w:vAlign w:val="center"/>
          </w:tcPr>
          <w:p>
            <w:pPr>
              <w:pStyle w:val="12"/>
            </w:pPr>
            <w:r>
              <w:t>关于下达2025年中央财政城镇保障性安居工程补助资金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31.00</w:t>
            </w:r>
          </w:p>
        </w:tc>
        <w:tc>
          <w:tcPr>
            <w:tcW w:w="2835" w:type="dxa"/>
            <w:vAlign w:val="center"/>
          </w:tcPr>
          <w:p>
            <w:pPr>
              <w:pStyle w:val="10"/>
            </w:pPr>
            <w:r>
              <w:t>其中：财政    资金</w:t>
            </w:r>
          </w:p>
        </w:tc>
        <w:tc>
          <w:tcPr>
            <w:tcW w:w="2551" w:type="dxa"/>
            <w:vAlign w:val="center"/>
          </w:tcPr>
          <w:p>
            <w:pPr>
              <w:pStyle w:val="12"/>
            </w:pPr>
            <w:r>
              <w:t>31.00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按时完成鹿泉区城市危旧房改造项目用地面积为10758.44平方米，改善居民居住环境。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1.按时完成鹿泉区城市危旧房改造项目用地面积为10758.44平方米，改善居民居住环境。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危旧房改造项目用地面积</w:t>
            </w:r>
          </w:p>
        </w:tc>
        <w:tc>
          <w:tcPr>
            <w:tcW w:w="5386" w:type="dxa"/>
            <w:vAlign w:val="center"/>
          </w:tcPr>
          <w:p>
            <w:pPr>
              <w:pStyle w:val="12"/>
            </w:pPr>
            <w:r>
              <w:t>危旧房改造项目用地面积29485.36平方米</w:t>
            </w:r>
          </w:p>
        </w:tc>
        <w:tc>
          <w:tcPr>
            <w:tcW w:w="2268" w:type="dxa"/>
            <w:vAlign w:val="center"/>
          </w:tcPr>
          <w:p>
            <w:pPr>
              <w:pStyle w:val="12"/>
            </w:pPr>
            <w:r>
              <w:t>10758.44平方米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危旧房改造项目完成率</w:t>
            </w:r>
          </w:p>
        </w:tc>
        <w:tc>
          <w:tcPr>
            <w:tcW w:w="5386" w:type="dxa"/>
            <w:vAlign w:val="center"/>
          </w:tcPr>
          <w:p>
            <w:pPr>
              <w:pStyle w:val="12"/>
            </w:pPr>
            <w:r>
              <w:t>危旧房改造项目完成率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危旧房改造项目按时完成率</w:t>
            </w:r>
          </w:p>
        </w:tc>
        <w:tc>
          <w:tcPr>
            <w:tcW w:w="5386" w:type="dxa"/>
            <w:vAlign w:val="center"/>
          </w:tcPr>
          <w:p>
            <w:pPr>
              <w:pStyle w:val="12"/>
            </w:pPr>
            <w:r>
              <w:t>危旧房改造项目按时完成率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危旧房改造项目成本</w:t>
            </w:r>
          </w:p>
        </w:tc>
        <w:tc>
          <w:tcPr>
            <w:tcW w:w="5386" w:type="dxa"/>
            <w:vAlign w:val="center"/>
          </w:tcPr>
          <w:p>
            <w:pPr>
              <w:pStyle w:val="12"/>
            </w:pPr>
            <w:r>
              <w:t>危旧房改造项目成本</w:t>
            </w:r>
          </w:p>
        </w:tc>
        <w:tc>
          <w:tcPr>
            <w:tcW w:w="2268" w:type="dxa"/>
            <w:vAlign w:val="center"/>
          </w:tcPr>
          <w:p>
            <w:pPr>
              <w:pStyle w:val="12"/>
            </w:pPr>
            <w:r>
              <w:t>1681万元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危旧房改造项目长期使用性</w:t>
            </w:r>
          </w:p>
        </w:tc>
        <w:tc>
          <w:tcPr>
            <w:tcW w:w="5386" w:type="dxa"/>
            <w:vAlign w:val="center"/>
          </w:tcPr>
          <w:p>
            <w:pPr>
              <w:pStyle w:val="12"/>
            </w:pPr>
            <w:r>
              <w:t>危旧房改造项目长期使用性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危旧房改造项目受益户数</w:t>
            </w:r>
          </w:p>
        </w:tc>
        <w:tc>
          <w:tcPr>
            <w:tcW w:w="5386" w:type="dxa"/>
            <w:vAlign w:val="center"/>
          </w:tcPr>
          <w:p>
            <w:pPr>
              <w:pStyle w:val="12"/>
            </w:pPr>
            <w:r>
              <w:t>危旧房改造项目社会效益受益户数</w:t>
            </w:r>
          </w:p>
        </w:tc>
        <w:tc>
          <w:tcPr>
            <w:tcW w:w="2268" w:type="dxa"/>
            <w:vAlign w:val="center"/>
          </w:tcPr>
          <w:p>
            <w:pPr>
              <w:pStyle w:val="12"/>
            </w:pPr>
            <w:r>
              <w:t>151户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危旧房改造项目群众满意度</w:t>
            </w:r>
          </w:p>
        </w:tc>
        <w:tc>
          <w:tcPr>
            <w:tcW w:w="5386" w:type="dxa"/>
            <w:vAlign w:val="center"/>
          </w:tcPr>
          <w:p>
            <w:pPr>
              <w:pStyle w:val="12"/>
            </w:pPr>
            <w:r>
              <w:t>危旧房改造项目群众满意度数量满意占比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54、关于下达石家庄液化气居民用户安装物联燃气报警器和自动切断装置项目（国债）绩效目标表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13011025P00000110472P</w:t>
            </w:r>
          </w:p>
        </w:tc>
        <w:tc>
          <w:tcPr>
            <w:tcW w:w="2835" w:type="dxa"/>
            <w:vAlign w:val="center"/>
          </w:tcPr>
          <w:p>
            <w:pPr>
              <w:pStyle w:val="10"/>
            </w:pPr>
            <w:r>
              <w:t>项目名称</w:t>
            </w:r>
          </w:p>
        </w:tc>
        <w:tc>
          <w:tcPr>
            <w:tcW w:w="6095" w:type="dxa"/>
            <w:gridSpan w:val="3"/>
            <w:vAlign w:val="center"/>
          </w:tcPr>
          <w:p>
            <w:pPr>
              <w:pStyle w:val="12"/>
            </w:pPr>
            <w:r>
              <w:t>关于下达石家庄液化气居民用户安装物联燃气报警器和自动切断装置项目（国债）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9.28</w:t>
            </w:r>
          </w:p>
        </w:tc>
        <w:tc>
          <w:tcPr>
            <w:tcW w:w="2835" w:type="dxa"/>
            <w:vAlign w:val="center"/>
          </w:tcPr>
          <w:p>
            <w:pPr>
              <w:pStyle w:val="10"/>
            </w:pPr>
            <w:r>
              <w:t>其中：财政    资金</w:t>
            </w:r>
          </w:p>
        </w:tc>
        <w:tc>
          <w:tcPr>
            <w:tcW w:w="2551" w:type="dxa"/>
            <w:vAlign w:val="center"/>
          </w:tcPr>
          <w:p>
            <w:pPr>
              <w:pStyle w:val="12"/>
            </w:pPr>
            <w:r>
              <w:t>9.28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为切实提升液化气居民用户安全用气水平和燃气泄漏预警检测能力，从根本上预防和减少事故发生。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1.为切实提升液化气居民用户安全用气水平和燃气泄漏预警检测能力，从根本上预防和减少事故发生。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全区液化气居民户数</w:t>
            </w:r>
          </w:p>
        </w:tc>
        <w:tc>
          <w:tcPr>
            <w:tcW w:w="5386" w:type="dxa"/>
            <w:vAlign w:val="center"/>
          </w:tcPr>
          <w:p>
            <w:pPr>
              <w:pStyle w:val="12"/>
            </w:pPr>
            <w:r>
              <w:t>全区居民液化气使用户数</w:t>
            </w:r>
          </w:p>
        </w:tc>
        <w:tc>
          <w:tcPr>
            <w:tcW w:w="2268" w:type="dxa"/>
            <w:vAlign w:val="center"/>
          </w:tcPr>
          <w:p>
            <w:pPr>
              <w:pStyle w:val="12"/>
            </w:pPr>
            <w:r>
              <w:t>3823户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完成工作目标所需要资金</w:t>
            </w:r>
          </w:p>
          <w:p>
            <w:pPr>
              <w:pStyle w:val="12"/>
            </w:pPr>
          </w:p>
        </w:tc>
        <w:tc>
          <w:tcPr>
            <w:tcW w:w="5386" w:type="dxa"/>
            <w:vAlign w:val="center"/>
          </w:tcPr>
          <w:p>
            <w:pPr>
              <w:pStyle w:val="12"/>
            </w:pPr>
            <w:r>
              <w:t>完成工作目标所需要资金</w:t>
            </w:r>
          </w:p>
          <w:p>
            <w:pPr>
              <w:pStyle w:val="12"/>
            </w:pPr>
          </w:p>
        </w:tc>
        <w:tc>
          <w:tcPr>
            <w:tcW w:w="2268" w:type="dxa"/>
            <w:vAlign w:val="center"/>
          </w:tcPr>
          <w:p>
            <w:pPr>
              <w:pStyle w:val="12"/>
            </w:pPr>
            <w:r>
              <w:t>30.94万元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满意程度</w:t>
            </w:r>
          </w:p>
        </w:tc>
        <w:tc>
          <w:tcPr>
            <w:tcW w:w="5386" w:type="dxa"/>
            <w:vAlign w:val="center"/>
          </w:tcPr>
          <w:p>
            <w:pPr>
              <w:pStyle w:val="12"/>
            </w:pPr>
            <w:r>
              <w:t>满意程度</w:t>
            </w:r>
          </w:p>
        </w:tc>
        <w:tc>
          <w:tcPr>
            <w:tcW w:w="2268" w:type="dxa"/>
            <w:vAlign w:val="center"/>
          </w:tcPr>
          <w:p>
            <w:pPr>
              <w:pStyle w:val="12"/>
            </w:pPr>
            <w:r>
              <w:t>≥90%</w:t>
            </w:r>
          </w:p>
        </w:tc>
        <w:tc>
          <w:tcPr>
            <w:tcW w:w="1276" w:type="dxa"/>
            <w:vAlign w:val="center"/>
          </w:tcPr>
          <w:p>
            <w:pPr>
              <w:pStyle w:val="12"/>
            </w:pPr>
            <w:r>
              <w:t>走访调查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55、关于下达中央大气污染防治资金绩效目标表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13011025P00152610024J</w:t>
            </w:r>
          </w:p>
        </w:tc>
        <w:tc>
          <w:tcPr>
            <w:tcW w:w="2835" w:type="dxa"/>
            <w:vAlign w:val="center"/>
          </w:tcPr>
          <w:p>
            <w:pPr>
              <w:pStyle w:val="10"/>
            </w:pPr>
            <w:r>
              <w:t>项目名称</w:t>
            </w:r>
          </w:p>
        </w:tc>
        <w:tc>
          <w:tcPr>
            <w:tcW w:w="6095" w:type="dxa"/>
            <w:gridSpan w:val="3"/>
            <w:vAlign w:val="center"/>
          </w:tcPr>
          <w:p>
            <w:pPr>
              <w:pStyle w:val="12"/>
            </w:pPr>
            <w:r>
              <w:t>关于下达中央大气污染防治资金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259.00</w:t>
            </w:r>
          </w:p>
        </w:tc>
        <w:tc>
          <w:tcPr>
            <w:tcW w:w="2835" w:type="dxa"/>
            <w:vAlign w:val="center"/>
          </w:tcPr>
          <w:p>
            <w:pPr>
              <w:pStyle w:val="10"/>
            </w:pPr>
            <w:r>
              <w:t>其中：财政    资金</w:t>
            </w:r>
          </w:p>
        </w:tc>
        <w:tc>
          <w:tcPr>
            <w:tcW w:w="2551" w:type="dxa"/>
            <w:vAlign w:val="center"/>
          </w:tcPr>
          <w:p>
            <w:pPr>
              <w:pStyle w:val="12"/>
            </w:pPr>
            <w:r>
              <w:t>259.00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2016、2017年区区双代运行补贴户数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已发放双代运行补贴占应补贴完成率</w:t>
            </w:r>
          </w:p>
        </w:tc>
        <w:tc>
          <w:tcPr>
            <w:tcW w:w="2268" w:type="dxa"/>
            <w:vAlign w:val="center"/>
          </w:tcPr>
          <w:p>
            <w:pPr>
              <w:pStyle w:val="12"/>
            </w:pPr>
            <w:r>
              <w:t>100%</w:t>
            </w:r>
          </w:p>
        </w:tc>
        <w:tc>
          <w:tcPr>
            <w:tcW w:w="1276" w:type="dxa"/>
            <w:vAlign w:val="center"/>
          </w:tcPr>
          <w:p>
            <w:pPr>
              <w:pStyle w:val="12"/>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2016、2017年度煤改气用户发放2025-2026年天然气用户均补贴标准</w:t>
            </w:r>
          </w:p>
        </w:tc>
        <w:tc>
          <w:tcPr>
            <w:tcW w:w="2268" w:type="dxa"/>
            <w:vAlign w:val="center"/>
          </w:tcPr>
          <w:p>
            <w:pPr>
              <w:pStyle w:val="12"/>
            </w:pPr>
            <w:r>
              <w:t>160元/户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2016、2017年度煤改电用户发放2025-2026年煤改电用户均补贴标准</w:t>
            </w:r>
          </w:p>
        </w:tc>
        <w:tc>
          <w:tcPr>
            <w:tcW w:w="2268" w:type="dxa"/>
            <w:vAlign w:val="center"/>
          </w:tcPr>
          <w:p>
            <w:pPr>
              <w:pStyle w:val="12"/>
            </w:pPr>
            <w:r>
              <w:t>200元/户</w:t>
            </w:r>
          </w:p>
        </w:tc>
        <w:tc>
          <w:tcPr>
            <w:tcW w:w="1276" w:type="dxa"/>
            <w:vAlign w:val="center"/>
          </w:tcPr>
          <w:p>
            <w:pPr>
              <w:pStyle w:val="12"/>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2016、2017年双代补贴户数</w:t>
            </w:r>
          </w:p>
        </w:tc>
        <w:tc>
          <w:tcPr>
            <w:tcW w:w="2268" w:type="dxa"/>
            <w:vAlign w:val="center"/>
          </w:tcPr>
          <w:p>
            <w:pPr>
              <w:pStyle w:val="12"/>
            </w:pPr>
            <w:r>
              <w:t>≤85619户</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到期后，按实际制定政策</w:t>
            </w:r>
          </w:p>
        </w:tc>
        <w:tc>
          <w:tcPr>
            <w:tcW w:w="5386" w:type="dxa"/>
            <w:vAlign w:val="center"/>
          </w:tcPr>
          <w:p>
            <w:pPr>
              <w:pStyle w:val="12"/>
            </w:pPr>
            <w:r>
              <w:t>2016、2017年双代补贴户数</w:t>
            </w:r>
          </w:p>
        </w:tc>
        <w:tc>
          <w:tcPr>
            <w:tcW w:w="2268" w:type="dxa"/>
            <w:vAlign w:val="center"/>
          </w:tcPr>
          <w:p>
            <w:pPr>
              <w:pStyle w:val="12"/>
            </w:pPr>
            <w:r>
              <w:t>根据石财建【2021】77号文</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群众满意数量占别调查人数比例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56、鹿泉区车站区域基础设施综合建设工程（2023Z）绩效目标表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13011026P00162110076Y</w:t>
            </w:r>
          </w:p>
        </w:tc>
        <w:tc>
          <w:tcPr>
            <w:tcW w:w="2835" w:type="dxa"/>
            <w:vAlign w:val="center"/>
          </w:tcPr>
          <w:p>
            <w:pPr>
              <w:pStyle w:val="10"/>
            </w:pPr>
            <w:r>
              <w:t>项目名称</w:t>
            </w:r>
          </w:p>
        </w:tc>
        <w:tc>
          <w:tcPr>
            <w:tcW w:w="6095" w:type="dxa"/>
            <w:gridSpan w:val="3"/>
            <w:vAlign w:val="center"/>
          </w:tcPr>
          <w:p>
            <w:pPr>
              <w:pStyle w:val="12"/>
            </w:pPr>
            <w:r>
              <w:t>鹿泉区车站区域基础设施综合建设工程（2023Z）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498.00</w:t>
            </w:r>
          </w:p>
        </w:tc>
        <w:tc>
          <w:tcPr>
            <w:tcW w:w="2835" w:type="dxa"/>
            <w:vAlign w:val="center"/>
          </w:tcPr>
          <w:p>
            <w:pPr>
              <w:pStyle w:val="10"/>
            </w:pPr>
            <w:r>
              <w:t>其中：财政    资金</w:t>
            </w:r>
          </w:p>
        </w:tc>
        <w:tc>
          <w:tcPr>
            <w:tcW w:w="2551" w:type="dxa"/>
            <w:vAlign w:val="center"/>
          </w:tcPr>
          <w:p>
            <w:pPr>
              <w:pStyle w:val="12"/>
            </w:pPr>
            <w:r>
              <w:t>498.00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按时完成鹿泉区车站区域基础设施综合建设项目用地面积为26411.28平方米，改善站前街附近居民的便民服务基础设施。</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1.按时完成鹿泉区车站区域基础设施综合建设项目用地面积为26411.28平方米，改善站前街附近居民的便民服务基础设施。</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基础设施项目用地面积</w:t>
            </w:r>
          </w:p>
        </w:tc>
        <w:tc>
          <w:tcPr>
            <w:tcW w:w="5386" w:type="dxa"/>
            <w:vAlign w:val="center"/>
          </w:tcPr>
          <w:p>
            <w:pPr>
              <w:pStyle w:val="12"/>
            </w:pPr>
            <w:r>
              <w:t>基础设施项目用地面积</w:t>
            </w:r>
          </w:p>
        </w:tc>
        <w:tc>
          <w:tcPr>
            <w:tcW w:w="2268" w:type="dxa"/>
            <w:vAlign w:val="center"/>
          </w:tcPr>
          <w:p>
            <w:pPr>
              <w:pStyle w:val="12"/>
            </w:pPr>
            <w:r>
              <w:t>26411.28平方米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基础设施项目完成率</w:t>
            </w:r>
          </w:p>
        </w:tc>
        <w:tc>
          <w:tcPr>
            <w:tcW w:w="5386" w:type="dxa"/>
            <w:vAlign w:val="center"/>
          </w:tcPr>
          <w:p>
            <w:pPr>
              <w:pStyle w:val="12"/>
            </w:pPr>
            <w:r>
              <w:t>基础设施项目完成率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基础设施项目按时完成率</w:t>
            </w:r>
          </w:p>
        </w:tc>
        <w:tc>
          <w:tcPr>
            <w:tcW w:w="5386" w:type="dxa"/>
            <w:vAlign w:val="center"/>
          </w:tcPr>
          <w:p>
            <w:pPr>
              <w:pStyle w:val="12"/>
            </w:pPr>
            <w:r>
              <w:t>基础设施项目按时完成率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基础设施项目部分成本</w:t>
            </w:r>
          </w:p>
        </w:tc>
        <w:tc>
          <w:tcPr>
            <w:tcW w:w="5386" w:type="dxa"/>
            <w:vAlign w:val="center"/>
          </w:tcPr>
          <w:p>
            <w:pPr>
              <w:pStyle w:val="12"/>
            </w:pPr>
            <w:r>
              <w:t>基础设施项目部分成本</w:t>
            </w:r>
          </w:p>
        </w:tc>
        <w:tc>
          <w:tcPr>
            <w:tcW w:w="2268" w:type="dxa"/>
            <w:vAlign w:val="center"/>
          </w:tcPr>
          <w:p>
            <w:pPr>
              <w:pStyle w:val="12"/>
            </w:pPr>
            <w:r>
              <w:t>498万元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基础设施项目长期使用性</w:t>
            </w:r>
          </w:p>
        </w:tc>
        <w:tc>
          <w:tcPr>
            <w:tcW w:w="5386" w:type="dxa"/>
            <w:vAlign w:val="center"/>
          </w:tcPr>
          <w:p>
            <w:pPr>
              <w:pStyle w:val="12"/>
            </w:pPr>
            <w:r>
              <w:t>基础设施项目长期使用性</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基础设施项目受益户数</w:t>
            </w:r>
          </w:p>
        </w:tc>
        <w:tc>
          <w:tcPr>
            <w:tcW w:w="5386" w:type="dxa"/>
            <w:vAlign w:val="center"/>
          </w:tcPr>
          <w:p>
            <w:pPr>
              <w:pStyle w:val="12"/>
            </w:pPr>
            <w:r>
              <w:t>基础设施项目社会效益受益户数</w:t>
            </w:r>
          </w:p>
        </w:tc>
        <w:tc>
          <w:tcPr>
            <w:tcW w:w="2268" w:type="dxa"/>
            <w:vAlign w:val="center"/>
          </w:tcPr>
          <w:p>
            <w:pPr>
              <w:pStyle w:val="12"/>
            </w:pPr>
            <w:r>
              <w:t>≥100户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基础设施项目群众满意度数量满意占比</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57、双代用户2025-2026年采暖季运行补贴费用绩效目标表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13011026P00152610040A</w:t>
            </w:r>
          </w:p>
        </w:tc>
        <w:tc>
          <w:tcPr>
            <w:tcW w:w="2835" w:type="dxa"/>
            <w:vAlign w:val="center"/>
          </w:tcPr>
          <w:p>
            <w:pPr>
              <w:pStyle w:val="10"/>
            </w:pPr>
            <w:r>
              <w:t>项目名称</w:t>
            </w:r>
          </w:p>
        </w:tc>
        <w:tc>
          <w:tcPr>
            <w:tcW w:w="6095" w:type="dxa"/>
            <w:gridSpan w:val="3"/>
            <w:vAlign w:val="center"/>
          </w:tcPr>
          <w:p>
            <w:pPr>
              <w:pStyle w:val="12"/>
            </w:pPr>
            <w:r>
              <w:t>双代用户2025-2026年采暖季运行补贴费用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1420.46</w:t>
            </w:r>
          </w:p>
        </w:tc>
        <w:tc>
          <w:tcPr>
            <w:tcW w:w="2835" w:type="dxa"/>
            <w:vAlign w:val="center"/>
          </w:tcPr>
          <w:p>
            <w:pPr>
              <w:pStyle w:val="10"/>
            </w:pPr>
            <w:r>
              <w:t>其中：财政    资金</w:t>
            </w:r>
          </w:p>
        </w:tc>
        <w:tc>
          <w:tcPr>
            <w:tcW w:w="2551" w:type="dxa"/>
            <w:vAlign w:val="center"/>
          </w:tcPr>
          <w:p>
            <w:pPr>
              <w:pStyle w:val="12"/>
            </w:pPr>
            <w:r>
              <w:t>1420.46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采暖季后对2016-2020年农村煤改气和煤改电使用进行补贴，鼓励农户使用清洁能源取暖，减轻农户采暖费用，有效减少大气污染物排放。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1.采暖季后对2016-2020年农村煤改气和煤改电使用进行补贴，鼓励农户使用清洁能源取暖，减轻农户采暖费用，有效减少大气污染物排放。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已经发放双代补贴占应补贴完成率</w:t>
            </w:r>
          </w:p>
        </w:tc>
        <w:tc>
          <w:tcPr>
            <w:tcW w:w="2268" w:type="dxa"/>
            <w:vAlign w:val="center"/>
          </w:tcPr>
          <w:p>
            <w:pPr>
              <w:pStyle w:val="12"/>
            </w:pPr>
            <w:r>
              <w:t>100%</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煤改气用户发放2025—2026年天然气用户均补贴标准</w:t>
            </w:r>
          </w:p>
        </w:tc>
        <w:tc>
          <w:tcPr>
            <w:tcW w:w="2268" w:type="dxa"/>
            <w:vAlign w:val="center"/>
          </w:tcPr>
          <w:p>
            <w:pPr>
              <w:pStyle w:val="12"/>
            </w:pPr>
            <w:r>
              <w:t>200元/户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煤改电用户发放2025—2026年煤改电用户均补贴标准</w:t>
            </w:r>
          </w:p>
        </w:tc>
        <w:tc>
          <w:tcPr>
            <w:tcW w:w="2268" w:type="dxa"/>
            <w:vAlign w:val="center"/>
          </w:tcPr>
          <w:p>
            <w:pPr>
              <w:pStyle w:val="12"/>
            </w:pPr>
            <w:r>
              <w:t>250元/户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全区双代运行补贴户数</w:t>
            </w:r>
          </w:p>
        </w:tc>
        <w:tc>
          <w:tcPr>
            <w:tcW w:w="2268" w:type="dxa"/>
            <w:vAlign w:val="center"/>
          </w:tcPr>
          <w:p>
            <w:pPr>
              <w:pStyle w:val="12"/>
            </w:pPr>
            <w:r>
              <w:t>≤101435户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双代补贴户数</w:t>
            </w:r>
          </w:p>
        </w:tc>
        <w:tc>
          <w:tcPr>
            <w:tcW w:w="2268" w:type="dxa"/>
            <w:vAlign w:val="center"/>
          </w:tcPr>
          <w:p>
            <w:pPr>
              <w:pStyle w:val="12"/>
            </w:pPr>
            <w:r>
              <w:t>≤101435户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三年到期后，根据实际制定补贴政策</w:t>
            </w:r>
          </w:p>
        </w:tc>
        <w:tc>
          <w:tcPr>
            <w:tcW w:w="5386" w:type="dxa"/>
            <w:vAlign w:val="center"/>
          </w:tcPr>
          <w:p>
            <w:pPr>
              <w:pStyle w:val="12"/>
            </w:pPr>
            <w:r>
              <w:t>双代补贴户数</w:t>
            </w:r>
          </w:p>
        </w:tc>
        <w:tc>
          <w:tcPr>
            <w:tcW w:w="2268" w:type="dxa"/>
            <w:vAlign w:val="center"/>
          </w:tcPr>
          <w:p>
            <w:pPr>
              <w:pStyle w:val="12"/>
            </w:pPr>
            <w:r>
              <w:t>根据（石财建【2019】75号文件要求</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58、下达2025-2026年采暖季煤改气煤改电运行补贴绩效目标表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13011026P00152610041X</w:t>
            </w:r>
          </w:p>
        </w:tc>
        <w:tc>
          <w:tcPr>
            <w:tcW w:w="2835" w:type="dxa"/>
            <w:vAlign w:val="center"/>
          </w:tcPr>
          <w:p>
            <w:pPr>
              <w:pStyle w:val="10"/>
            </w:pPr>
            <w:r>
              <w:t>项目名称</w:t>
            </w:r>
          </w:p>
        </w:tc>
        <w:tc>
          <w:tcPr>
            <w:tcW w:w="6095" w:type="dxa"/>
            <w:gridSpan w:val="3"/>
            <w:vAlign w:val="center"/>
          </w:tcPr>
          <w:p>
            <w:pPr>
              <w:pStyle w:val="12"/>
            </w:pPr>
            <w:r>
              <w:t>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74.26</w:t>
            </w:r>
          </w:p>
        </w:tc>
        <w:tc>
          <w:tcPr>
            <w:tcW w:w="2835" w:type="dxa"/>
            <w:vAlign w:val="center"/>
          </w:tcPr>
          <w:p>
            <w:pPr>
              <w:pStyle w:val="10"/>
            </w:pPr>
            <w:r>
              <w:t>其中：财政    资金</w:t>
            </w:r>
          </w:p>
        </w:tc>
        <w:tc>
          <w:tcPr>
            <w:tcW w:w="2551" w:type="dxa"/>
            <w:vAlign w:val="center"/>
          </w:tcPr>
          <w:p>
            <w:pPr>
              <w:pStyle w:val="12"/>
            </w:pPr>
            <w:r>
              <w:t>74.26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采暖季后对2016-2020年农村煤改气和煤改电使用进行补贴，鼓励农户使用清洁能源取暖，减轻农户采暖费用，有效减少大气污染物排放。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1.采暖季后对2016-2020年农村煤改气和煤改电使用进行补贴，鼓励农户使用清洁能源取暖，减轻农户采暖费用，有效减少大气污染物排放。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已经发放双代补贴占应补贴完成率</w:t>
            </w:r>
          </w:p>
        </w:tc>
        <w:tc>
          <w:tcPr>
            <w:tcW w:w="2268" w:type="dxa"/>
            <w:vAlign w:val="center"/>
          </w:tcPr>
          <w:p>
            <w:pPr>
              <w:pStyle w:val="12"/>
            </w:pPr>
            <w:r>
              <w:t>100%</w:t>
            </w:r>
          </w:p>
        </w:tc>
        <w:tc>
          <w:tcPr>
            <w:tcW w:w="1276" w:type="dxa"/>
            <w:vAlign w:val="center"/>
          </w:tcPr>
          <w:p>
            <w:pPr>
              <w:pStyle w:val="12"/>
            </w:pPr>
            <w:r>
              <w:t>历史数据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煤改气用户发放2025—2026年天然气用户均补贴标准</w:t>
            </w:r>
          </w:p>
        </w:tc>
        <w:tc>
          <w:tcPr>
            <w:tcW w:w="2268" w:type="dxa"/>
            <w:vAlign w:val="center"/>
          </w:tcPr>
          <w:p>
            <w:pPr>
              <w:pStyle w:val="12"/>
            </w:pPr>
            <w:r>
              <w:t>200元/户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煤改电用户发放2025—2026年煤改电用户均补贴标准</w:t>
            </w:r>
          </w:p>
        </w:tc>
        <w:tc>
          <w:tcPr>
            <w:tcW w:w="2268" w:type="dxa"/>
            <w:vAlign w:val="center"/>
          </w:tcPr>
          <w:p>
            <w:pPr>
              <w:pStyle w:val="12"/>
            </w:pPr>
            <w:r>
              <w:t>250元/户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全区双代运行补贴户数</w:t>
            </w:r>
          </w:p>
        </w:tc>
        <w:tc>
          <w:tcPr>
            <w:tcW w:w="2268" w:type="dxa"/>
            <w:vAlign w:val="center"/>
          </w:tcPr>
          <w:p>
            <w:pPr>
              <w:pStyle w:val="12"/>
            </w:pPr>
            <w:r>
              <w:t>≤101435户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双代补贴户数</w:t>
            </w:r>
          </w:p>
        </w:tc>
        <w:tc>
          <w:tcPr>
            <w:tcW w:w="2268" w:type="dxa"/>
            <w:vAlign w:val="center"/>
          </w:tcPr>
          <w:p>
            <w:pPr>
              <w:pStyle w:val="12"/>
            </w:pPr>
            <w:r>
              <w:t>≤101435户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三年到期后，根据实际制定补贴政策</w:t>
            </w:r>
          </w:p>
        </w:tc>
        <w:tc>
          <w:tcPr>
            <w:tcW w:w="5386" w:type="dxa"/>
            <w:vAlign w:val="center"/>
          </w:tcPr>
          <w:p>
            <w:pPr>
              <w:pStyle w:val="12"/>
            </w:pPr>
            <w:r>
              <w:t>双代补贴户数</w:t>
            </w:r>
          </w:p>
        </w:tc>
        <w:tc>
          <w:tcPr>
            <w:tcW w:w="2268" w:type="dxa"/>
            <w:vAlign w:val="center"/>
          </w:tcPr>
          <w:p>
            <w:pPr>
              <w:pStyle w:val="12"/>
            </w:pPr>
            <w:r>
              <w:t>根据（石财建【2019】75号文件要求</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59、下达2025-2026年采暖季煤改气煤改电运行补贴绩效目标表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13011026P00152610042H</w:t>
            </w:r>
          </w:p>
        </w:tc>
        <w:tc>
          <w:tcPr>
            <w:tcW w:w="2835" w:type="dxa"/>
            <w:vAlign w:val="center"/>
          </w:tcPr>
          <w:p>
            <w:pPr>
              <w:pStyle w:val="10"/>
            </w:pPr>
            <w:r>
              <w:t>项目名称</w:t>
            </w:r>
          </w:p>
        </w:tc>
        <w:tc>
          <w:tcPr>
            <w:tcW w:w="6095" w:type="dxa"/>
            <w:gridSpan w:val="3"/>
            <w:vAlign w:val="center"/>
          </w:tcPr>
          <w:p>
            <w:pPr>
              <w:pStyle w:val="12"/>
            </w:pPr>
            <w:r>
              <w:t>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612.10</w:t>
            </w:r>
          </w:p>
        </w:tc>
        <w:tc>
          <w:tcPr>
            <w:tcW w:w="2835" w:type="dxa"/>
            <w:vAlign w:val="center"/>
          </w:tcPr>
          <w:p>
            <w:pPr>
              <w:pStyle w:val="10"/>
            </w:pPr>
            <w:r>
              <w:t>其中：财政    资金</w:t>
            </w:r>
          </w:p>
        </w:tc>
        <w:tc>
          <w:tcPr>
            <w:tcW w:w="2551" w:type="dxa"/>
            <w:vAlign w:val="center"/>
          </w:tcPr>
          <w:p>
            <w:pPr>
              <w:pStyle w:val="12"/>
            </w:pPr>
            <w:r>
              <w:t>612.10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采暖季后对2016-2020年农村煤改气和煤改电使用进行补贴，鼓励农户使用清洁能源取暖，减轻农户采暖费用，有效减少大气污染物排放。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1.采暖季后对2016-2020年农村煤改气和煤改电使用进行补贴，鼓励农户使用清洁能源取暖，减轻农户采暖费用，有效减少大气污染物排放。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已经发放双代补贴占应补贴完成率</w:t>
            </w:r>
          </w:p>
        </w:tc>
        <w:tc>
          <w:tcPr>
            <w:tcW w:w="2268" w:type="dxa"/>
            <w:vAlign w:val="center"/>
          </w:tcPr>
          <w:p>
            <w:pPr>
              <w:pStyle w:val="12"/>
            </w:pPr>
            <w:r>
              <w:t>100%</w:t>
            </w:r>
          </w:p>
        </w:tc>
        <w:tc>
          <w:tcPr>
            <w:tcW w:w="1276" w:type="dxa"/>
            <w:vAlign w:val="center"/>
          </w:tcPr>
          <w:p>
            <w:pPr>
              <w:pStyle w:val="12"/>
            </w:pPr>
            <w:r>
              <w:t>历史数据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煤改气用户发放2025—2026年天然气用户均补贴标准</w:t>
            </w:r>
          </w:p>
        </w:tc>
        <w:tc>
          <w:tcPr>
            <w:tcW w:w="2268" w:type="dxa"/>
            <w:vAlign w:val="center"/>
          </w:tcPr>
          <w:p>
            <w:pPr>
              <w:pStyle w:val="12"/>
            </w:pPr>
            <w:r>
              <w:t>200元/户</w:t>
            </w:r>
          </w:p>
        </w:tc>
        <w:tc>
          <w:tcPr>
            <w:tcW w:w="1276" w:type="dxa"/>
            <w:vAlign w:val="center"/>
          </w:tcPr>
          <w:p>
            <w:pPr>
              <w:pStyle w:val="12"/>
            </w:pPr>
            <w:r>
              <w:t>历史数据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煤改电用户发放2025—2026年煤改电用户均补贴标准</w:t>
            </w:r>
          </w:p>
        </w:tc>
        <w:tc>
          <w:tcPr>
            <w:tcW w:w="2268" w:type="dxa"/>
            <w:vAlign w:val="center"/>
          </w:tcPr>
          <w:p>
            <w:pPr>
              <w:pStyle w:val="12"/>
            </w:pPr>
            <w:r>
              <w:t>250元/户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全区双代运行补贴户数</w:t>
            </w:r>
          </w:p>
        </w:tc>
        <w:tc>
          <w:tcPr>
            <w:tcW w:w="2268" w:type="dxa"/>
            <w:vAlign w:val="center"/>
          </w:tcPr>
          <w:p>
            <w:pPr>
              <w:pStyle w:val="12"/>
            </w:pPr>
            <w:r>
              <w:t>≤101435户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双代补贴户数</w:t>
            </w:r>
          </w:p>
        </w:tc>
        <w:tc>
          <w:tcPr>
            <w:tcW w:w="2268" w:type="dxa"/>
            <w:vAlign w:val="center"/>
          </w:tcPr>
          <w:p>
            <w:pPr>
              <w:pStyle w:val="12"/>
            </w:pPr>
            <w:r>
              <w:t>≤101435户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三年到期后，根据实际制定补贴政策</w:t>
            </w:r>
          </w:p>
        </w:tc>
        <w:tc>
          <w:tcPr>
            <w:tcW w:w="5386" w:type="dxa"/>
            <w:vAlign w:val="center"/>
          </w:tcPr>
          <w:p>
            <w:pPr>
              <w:pStyle w:val="12"/>
            </w:pPr>
            <w:r>
              <w:t>双代补贴户数</w:t>
            </w:r>
          </w:p>
        </w:tc>
        <w:tc>
          <w:tcPr>
            <w:tcW w:w="2268" w:type="dxa"/>
            <w:vAlign w:val="center"/>
          </w:tcPr>
          <w:p>
            <w:pPr>
              <w:pStyle w:val="12"/>
            </w:pPr>
            <w:r>
              <w:t>根据（石财建【2019】75号文件要求</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60、下达2025-2026年采暖季煤改气煤改电运行补贴绩效目标表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13011026P001526100435</w:t>
            </w:r>
          </w:p>
        </w:tc>
        <w:tc>
          <w:tcPr>
            <w:tcW w:w="2835" w:type="dxa"/>
            <w:vAlign w:val="center"/>
          </w:tcPr>
          <w:p>
            <w:pPr>
              <w:pStyle w:val="10"/>
            </w:pPr>
            <w:r>
              <w:t>项目名称</w:t>
            </w:r>
          </w:p>
        </w:tc>
        <w:tc>
          <w:tcPr>
            <w:tcW w:w="6095" w:type="dxa"/>
            <w:gridSpan w:val="3"/>
            <w:vAlign w:val="center"/>
          </w:tcPr>
          <w:p>
            <w:pPr>
              <w:pStyle w:val="12"/>
            </w:pPr>
            <w:r>
              <w:t>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103.14</w:t>
            </w:r>
          </w:p>
        </w:tc>
        <w:tc>
          <w:tcPr>
            <w:tcW w:w="2835" w:type="dxa"/>
            <w:vAlign w:val="center"/>
          </w:tcPr>
          <w:p>
            <w:pPr>
              <w:pStyle w:val="10"/>
            </w:pPr>
            <w:r>
              <w:t>其中：财政    资金</w:t>
            </w:r>
          </w:p>
        </w:tc>
        <w:tc>
          <w:tcPr>
            <w:tcW w:w="2551" w:type="dxa"/>
            <w:vAlign w:val="center"/>
          </w:tcPr>
          <w:p>
            <w:pPr>
              <w:pStyle w:val="12"/>
            </w:pPr>
            <w:r>
              <w:t>103.14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采暖季后对2016-2020年农村煤改气和煤改电使用进行补贴，鼓励农户使用清洁能源取暖，减轻农户采暖费用，有效减少大气污染物排放。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1.采暖季后对2016-2020年农村煤改气和煤改电使用进行补贴，鼓励农户使用清洁能源取暖，减轻农户采暖费用，有效减少大气污染物排放。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双代补贴任务完成率</w:t>
            </w:r>
          </w:p>
        </w:tc>
        <w:tc>
          <w:tcPr>
            <w:tcW w:w="5386" w:type="dxa"/>
            <w:vAlign w:val="center"/>
          </w:tcPr>
          <w:p>
            <w:pPr>
              <w:pStyle w:val="12"/>
            </w:pPr>
            <w:r>
              <w:t>已经发放双代补贴占应补贴完成率</w:t>
            </w:r>
          </w:p>
        </w:tc>
        <w:tc>
          <w:tcPr>
            <w:tcW w:w="2268" w:type="dxa"/>
            <w:vAlign w:val="center"/>
          </w:tcPr>
          <w:p>
            <w:pPr>
              <w:pStyle w:val="12"/>
            </w:pPr>
            <w:r>
              <w:t>100%</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发放双代运行补贴时间</w:t>
            </w:r>
          </w:p>
        </w:tc>
        <w:tc>
          <w:tcPr>
            <w:tcW w:w="5386" w:type="dxa"/>
            <w:vAlign w:val="center"/>
          </w:tcPr>
          <w:p>
            <w:pPr>
              <w:pStyle w:val="12"/>
            </w:pPr>
            <w:r>
              <w:t>采暖季结束后督促相关燃气企业、供电公司发放天然气运行补贴</w:t>
            </w:r>
          </w:p>
        </w:tc>
        <w:tc>
          <w:tcPr>
            <w:tcW w:w="2268" w:type="dxa"/>
            <w:vAlign w:val="center"/>
          </w:tcPr>
          <w:p>
            <w:pPr>
              <w:pStyle w:val="12"/>
            </w:pPr>
            <w:r>
              <w:t>≤3月</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天然气补贴标准</w:t>
            </w:r>
          </w:p>
        </w:tc>
        <w:tc>
          <w:tcPr>
            <w:tcW w:w="5386" w:type="dxa"/>
            <w:vAlign w:val="center"/>
          </w:tcPr>
          <w:p>
            <w:pPr>
              <w:pStyle w:val="12"/>
            </w:pPr>
            <w:r>
              <w:t>煤改气用户发放2025—2026年天然气用户均补贴标准</w:t>
            </w:r>
          </w:p>
        </w:tc>
        <w:tc>
          <w:tcPr>
            <w:tcW w:w="2268" w:type="dxa"/>
            <w:vAlign w:val="center"/>
          </w:tcPr>
          <w:p>
            <w:pPr>
              <w:pStyle w:val="12"/>
            </w:pPr>
            <w:r>
              <w:t>200元/户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煤改电补贴标准</w:t>
            </w:r>
          </w:p>
        </w:tc>
        <w:tc>
          <w:tcPr>
            <w:tcW w:w="5386" w:type="dxa"/>
            <w:vAlign w:val="center"/>
          </w:tcPr>
          <w:p>
            <w:pPr>
              <w:pStyle w:val="12"/>
            </w:pPr>
            <w:r>
              <w:t>煤改电用户发放2025—2026年煤改电用户均补贴标准</w:t>
            </w:r>
          </w:p>
        </w:tc>
        <w:tc>
          <w:tcPr>
            <w:tcW w:w="2268" w:type="dxa"/>
            <w:vAlign w:val="center"/>
          </w:tcPr>
          <w:p>
            <w:pPr>
              <w:pStyle w:val="12"/>
            </w:pPr>
            <w:r>
              <w:t>250元/户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双代运行补贴户数</w:t>
            </w:r>
          </w:p>
        </w:tc>
        <w:tc>
          <w:tcPr>
            <w:tcW w:w="5386" w:type="dxa"/>
            <w:vAlign w:val="center"/>
          </w:tcPr>
          <w:p>
            <w:pPr>
              <w:pStyle w:val="12"/>
            </w:pPr>
            <w:r>
              <w:t>全区双代运行补贴户数</w:t>
            </w:r>
          </w:p>
        </w:tc>
        <w:tc>
          <w:tcPr>
            <w:tcW w:w="2268" w:type="dxa"/>
            <w:vAlign w:val="center"/>
          </w:tcPr>
          <w:p>
            <w:pPr>
              <w:pStyle w:val="12"/>
            </w:pPr>
            <w:r>
              <w:t>≤101435户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双代补贴受益户数</w:t>
            </w:r>
          </w:p>
        </w:tc>
        <w:tc>
          <w:tcPr>
            <w:tcW w:w="5386" w:type="dxa"/>
            <w:vAlign w:val="center"/>
          </w:tcPr>
          <w:p>
            <w:pPr>
              <w:pStyle w:val="12"/>
            </w:pPr>
            <w:r>
              <w:t>双代补贴户数</w:t>
            </w:r>
          </w:p>
        </w:tc>
        <w:tc>
          <w:tcPr>
            <w:tcW w:w="2268" w:type="dxa"/>
            <w:vAlign w:val="center"/>
          </w:tcPr>
          <w:p>
            <w:pPr>
              <w:pStyle w:val="12"/>
            </w:pPr>
            <w:r>
              <w:t>≤101435户</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三年到期后，根据实际制定补贴政策</w:t>
            </w:r>
          </w:p>
        </w:tc>
        <w:tc>
          <w:tcPr>
            <w:tcW w:w="5386" w:type="dxa"/>
            <w:vAlign w:val="center"/>
          </w:tcPr>
          <w:p>
            <w:pPr>
              <w:pStyle w:val="12"/>
            </w:pPr>
            <w:r>
              <w:t>双代补贴户数</w:t>
            </w:r>
          </w:p>
        </w:tc>
        <w:tc>
          <w:tcPr>
            <w:tcW w:w="2268" w:type="dxa"/>
            <w:vAlign w:val="center"/>
          </w:tcPr>
          <w:p>
            <w:pPr>
              <w:pStyle w:val="12"/>
            </w:pPr>
            <w:r>
              <w:t>根据（石财建【2019】75号文件要求</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61、玉石路桥梁建设项目（2025Z）绩效目标表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13011026P00162110075B</w:t>
            </w:r>
          </w:p>
        </w:tc>
        <w:tc>
          <w:tcPr>
            <w:tcW w:w="2835" w:type="dxa"/>
            <w:vAlign w:val="center"/>
          </w:tcPr>
          <w:p>
            <w:pPr>
              <w:pStyle w:val="10"/>
            </w:pPr>
            <w:r>
              <w:t>项目名称</w:t>
            </w:r>
          </w:p>
        </w:tc>
        <w:tc>
          <w:tcPr>
            <w:tcW w:w="6095" w:type="dxa"/>
            <w:gridSpan w:val="3"/>
            <w:vAlign w:val="center"/>
          </w:tcPr>
          <w:p>
            <w:pPr>
              <w:pStyle w:val="12"/>
            </w:pPr>
            <w:r>
              <w:t>玉石路桥梁建设项目（2025Z）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1、新建道路285米，桥梁两座分别为70米和16米。2、为城市发展提供基础设施建设。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1.1、新建道路285米，桥梁两座分别为70米和16米。2、为城市发展提供基础设施建设。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修建桥梁长度</w:t>
            </w:r>
          </w:p>
        </w:tc>
        <w:tc>
          <w:tcPr>
            <w:tcW w:w="5386" w:type="dxa"/>
            <w:vAlign w:val="center"/>
          </w:tcPr>
          <w:p>
            <w:pPr>
              <w:pStyle w:val="12"/>
            </w:pPr>
            <w:r>
              <w:t>修建桥梁长度</w:t>
            </w:r>
          </w:p>
        </w:tc>
        <w:tc>
          <w:tcPr>
            <w:tcW w:w="2268" w:type="dxa"/>
            <w:vAlign w:val="center"/>
          </w:tcPr>
          <w:p>
            <w:pPr>
              <w:pStyle w:val="12"/>
            </w:pPr>
            <w:r>
              <w:t>70米</w:t>
            </w:r>
          </w:p>
        </w:tc>
        <w:tc>
          <w:tcPr>
            <w:tcW w:w="1276"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修建桥梁长度</w:t>
            </w:r>
          </w:p>
        </w:tc>
        <w:tc>
          <w:tcPr>
            <w:tcW w:w="5386" w:type="dxa"/>
            <w:vAlign w:val="center"/>
          </w:tcPr>
          <w:p>
            <w:pPr>
              <w:pStyle w:val="12"/>
            </w:pPr>
            <w:r>
              <w:t>修建桥梁长度</w:t>
            </w:r>
          </w:p>
        </w:tc>
        <w:tc>
          <w:tcPr>
            <w:tcW w:w="2268" w:type="dxa"/>
            <w:vAlign w:val="center"/>
          </w:tcPr>
          <w:p>
            <w:pPr>
              <w:pStyle w:val="12"/>
            </w:pPr>
            <w:r>
              <w:t>16米</w:t>
            </w:r>
          </w:p>
        </w:tc>
        <w:tc>
          <w:tcPr>
            <w:tcW w:w="1276"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新建玉石路道路285米</w:t>
            </w:r>
          </w:p>
        </w:tc>
        <w:tc>
          <w:tcPr>
            <w:tcW w:w="5386" w:type="dxa"/>
            <w:vAlign w:val="center"/>
          </w:tcPr>
          <w:p>
            <w:pPr>
              <w:pStyle w:val="12"/>
            </w:pPr>
            <w:r>
              <w:t>新建道路总长度</w:t>
            </w:r>
          </w:p>
        </w:tc>
        <w:tc>
          <w:tcPr>
            <w:tcW w:w="2268" w:type="dxa"/>
            <w:vAlign w:val="center"/>
          </w:tcPr>
          <w:p>
            <w:pPr>
              <w:pStyle w:val="12"/>
            </w:pPr>
            <w:r>
              <w:t>285米</w:t>
            </w:r>
          </w:p>
        </w:tc>
        <w:tc>
          <w:tcPr>
            <w:tcW w:w="1276"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建设工程质量合格率（%）</w:t>
            </w:r>
          </w:p>
        </w:tc>
        <w:tc>
          <w:tcPr>
            <w:tcW w:w="5386" w:type="dxa"/>
            <w:vAlign w:val="center"/>
          </w:tcPr>
          <w:p>
            <w:pPr>
              <w:pStyle w:val="12"/>
            </w:pPr>
            <w:r>
              <w:t>项目完工验收合格数/项目总数*100%</w:t>
            </w:r>
          </w:p>
        </w:tc>
        <w:tc>
          <w:tcPr>
            <w:tcW w:w="2268" w:type="dxa"/>
            <w:vAlign w:val="center"/>
          </w:tcPr>
          <w:p>
            <w:pPr>
              <w:pStyle w:val="12"/>
            </w:pPr>
            <w:r>
              <w:t>100%</w:t>
            </w:r>
          </w:p>
        </w:tc>
        <w:tc>
          <w:tcPr>
            <w:tcW w:w="1276"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及时完成工程量占需要完成工程量的比例</w:t>
            </w:r>
          </w:p>
        </w:tc>
        <w:tc>
          <w:tcPr>
            <w:tcW w:w="2268" w:type="dxa"/>
            <w:vAlign w:val="center"/>
          </w:tcPr>
          <w:p>
            <w:pPr>
              <w:pStyle w:val="12"/>
            </w:pPr>
            <w:r>
              <w:t>100%</w:t>
            </w:r>
          </w:p>
        </w:tc>
        <w:tc>
          <w:tcPr>
            <w:tcW w:w="1276"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w:t>
            </w:r>
          </w:p>
        </w:tc>
        <w:tc>
          <w:tcPr>
            <w:tcW w:w="5386" w:type="dxa"/>
            <w:vAlign w:val="center"/>
          </w:tcPr>
          <w:p>
            <w:pPr>
              <w:pStyle w:val="12"/>
            </w:pPr>
            <w:r>
              <w:t>工程建设总成本</w:t>
            </w:r>
          </w:p>
        </w:tc>
        <w:tc>
          <w:tcPr>
            <w:tcW w:w="2268" w:type="dxa"/>
            <w:vAlign w:val="center"/>
          </w:tcPr>
          <w:p>
            <w:pPr>
              <w:pStyle w:val="12"/>
            </w:pPr>
            <w:r>
              <w:t>≤2700万元</w:t>
            </w:r>
          </w:p>
        </w:tc>
        <w:tc>
          <w:tcPr>
            <w:tcW w:w="1276"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道路使用时间</w:t>
            </w:r>
          </w:p>
        </w:tc>
        <w:tc>
          <w:tcPr>
            <w:tcW w:w="5386" w:type="dxa"/>
            <w:vAlign w:val="center"/>
          </w:tcPr>
          <w:p>
            <w:pPr>
              <w:pStyle w:val="12"/>
            </w:pPr>
            <w:r>
              <w:t>道路使用年限</w:t>
            </w:r>
          </w:p>
        </w:tc>
        <w:tc>
          <w:tcPr>
            <w:tcW w:w="2268" w:type="dxa"/>
            <w:vAlign w:val="center"/>
          </w:tcPr>
          <w:p>
            <w:pPr>
              <w:pStyle w:val="12"/>
            </w:pPr>
            <w:r>
              <w:t>≥10年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桥梁使用时间</w:t>
            </w:r>
          </w:p>
        </w:tc>
        <w:tc>
          <w:tcPr>
            <w:tcW w:w="5386" w:type="dxa"/>
            <w:vAlign w:val="center"/>
          </w:tcPr>
          <w:p>
            <w:pPr>
              <w:pStyle w:val="12"/>
            </w:pPr>
            <w:r>
              <w:t>桥梁使用时间</w:t>
            </w:r>
          </w:p>
        </w:tc>
        <w:tc>
          <w:tcPr>
            <w:tcW w:w="2268" w:type="dxa"/>
            <w:vAlign w:val="center"/>
          </w:tcPr>
          <w:p>
            <w:pPr>
              <w:pStyle w:val="12"/>
            </w:pPr>
            <w:r>
              <w:t>≥50年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反映项目实施后受益人群的满意度情况</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1538.36</w:t>
            </w:r>
          </w:p>
        </w:tc>
        <w:tc>
          <w:tcPr>
            <w:tcW w:w="964" w:type="dxa"/>
            <w:vAlign w:val="center"/>
          </w:tcPr>
          <w:p>
            <w:pPr>
              <w:pStyle w:val="15"/>
            </w:pPr>
            <w:r>
              <w:t>1538.36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1538.36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石家庄市鹿泉区住房和城乡建设局本级小计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1538.36</w:t>
            </w:r>
          </w:p>
        </w:tc>
        <w:tc>
          <w:tcPr>
            <w:tcW w:w="964" w:type="dxa"/>
            <w:vAlign w:val="center"/>
          </w:tcPr>
          <w:p>
            <w:pPr>
              <w:pStyle w:val="15"/>
            </w:pPr>
            <w:r>
              <w:t>1538.36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1538.36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129.60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0.32</w:t>
            </w:r>
          </w:p>
        </w:tc>
        <w:tc>
          <w:tcPr>
            <w:tcW w:w="964" w:type="dxa"/>
            <w:vAlign w:val="center"/>
          </w:tcPr>
          <w:p>
            <w:pPr>
              <w:pStyle w:val="11"/>
            </w:pPr>
            <w:r>
              <w:t>0.64</w:t>
            </w:r>
          </w:p>
        </w:tc>
        <w:tc>
          <w:tcPr>
            <w:tcW w:w="964" w:type="dxa"/>
            <w:vAlign w:val="center"/>
          </w:tcPr>
          <w:p>
            <w:pPr>
              <w:pStyle w:val="11"/>
            </w:pPr>
            <w:r>
              <w:t>0.64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129.60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1.88</w:t>
            </w:r>
          </w:p>
        </w:tc>
        <w:tc>
          <w:tcPr>
            <w:tcW w:w="964" w:type="dxa"/>
            <w:vAlign w:val="center"/>
          </w:tcPr>
          <w:p>
            <w:pPr>
              <w:pStyle w:val="11"/>
            </w:pPr>
            <w:r>
              <w:t>3.76</w:t>
            </w:r>
          </w:p>
        </w:tc>
        <w:tc>
          <w:tcPr>
            <w:tcW w:w="964" w:type="dxa"/>
            <w:vAlign w:val="center"/>
          </w:tcPr>
          <w:p>
            <w:pPr>
              <w:pStyle w:val="11"/>
            </w:pPr>
            <w:r>
              <w:t>3.76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129.60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w:t>
            </w:r>
          </w:p>
        </w:tc>
        <w:tc>
          <w:tcPr>
            <w:tcW w:w="850" w:type="dxa"/>
            <w:vAlign w:val="center"/>
          </w:tcPr>
          <w:p>
            <w:pPr>
              <w:pStyle w:val="11"/>
            </w:pPr>
            <w:r>
              <w:t>0.60</w:t>
            </w:r>
          </w:p>
        </w:tc>
        <w:tc>
          <w:tcPr>
            <w:tcW w:w="964" w:type="dxa"/>
            <w:vAlign w:val="center"/>
          </w:tcPr>
          <w:p>
            <w:pPr>
              <w:pStyle w:val="11"/>
            </w:pPr>
            <w:r>
              <w:t>2.40</w:t>
            </w:r>
          </w:p>
        </w:tc>
        <w:tc>
          <w:tcPr>
            <w:tcW w:w="964" w:type="dxa"/>
            <w:vAlign w:val="center"/>
          </w:tcPr>
          <w:p>
            <w:pPr>
              <w:pStyle w:val="11"/>
            </w:pPr>
            <w:r>
              <w:t>2.40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8.40</w:t>
            </w:r>
          </w:p>
        </w:tc>
        <w:tc>
          <w:tcPr>
            <w:tcW w:w="1134" w:type="dxa"/>
            <w:vAlign w:val="center"/>
          </w:tcPr>
          <w:p>
            <w:pPr>
              <w:pStyle w:val="12"/>
            </w:pPr>
            <w:r>
              <w:t>互联网信息服务</w:t>
            </w:r>
          </w:p>
        </w:tc>
        <w:tc>
          <w:tcPr>
            <w:tcW w:w="1134" w:type="dxa"/>
            <w:vAlign w:val="center"/>
          </w:tcPr>
          <w:p>
            <w:pPr>
              <w:pStyle w:val="12"/>
            </w:pPr>
            <w:r>
              <w:t>C17020000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1.56</w:t>
            </w:r>
          </w:p>
        </w:tc>
        <w:tc>
          <w:tcPr>
            <w:tcW w:w="964" w:type="dxa"/>
            <w:vAlign w:val="center"/>
          </w:tcPr>
          <w:p>
            <w:pPr>
              <w:pStyle w:val="11"/>
            </w:pPr>
            <w:r>
              <w:t>1.56</w:t>
            </w:r>
          </w:p>
        </w:tc>
        <w:tc>
          <w:tcPr>
            <w:tcW w:w="964" w:type="dxa"/>
            <w:vAlign w:val="center"/>
          </w:tcPr>
          <w:p>
            <w:pPr>
              <w:pStyle w:val="11"/>
            </w:pPr>
            <w:r>
              <w:t>1.56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2026年农村煤改气第三方评估</w:t>
            </w:r>
          </w:p>
        </w:tc>
        <w:tc>
          <w:tcPr>
            <w:tcW w:w="964" w:type="dxa"/>
            <w:vAlign w:val="center"/>
          </w:tcPr>
          <w:p>
            <w:pPr>
              <w:pStyle w:val="11"/>
            </w:pPr>
            <w:r>
              <w:t>8.05</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8.05</w:t>
            </w:r>
          </w:p>
        </w:tc>
        <w:tc>
          <w:tcPr>
            <w:tcW w:w="964" w:type="dxa"/>
            <w:vAlign w:val="center"/>
          </w:tcPr>
          <w:p>
            <w:pPr>
              <w:pStyle w:val="11"/>
            </w:pPr>
            <w:r>
              <w:t>8.05</w:t>
            </w:r>
          </w:p>
        </w:tc>
        <w:tc>
          <w:tcPr>
            <w:tcW w:w="964" w:type="dxa"/>
            <w:vAlign w:val="center"/>
          </w:tcPr>
          <w:p>
            <w:pPr>
              <w:pStyle w:val="11"/>
            </w:pPr>
            <w:r>
              <w:t>8.05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2026年燃气监管平台</w:t>
            </w:r>
          </w:p>
        </w:tc>
        <w:tc>
          <w:tcPr>
            <w:tcW w:w="964" w:type="dxa"/>
            <w:vAlign w:val="center"/>
          </w:tcPr>
          <w:p>
            <w:pPr>
              <w:pStyle w:val="11"/>
            </w:pPr>
            <w:r>
              <w:t>3.12</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3.12</w:t>
            </w:r>
          </w:p>
        </w:tc>
        <w:tc>
          <w:tcPr>
            <w:tcW w:w="964" w:type="dxa"/>
            <w:vAlign w:val="center"/>
          </w:tcPr>
          <w:p>
            <w:pPr>
              <w:pStyle w:val="11"/>
            </w:pPr>
            <w:r>
              <w:t>3.12</w:t>
            </w:r>
          </w:p>
        </w:tc>
        <w:tc>
          <w:tcPr>
            <w:tcW w:w="964" w:type="dxa"/>
            <w:vAlign w:val="center"/>
          </w:tcPr>
          <w:p>
            <w:pPr>
              <w:pStyle w:val="11"/>
            </w:pPr>
            <w:r>
              <w:t>3.12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2026年石家庄市鹿泉区城市更新专项规划编制</w:t>
            </w:r>
          </w:p>
        </w:tc>
        <w:tc>
          <w:tcPr>
            <w:tcW w:w="964" w:type="dxa"/>
            <w:vAlign w:val="center"/>
          </w:tcPr>
          <w:p>
            <w:pPr>
              <w:pStyle w:val="11"/>
            </w:pPr>
            <w:r>
              <w:t>6.49</w:t>
            </w:r>
          </w:p>
        </w:tc>
        <w:tc>
          <w:tcPr>
            <w:tcW w:w="1134" w:type="dxa"/>
            <w:vAlign w:val="center"/>
          </w:tcPr>
          <w:p>
            <w:pPr>
              <w:pStyle w:val="12"/>
            </w:pPr>
            <w:r>
              <w:t>区域规划和设计服务</w:t>
            </w:r>
          </w:p>
        </w:tc>
        <w:tc>
          <w:tcPr>
            <w:tcW w:w="1134" w:type="dxa"/>
            <w:vAlign w:val="center"/>
          </w:tcPr>
          <w:p>
            <w:pPr>
              <w:pStyle w:val="12"/>
            </w:pPr>
            <w:r>
              <w:t>C13010000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6.49</w:t>
            </w:r>
          </w:p>
        </w:tc>
        <w:tc>
          <w:tcPr>
            <w:tcW w:w="964" w:type="dxa"/>
            <w:vAlign w:val="center"/>
          </w:tcPr>
          <w:p>
            <w:pPr>
              <w:pStyle w:val="11"/>
            </w:pPr>
            <w:r>
              <w:t>6.49</w:t>
            </w:r>
          </w:p>
        </w:tc>
        <w:tc>
          <w:tcPr>
            <w:tcW w:w="964" w:type="dxa"/>
            <w:vAlign w:val="center"/>
          </w:tcPr>
          <w:p>
            <w:pPr>
              <w:pStyle w:val="11"/>
            </w:pPr>
            <w:r>
              <w:t>6.49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2026年石家庄市鹿泉区城市体检项目</w:t>
            </w:r>
          </w:p>
        </w:tc>
        <w:tc>
          <w:tcPr>
            <w:tcW w:w="964" w:type="dxa"/>
            <w:vAlign w:val="center"/>
          </w:tcPr>
          <w:p>
            <w:pPr>
              <w:pStyle w:val="11"/>
            </w:pPr>
            <w:r>
              <w:t>4.55</w:t>
            </w:r>
          </w:p>
        </w:tc>
        <w:tc>
          <w:tcPr>
            <w:tcW w:w="1134" w:type="dxa"/>
            <w:vAlign w:val="center"/>
          </w:tcPr>
          <w:p>
            <w:pPr>
              <w:pStyle w:val="12"/>
            </w:pPr>
            <w:r>
              <w:t>区域规划和设计服务</w:t>
            </w:r>
          </w:p>
        </w:tc>
        <w:tc>
          <w:tcPr>
            <w:tcW w:w="1134" w:type="dxa"/>
            <w:vAlign w:val="center"/>
          </w:tcPr>
          <w:p>
            <w:pPr>
              <w:pStyle w:val="12"/>
            </w:pPr>
            <w:r>
              <w:t>C13010000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4.55</w:t>
            </w:r>
          </w:p>
        </w:tc>
        <w:tc>
          <w:tcPr>
            <w:tcW w:w="964" w:type="dxa"/>
            <w:vAlign w:val="center"/>
          </w:tcPr>
          <w:p>
            <w:pPr>
              <w:pStyle w:val="11"/>
            </w:pPr>
            <w:r>
              <w:t>4.55</w:t>
            </w:r>
          </w:p>
        </w:tc>
        <w:tc>
          <w:tcPr>
            <w:tcW w:w="964" w:type="dxa"/>
            <w:vAlign w:val="center"/>
          </w:tcPr>
          <w:p>
            <w:pPr>
              <w:pStyle w:val="11"/>
            </w:pPr>
            <w:r>
              <w:t>4.55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2026年石家庄市鹿泉区海绵城市专项规划编制</w:t>
            </w:r>
          </w:p>
        </w:tc>
        <w:tc>
          <w:tcPr>
            <w:tcW w:w="964" w:type="dxa"/>
            <w:vAlign w:val="center"/>
          </w:tcPr>
          <w:p>
            <w:pPr>
              <w:pStyle w:val="11"/>
            </w:pPr>
            <w:r>
              <w:t>6.79</w:t>
            </w:r>
          </w:p>
        </w:tc>
        <w:tc>
          <w:tcPr>
            <w:tcW w:w="1134" w:type="dxa"/>
            <w:vAlign w:val="center"/>
          </w:tcPr>
          <w:p>
            <w:pPr>
              <w:pStyle w:val="12"/>
            </w:pPr>
            <w:r>
              <w:t>区域规划和设计服务</w:t>
            </w:r>
          </w:p>
        </w:tc>
        <w:tc>
          <w:tcPr>
            <w:tcW w:w="1134" w:type="dxa"/>
            <w:vAlign w:val="center"/>
          </w:tcPr>
          <w:p>
            <w:pPr>
              <w:pStyle w:val="12"/>
            </w:pPr>
            <w:r>
              <w:t>C13010000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6.79</w:t>
            </w:r>
          </w:p>
        </w:tc>
        <w:tc>
          <w:tcPr>
            <w:tcW w:w="964" w:type="dxa"/>
            <w:vAlign w:val="center"/>
          </w:tcPr>
          <w:p>
            <w:pPr>
              <w:pStyle w:val="11"/>
            </w:pPr>
            <w:r>
              <w:t>6.79</w:t>
            </w:r>
          </w:p>
        </w:tc>
        <w:tc>
          <w:tcPr>
            <w:tcW w:w="964" w:type="dxa"/>
            <w:vAlign w:val="center"/>
          </w:tcPr>
          <w:p>
            <w:pPr>
              <w:pStyle w:val="11"/>
            </w:pPr>
            <w:r>
              <w:t>6.79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2026年石家庄西部上庄污水处理厂扩建运营费</w:t>
            </w:r>
          </w:p>
        </w:tc>
        <w:tc>
          <w:tcPr>
            <w:tcW w:w="964" w:type="dxa"/>
            <w:vAlign w:val="center"/>
          </w:tcPr>
          <w:p>
            <w:pPr>
              <w:pStyle w:val="11"/>
            </w:pPr>
            <w:r>
              <w:t>500.00</w:t>
            </w:r>
          </w:p>
        </w:tc>
        <w:tc>
          <w:tcPr>
            <w:tcW w:w="1134" w:type="dxa"/>
            <w:vAlign w:val="center"/>
          </w:tcPr>
          <w:p>
            <w:pPr>
              <w:pStyle w:val="12"/>
            </w:pPr>
            <w:r>
              <w:t>其他社会服务</w:t>
            </w:r>
          </w:p>
        </w:tc>
        <w:tc>
          <w:tcPr>
            <w:tcW w:w="1134" w:type="dxa"/>
            <w:vAlign w:val="center"/>
          </w:tcPr>
          <w:p>
            <w:pPr>
              <w:pStyle w:val="12"/>
            </w:pPr>
            <w:r>
              <w:t>C05990000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500.00</w:t>
            </w:r>
          </w:p>
        </w:tc>
        <w:tc>
          <w:tcPr>
            <w:tcW w:w="964" w:type="dxa"/>
            <w:vAlign w:val="center"/>
          </w:tcPr>
          <w:p>
            <w:pPr>
              <w:pStyle w:val="11"/>
            </w:pPr>
            <w:r>
              <w:t>500.00</w:t>
            </w:r>
          </w:p>
        </w:tc>
        <w:tc>
          <w:tcPr>
            <w:tcW w:w="964" w:type="dxa"/>
            <w:vAlign w:val="center"/>
          </w:tcPr>
          <w:p>
            <w:pPr>
              <w:pStyle w:val="11"/>
            </w:pPr>
            <w:r>
              <w:t>500.00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玉石路桥梁建设项目（2025Z）</w:t>
            </w:r>
          </w:p>
        </w:tc>
        <w:tc>
          <w:tcPr>
            <w:tcW w:w="964" w:type="dxa"/>
            <w:vAlign w:val="center"/>
          </w:tcPr>
          <w:p>
            <w:pPr>
              <w:pStyle w:val="11"/>
            </w:pPr>
            <w:r>
              <w:t>1000.00</w:t>
            </w:r>
          </w:p>
        </w:tc>
        <w:tc>
          <w:tcPr>
            <w:tcW w:w="1134" w:type="dxa"/>
            <w:vAlign w:val="center"/>
          </w:tcPr>
          <w:p>
            <w:pPr>
              <w:pStyle w:val="12"/>
            </w:pPr>
            <w:r>
              <w:t>其他市政公用设施施工</w:t>
            </w:r>
          </w:p>
        </w:tc>
        <w:tc>
          <w:tcPr>
            <w:tcW w:w="1134" w:type="dxa"/>
            <w:vAlign w:val="center"/>
          </w:tcPr>
          <w:p>
            <w:pPr>
              <w:pStyle w:val="12"/>
            </w:pPr>
            <w:r>
              <w:t>B02130199</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1000.00</w:t>
            </w:r>
          </w:p>
        </w:tc>
        <w:tc>
          <w:tcPr>
            <w:tcW w:w="964"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石家庄市鹿泉区住房和城乡建设局本级上年末固定资产金额为1292.08万元（详见下表）。本年度拟购置固定资产总额为0.00万元，已按要求列入政府采购预算，详见政府采购预算表。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1292.08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7213.57</w:t>
            </w:r>
          </w:p>
        </w:tc>
        <w:tc>
          <w:tcPr>
            <w:tcW w:w="2835" w:type="dxa"/>
            <w:vAlign w:val="center"/>
          </w:tcPr>
          <w:p>
            <w:pPr>
              <w:pStyle w:val="11"/>
            </w:pPr>
            <w:r>
              <w:t>1150.94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6359</w:t>
            </w:r>
          </w:p>
        </w:tc>
        <w:tc>
          <w:tcPr>
            <w:tcW w:w="2835" w:type="dxa"/>
            <w:vAlign w:val="center"/>
          </w:tcPr>
          <w:p>
            <w:pPr>
              <w:pStyle w:val="11"/>
            </w:pPr>
            <w:r>
              <w:t>1056.40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595</w:t>
            </w:r>
          </w:p>
        </w:tc>
        <w:tc>
          <w:tcPr>
            <w:tcW w:w="2835" w:type="dxa"/>
            <w:vAlign w:val="center"/>
          </w:tcPr>
          <w:p>
            <w:pPr>
              <w:pStyle w:val="11"/>
            </w:pPr>
            <w:r>
              <w:t>122.76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二、石家庄市鹿泉区建筑业服务中心收支预算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1018.97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314.43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615.69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1018.97</w:t>
            </w:r>
          </w:p>
        </w:tc>
        <w:tc>
          <w:tcPr>
            <w:tcW w:w="4535" w:type="dxa"/>
            <w:vAlign w:val="center"/>
          </w:tcPr>
          <w:p>
            <w:pPr>
              <w:pStyle w:val="14"/>
            </w:pPr>
            <w:r>
              <w:t>本年支出合计</w:t>
            </w:r>
          </w:p>
        </w:tc>
        <w:tc>
          <w:tcPr>
            <w:tcW w:w="2126" w:type="dxa"/>
            <w:vAlign w:val="center"/>
          </w:tcPr>
          <w:p>
            <w:pPr>
              <w:pStyle w:val="15"/>
            </w:pPr>
            <w:r>
              <w:t>1018.97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1018.97</w:t>
            </w:r>
          </w:p>
        </w:tc>
        <w:tc>
          <w:tcPr>
            <w:tcW w:w="4535" w:type="dxa"/>
            <w:vAlign w:val="center"/>
          </w:tcPr>
          <w:p>
            <w:pPr>
              <w:pStyle w:val="14"/>
            </w:pPr>
            <w:r>
              <w:t>支出总计</w:t>
            </w:r>
          </w:p>
        </w:tc>
        <w:tc>
          <w:tcPr>
            <w:tcW w:w="2126" w:type="dxa"/>
            <w:vAlign w:val="center"/>
          </w:tcPr>
          <w:p>
            <w:pPr>
              <w:pStyle w:val="15"/>
            </w:pPr>
            <w:r>
              <w:t>1018.97</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1018.97</w:t>
            </w:r>
          </w:p>
        </w:tc>
        <w:tc>
          <w:tcPr>
            <w:tcW w:w="1134" w:type="dxa"/>
            <w:vAlign w:val="center"/>
          </w:tcPr>
          <w:p>
            <w:pPr>
              <w:pStyle w:val="15"/>
            </w:pPr>
            <w:r>
              <w:t>1018.97</w:t>
            </w:r>
          </w:p>
        </w:tc>
        <w:tc>
          <w:tcPr>
            <w:tcW w:w="1134" w:type="dxa"/>
            <w:vAlign w:val="center"/>
          </w:tcPr>
          <w:p>
            <w:pPr>
              <w:pStyle w:val="15"/>
            </w:pPr>
            <w:r>
              <w:t>1018.97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314.43</w:t>
            </w:r>
          </w:p>
        </w:tc>
        <w:tc>
          <w:tcPr>
            <w:tcW w:w="1134" w:type="dxa"/>
            <w:vAlign w:val="center"/>
          </w:tcPr>
          <w:p>
            <w:pPr>
              <w:pStyle w:val="11"/>
            </w:pPr>
            <w:r>
              <w:t>314.43</w:t>
            </w:r>
          </w:p>
        </w:tc>
        <w:tc>
          <w:tcPr>
            <w:tcW w:w="1134" w:type="dxa"/>
            <w:vAlign w:val="center"/>
          </w:tcPr>
          <w:p>
            <w:pPr>
              <w:pStyle w:val="11"/>
            </w:pPr>
            <w:r>
              <w:t>314.43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213.69</w:t>
            </w:r>
          </w:p>
        </w:tc>
        <w:tc>
          <w:tcPr>
            <w:tcW w:w="1134" w:type="dxa"/>
            <w:vAlign w:val="center"/>
          </w:tcPr>
          <w:p>
            <w:pPr>
              <w:pStyle w:val="11"/>
            </w:pPr>
            <w:r>
              <w:t>213.69</w:t>
            </w:r>
          </w:p>
        </w:tc>
        <w:tc>
          <w:tcPr>
            <w:tcW w:w="1134" w:type="dxa"/>
            <w:vAlign w:val="center"/>
          </w:tcPr>
          <w:p>
            <w:pPr>
              <w:pStyle w:val="11"/>
            </w:pPr>
            <w:r>
              <w:t>213.69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129.88</w:t>
            </w:r>
          </w:p>
        </w:tc>
        <w:tc>
          <w:tcPr>
            <w:tcW w:w="1134" w:type="dxa"/>
            <w:vAlign w:val="center"/>
          </w:tcPr>
          <w:p>
            <w:pPr>
              <w:pStyle w:val="11"/>
            </w:pPr>
            <w:r>
              <w:t>129.88</w:t>
            </w:r>
          </w:p>
        </w:tc>
        <w:tc>
          <w:tcPr>
            <w:tcW w:w="1134" w:type="dxa"/>
            <w:vAlign w:val="center"/>
          </w:tcPr>
          <w:p>
            <w:pPr>
              <w:pStyle w:val="11"/>
            </w:pPr>
            <w:r>
              <w:t>129.88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55.88</w:t>
            </w:r>
          </w:p>
        </w:tc>
        <w:tc>
          <w:tcPr>
            <w:tcW w:w="1134" w:type="dxa"/>
            <w:vAlign w:val="center"/>
          </w:tcPr>
          <w:p>
            <w:pPr>
              <w:pStyle w:val="11"/>
            </w:pPr>
            <w:r>
              <w:t>55.88</w:t>
            </w:r>
          </w:p>
        </w:tc>
        <w:tc>
          <w:tcPr>
            <w:tcW w:w="1134" w:type="dxa"/>
            <w:vAlign w:val="center"/>
          </w:tcPr>
          <w:p>
            <w:pPr>
              <w:pStyle w:val="11"/>
            </w:pPr>
            <w:r>
              <w:t>55.88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27.94</w:t>
            </w:r>
          </w:p>
        </w:tc>
        <w:tc>
          <w:tcPr>
            <w:tcW w:w="1134" w:type="dxa"/>
            <w:vAlign w:val="center"/>
          </w:tcPr>
          <w:p>
            <w:pPr>
              <w:pStyle w:val="11"/>
            </w:pPr>
            <w:r>
              <w:t>27.94</w:t>
            </w:r>
          </w:p>
        </w:tc>
        <w:tc>
          <w:tcPr>
            <w:tcW w:w="1134" w:type="dxa"/>
            <w:vAlign w:val="center"/>
          </w:tcPr>
          <w:p>
            <w:pPr>
              <w:pStyle w:val="11"/>
            </w:pPr>
            <w:r>
              <w:t>27.94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100.74</w:t>
            </w:r>
          </w:p>
        </w:tc>
        <w:tc>
          <w:tcPr>
            <w:tcW w:w="1134" w:type="dxa"/>
            <w:vAlign w:val="center"/>
          </w:tcPr>
          <w:p>
            <w:pPr>
              <w:pStyle w:val="11"/>
            </w:pPr>
            <w:r>
              <w:t>100.74</w:t>
            </w:r>
          </w:p>
        </w:tc>
        <w:tc>
          <w:tcPr>
            <w:tcW w:w="1134" w:type="dxa"/>
            <w:vAlign w:val="center"/>
          </w:tcPr>
          <w:p>
            <w:pPr>
              <w:pStyle w:val="11"/>
            </w:pPr>
            <w:r>
              <w:t>100.74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100.74</w:t>
            </w:r>
          </w:p>
        </w:tc>
        <w:tc>
          <w:tcPr>
            <w:tcW w:w="1134" w:type="dxa"/>
            <w:vAlign w:val="center"/>
          </w:tcPr>
          <w:p>
            <w:pPr>
              <w:pStyle w:val="11"/>
            </w:pPr>
            <w:r>
              <w:t>100.74</w:t>
            </w:r>
          </w:p>
        </w:tc>
        <w:tc>
          <w:tcPr>
            <w:tcW w:w="1134" w:type="dxa"/>
            <w:vAlign w:val="center"/>
          </w:tcPr>
          <w:p>
            <w:pPr>
              <w:pStyle w:val="11"/>
            </w:pPr>
            <w:r>
              <w:t>100.74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37.74</w:t>
            </w:r>
          </w:p>
        </w:tc>
        <w:tc>
          <w:tcPr>
            <w:tcW w:w="1134" w:type="dxa"/>
            <w:vAlign w:val="center"/>
          </w:tcPr>
          <w:p>
            <w:pPr>
              <w:pStyle w:val="11"/>
            </w:pPr>
            <w:r>
              <w:t>37.74</w:t>
            </w:r>
          </w:p>
        </w:tc>
        <w:tc>
          <w:tcPr>
            <w:tcW w:w="1134" w:type="dxa"/>
            <w:vAlign w:val="center"/>
          </w:tcPr>
          <w:p>
            <w:pPr>
              <w:pStyle w:val="11"/>
            </w:pPr>
            <w:r>
              <w:t>37.74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37.74</w:t>
            </w:r>
          </w:p>
        </w:tc>
        <w:tc>
          <w:tcPr>
            <w:tcW w:w="1134" w:type="dxa"/>
            <w:vAlign w:val="center"/>
          </w:tcPr>
          <w:p>
            <w:pPr>
              <w:pStyle w:val="11"/>
            </w:pPr>
            <w:r>
              <w:t>37.74</w:t>
            </w:r>
          </w:p>
        </w:tc>
        <w:tc>
          <w:tcPr>
            <w:tcW w:w="1134" w:type="dxa"/>
            <w:vAlign w:val="center"/>
          </w:tcPr>
          <w:p>
            <w:pPr>
              <w:pStyle w:val="11"/>
            </w:pPr>
            <w:r>
              <w:t>37.74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37.74</w:t>
            </w:r>
          </w:p>
        </w:tc>
        <w:tc>
          <w:tcPr>
            <w:tcW w:w="1134" w:type="dxa"/>
            <w:vAlign w:val="center"/>
          </w:tcPr>
          <w:p>
            <w:pPr>
              <w:pStyle w:val="11"/>
            </w:pPr>
            <w:r>
              <w:t>37.74</w:t>
            </w:r>
          </w:p>
        </w:tc>
        <w:tc>
          <w:tcPr>
            <w:tcW w:w="1134" w:type="dxa"/>
            <w:vAlign w:val="center"/>
          </w:tcPr>
          <w:p>
            <w:pPr>
              <w:pStyle w:val="11"/>
            </w:pPr>
            <w:r>
              <w:t>37.74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615.69</w:t>
            </w:r>
          </w:p>
        </w:tc>
        <w:tc>
          <w:tcPr>
            <w:tcW w:w="1134" w:type="dxa"/>
            <w:vAlign w:val="center"/>
          </w:tcPr>
          <w:p>
            <w:pPr>
              <w:pStyle w:val="11"/>
            </w:pPr>
            <w:r>
              <w:t>615.69</w:t>
            </w:r>
          </w:p>
        </w:tc>
        <w:tc>
          <w:tcPr>
            <w:tcW w:w="1134" w:type="dxa"/>
            <w:vAlign w:val="center"/>
          </w:tcPr>
          <w:p>
            <w:pPr>
              <w:pStyle w:val="11"/>
            </w:pPr>
            <w:r>
              <w:t>615.69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21206</w:t>
            </w:r>
          </w:p>
        </w:tc>
        <w:tc>
          <w:tcPr>
            <w:tcW w:w="1559" w:type="dxa"/>
            <w:vAlign w:val="center"/>
          </w:tcPr>
          <w:p>
            <w:pPr>
              <w:pStyle w:val="12"/>
            </w:pPr>
            <w:r>
              <w:t>建设市场管理与监督</w:t>
            </w:r>
          </w:p>
        </w:tc>
        <w:tc>
          <w:tcPr>
            <w:tcW w:w="1134" w:type="dxa"/>
            <w:vAlign w:val="center"/>
          </w:tcPr>
          <w:p>
            <w:pPr>
              <w:pStyle w:val="11"/>
            </w:pPr>
            <w:r>
              <w:t>615.69</w:t>
            </w:r>
          </w:p>
        </w:tc>
        <w:tc>
          <w:tcPr>
            <w:tcW w:w="1134" w:type="dxa"/>
            <w:vAlign w:val="center"/>
          </w:tcPr>
          <w:p>
            <w:pPr>
              <w:pStyle w:val="11"/>
            </w:pPr>
            <w:r>
              <w:t>615.69</w:t>
            </w:r>
          </w:p>
        </w:tc>
        <w:tc>
          <w:tcPr>
            <w:tcW w:w="1134" w:type="dxa"/>
            <w:vAlign w:val="center"/>
          </w:tcPr>
          <w:p>
            <w:pPr>
              <w:pStyle w:val="11"/>
            </w:pPr>
            <w:r>
              <w:t>615.69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2120601</w:t>
            </w:r>
          </w:p>
        </w:tc>
        <w:tc>
          <w:tcPr>
            <w:tcW w:w="1559" w:type="dxa"/>
            <w:vAlign w:val="center"/>
          </w:tcPr>
          <w:p>
            <w:pPr>
              <w:pStyle w:val="12"/>
            </w:pPr>
            <w:r>
              <w:t>建设市场管理与监督</w:t>
            </w:r>
          </w:p>
        </w:tc>
        <w:tc>
          <w:tcPr>
            <w:tcW w:w="1134" w:type="dxa"/>
            <w:vAlign w:val="center"/>
          </w:tcPr>
          <w:p>
            <w:pPr>
              <w:pStyle w:val="11"/>
            </w:pPr>
            <w:r>
              <w:t>615.69</w:t>
            </w:r>
          </w:p>
        </w:tc>
        <w:tc>
          <w:tcPr>
            <w:tcW w:w="1134" w:type="dxa"/>
            <w:vAlign w:val="center"/>
          </w:tcPr>
          <w:p>
            <w:pPr>
              <w:pStyle w:val="11"/>
            </w:pPr>
            <w:r>
              <w:t>615.69</w:t>
            </w:r>
          </w:p>
        </w:tc>
        <w:tc>
          <w:tcPr>
            <w:tcW w:w="1134" w:type="dxa"/>
            <w:vAlign w:val="center"/>
          </w:tcPr>
          <w:p>
            <w:pPr>
              <w:pStyle w:val="11"/>
            </w:pPr>
            <w:r>
              <w:t>615.69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1018.97</w:t>
            </w:r>
          </w:p>
        </w:tc>
        <w:tc>
          <w:tcPr>
            <w:tcW w:w="1361" w:type="dxa"/>
            <w:vAlign w:val="center"/>
          </w:tcPr>
          <w:p>
            <w:pPr>
              <w:pStyle w:val="15"/>
            </w:pPr>
            <w:r>
              <w:t>881.83</w:t>
            </w:r>
          </w:p>
        </w:tc>
        <w:tc>
          <w:tcPr>
            <w:tcW w:w="1361" w:type="dxa"/>
            <w:vAlign w:val="center"/>
          </w:tcPr>
          <w:p>
            <w:pPr>
              <w:pStyle w:val="15"/>
            </w:pPr>
            <w:r>
              <w:t>137.14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314.43</w:t>
            </w:r>
          </w:p>
        </w:tc>
        <w:tc>
          <w:tcPr>
            <w:tcW w:w="1361" w:type="dxa"/>
            <w:vAlign w:val="center"/>
          </w:tcPr>
          <w:p>
            <w:pPr>
              <w:pStyle w:val="11"/>
            </w:pPr>
            <w:r>
              <w:t>213.69</w:t>
            </w:r>
          </w:p>
        </w:tc>
        <w:tc>
          <w:tcPr>
            <w:tcW w:w="1361" w:type="dxa"/>
            <w:vAlign w:val="center"/>
          </w:tcPr>
          <w:p>
            <w:pPr>
              <w:pStyle w:val="11"/>
            </w:pPr>
            <w:r>
              <w:t>100.74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213.69</w:t>
            </w:r>
          </w:p>
        </w:tc>
        <w:tc>
          <w:tcPr>
            <w:tcW w:w="1361" w:type="dxa"/>
            <w:vAlign w:val="center"/>
          </w:tcPr>
          <w:p>
            <w:pPr>
              <w:pStyle w:val="11"/>
            </w:pPr>
            <w:r>
              <w:t>213.69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129.88</w:t>
            </w:r>
          </w:p>
        </w:tc>
        <w:tc>
          <w:tcPr>
            <w:tcW w:w="1361" w:type="dxa"/>
            <w:vAlign w:val="center"/>
          </w:tcPr>
          <w:p>
            <w:pPr>
              <w:pStyle w:val="11"/>
            </w:pPr>
            <w:r>
              <w:t>129.88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55.88</w:t>
            </w:r>
          </w:p>
        </w:tc>
        <w:tc>
          <w:tcPr>
            <w:tcW w:w="1361" w:type="dxa"/>
            <w:vAlign w:val="center"/>
          </w:tcPr>
          <w:p>
            <w:pPr>
              <w:pStyle w:val="11"/>
            </w:pPr>
            <w:r>
              <w:t>55.88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27.94</w:t>
            </w:r>
          </w:p>
        </w:tc>
        <w:tc>
          <w:tcPr>
            <w:tcW w:w="1361" w:type="dxa"/>
            <w:vAlign w:val="center"/>
          </w:tcPr>
          <w:p>
            <w:pPr>
              <w:pStyle w:val="11"/>
            </w:pPr>
            <w:r>
              <w:t>27.94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100.74</w:t>
            </w:r>
          </w:p>
        </w:tc>
        <w:tc>
          <w:tcPr>
            <w:tcW w:w="1361" w:type="dxa"/>
            <w:vAlign w:val="center"/>
          </w:tcPr>
          <w:p>
            <w:pPr>
              <w:pStyle w:val="11"/>
            </w:pPr>
          </w:p>
        </w:tc>
        <w:tc>
          <w:tcPr>
            <w:tcW w:w="1361" w:type="dxa"/>
            <w:vAlign w:val="center"/>
          </w:tcPr>
          <w:p>
            <w:pPr>
              <w:pStyle w:val="11"/>
            </w:pPr>
            <w:r>
              <w:t>100.74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100.74</w:t>
            </w:r>
          </w:p>
        </w:tc>
        <w:tc>
          <w:tcPr>
            <w:tcW w:w="1361" w:type="dxa"/>
            <w:vAlign w:val="center"/>
          </w:tcPr>
          <w:p>
            <w:pPr>
              <w:pStyle w:val="11"/>
            </w:pPr>
          </w:p>
        </w:tc>
        <w:tc>
          <w:tcPr>
            <w:tcW w:w="1361" w:type="dxa"/>
            <w:vAlign w:val="center"/>
          </w:tcPr>
          <w:p>
            <w:pPr>
              <w:pStyle w:val="11"/>
            </w:pPr>
            <w:r>
              <w:t>100.74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37.74</w:t>
            </w:r>
          </w:p>
        </w:tc>
        <w:tc>
          <w:tcPr>
            <w:tcW w:w="1361" w:type="dxa"/>
            <w:vAlign w:val="center"/>
          </w:tcPr>
          <w:p>
            <w:pPr>
              <w:pStyle w:val="11"/>
            </w:pPr>
            <w:r>
              <w:t>37.74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37.74</w:t>
            </w:r>
          </w:p>
        </w:tc>
        <w:tc>
          <w:tcPr>
            <w:tcW w:w="1361" w:type="dxa"/>
            <w:vAlign w:val="center"/>
          </w:tcPr>
          <w:p>
            <w:pPr>
              <w:pStyle w:val="11"/>
            </w:pPr>
            <w:r>
              <w:t>37.74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37.74</w:t>
            </w:r>
          </w:p>
        </w:tc>
        <w:tc>
          <w:tcPr>
            <w:tcW w:w="1361" w:type="dxa"/>
            <w:vAlign w:val="center"/>
          </w:tcPr>
          <w:p>
            <w:pPr>
              <w:pStyle w:val="11"/>
            </w:pPr>
            <w:r>
              <w:t>37.74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615.69</w:t>
            </w:r>
          </w:p>
        </w:tc>
        <w:tc>
          <w:tcPr>
            <w:tcW w:w="1361" w:type="dxa"/>
            <w:vAlign w:val="center"/>
          </w:tcPr>
          <w:p>
            <w:pPr>
              <w:pStyle w:val="11"/>
            </w:pPr>
            <w:r>
              <w:t>579.29</w:t>
            </w:r>
          </w:p>
        </w:tc>
        <w:tc>
          <w:tcPr>
            <w:tcW w:w="1361" w:type="dxa"/>
            <w:vAlign w:val="center"/>
          </w:tcPr>
          <w:p>
            <w:pPr>
              <w:pStyle w:val="11"/>
            </w:pPr>
            <w:r>
              <w:t>36.40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21206</w:t>
            </w:r>
          </w:p>
        </w:tc>
        <w:tc>
          <w:tcPr>
            <w:tcW w:w="4535" w:type="dxa"/>
            <w:vAlign w:val="center"/>
          </w:tcPr>
          <w:p>
            <w:pPr>
              <w:pStyle w:val="12"/>
            </w:pPr>
            <w:r>
              <w:t>建设市场管理与监督</w:t>
            </w:r>
          </w:p>
        </w:tc>
        <w:tc>
          <w:tcPr>
            <w:tcW w:w="1361" w:type="dxa"/>
            <w:vAlign w:val="center"/>
          </w:tcPr>
          <w:p>
            <w:pPr>
              <w:pStyle w:val="11"/>
            </w:pPr>
            <w:r>
              <w:t>615.69</w:t>
            </w:r>
          </w:p>
        </w:tc>
        <w:tc>
          <w:tcPr>
            <w:tcW w:w="1361" w:type="dxa"/>
            <w:vAlign w:val="center"/>
          </w:tcPr>
          <w:p>
            <w:pPr>
              <w:pStyle w:val="11"/>
            </w:pPr>
            <w:r>
              <w:t>579.29</w:t>
            </w:r>
          </w:p>
        </w:tc>
        <w:tc>
          <w:tcPr>
            <w:tcW w:w="1361" w:type="dxa"/>
            <w:vAlign w:val="center"/>
          </w:tcPr>
          <w:p>
            <w:pPr>
              <w:pStyle w:val="11"/>
            </w:pPr>
            <w:r>
              <w:t>36.40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2120601</w:t>
            </w:r>
          </w:p>
        </w:tc>
        <w:tc>
          <w:tcPr>
            <w:tcW w:w="4535" w:type="dxa"/>
            <w:vAlign w:val="center"/>
          </w:tcPr>
          <w:p>
            <w:pPr>
              <w:pStyle w:val="12"/>
            </w:pPr>
            <w:r>
              <w:t>建设市场管理与监督</w:t>
            </w:r>
          </w:p>
        </w:tc>
        <w:tc>
          <w:tcPr>
            <w:tcW w:w="1361" w:type="dxa"/>
            <w:vAlign w:val="center"/>
          </w:tcPr>
          <w:p>
            <w:pPr>
              <w:pStyle w:val="11"/>
            </w:pPr>
            <w:r>
              <w:t>615.69</w:t>
            </w:r>
          </w:p>
        </w:tc>
        <w:tc>
          <w:tcPr>
            <w:tcW w:w="1361" w:type="dxa"/>
            <w:vAlign w:val="center"/>
          </w:tcPr>
          <w:p>
            <w:pPr>
              <w:pStyle w:val="11"/>
            </w:pPr>
            <w:r>
              <w:t>579.29</w:t>
            </w:r>
          </w:p>
        </w:tc>
        <w:tc>
          <w:tcPr>
            <w:tcW w:w="1361" w:type="dxa"/>
            <w:vAlign w:val="center"/>
          </w:tcPr>
          <w:p>
            <w:pPr>
              <w:pStyle w:val="11"/>
            </w:pPr>
            <w:r>
              <w:t>36.40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51.10</w:t>
            </w:r>
          </w:p>
        </w:tc>
        <w:tc>
          <w:tcPr>
            <w:tcW w:w="1361" w:type="dxa"/>
            <w:vAlign w:val="center"/>
          </w:tcPr>
          <w:p>
            <w:pPr>
              <w:pStyle w:val="11"/>
            </w:pPr>
            <w:r>
              <w:t>51.10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51.10</w:t>
            </w:r>
          </w:p>
        </w:tc>
        <w:tc>
          <w:tcPr>
            <w:tcW w:w="1361" w:type="dxa"/>
            <w:vAlign w:val="center"/>
          </w:tcPr>
          <w:p>
            <w:pPr>
              <w:pStyle w:val="11"/>
            </w:pPr>
            <w:r>
              <w:t>51.10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51.10</w:t>
            </w:r>
          </w:p>
        </w:tc>
        <w:tc>
          <w:tcPr>
            <w:tcW w:w="1361" w:type="dxa"/>
            <w:vAlign w:val="center"/>
          </w:tcPr>
          <w:p>
            <w:pPr>
              <w:pStyle w:val="11"/>
            </w:pPr>
            <w:r>
              <w:t>51.10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1018.97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314.43</w:t>
            </w:r>
          </w:p>
        </w:tc>
        <w:tc>
          <w:tcPr>
            <w:tcW w:w="1474" w:type="dxa"/>
            <w:vAlign w:val="center"/>
          </w:tcPr>
          <w:p>
            <w:pPr>
              <w:pStyle w:val="11"/>
            </w:pPr>
            <w:r>
              <w:t>314.43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37.74</w:t>
            </w:r>
          </w:p>
        </w:tc>
        <w:tc>
          <w:tcPr>
            <w:tcW w:w="1474" w:type="dxa"/>
            <w:vAlign w:val="center"/>
          </w:tcPr>
          <w:p>
            <w:pPr>
              <w:pStyle w:val="11"/>
            </w:pPr>
            <w:r>
              <w:t>37.74</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615.69</w:t>
            </w:r>
          </w:p>
        </w:tc>
        <w:tc>
          <w:tcPr>
            <w:tcW w:w="1474" w:type="dxa"/>
            <w:vAlign w:val="center"/>
          </w:tcPr>
          <w:p>
            <w:pPr>
              <w:pStyle w:val="11"/>
            </w:pPr>
            <w:r>
              <w:t>615.69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51.10</w:t>
            </w:r>
          </w:p>
        </w:tc>
        <w:tc>
          <w:tcPr>
            <w:tcW w:w="1474" w:type="dxa"/>
            <w:vAlign w:val="center"/>
          </w:tcPr>
          <w:p>
            <w:pPr>
              <w:pStyle w:val="11"/>
            </w:pPr>
            <w:r>
              <w:t>51.10</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1018.97</w:t>
            </w:r>
          </w:p>
        </w:tc>
        <w:tc>
          <w:tcPr>
            <w:tcW w:w="3402" w:type="dxa"/>
            <w:vAlign w:val="center"/>
          </w:tcPr>
          <w:p>
            <w:pPr>
              <w:pStyle w:val="14"/>
            </w:pPr>
            <w:r>
              <w:t>本年支出合计</w:t>
            </w:r>
          </w:p>
        </w:tc>
        <w:tc>
          <w:tcPr>
            <w:tcW w:w="1474" w:type="dxa"/>
            <w:vAlign w:val="center"/>
          </w:tcPr>
          <w:p>
            <w:pPr>
              <w:pStyle w:val="15"/>
            </w:pPr>
            <w:r>
              <w:t>1018.97</w:t>
            </w:r>
          </w:p>
        </w:tc>
        <w:tc>
          <w:tcPr>
            <w:tcW w:w="1474" w:type="dxa"/>
            <w:vAlign w:val="center"/>
          </w:tcPr>
          <w:p>
            <w:pPr>
              <w:pStyle w:val="15"/>
            </w:pPr>
            <w:r>
              <w:t>1018.97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1018.97</w:t>
            </w:r>
          </w:p>
        </w:tc>
        <w:tc>
          <w:tcPr>
            <w:tcW w:w="3402" w:type="dxa"/>
            <w:vAlign w:val="center"/>
          </w:tcPr>
          <w:p>
            <w:pPr>
              <w:pStyle w:val="14"/>
            </w:pPr>
            <w:r>
              <w:t>支出总计</w:t>
            </w:r>
          </w:p>
        </w:tc>
        <w:tc>
          <w:tcPr>
            <w:tcW w:w="1474" w:type="dxa"/>
            <w:vAlign w:val="center"/>
          </w:tcPr>
          <w:p>
            <w:pPr>
              <w:pStyle w:val="15"/>
            </w:pPr>
            <w:r>
              <w:t>1018.97</w:t>
            </w:r>
          </w:p>
        </w:tc>
        <w:tc>
          <w:tcPr>
            <w:tcW w:w="1474" w:type="dxa"/>
            <w:vAlign w:val="center"/>
          </w:tcPr>
          <w:p>
            <w:pPr>
              <w:pStyle w:val="15"/>
            </w:pPr>
            <w:r>
              <w:t>1018.97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1018.97</w:t>
            </w:r>
          </w:p>
        </w:tc>
        <w:tc>
          <w:tcPr>
            <w:tcW w:w="2551" w:type="dxa"/>
            <w:vAlign w:val="center"/>
          </w:tcPr>
          <w:p>
            <w:pPr>
              <w:pStyle w:val="15"/>
            </w:pPr>
            <w:r>
              <w:t>881.83</w:t>
            </w:r>
          </w:p>
        </w:tc>
        <w:tc>
          <w:tcPr>
            <w:tcW w:w="2551" w:type="dxa"/>
            <w:vAlign w:val="center"/>
          </w:tcPr>
          <w:p>
            <w:pPr>
              <w:pStyle w:val="15"/>
            </w:pPr>
            <w:r>
              <w:t>137.14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314.43</w:t>
            </w:r>
          </w:p>
        </w:tc>
        <w:tc>
          <w:tcPr>
            <w:tcW w:w="2551" w:type="dxa"/>
            <w:vAlign w:val="center"/>
          </w:tcPr>
          <w:p>
            <w:pPr>
              <w:pStyle w:val="11"/>
            </w:pPr>
            <w:r>
              <w:t>213.69</w:t>
            </w:r>
          </w:p>
        </w:tc>
        <w:tc>
          <w:tcPr>
            <w:tcW w:w="2551" w:type="dxa"/>
            <w:vAlign w:val="center"/>
          </w:tcPr>
          <w:p>
            <w:pPr>
              <w:pStyle w:val="11"/>
            </w:pPr>
            <w:r>
              <w:t>100.74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213.69</w:t>
            </w:r>
          </w:p>
        </w:tc>
        <w:tc>
          <w:tcPr>
            <w:tcW w:w="2551" w:type="dxa"/>
            <w:vAlign w:val="center"/>
          </w:tcPr>
          <w:p>
            <w:pPr>
              <w:pStyle w:val="11"/>
            </w:pPr>
            <w:r>
              <w:t>213.69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129.88</w:t>
            </w:r>
          </w:p>
        </w:tc>
        <w:tc>
          <w:tcPr>
            <w:tcW w:w="2551" w:type="dxa"/>
            <w:vAlign w:val="center"/>
          </w:tcPr>
          <w:p>
            <w:pPr>
              <w:pStyle w:val="11"/>
            </w:pPr>
            <w:r>
              <w:t>129.88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55.88</w:t>
            </w:r>
          </w:p>
        </w:tc>
        <w:tc>
          <w:tcPr>
            <w:tcW w:w="2551" w:type="dxa"/>
            <w:vAlign w:val="center"/>
          </w:tcPr>
          <w:p>
            <w:pPr>
              <w:pStyle w:val="11"/>
            </w:pPr>
            <w:r>
              <w:t>55.88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27.94</w:t>
            </w:r>
          </w:p>
        </w:tc>
        <w:tc>
          <w:tcPr>
            <w:tcW w:w="2551" w:type="dxa"/>
            <w:vAlign w:val="center"/>
          </w:tcPr>
          <w:p>
            <w:pPr>
              <w:pStyle w:val="11"/>
            </w:pPr>
            <w:r>
              <w:t>27.94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100.74</w:t>
            </w:r>
          </w:p>
        </w:tc>
        <w:tc>
          <w:tcPr>
            <w:tcW w:w="2551" w:type="dxa"/>
            <w:vAlign w:val="center"/>
          </w:tcPr>
          <w:p>
            <w:pPr>
              <w:pStyle w:val="11"/>
            </w:pPr>
          </w:p>
        </w:tc>
        <w:tc>
          <w:tcPr>
            <w:tcW w:w="2551" w:type="dxa"/>
            <w:vAlign w:val="center"/>
          </w:tcPr>
          <w:p>
            <w:pPr>
              <w:pStyle w:val="11"/>
            </w:pPr>
            <w:r>
              <w:t>100.74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100.74</w:t>
            </w:r>
          </w:p>
        </w:tc>
        <w:tc>
          <w:tcPr>
            <w:tcW w:w="2551" w:type="dxa"/>
            <w:vAlign w:val="center"/>
          </w:tcPr>
          <w:p>
            <w:pPr>
              <w:pStyle w:val="11"/>
            </w:pPr>
          </w:p>
        </w:tc>
        <w:tc>
          <w:tcPr>
            <w:tcW w:w="2551" w:type="dxa"/>
            <w:vAlign w:val="center"/>
          </w:tcPr>
          <w:p>
            <w:pPr>
              <w:pStyle w:val="11"/>
            </w:pPr>
            <w:r>
              <w:t>100.74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37.74</w:t>
            </w:r>
          </w:p>
        </w:tc>
        <w:tc>
          <w:tcPr>
            <w:tcW w:w="2551" w:type="dxa"/>
            <w:vAlign w:val="center"/>
          </w:tcPr>
          <w:p>
            <w:pPr>
              <w:pStyle w:val="11"/>
            </w:pPr>
            <w:r>
              <w:t>37.74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37.74</w:t>
            </w:r>
          </w:p>
        </w:tc>
        <w:tc>
          <w:tcPr>
            <w:tcW w:w="2551" w:type="dxa"/>
            <w:vAlign w:val="center"/>
          </w:tcPr>
          <w:p>
            <w:pPr>
              <w:pStyle w:val="11"/>
            </w:pPr>
            <w:r>
              <w:t>37.74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37.74</w:t>
            </w:r>
          </w:p>
        </w:tc>
        <w:tc>
          <w:tcPr>
            <w:tcW w:w="2551" w:type="dxa"/>
            <w:vAlign w:val="center"/>
          </w:tcPr>
          <w:p>
            <w:pPr>
              <w:pStyle w:val="11"/>
            </w:pPr>
            <w:r>
              <w:t>37.74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615.69</w:t>
            </w:r>
          </w:p>
        </w:tc>
        <w:tc>
          <w:tcPr>
            <w:tcW w:w="2551" w:type="dxa"/>
            <w:vAlign w:val="center"/>
          </w:tcPr>
          <w:p>
            <w:pPr>
              <w:pStyle w:val="11"/>
            </w:pPr>
            <w:r>
              <w:t>579.29</w:t>
            </w:r>
          </w:p>
        </w:tc>
        <w:tc>
          <w:tcPr>
            <w:tcW w:w="2551" w:type="dxa"/>
            <w:vAlign w:val="center"/>
          </w:tcPr>
          <w:p>
            <w:pPr>
              <w:pStyle w:val="11"/>
            </w:pPr>
            <w:r>
              <w:t>36.40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21206</w:t>
            </w:r>
          </w:p>
        </w:tc>
        <w:tc>
          <w:tcPr>
            <w:tcW w:w="4535" w:type="dxa"/>
            <w:vAlign w:val="center"/>
          </w:tcPr>
          <w:p>
            <w:pPr>
              <w:pStyle w:val="12"/>
            </w:pPr>
            <w:r>
              <w:t>建设市场管理与监督</w:t>
            </w:r>
          </w:p>
        </w:tc>
        <w:tc>
          <w:tcPr>
            <w:tcW w:w="2551" w:type="dxa"/>
            <w:vAlign w:val="center"/>
          </w:tcPr>
          <w:p>
            <w:pPr>
              <w:pStyle w:val="11"/>
            </w:pPr>
            <w:r>
              <w:t>615.69</w:t>
            </w:r>
          </w:p>
        </w:tc>
        <w:tc>
          <w:tcPr>
            <w:tcW w:w="2551" w:type="dxa"/>
            <w:vAlign w:val="center"/>
          </w:tcPr>
          <w:p>
            <w:pPr>
              <w:pStyle w:val="11"/>
            </w:pPr>
            <w:r>
              <w:t>579.29</w:t>
            </w:r>
          </w:p>
        </w:tc>
        <w:tc>
          <w:tcPr>
            <w:tcW w:w="2551" w:type="dxa"/>
            <w:vAlign w:val="center"/>
          </w:tcPr>
          <w:p>
            <w:pPr>
              <w:pStyle w:val="11"/>
            </w:pPr>
            <w:r>
              <w:t>36.40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2120601</w:t>
            </w:r>
          </w:p>
        </w:tc>
        <w:tc>
          <w:tcPr>
            <w:tcW w:w="4535" w:type="dxa"/>
            <w:vAlign w:val="center"/>
          </w:tcPr>
          <w:p>
            <w:pPr>
              <w:pStyle w:val="12"/>
            </w:pPr>
            <w:r>
              <w:t>建设市场管理与监督</w:t>
            </w:r>
          </w:p>
        </w:tc>
        <w:tc>
          <w:tcPr>
            <w:tcW w:w="2551" w:type="dxa"/>
            <w:vAlign w:val="center"/>
          </w:tcPr>
          <w:p>
            <w:pPr>
              <w:pStyle w:val="11"/>
            </w:pPr>
            <w:r>
              <w:t>615.69</w:t>
            </w:r>
          </w:p>
        </w:tc>
        <w:tc>
          <w:tcPr>
            <w:tcW w:w="2551" w:type="dxa"/>
            <w:vAlign w:val="center"/>
          </w:tcPr>
          <w:p>
            <w:pPr>
              <w:pStyle w:val="11"/>
            </w:pPr>
            <w:r>
              <w:t>579.29</w:t>
            </w:r>
          </w:p>
        </w:tc>
        <w:tc>
          <w:tcPr>
            <w:tcW w:w="2551" w:type="dxa"/>
            <w:vAlign w:val="center"/>
          </w:tcPr>
          <w:p>
            <w:pPr>
              <w:pStyle w:val="11"/>
            </w:pPr>
            <w:r>
              <w:t>36.40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51.10</w:t>
            </w:r>
          </w:p>
        </w:tc>
        <w:tc>
          <w:tcPr>
            <w:tcW w:w="2551" w:type="dxa"/>
            <w:vAlign w:val="center"/>
          </w:tcPr>
          <w:p>
            <w:pPr>
              <w:pStyle w:val="11"/>
            </w:pPr>
            <w:r>
              <w:t>51.10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51.10</w:t>
            </w:r>
          </w:p>
        </w:tc>
        <w:tc>
          <w:tcPr>
            <w:tcW w:w="2551" w:type="dxa"/>
            <w:vAlign w:val="center"/>
          </w:tcPr>
          <w:p>
            <w:pPr>
              <w:pStyle w:val="11"/>
            </w:pPr>
            <w:r>
              <w:t>51.10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51.10</w:t>
            </w:r>
          </w:p>
        </w:tc>
        <w:tc>
          <w:tcPr>
            <w:tcW w:w="2551" w:type="dxa"/>
            <w:vAlign w:val="center"/>
          </w:tcPr>
          <w:p>
            <w:pPr>
              <w:pStyle w:val="11"/>
            </w:pPr>
            <w:r>
              <w:t>51.10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881.83</w:t>
            </w:r>
          </w:p>
        </w:tc>
        <w:tc>
          <w:tcPr>
            <w:tcW w:w="2551" w:type="dxa"/>
            <w:vAlign w:val="center"/>
          </w:tcPr>
          <w:p>
            <w:pPr>
              <w:pStyle w:val="15"/>
            </w:pPr>
            <w:r>
              <w:t>733.04</w:t>
            </w:r>
          </w:p>
        </w:tc>
        <w:tc>
          <w:tcPr>
            <w:tcW w:w="2551" w:type="dxa"/>
            <w:vAlign w:val="center"/>
          </w:tcPr>
          <w:p>
            <w:pPr>
              <w:pStyle w:val="15"/>
            </w:pPr>
            <w:r>
              <w:t>148.79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602.10</w:t>
            </w:r>
          </w:p>
        </w:tc>
        <w:tc>
          <w:tcPr>
            <w:tcW w:w="2551" w:type="dxa"/>
            <w:vAlign w:val="center"/>
          </w:tcPr>
          <w:p>
            <w:pPr>
              <w:pStyle w:val="11"/>
            </w:pPr>
            <w:r>
              <w:t>602.10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162.24</w:t>
            </w:r>
          </w:p>
        </w:tc>
        <w:tc>
          <w:tcPr>
            <w:tcW w:w="2551" w:type="dxa"/>
            <w:vAlign w:val="center"/>
          </w:tcPr>
          <w:p>
            <w:pPr>
              <w:pStyle w:val="11"/>
            </w:pPr>
            <w:r>
              <w:t>162.24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234.02</w:t>
            </w:r>
          </w:p>
        </w:tc>
        <w:tc>
          <w:tcPr>
            <w:tcW w:w="2551" w:type="dxa"/>
            <w:vAlign w:val="center"/>
          </w:tcPr>
          <w:p>
            <w:pPr>
              <w:pStyle w:val="11"/>
            </w:pPr>
            <w:r>
              <w:t>234.02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55.88</w:t>
            </w:r>
          </w:p>
        </w:tc>
        <w:tc>
          <w:tcPr>
            <w:tcW w:w="2551" w:type="dxa"/>
            <w:vAlign w:val="center"/>
          </w:tcPr>
          <w:p>
            <w:pPr>
              <w:pStyle w:val="11"/>
            </w:pPr>
            <w:r>
              <w:t>55.88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27.94</w:t>
            </w:r>
          </w:p>
        </w:tc>
        <w:tc>
          <w:tcPr>
            <w:tcW w:w="2551" w:type="dxa"/>
            <w:vAlign w:val="center"/>
          </w:tcPr>
          <w:p>
            <w:pPr>
              <w:pStyle w:val="11"/>
            </w:pPr>
            <w:r>
              <w:t>27.94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20.22</w:t>
            </w:r>
          </w:p>
        </w:tc>
        <w:tc>
          <w:tcPr>
            <w:tcW w:w="2551" w:type="dxa"/>
            <w:vAlign w:val="center"/>
          </w:tcPr>
          <w:p>
            <w:pPr>
              <w:pStyle w:val="11"/>
            </w:pPr>
            <w:r>
              <w:t>20.22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17.52</w:t>
            </w:r>
          </w:p>
        </w:tc>
        <w:tc>
          <w:tcPr>
            <w:tcW w:w="2551" w:type="dxa"/>
            <w:vAlign w:val="center"/>
          </w:tcPr>
          <w:p>
            <w:pPr>
              <w:pStyle w:val="11"/>
            </w:pPr>
            <w:r>
              <w:t>17.52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3.19</w:t>
            </w:r>
          </w:p>
        </w:tc>
        <w:tc>
          <w:tcPr>
            <w:tcW w:w="2551" w:type="dxa"/>
            <w:vAlign w:val="center"/>
          </w:tcPr>
          <w:p>
            <w:pPr>
              <w:pStyle w:val="11"/>
            </w:pPr>
            <w:r>
              <w:t>3.19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51.10</w:t>
            </w:r>
          </w:p>
        </w:tc>
        <w:tc>
          <w:tcPr>
            <w:tcW w:w="2551" w:type="dxa"/>
            <w:vAlign w:val="center"/>
          </w:tcPr>
          <w:p>
            <w:pPr>
              <w:pStyle w:val="11"/>
            </w:pPr>
            <w:r>
              <w:t>51.10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148.79</w:t>
            </w:r>
          </w:p>
        </w:tc>
        <w:tc>
          <w:tcPr>
            <w:tcW w:w="2551" w:type="dxa"/>
            <w:vAlign w:val="center"/>
          </w:tcPr>
          <w:p>
            <w:pPr>
              <w:pStyle w:val="11"/>
            </w:pPr>
          </w:p>
        </w:tc>
        <w:tc>
          <w:tcPr>
            <w:tcW w:w="2551" w:type="dxa"/>
            <w:vAlign w:val="center"/>
          </w:tcPr>
          <w:p>
            <w:pPr>
              <w:pStyle w:val="11"/>
            </w:pPr>
            <w:r>
              <w:t>148.79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138.74</w:t>
            </w:r>
          </w:p>
        </w:tc>
        <w:tc>
          <w:tcPr>
            <w:tcW w:w="2551" w:type="dxa"/>
            <w:vAlign w:val="center"/>
          </w:tcPr>
          <w:p>
            <w:pPr>
              <w:pStyle w:val="11"/>
            </w:pPr>
          </w:p>
        </w:tc>
        <w:tc>
          <w:tcPr>
            <w:tcW w:w="2551" w:type="dxa"/>
            <w:vAlign w:val="center"/>
          </w:tcPr>
          <w:p>
            <w:pPr>
              <w:pStyle w:val="11"/>
            </w:pPr>
            <w:r>
              <w:t>138.74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3.18</w:t>
            </w:r>
          </w:p>
        </w:tc>
        <w:tc>
          <w:tcPr>
            <w:tcW w:w="2551" w:type="dxa"/>
            <w:vAlign w:val="center"/>
          </w:tcPr>
          <w:p>
            <w:pPr>
              <w:pStyle w:val="11"/>
            </w:pPr>
          </w:p>
        </w:tc>
        <w:tc>
          <w:tcPr>
            <w:tcW w:w="2551" w:type="dxa"/>
            <w:vAlign w:val="center"/>
          </w:tcPr>
          <w:p>
            <w:pPr>
              <w:pStyle w:val="11"/>
            </w:pPr>
            <w:r>
              <w:t>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6.87</w:t>
            </w:r>
          </w:p>
        </w:tc>
        <w:tc>
          <w:tcPr>
            <w:tcW w:w="2551" w:type="dxa"/>
            <w:vAlign w:val="center"/>
          </w:tcPr>
          <w:p>
            <w:pPr>
              <w:pStyle w:val="11"/>
            </w:pPr>
          </w:p>
        </w:tc>
        <w:tc>
          <w:tcPr>
            <w:tcW w:w="2551" w:type="dxa"/>
            <w:vAlign w:val="center"/>
          </w:tcPr>
          <w:p>
            <w:pPr>
              <w:pStyle w:val="11"/>
            </w:pPr>
            <w:r>
              <w:t>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130.94</w:t>
            </w:r>
          </w:p>
        </w:tc>
        <w:tc>
          <w:tcPr>
            <w:tcW w:w="2551" w:type="dxa"/>
            <w:vAlign w:val="center"/>
          </w:tcPr>
          <w:p>
            <w:pPr>
              <w:pStyle w:val="11"/>
            </w:pPr>
            <w:r>
              <w:t>130.94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129.88</w:t>
            </w:r>
          </w:p>
        </w:tc>
        <w:tc>
          <w:tcPr>
            <w:tcW w:w="2551" w:type="dxa"/>
            <w:vAlign w:val="center"/>
          </w:tcPr>
          <w:p>
            <w:pPr>
              <w:pStyle w:val="11"/>
            </w:pPr>
            <w:r>
              <w:t>129.88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石家庄市鹿泉区建筑业服务中心2026年单位预算信息公开情况说明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按照《中华人民共和国预算法》、《地方预决算公开操作规程》和《关于进一步推进预算公开工作的实施意见》规定，现将石家庄市鹿泉区建筑业服务中心2026年单位预算公开如下：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我单位负责建筑工程质量监督管理、建设工程安全生产监督管理、建筑节能监督管理、建设工程消防设计审核、验收、城建档案管理等工作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石家庄市鹿泉区建筑业服务中心</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1018.97万元，其中：一般公共预算收入1018.97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建筑业服务中心年度单位预算中支出预算的总体情况。2026年支出预算1018.97万元，其中基本支出881.83万元，包括人员经费733.04万元和日常公用经费148.79万元；项目支出137.14万元，主要为涉军人员工资及社保 消防验收服务费用资金等支出。</w:t>
      </w:r>
    </w:p>
    <w:p>
      <w:pPr>
        <w:pStyle w:val="18"/>
      </w:pPr>
      <w:r>
        <w:t>3、比上年增减情况</w:t>
      </w:r>
    </w:p>
    <w:p>
      <w:pPr>
        <w:pStyle w:val="18"/>
      </w:pPr>
      <w:r>
        <w:t>2026年预算收支安排1018.97万元，较2025年预算减少67.42万元，其中：基本支出增加22.86万元，主要为人员经费支出增加项目支出减少90.28万元，主要为减少西美金山湖项目。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1、2026年涉军人员工资及社保绩效目标表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13011026P00154010055L</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100.74</w:t>
            </w:r>
          </w:p>
        </w:tc>
        <w:tc>
          <w:tcPr>
            <w:tcW w:w="2835" w:type="dxa"/>
            <w:vAlign w:val="center"/>
          </w:tcPr>
          <w:p>
            <w:pPr>
              <w:pStyle w:val="10"/>
            </w:pPr>
            <w:r>
              <w:t>其中：财政    资金</w:t>
            </w:r>
          </w:p>
        </w:tc>
        <w:tc>
          <w:tcPr>
            <w:tcW w:w="2551" w:type="dxa"/>
            <w:vAlign w:val="center"/>
          </w:tcPr>
          <w:p>
            <w:pPr>
              <w:pStyle w:val="12"/>
            </w:pPr>
            <w:r>
              <w:t>100.74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对符合条件的退役军人17人，实行公益岗位托管安置，帮扶到位，加大就业援助力度。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1.对符合条件的退役军人，实行公益岗位托管安置，帮扶到位，加大就业援助力度。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100百分比</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退役人数</w:t>
            </w:r>
          </w:p>
        </w:tc>
        <w:tc>
          <w:tcPr>
            <w:tcW w:w="5386" w:type="dxa"/>
            <w:vAlign w:val="center"/>
          </w:tcPr>
          <w:p>
            <w:pPr>
              <w:pStyle w:val="12"/>
            </w:pPr>
            <w:r>
              <w:t>单位退役实际人数</w:t>
            </w:r>
          </w:p>
        </w:tc>
        <w:tc>
          <w:tcPr>
            <w:tcW w:w="2268" w:type="dxa"/>
            <w:vAlign w:val="center"/>
          </w:tcPr>
          <w:p>
            <w:pPr>
              <w:pStyle w:val="12"/>
            </w:pPr>
            <w:r>
              <w:t>17个</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退役人员资金发放标准</w:t>
            </w:r>
          </w:p>
        </w:tc>
        <w:tc>
          <w:tcPr>
            <w:tcW w:w="5386" w:type="dxa"/>
            <w:vAlign w:val="center"/>
          </w:tcPr>
          <w:p>
            <w:pPr>
              <w:pStyle w:val="12"/>
            </w:pPr>
            <w:r>
              <w:t>对符合条件的退役军人发放特金额</w:t>
            </w:r>
          </w:p>
        </w:tc>
        <w:tc>
          <w:tcPr>
            <w:tcW w:w="2268" w:type="dxa"/>
            <w:vAlign w:val="center"/>
          </w:tcPr>
          <w:p>
            <w:pPr>
              <w:pStyle w:val="12"/>
            </w:pPr>
            <w:r>
              <w:t>100.74万元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退役人员工资发放及时率</w:t>
            </w:r>
          </w:p>
        </w:tc>
        <w:tc>
          <w:tcPr>
            <w:tcW w:w="5386" w:type="dxa"/>
            <w:vAlign w:val="center"/>
          </w:tcPr>
          <w:p>
            <w:pPr>
              <w:pStyle w:val="12"/>
            </w:pPr>
            <w:r>
              <w:t>工资发放完成及时率</w:t>
            </w:r>
          </w:p>
        </w:tc>
        <w:tc>
          <w:tcPr>
            <w:tcW w:w="2268" w:type="dxa"/>
            <w:vAlign w:val="center"/>
          </w:tcPr>
          <w:p>
            <w:pPr>
              <w:pStyle w:val="12"/>
            </w:pPr>
            <w:r>
              <w:t>100百分比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托管安置帮扶人数</w:t>
            </w:r>
          </w:p>
        </w:tc>
        <w:tc>
          <w:tcPr>
            <w:tcW w:w="5386" w:type="dxa"/>
            <w:vAlign w:val="center"/>
          </w:tcPr>
          <w:p>
            <w:pPr>
              <w:pStyle w:val="12"/>
            </w:pPr>
            <w:r>
              <w:t>对退役托管安置帮扶到位的人数</w:t>
            </w:r>
          </w:p>
        </w:tc>
        <w:tc>
          <w:tcPr>
            <w:tcW w:w="2268" w:type="dxa"/>
            <w:vAlign w:val="center"/>
          </w:tcPr>
          <w:p>
            <w:pPr>
              <w:pStyle w:val="12"/>
            </w:pPr>
            <w:r>
              <w:t>17个</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对退役安置满意和较满意的人数</w:t>
            </w:r>
          </w:p>
        </w:tc>
        <w:tc>
          <w:tcPr>
            <w:tcW w:w="2268" w:type="dxa"/>
            <w:vAlign w:val="center"/>
          </w:tcPr>
          <w:p>
            <w:pPr>
              <w:pStyle w:val="12"/>
            </w:pPr>
            <w:r>
              <w:t>17个</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2、建设工程实体及原材料质量抽测及安全监督专项费2026绩效目标表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13011026P00001110044U</w:t>
            </w:r>
          </w:p>
        </w:tc>
        <w:tc>
          <w:tcPr>
            <w:tcW w:w="2835" w:type="dxa"/>
            <w:vAlign w:val="center"/>
          </w:tcPr>
          <w:p>
            <w:pPr>
              <w:pStyle w:val="10"/>
            </w:pPr>
            <w:r>
              <w:t>项目名称</w:t>
            </w:r>
          </w:p>
        </w:tc>
        <w:tc>
          <w:tcPr>
            <w:tcW w:w="6095" w:type="dxa"/>
            <w:gridSpan w:val="3"/>
            <w:vAlign w:val="center"/>
          </w:tcPr>
          <w:p>
            <w:pPr>
              <w:pStyle w:val="12"/>
            </w:pPr>
            <w:r>
              <w:t>建设工程实体及原材料质量抽测及安全监督专项费2026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对全区工程原材、实体不定期抽测，严格控制不合格材料进入施工现场，对全区项目进行监管，覆盖面到达百分百，减少工程安全隐患的发生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1.对全区工程原材、实体不定期抽测，严格控制不合格材料进入施工现场，对全区项目进行监管，覆盖面到达百分百，减少工程安全隐患的发生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工程原材料抽检数量</w:t>
            </w:r>
          </w:p>
        </w:tc>
        <w:tc>
          <w:tcPr>
            <w:tcW w:w="5386" w:type="dxa"/>
            <w:vAlign w:val="center"/>
          </w:tcPr>
          <w:p>
            <w:pPr>
              <w:pStyle w:val="12"/>
            </w:pPr>
            <w:r>
              <w:t>对全区工程原材料抽检</w:t>
            </w:r>
          </w:p>
        </w:tc>
        <w:tc>
          <w:tcPr>
            <w:tcW w:w="2268" w:type="dxa"/>
            <w:vAlign w:val="center"/>
          </w:tcPr>
          <w:p>
            <w:pPr>
              <w:pStyle w:val="12"/>
            </w:pPr>
            <w:r>
              <w:t>100个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工程质量覆盖率</w:t>
            </w:r>
          </w:p>
        </w:tc>
        <w:tc>
          <w:tcPr>
            <w:tcW w:w="5386" w:type="dxa"/>
            <w:vAlign w:val="center"/>
          </w:tcPr>
          <w:p>
            <w:pPr>
              <w:pStyle w:val="12"/>
            </w:pPr>
            <w:r>
              <w:t>对工程质量实体、行为进行监督</w:t>
            </w:r>
          </w:p>
        </w:tc>
        <w:tc>
          <w:tcPr>
            <w:tcW w:w="2268" w:type="dxa"/>
            <w:vAlign w:val="center"/>
          </w:tcPr>
          <w:p>
            <w:pPr>
              <w:pStyle w:val="12"/>
            </w:pPr>
            <w:r>
              <w:t>100%</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专家排查隐患项目率</w:t>
            </w:r>
          </w:p>
        </w:tc>
        <w:tc>
          <w:tcPr>
            <w:tcW w:w="5386" w:type="dxa"/>
            <w:vAlign w:val="center"/>
          </w:tcPr>
          <w:p>
            <w:pPr>
              <w:pStyle w:val="12"/>
            </w:pPr>
            <w:r>
              <w:t>专家排查施工现场安全隐患数量</w:t>
            </w:r>
          </w:p>
        </w:tc>
        <w:tc>
          <w:tcPr>
            <w:tcW w:w="2268" w:type="dxa"/>
            <w:vAlign w:val="center"/>
          </w:tcPr>
          <w:p>
            <w:pPr>
              <w:pStyle w:val="12"/>
            </w:pPr>
            <w:r>
              <w:t>100个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委托第三方所需要成本</w:t>
            </w:r>
          </w:p>
        </w:tc>
        <w:tc>
          <w:tcPr>
            <w:tcW w:w="5386" w:type="dxa"/>
            <w:vAlign w:val="center"/>
          </w:tcPr>
          <w:p>
            <w:pPr>
              <w:pStyle w:val="12"/>
            </w:pPr>
            <w:r>
              <w:t>委托第三方对原材、实体检测发生的成本</w:t>
            </w:r>
          </w:p>
        </w:tc>
        <w:tc>
          <w:tcPr>
            <w:tcW w:w="2268" w:type="dxa"/>
            <w:vAlign w:val="center"/>
          </w:tcPr>
          <w:p>
            <w:pPr>
              <w:pStyle w:val="12"/>
            </w:pPr>
            <w:r>
              <w:t>254.22万元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w:t>
            </w:r>
          </w:p>
        </w:tc>
        <w:tc>
          <w:tcPr>
            <w:tcW w:w="5386" w:type="dxa"/>
            <w:vAlign w:val="center"/>
          </w:tcPr>
          <w:p>
            <w:pPr>
              <w:pStyle w:val="12"/>
            </w:pPr>
            <w:r>
              <w:t>排查治理施工现场质量和安全生产隐患，监督各方责任主体履行施工质量和安全生产职责，控制隐患数量</w:t>
            </w:r>
          </w:p>
        </w:tc>
        <w:tc>
          <w:tcPr>
            <w:tcW w:w="2268" w:type="dxa"/>
            <w:vAlign w:val="center"/>
          </w:tcPr>
          <w:p>
            <w:pPr>
              <w:pStyle w:val="12"/>
            </w:pPr>
            <w:r>
              <w:t>1个</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≥100%</w:t>
            </w:r>
          </w:p>
        </w:tc>
        <w:tc>
          <w:tcPr>
            <w:tcW w:w="1276" w:type="dxa"/>
            <w:vAlign w:val="center"/>
          </w:tcPr>
          <w:p>
            <w:pPr>
              <w:pStyle w:val="12"/>
            </w:pPr>
            <w:r>
              <w:t>工作经验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3、聘请消防专家费用2026绩效目标表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13011026P00001110045F</w:t>
            </w:r>
          </w:p>
        </w:tc>
        <w:tc>
          <w:tcPr>
            <w:tcW w:w="2835" w:type="dxa"/>
            <w:vAlign w:val="center"/>
          </w:tcPr>
          <w:p>
            <w:pPr>
              <w:pStyle w:val="10"/>
            </w:pPr>
            <w:r>
              <w:t>项目名称</w:t>
            </w:r>
          </w:p>
        </w:tc>
        <w:tc>
          <w:tcPr>
            <w:tcW w:w="6095" w:type="dxa"/>
            <w:gridSpan w:val="3"/>
            <w:vAlign w:val="center"/>
          </w:tcPr>
          <w:p>
            <w:pPr>
              <w:pStyle w:val="12"/>
            </w:pPr>
            <w:r>
              <w:t>聘请消防专家费用2026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对全区竣工建设工程项目消防验收质量提供保证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对全区竣工建设工程项目消防验收质量提供保证</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第三方服务机构服务项数</w:t>
            </w:r>
          </w:p>
        </w:tc>
        <w:tc>
          <w:tcPr>
            <w:tcW w:w="5386" w:type="dxa"/>
            <w:vAlign w:val="center"/>
          </w:tcPr>
          <w:p>
            <w:pPr>
              <w:pStyle w:val="12"/>
            </w:pPr>
            <w:r>
              <w:t>计划聘请第三方服务机构对全区竣工建设工程项目消防验收</w:t>
            </w:r>
          </w:p>
        </w:tc>
        <w:tc>
          <w:tcPr>
            <w:tcW w:w="2268" w:type="dxa"/>
            <w:vAlign w:val="center"/>
          </w:tcPr>
          <w:p>
            <w:pPr>
              <w:pStyle w:val="12"/>
            </w:pPr>
            <w:r>
              <w:t>1项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第三方服务机构消防验收工作保障率</w:t>
            </w:r>
          </w:p>
        </w:tc>
        <w:tc>
          <w:tcPr>
            <w:tcW w:w="5386" w:type="dxa"/>
            <w:vAlign w:val="center"/>
          </w:tcPr>
          <w:p>
            <w:pPr>
              <w:pStyle w:val="12"/>
            </w:pPr>
            <w:r>
              <w:t>对全区竣工建设工程项目消防验收工作保障率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消防验收时限</w:t>
            </w:r>
          </w:p>
        </w:tc>
        <w:tc>
          <w:tcPr>
            <w:tcW w:w="5386" w:type="dxa"/>
            <w:vAlign w:val="center"/>
          </w:tcPr>
          <w:p>
            <w:pPr>
              <w:pStyle w:val="12"/>
            </w:pPr>
            <w:r>
              <w:t>建设单位提交消防验收申请之日起到消防验收完毕的时间</w:t>
            </w:r>
          </w:p>
        </w:tc>
        <w:tc>
          <w:tcPr>
            <w:tcW w:w="2268" w:type="dxa"/>
            <w:vAlign w:val="center"/>
          </w:tcPr>
          <w:p>
            <w:pPr>
              <w:pStyle w:val="12"/>
            </w:pPr>
            <w:r>
              <w:t>10天</w:t>
            </w:r>
          </w:p>
        </w:tc>
        <w:tc>
          <w:tcPr>
            <w:tcW w:w="1276" w:type="dxa"/>
            <w:vAlign w:val="center"/>
          </w:tcPr>
          <w:p>
            <w:pPr>
              <w:pStyle w:val="12"/>
            </w:pPr>
            <w:r>
              <w:t>河北省建设工程消防设计审查验收管理暂行办法</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消防验收所需要资金</w:t>
            </w:r>
          </w:p>
          <w:p>
            <w:pPr>
              <w:pStyle w:val="12"/>
            </w:pPr>
          </w:p>
        </w:tc>
        <w:tc>
          <w:tcPr>
            <w:tcW w:w="5386" w:type="dxa"/>
            <w:vAlign w:val="center"/>
          </w:tcPr>
          <w:p>
            <w:pPr>
              <w:pStyle w:val="12"/>
            </w:pPr>
            <w:r>
              <w:t>完成消防验收所需要资金</w:t>
            </w:r>
          </w:p>
          <w:p>
            <w:pPr>
              <w:pStyle w:val="12"/>
            </w:pPr>
            <w:r>
              <w:t>(含2022年就欠和2023年资金）</w:t>
            </w:r>
          </w:p>
        </w:tc>
        <w:tc>
          <w:tcPr>
            <w:tcW w:w="2268" w:type="dxa"/>
            <w:vAlign w:val="center"/>
          </w:tcPr>
          <w:p>
            <w:pPr>
              <w:pStyle w:val="12"/>
            </w:pPr>
            <w:r>
              <w:t>≤158.4万元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消防验收隐患整改率</w:t>
            </w:r>
          </w:p>
        </w:tc>
        <w:tc>
          <w:tcPr>
            <w:tcW w:w="5386" w:type="dxa"/>
            <w:vAlign w:val="center"/>
          </w:tcPr>
          <w:p>
            <w:pPr>
              <w:pStyle w:val="12"/>
            </w:pPr>
            <w:r>
              <w:t>对全区竣工建设工程项目消防验收存在问题隐患整改率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消防验收技术服务满意率</w:t>
            </w:r>
          </w:p>
        </w:tc>
        <w:tc>
          <w:tcPr>
            <w:tcW w:w="5386" w:type="dxa"/>
            <w:vAlign w:val="center"/>
          </w:tcPr>
          <w:p>
            <w:pPr>
              <w:pStyle w:val="12"/>
            </w:pPr>
            <w:r>
              <w:t>对全区竣工建设工程项目消防验收服务对象满意率</w:t>
            </w:r>
          </w:p>
        </w:tc>
        <w:tc>
          <w:tcPr>
            <w:tcW w:w="2268" w:type="dxa"/>
            <w:vAlign w:val="center"/>
          </w:tcPr>
          <w:p>
            <w:pPr>
              <w:pStyle w:val="12"/>
            </w:pPr>
            <w:r>
              <w:t>&lt;100%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4、消防业务执法经费2026绩效目标表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13011026P000011100438</w:t>
            </w:r>
          </w:p>
        </w:tc>
        <w:tc>
          <w:tcPr>
            <w:tcW w:w="2835" w:type="dxa"/>
            <w:vAlign w:val="center"/>
          </w:tcPr>
          <w:p>
            <w:pPr>
              <w:pStyle w:val="10"/>
            </w:pPr>
            <w:r>
              <w:t>项目名称</w:t>
            </w:r>
          </w:p>
        </w:tc>
        <w:tc>
          <w:tcPr>
            <w:tcW w:w="6095" w:type="dxa"/>
            <w:gridSpan w:val="3"/>
            <w:vAlign w:val="center"/>
          </w:tcPr>
          <w:p>
            <w:pPr>
              <w:pStyle w:val="12"/>
            </w:pPr>
            <w:r>
              <w:t>消防业务执法经费2026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w:t>
            </w:r>
          </w:p>
        </w:tc>
        <w:tc>
          <w:tcPr>
            <w:tcW w:w="2835" w:type="dxa"/>
            <w:vAlign w:val="center"/>
          </w:tcPr>
          <w:p>
            <w:pPr>
              <w:pStyle w:val="10"/>
            </w:pPr>
            <w:r>
              <w:t>其中：财政    资金</w:t>
            </w:r>
          </w:p>
        </w:tc>
        <w:tc>
          <w:tcPr>
            <w:tcW w:w="2551" w:type="dxa"/>
            <w:vAlign w:val="center"/>
          </w:tcPr>
          <w:p>
            <w:pPr>
              <w:pStyle w:val="12"/>
            </w:pPr>
            <w:r>
              <w:t>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保障符合消防设计审查验收条件的建设工程项目的消防设计审查、验收备案工作正常开展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1.保障符合消防设计审查验收条件的建设工程项目的消防设计审查、验收备案工作正常开展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监管消防设计审查、验收建设工程数量</w:t>
            </w:r>
          </w:p>
        </w:tc>
        <w:tc>
          <w:tcPr>
            <w:tcW w:w="5386" w:type="dxa"/>
            <w:vAlign w:val="center"/>
          </w:tcPr>
          <w:p>
            <w:pPr>
              <w:pStyle w:val="12"/>
            </w:pPr>
            <w:r>
              <w:t>全区工程项目数量</w:t>
            </w:r>
          </w:p>
        </w:tc>
        <w:tc>
          <w:tcPr>
            <w:tcW w:w="2268" w:type="dxa"/>
            <w:vAlign w:val="center"/>
          </w:tcPr>
          <w:p>
            <w:pPr>
              <w:pStyle w:val="12"/>
            </w:pPr>
            <w:r>
              <w:t>≥100个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消防设计审查计完成率</w:t>
            </w:r>
          </w:p>
        </w:tc>
        <w:tc>
          <w:tcPr>
            <w:tcW w:w="5386" w:type="dxa"/>
            <w:vAlign w:val="center"/>
          </w:tcPr>
          <w:p>
            <w:pPr>
              <w:pStyle w:val="12"/>
            </w:pPr>
            <w:r>
              <w:t>实际建设工程消防设计审查项目占申报消防设计审查项目比率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消防审查验收完成及时率</w:t>
            </w:r>
          </w:p>
        </w:tc>
        <w:tc>
          <w:tcPr>
            <w:tcW w:w="5386" w:type="dxa"/>
            <w:vAlign w:val="center"/>
          </w:tcPr>
          <w:p>
            <w:pPr>
              <w:pStyle w:val="12"/>
            </w:pPr>
            <w:r>
              <w:t>全区建设工程项目各项任务完成及时率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消防验收通过备案率</w:t>
            </w:r>
          </w:p>
        </w:tc>
        <w:tc>
          <w:tcPr>
            <w:tcW w:w="5386" w:type="dxa"/>
            <w:vAlign w:val="center"/>
          </w:tcPr>
          <w:p>
            <w:pPr>
              <w:pStyle w:val="12"/>
            </w:pPr>
            <w:r>
              <w:t>实际通过消防验收备案建设工程项目数量占应该验收备案建设工程项目的比率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排查隐患，避免安全事故发生</w:t>
            </w:r>
          </w:p>
        </w:tc>
        <w:tc>
          <w:tcPr>
            <w:tcW w:w="5386" w:type="dxa"/>
            <w:vAlign w:val="center"/>
          </w:tcPr>
          <w:p>
            <w:pPr>
              <w:pStyle w:val="12"/>
            </w:pPr>
            <w:r>
              <w:t>审查验收通过项目发生消防事故数量</w:t>
            </w:r>
          </w:p>
        </w:tc>
        <w:tc>
          <w:tcPr>
            <w:tcW w:w="2268" w:type="dxa"/>
            <w:vAlign w:val="center"/>
          </w:tcPr>
          <w:p>
            <w:pPr>
              <w:pStyle w:val="12"/>
            </w:pPr>
            <w:r>
              <w:t>≤2起</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w:t>
            </w:r>
          </w:p>
        </w:tc>
        <w:tc>
          <w:tcPr>
            <w:tcW w:w="5386" w:type="dxa"/>
            <w:vAlign w:val="center"/>
          </w:tcPr>
          <w:p>
            <w:pPr>
              <w:pStyle w:val="12"/>
            </w:pPr>
            <w:r>
              <w:t>群众满意数量占总数的比例</w:t>
            </w:r>
          </w:p>
        </w:tc>
        <w:tc>
          <w:tcPr>
            <w:tcW w:w="2268" w:type="dxa"/>
            <w:vAlign w:val="center"/>
          </w:tcPr>
          <w:p>
            <w:pPr>
              <w:pStyle w:val="12"/>
            </w:pPr>
            <w:r>
              <w:t>100%</w:t>
            </w:r>
          </w:p>
        </w:tc>
        <w:tc>
          <w:tcPr>
            <w:tcW w:w="1276" w:type="dxa"/>
            <w:vAlign w:val="center"/>
          </w:tcPr>
          <w:p>
            <w:pPr>
              <w:pStyle w:val="12"/>
            </w:pPr>
            <w:r>
              <w:t>工作经验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5、业务费2026绩效目标表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13011026P00001110042L</w:t>
            </w:r>
          </w:p>
        </w:tc>
        <w:tc>
          <w:tcPr>
            <w:tcW w:w="2835" w:type="dxa"/>
            <w:vAlign w:val="center"/>
          </w:tcPr>
          <w:p>
            <w:pPr>
              <w:pStyle w:val="10"/>
            </w:pPr>
            <w:r>
              <w:t>项目名称</w:t>
            </w:r>
          </w:p>
        </w:tc>
        <w:tc>
          <w:tcPr>
            <w:tcW w:w="6095" w:type="dxa"/>
            <w:gridSpan w:val="3"/>
            <w:vAlign w:val="center"/>
          </w:tcPr>
          <w:p>
            <w:pPr>
              <w:pStyle w:val="12"/>
            </w:pPr>
            <w:r>
              <w:t>业务费2026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负责工地工程质量安全管理、监督工程质量，提高合格率，达到百分百，减少工地工程质量安全隐患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25%</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1.负责工地工程质量安全管理、监督工程质量，提高合格率，达到百分百，减少工地工程质量安全隐患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监管全区工地整治</w:t>
            </w:r>
          </w:p>
        </w:tc>
        <w:tc>
          <w:tcPr>
            <w:tcW w:w="5386" w:type="dxa"/>
            <w:vAlign w:val="center"/>
          </w:tcPr>
          <w:p>
            <w:pPr>
              <w:pStyle w:val="12"/>
            </w:pPr>
            <w:r>
              <w:t>监管全区工地数量</w:t>
            </w:r>
          </w:p>
        </w:tc>
        <w:tc>
          <w:tcPr>
            <w:tcW w:w="2268" w:type="dxa"/>
            <w:vAlign w:val="center"/>
          </w:tcPr>
          <w:p>
            <w:pPr>
              <w:pStyle w:val="12"/>
            </w:pPr>
            <w:r>
              <w:t>≥100个</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建筑工程质量监管率</w:t>
            </w:r>
          </w:p>
        </w:tc>
        <w:tc>
          <w:tcPr>
            <w:tcW w:w="5386" w:type="dxa"/>
            <w:vAlign w:val="center"/>
          </w:tcPr>
          <w:p>
            <w:pPr>
              <w:pStyle w:val="12"/>
            </w:pPr>
            <w:r>
              <w:t>实际监管工程数量占全部工程数量的比率</w:t>
            </w:r>
          </w:p>
        </w:tc>
        <w:tc>
          <w:tcPr>
            <w:tcW w:w="2268" w:type="dxa"/>
            <w:vAlign w:val="center"/>
          </w:tcPr>
          <w:p>
            <w:pPr>
              <w:pStyle w:val="12"/>
            </w:pPr>
            <w:r>
              <w:t>100%</w:t>
            </w:r>
          </w:p>
        </w:tc>
        <w:tc>
          <w:tcPr>
            <w:tcW w:w="1276" w:type="dxa"/>
            <w:vAlign w:val="center"/>
          </w:tcPr>
          <w:p>
            <w:pPr>
              <w:pStyle w:val="12"/>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工地地标牌、围挡广告牌发放率</w:t>
            </w:r>
          </w:p>
        </w:tc>
        <w:tc>
          <w:tcPr>
            <w:tcW w:w="5386" w:type="dxa"/>
            <w:vAlign w:val="center"/>
          </w:tcPr>
          <w:p>
            <w:pPr>
              <w:pStyle w:val="12"/>
            </w:pPr>
            <w:r>
              <w:t>发放地标牌、围挡工地数量占监管工地总量的比例</w:t>
            </w:r>
          </w:p>
        </w:tc>
        <w:tc>
          <w:tcPr>
            <w:tcW w:w="2268" w:type="dxa"/>
            <w:vAlign w:val="center"/>
          </w:tcPr>
          <w:p>
            <w:pPr>
              <w:pStyle w:val="12"/>
            </w:pPr>
            <w:r>
              <w:t>100%</w:t>
            </w:r>
          </w:p>
        </w:tc>
        <w:tc>
          <w:tcPr>
            <w:tcW w:w="1276"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工程质量合格率</w:t>
            </w:r>
          </w:p>
        </w:tc>
        <w:tc>
          <w:tcPr>
            <w:tcW w:w="5386" w:type="dxa"/>
            <w:vAlign w:val="center"/>
          </w:tcPr>
          <w:p>
            <w:pPr>
              <w:pStyle w:val="12"/>
            </w:pPr>
            <w:r>
              <w:t>实际合格工程数量占全部工程数量的比率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工程质量隐患率</w:t>
            </w:r>
          </w:p>
        </w:tc>
        <w:tc>
          <w:tcPr>
            <w:tcW w:w="5386" w:type="dxa"/>
            <w:vAlign w:val="center"/>
          </w:tcPr>
          <w:p>
            <w:pPr>
              <w:pStyle w:val="12"/>
            </w:pPr>
            <w:r>
              <w:t>实际产生的质量隐患数量占全部工程数量的比率</w:t>
            </w:r>
          </w:p>
        </w:tc>
        <w:tc>
          <w:tcPr>
            <w:tcW w:w="2268" w:type="dxa"/>
            <w:vAlign w:val="center"/>
          </w:tcPr>
          <w:p>
            <w:pPr>
              <w:pStyle w:val="12"/>
            </w:pPr>
            <w:r>
              <w:t>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群众对建筑市场的整体满意度</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9.55</w:t>
            </w:r>
          </w:p>
        </w:tc>
        <w:tc>
          <w:tcPr>
            <w:tcW w:w="964" w:type="dxa"/>
            <w:vAlign w:val="center"/>
          </w:tcPr>
          <w:p>
            <w:pPr>
              <w:pStyle w:val="15"/>
            </w:pPr>
            <w:r>
              <w:t>9.55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石家庄市鹿泉区建筑业服务中心小计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9.55</w:t>
            </w:r>
          </w:p>
        </w:tc>
        <w:tc>
          <w:tcPr>
            <w:tcW w:w="964" w:type="dxa"/>
            <w:vAlign w:val="center"/>
          </w:tcPr>
          <w:p>
            <w:pPr>
              <w:pStyle w:val="15"/>
            </w:pPr>
            <w:r>
              <w:t>9.55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业务费2026</w:t>
            </w:r>
          </w:p>
        </w:tc>
        <w:tc>
          <w:tcPr>
            <w:tcW w:w="964" w:type="dxa"/>
            <w:vAlign w:val="center"/>
          </w:tcPr>
          <w:p>
            <w:pPr>
              <w:pStyle w:val="11"/>
            </w:pPr>
            <w:r>
              <w:t>20.00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10</w:t>
            </w:r>
          </w:p>
        </w:tc>
        <w:tc>
          <w:tcPr>
            <w:tcW w:w="850" w:type="dxa"/>
            <w:vAlign w:val="center"/>
          </w:tcPr>
          <w:p>
            <w:pPr>
              <w:pStyle w:val="11"/>
            </w:pPr>
            <w:r>
              <w:t>0.07</w:t>
            </w:r>
          </w:p>
        </w:tc>
        <w:tc>
          <w:tcPr>
            <w:tcW w:w="964" w:type="dxa"/>
            <w:vAlign w:val="center"/>
          </w:tcPr>
          <w:p>
            <w:pPr>
              <w:pStyle w:val="11"/>
            </w:pPr>
            <w:r>
              <w:t>0.65</w:t>
            </w:r>
          </w:p>
        </w:tc>
        <w:tc>
          <w:tcPr>
            <w:tcW w:w="964" w:type="dxa"/>
            <w:vAlign w:val="center"/>
          </w:tcPr>
          <w:p>
            <w:pPr>
              <w:pStyle w:val="11"/>
            </w:pPr>
            <w:r>
              <w:t>0.65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业务费2026</w:t>
            </w:r>
          </w:p>
        </w:tc>
        <w:tc>
          <w:tcPr>
            <w:tcW w:w="964" w:type="dxa"/>
            <w:vAlign w:val="center"/>
          </w:tcPr>
          <w:p>
            <w:pPr>
              <w:pStyle w:val="11"/>
            </w:pPr>
            <w:r>
              <w:t>20.00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400</w:t>
            </w:r>
          </w:p>
        </w:tc>
        <w:tc>
          <w:tcPr>
            <w:tcW w:w="850" w:type="dxa"/>
            <w:vAlign w:val="center"/>
          </w:tcPr>
          <w:p>
            <w:pPr>
              <w:pStyle w:val="11"/>
            </w:pPr>
            <w:r>
              <w:t>0.00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业务费2026</w:t>
            </w:r>
          </w:p>
        </w:tc>
        <w:tc>
          <w:tcPr>
            <w:tcW w:w="964" w:type="dxa"/>
            <w:vAlign w:val="center"/>
          </w:tcPr>
          <w:p>
            <w:pPr>
              <w:pStyle w:val="11"/>
            </w:pPr>
            <w:r>
              <w:t>20.00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0.23</w:t>
            </w:r>
          </w:p>
        </w:tc>
        <w:tc>
          <w:tcPr>
            <w:tcW w:w="964" w:type="dxa"/>
            <w:vAlign w:val="center"/>
          </w:tcPr>
          <w:p>
            <w:pPr>
              <w:pStyle w:val="11"/>
            </w:pPr>
            <w:r>
              <w:t>0.23</w:t>
            </w:r>
          </w:p>
        </w:tc>
        <w:tc>
          <w:tcPr>
            <w:tcW w:w="964" w:type="dxa"/>
            <w:vAlign w:val="center"/>
          </w:tcPr>
          <w:p>
            <w:pPr>
              <w:pStyle w:val="11"/>
            </w:pPr>
            <w:r>
              <w:t>0.23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业务费2026</w:t>
            </w:r>
          </w:p>
        </w:tc>
        <w:tc>
          <w:tcPr>
            <w:tcW w:w="964" w:type="dxa"/>
            <w:vAlign w:val="center"/>
          </w:tcPr>
          <w:p>
            <w:pPr>
              <w:pStyle w:val="11"/>
            </w:pPr>
            <w:r>
              <w:t>20.00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50</w:t>
            </w:r>
          </w:p>
        </w:tc>
        <w:tc>
          <w:tcPr>
            <w:tcW w:w="850" w:type="dxa"/>
            <w:vAlign w:val="center"/>
          </w:tcPr>
          <w:p>
            <w:pPr>
              <w:pStyle w:val="11"/>
            </w:pPr>
            <w:r>
              <w:t>0.10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业务费2026</w:t>
            </w:r>
          </w:p>
        </w:tc>
        <w:tc>
          <w:tcPr>
            <w:tcW w:w="964" w:type="dxa"/>
            <w:vAlign w:val="center"/>
          </w:tcPr>
          <w:p>
            <w:pPr>
              <w:pStyle w:val="11"/>
            </w:pPr>
            <w:r>
              <w:t>20.00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0.86</w:t>
            </w:r>
          </w:p>
        </w:tc>
        <w:tc>
          <w:tcPr>
            <w:tcW w:w="964" w:type="dxa"/>
            <w:vAlign w:val="center"/>
          </w:tcPr>
          <w:p>
            <w:pPr>
              <w:pStyle w:val="11"/>
            </w:pPr>
            <w:r>
              <w:t>0.86</w:t>
            </w:r>
          </w:p>
        </w:tc>
        <w:tc>
          <w:tcPr>
            <w:tcW w:w="964" w:type="dxa"/>
            <w:vAlign w:val="center"/>
          </w:tcPr>
          <w:p>
            <w:pPr>
              <w:pStyle w:val="11"/>
            </w:pPr>
            <w:r>
              <w:t>0.86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业务费2026</w:t>
            </w:r>
          </w:p>
        </w:tc>
        <w:tc>
          <w:tcPr>
            <w:tcW w:w="964" w:type="dxa"/>
            <w:vAlign w:val="center"/>
          </w:tcPr>
          <w:p>
            <w:pPr>
              <w:pStyle w:val="11"/>
            </w:pPr>
            <w:r>
              <w:t>20.00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2300</w:t>
            </w:r>
          </w:p>
        </w:tc>
        <w:tc>
          <w:tcPr>
            <w:tcW w:w="850" w:type="dxa"/>
            <w:vAlign w:val="center"/>
          </w:tcPr>
          <w:p>
            <w:pPr>
              <w:pStyle w:val="11"/>
            </w:pPr>
            <w:r>
              <w:t>0.00</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石家庄市鹿泉区建筑业服务中心上年末固定资产金额为355.36万元（详见下表）。本年度拟购置固定资产总额为0.65万元，已按要求列入政府采购预算，详见政府采购预算表。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355.36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2656.08</w:t>
            </w:r>
          </w:p>
        </w:tc>
        <w:tc>
          <w:tcPr>
            <w:tcW w:w="2835" w:type="dxa"/>
            <w:vAlign w:val="center"/>
          </w:tcPr>
          <w:p>
            <w:pPr>
              <w:pStyle w:val="11"/>
            </w:pPr>
            <w:r>
              <w:t>257.81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2656.08</w:t>
            </w:r>
          </w:p>
        </w:tc>
        <w:tc>
          <w:tcPr>
            <w:tcW w:w="2835" w:type="dxa"/>
            <w:vAlign w:val="center"/>
          </w:tcPr>
          <w:p>
            <w:pPr>
              <w:pStyle w:val="11"/>
            </w:pPr>
            <w:r>
              <w:t>257.81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444</w:t>
            </w:r>
          </w:p>
        </w:tc>
        <w:tc>
          <w:tcPr>
            <w:tcW w:w="2835" w:type="dxa"/>
            <w:vAlign w:val="center"/>
          </w:tcPr>
          <w:p>
            <w:pPr>
              <w:pStyle w:val="11"/>
            </w:pPr>
            <w:r>
              <w:t>82.40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三、石家庄市鹿泉区房屋征收中心收支预算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1371.55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877.09</w:t>
            </w: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2167.85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2248.64</w:t>
            </w:r>
          </w:p>
        </w:tc>
        <w:tc>
          <w:tcPr>
            <w:tcW w:w="4535" w:type="dxa"/>
            <w:vAlign w:val="center"/>
          </w:tcPr>
          <w:p>
            <w:pPr>
              <w:pStyle w:val="14"/>
            </w:pPr>
            <w:r>
              <w:t>本年支出合计</w:t>
            </w:r>
          </w:p>
        </w:tc>
        <w:tc>
          <w:tcPr>
            <w:tcW w:w="2126" w:type="dxa"/>
            <w:vAlign w:val="center"/>
          </w:tcPr>
          <w:p>
            <w:pPr>
              <w:pStyle w:val="15"/>
            </w:pPr>
            <w:r>
              <w:t>2248.64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2248.64</w:t>
            </w:r>
          </w:p>
        </w:tc>
        <w:tc>
          <w:tcPr>
            <w:tcW w:w="4535" w:type="dxa"/>
            <w:vAlign w:val="center"/>
          </w:tcPr>
          <w:p>
            <w:pPr>
              <w:pStyle w:val="14"/>
            </w:pPr>
            <w:r>
              <w:t>支出总计</w:t>
            </w:r>
          </w:p>
        </w:tc>
        <w:tc>
          <w:tcPr>
            <w:tcW w:w="2126" w:type="dxa"/>
            <w:vAlign w:val="center"/>
          </w:tcPr>
          <w:p>
            <w:pPr>
              <w:pStyle w:val="15"/>
            </w:pPr>
            <w:r>
              <w:t>2248.64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2248.64</w:t>
            </w:r>
          </w:p>
        </w:tc>
        <w:tc>
          <w:tcPr>
            <w:tcW w:w="1134" w:type="dxa"/>
            <w:vAlign w:val="center"/>
          </w:tcPr>
          <w:p>
            <w:pPr>
              <w:pStyle w:val="15"/>
            </w:pPr>
            <w:r>
              <w:t>2248.64</w:t>
            </w:r>
          </w:p>
        </w:tc>
        <w:tc>
          <w:tcPr>
            <w:tcW w:w="1134" w:type="dxa"/>
            <w:vAlign w:val="center"/>
          </w:tcPr>
          <w:p>
            <w:pPr>
              <w:pStyle w:val="15"/>
            </w:pPr>
            <w:r>
              <w:t>2248.64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52.72</w:t>
            </w:r>
          </w:p>
        </w:tc>
        <w:tc>
          <w:tcPr>
            <w:tcW w:w="1134" w:type="dxa"/>
            <w:vAlign w:val="center"/>
          </w:tcPr>
          <w:p>
            <w:pPr>
              <w:pStyle w:val="11"/>
            </w:pPr>
            <w:r>
              <w:t>52.72</w:t>
            </w:r>
          </w:p>
        </w:tc>
        <w:tc>
          <w:tcPr>
            <w:tcW w:w="1134" w:type="dxa"/>
            <w:vAlign w:val="center"/>
          </w:tcPr>
          <w:p>
            <w:pPr>
              <w:pStyle w:val="11"/>
            </w:pPr>
            <w:r>
              <w:t>52.72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46.92</w:t>
            </w:r>
          </w:p>
        </w:tc>
        <w:tc>
          <w:tcPr>
            <w:tcW w:w="1134" w:type="dxa"/>
            <w:vAlign w:val="center"/>
          </w:tcPr>
          <w:p>
            <w:pPr>
              <w:pStyle w:val="11"/>
            </w:pPr>
            <w:r>
              <w:t>46.92</w:t>
            </w:r>
          </w:p>
        </w:tc>
        <w:tc>
          <w:tcPr>
            <w:tcW w:w="1134" w:type="dxa"/>
            <w:vAlign w:val="center"/>
          </w:tcPr>
          <w:p>
            <w:pPr>
              <w:pStyle w:val="11"/>
            </w:pPr>
            <w:r>
              <w:t>46.92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28.99</w:t>
            </w:r>
          </w:p>
        </w:tc>
        <w:tc>
          <w:tcPr>
            <w:tcW w:w="1134" w:type="dxa"/>
            <w:vAlign w:val="center"/>
          </w:tcPr>
          <w:p>
            <w:pPr>
              <w:pStyle w:val="11"/>
            </w:pPr>
            <w:r>
              <w:t>28.99</w:t>
            </w:r>
          </w:p>
        </w:tc>
        <w:tc>
          <w:tcPr>
            <w:tcW w:w="1134" w:type="dxa"/>
            <w:vAlign w:val="center"/>
          </w:tcPr>
          <w:p>
            <w:pPr>
              <w:pStyle w:val="11"/>
            </w:pPr>
            <w:r>
              <w:t>28.99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17.93</w:t>
            </w:r>
          </w:p>
        </w:tc>
        <w:tc>
          <w:tcPr>
            <w:tcW w:w="1134" w:type="dxa"/>
            <w:vAlign w:val="center"/>
          </w:tcPr>
          <w:p>
            <w:pPr>
              <w:pStyle w:val="11"/>
            </w:pPr>
            <w:r>
              <w:t>17.93</w:t>
            </w:r>
          </w:p>
        </w:tc>
        <w:tc>
          <w:tcPr>
            <w:tcW w:w="1134" w:type="dxa"/>
            <w:vAlign w:val="center"/>
          </w:tcPr>
          <w:p>
            <w:pPr>
              <w:pStyle w:val="11"/>
            </w:pPr>
            <w:r>
              <w:t>17.93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r>
              <w:t>11.57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2167.85</w:t>
            </w:r>
          </w:p>
        </w:tc>
        <w:tc>
          <w:tcPr>
            <w:tcW w:w="1134" w:type="dxa"/>
            <w:vAlign w:val="center"/>
          </w:tcPr>
          <w:p>
            <w:pPr>
              <w:pStyle w:val="11"/>
            </w:pPr>
            <w:r>
              <w:t>2167.85</w:t>
            </w:r>
          </w:p>
        </w:tc>
        <w:tc>
          <w:tcPr>
            <w:tcW w:w="1134" w:type="dxa"/>
            <w:vAlign w:val="center"/>
          </w:tcPr>
          <w:p>
            <w:pPr>
              <w:pStyle w:val="11"/>
            </w:pPr>
            <w:r>
              <w:t>2167.85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251.08</w:t>
            </w:r>
          </w:p>
        </w:tc>
        <w:tc>
          <w:tcPr>
            <w:tcW w:w="1134" w:type="dxa"/>
            <w:vAlign w:val="center"/>
          </w:tcPr>
          <w:p>
            <w:pPr>
              <w:pStyle w:val="11"/>
            </w:pPr>
            <w:r>
              <w:t>251.08</w:t>
            </w:r>
          </w:p>
        </w:tc>
        <w:tc>
          <w:tcPr>
            <w:tcW w:w="1134" w:type="dxa"/>
            <w:vAlign w:val="center"/>
          </w:tcPr>
          <w:p>
            <w:pPr>
              <w:pStyle w:val="11"/>
            </w:pPr>
            <w:r>
              <w:t>251.08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251.01</w:t>
            </w:r>
          </w:p>
        </w:tc>
        <w:tc>
          <w:tcPr>
            <w:tcW w:w="1134" w:type="dxa"/>
            <w:vAlign w:val="center"/>
          </w:tcPr>
          <w:p>
            <w:pPr>
              <w:pStyle w:val="11"/>
            </w:pPr>
            <w:r>
              <w:t>251.01</w:t>
            </w:r>
          </w:p>
        </w:tc>
        <w:tc>
          <w:tcPr>
            <w:tcW w:w="1134" w:type="dxa"/>
            <w:vAlign w:val="center"/>
          </w:tcPr>
          <w:p>
            <w:pPr>
              <w:pStyle w:val="11"/>
            </w:pPr>
            <w:r>
              <w:t>251.01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0.07</w:t>
            </w:r>
          </w:p>
        </w:tc>
        <w:tc>
          <w:tcPr>
            <w:tcW w:w="1134" w:type="dxa"/>
            <w:vAlign w:val="center"/>
          </w:tcPr>
          <w:p>
            <w:pPr>
              <w:pStyle w:val="11"/>
            </w:pPr>
            <w:r>
              <w:t>0.07</w:t>
            </w:r>
          </w:p>
        </w:tc>
        <w:tc>
          <w:tcPr>
            <w:tcW w:w="1134" w:type="dxa"/>
            <w:vAlign w:val="center"/>
          </w:tcPr>
          <w:p>
            <w:pPr>
              <w:pStyle w:val="11"/>
            </w:pPr>
            <w:r>
              <w:t>0.07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1039.68</w:t>
            </w:r>
          </w:p>
        </w:tc>
        <w:tc>
          <w:tcPr>
            <w:tcW w:w="1134" w:type="dxa"/>
            <w:vAlign w:val="center"/>
          </w:tcPr>
          <w:p>
            <w:pPr>
              <w:pStyle w:val="11"/>
            </w:pPr>
            <w:r>
              <w:t>1039.68</w:t>
            </w:r>
          </w:p>
        </w:tc>
        <w:tc>
          <w:tcPr>
            <w:tcW w:w="1134" w:type="dxa"/>
            <w:vAlign w:val="center"/>
          </w:tcPr>
          <w:p>
            <w:pPr>
              <w:pStyle w:val="11"/>
            </w:pPr>
            <w:r>
              <w:t>1039.68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1039.68</w:t>
            </w:r>
          </w:p>
        </w:tc>
        <w:tc>
          <w:tcPr>
            <w:tcW w:w="1134" w:type="dxa"/>
            <w:vAlign w:val="center"/>
          </w:tcPr>
          <w:p>
            <w:pPr>
              <w:pStyle w:val="11"/>
            </w:pPr>
            <w:r>
              <w:t>1039.68</w:t>
            </w:r>
          </w:p>
        </w:tc>
        <w:tc>
          <w:tcPr>
            <w:tcW w:w="1134" w:type="dxa"/>
            <w:vAlign w:val="center"/>
          </w:tcPr>
          <w:p>
            <w:pPr>
              <w:pStyle w:val="11"/>
            </w:pPr>
            <w:r>
              <w:t>1039.68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877.09</w:t>
            </w:r>
          </w:p>
        </w:tc>
        <w:tc>
          <w:tcPr>
            <w:tcW w:w="1134" w:type="dxa"/>
            <w:vAlign w:val="center"/>
          </w:tcPr>
          <w:p>
            <w:pPr>
              <w:pStyle w:val="11"/>
            </w:pPr>
            <w:r>
              <w:t>877.09</w:t>
            </w:r>
          </w:p>
        </w:tc>
        <w:tc>
          <w:tcPr>
            <w:tcW w:w="1134" w:type="dxa"/>
            <w:vAlign w:val="center"/>
          </w:tcPr>
          <w:p>
            <w:pPr>
              <w:pStyle w:val="11"/>
            </w:pPr>
            <w:r>
              <w:t>877.09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877.09</w:t>
            </w:r>
          </w:p>
        </w:tc>
        <w:tc>
          <w:tcPr>
            <w:tcW w:w="1134" w:type="dxa"/>
            <w:vAlign w:val="center"/>
          </w:tcPr>
          <w:p>
            <w:pPr>
              <w:pStyle w:val="11"/>
            </w:pPr>
            <w:r>
              <w:t>877.09</w:t>
            </w:r>
          </w:p>
        </w:tc>
        <w:tc>
          <w:tcPr>
            <w:tcW w:w="1134" w:type="dxa"/>
            <w:vAlign w:val="center"/>
          </w:tcPr>
          <w:p>
            <w:pPr>
              <w:pStyle w:val="11"/>
            </w:pPr>
            <w:r>
              <w:t>877.09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2248.64</w:t>
            </w:r>
          </w:p>
        </w:tc>
        <w:tc>
          <w:tcPr>
            <w:tcW w:w="1361" w:type="dxa"/>
            <w:vAlign w:val="center"/>
          </w:tcPr>
          <w:p>
            <w:pPr>
              <w:pStyle w:val="15"/>
            </w:pPr>
            <w:r>
              <w:t>326.00</w:t>
            </w:r>
          </w:p>
        </w:tc>
        <w:tc>
          <w:tcPr>
            <w:tcW w:w="1361" w:type="dxa"/>
            <w:vAlign w:val="center"/>
          </w:tcPr>
          <w:p>
            <w:pPr>
              <w:pStyle w:val="15"/>
            </w:pPr>
            <w:r>
              <w:t>1922.64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52.72</w:t>
            </w:r>
          </w:p>
        </w:tc>
        <w:tc>
          <w:tcPr>
            <w:tcW w:w="1361" w:type="dxa"/>
            <w:vAlign w:val="center"/>
          </w:tcPr>
          <w:p>
            <w:pPr>
              <w:pStyle w:val="11"/>
            </w:pPr>
            <w:r>
              <w:t>46.92</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46.92</w:t>
            </w:r>
          </w:p>
        </w:tc>
        <w:tc>
          <w:tcPr>
            <w:tcW w:w="1361" w:type="dxa"/>
            <w:vAlign w:val="center"/>
          </w:tcPr>
          <w:p>
            <w:pPr>
              <w:pStyle w:val="11"/>
            </w:pPr>
            <w:r>
              <w:t>46.92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28.99</w:t>
            </w:r>
          </w:p>
        </w:tc>
        <w:tc>
          <w:tcPr>
            <w:tcW w:w="1361" w:type="dxa"/>
            <w:vAlign w:val="center"/>
          </w:tcPr>
          <w:p>
            <w:pPr>
              <w:pStyle w:val="11"/>
            </w:pPr>
            <w:r>
              <w:t>28.99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17.93</w:t>
            </w:r>
          </w:p>
        </w:tc>
        <w:tc>
          <w:tcPr>
            <w:tcW w:w="1361" w:type="dxa"/>
            <w:vAlign w:val="center"/>
          </w:tcPr>
          <w:p>
            <w:pPr>
              <w:pStyle w:val="11"/>
            </w:pPr>
            <w:r>
              <w:t>17.93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11.57</w:t>
            </w:r>
          </w:p>
        </w:tc>
        <w:tc>
          <w:tcPr>
            <w:tcW w:w="1361" w:type="dxa"/>
            <w:vAlign w:val="center"/>
          </w:tcPr>
          <w:p>
            <w:pPr>
              <w:pStyle w:val="11"/>
            </w:pPr>
            <w:r>
              <w:t>11.57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11.57</w:t>
            </w:r>
          </w:p>
        </w:tc>
        <w:tc>
          <w:tcPr>
            <w:tcW w:w="1361" w:type="dxa"/>
            <w:vAlign w:val="center"/>
          </w:tcPr>
          <w:p>
            <w:pPr>
              <w:pStyle w:val="11"/>
            </w:pPr>
            <w:r>
              <w:t>11.57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11.57</w:t>
            </w:r>
          </w:p>
        </w:tc>
        <w:tc>
          <w:tcPr>
            <w:tcW w:w="1361" w:type="dxa"/>
            <w:vAlign w:val="center"/>
          </w:tcPr>
          <w:p>
            <w:pPr>
              <w:pStyle w:val="11"/>
            </w:pPr>
            <w:r>
              <w:t>11.57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2167.85</w:t>
            </w:r>
          </w:p>
        </w:tc>
        <w:tc>
          <w:tcPr>
            <w:tcW w:w="1361" w:type="dxa"/>
            <w:vAlign w:val="center"/>
          </w:tcPr>
          <w:p>
            <w:pPr>
              <w:pStyle w:val="11"/>
            </w:pPr>
            <w:r>
              <w:t>251.01</w:t>
            </w:r>
          </w:p>
        </w:tc>
        <w:tc>
          <w:tcPr>
            <w:tcW w:w="1361" w:type="dxa"/>
            <w:vAlign w:val="center"/>
          </w:tcPr>
          <w:p>
            <w:pPr>
              <w:pStyle w:val="11"/>
            </w:pPr>
            <w:r>
              <w:t>1916.84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251.08</w:t>
            </w:r>
          </w:p>
        </w:tc>
        <w:tc>
          <w:tcPr>
            <w:tcW w:w="1361" w:type="dxa"/>
            <w:vAlign w:val="center"/>
          </w:tcPr>
          <w:p>
            <w:pPr>
              <w:pStyle w:val="11"/>
            </w:pPr>
            <w:r>
              <w:t>251.01</w:t>
            </w:r>
          </w:p>
        </w:tc>
        <w:tc>
          <w:tcPr>
            <w:tcW w:w="1361" w:type="dxa"/>
            <w:vAlign w:val="center"/>
          </w:tcPr>
          <w:p>
            <w:pPr>
              <w:pStyle w:val="11"/>
            </w:pPr>
            <w:r>
              <w:t>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251.01</w:t>
            </w:r>
          </w:p>
        </w:tc>
        <w:tc>
          <w:tcPr>
            <w:tcW w:w="1361" w:type="dxa"/>
            <w:vAlign w:val="center"/>
          </w:tcPr>
          <w:p>
            <w:pPr>
              <w:pStyle w:val="11"/>
            </w:pPr>
            <w:r>
              <w:t>251.01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0.07</w:t>
            </w:r>
          </w:p>
        </w:tc>
        <w:tc>
          <w:tcPr>
            <w:tcW w:w="1361" w:type="dxa"/>
            <w:vAlign w:val="center"/>
          </w:tcPr>
          <w:p>
            <w:pPr>
              <w:pStyle w:val="11"/>
            </w:pPr>
          </w:p>
        </w:tc>
        <w:tc>
          <w:tcPr>
            <w:tcW w:w="1361" w:type="dxa"/>
            <w:vAlign w:val="center"/>
          </w:tcPr>
          <w:p>
            <w:pPr>
              <w:pStyle w:val="11"/>
            </w:pPr>
            <w:r>
              <w:t>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1039.68</w:t>
            </w:r>
          </w:p>
        </w:tc>
        <w:tc>
          <w:tcPr>
            <w:tcW w:w="1361" w:type="dxa"/>
            <w:vAlign w:val="center"/>
          </w:tcPr>
          <w:p>
            <w:pPr>
              <w:pStyle w:val="11"/>
            </w:pPr>
          </w:p>
        </w:tc>
        <w:tc>
          <w:tcPr>
            <w:tcW w:w="1361" w:type="dxa"/>
            <w:vAlign w:val="center"/>
          </w:tcPr>
          <w:p>
            <w:pPr>
              <w:pStyle w:val="11"/>
            </w:pPr>
            <w:r>
              <w:t>1039.68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1039.68</w:t>
            </w:r>
          </w:p>
        </w:tc>
        <w:tc>
          <w:tcPr>
            <w:tcW w:w="1361" w:type="dxa"/>
            <w:vAlign w:val="center"/>
          </w:tcPr>
          <w:p>
            <w:pPr>
              <w:pStyle w:val="11"/>
            </w:pPr>
          </w:p>
        </w:tc>
        <w:tc>
          <w:tcPr>
            <w:tcW w:w="1361" w:type="dxa"/>
            <w:vAlign w:val="center"/>
          </w:tcPr>
          <w:p>
            <w:pPr>
              <w:pStyle w:val="11"/>
            </w:pPr>
            <w:r>
              <w:t>1039.68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877.09</w:t>
            </w:r>
          </w:p>
        </w:tc>
        <w:tc>
          <w:tcPr>
            <w:tcW w:w="1361" w:type="dxa"/>
            <w:vAlign w:val="center"/>
          </w:tcPr>
          <w:p>
            <w:pPr>
              <w:pStyle w:val="11"/>
            </w:pPr>
          </w:p>
        </w:tc>
        <w:tc>
          <w:tcPr>
            <w:tcW w:w="1361" w:type="dxa"/>
            <w:vAlign w:val="center"/>
          </w:tcPr>
          <w:p>
            <w:pPr>
              <w:pStyle w:val="11"/>
            </w:pPr>
            <w:r>
              <w:t>877.09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877.09</w:t>
            </w:r>
          </w:p>
        </w:tc>
        <w:tc>
          <w:tcPr>
            <w:tcW w:w="1361" w:type="dxa"/>
            <w:vAlign w:val="center"/>
          </w:tcPr>
          <w:p>
            <w:pPr>
              <w:pStyle w:val="11"/>
            </w:pPr>
          </w:p>
        </w:tc>
        <w:tc>
          <w:tcPr>
            <w:tcW w:w="1361" w:type="dxa"/>
            <w:vAlign w:val="center"/>
          </w:tcPr>
          <w:p>
            <w:pPr>
              <w:pStyle w:val="11"/>
            </w:pPr>
            <w:r>
              <w:t>877.09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16.50</w:t>
            </w:r>
          </w:p>
        </w:tc>
        <w:tc>
          <w:tcPr>
            <w:tcW w:w="1361" w:type="dxa"/>
            <w:vAlign w:val="center"/>
          </w:tcPr>
          <w:p>
            <w:pPr>
              <w:pStyle w:val="11"/>
            </w:pPr>
            <w:r>
              <w:t>16.50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16.50</w:t>
            </w:r>
          </w:p>
        </w:tc>
        <w:tc>
          <w:tcPr>
            <w:tcW w:w="1361" w:type="dxa"/>
            <w:vAlign w:val="center"/>
          </w:tcPr>
          <w:p>
            <w:pPr>
              <w:pStyle w:val="11"/>
            </w:pPr>
            <w:r>
              <w:t>16.50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16.50</w:t>
            </w:r>
          </w:p>
        </w:tc>
        <w:tc>
          <w:tcPr>
            <w:tcW w:w="1361" w:type="dxa"/>
            <w:vAlign w:val="center"/>
          </w:tcPr>
          <w:p>
            <w:pPr>
              <w:pStyle w:val="11"/>
            </w:pPr>
            <w:r>
              <w:t>16.50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1371.55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877.09</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52.72</w:t>
            </w:r>
          </w:p>
        </w:tc>
        <w:tc>
          <w:tcPr>
            <w:tcW w:w="1474" w:type="dxa"/>
            <w:vAlign w:val="center"/>
          </w:tcPr>
          <w:p>
            <w:pPr>
              <w:pStyle w:val="11"/>
            </w:pPr>
            <w:r>
              <w:t>52.72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11.57</w:t>
            </w:r>
          </w:p>
        </w:tc>
        <w:tc>
          <w:tcPr>
            <w:tcW w:w="1474" w:type="dxa"/>
            <w:vAlign w:val="center"/>
          </w:tcPr>
          <w:p>
            <w:pPr>
              <w:pStyle w:val="11"/>
            </w:pPr>
            <w:r>
              <w:t>11.57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2167.85</w:t>
            </w:r>
          </w:p>
        </w:tc>
        <w:tc>
          <w:tcPr>
            <w:tcW w:w="1474" w:type="dxa"/>
            <w:vAlign w:val="center"/>
          </w:tcPr>
          <w:p>
            <w:pPr>
              <w:pStyle w:val="11"/>
            </w:pPr>
            <w:r>
              <w:t>1290.76</w:t>
            </w:r>
          </w:p>
        </w:tc>
        <w:tc>
          <w:tcPr>
            <w:tcW w:w="1474" w:type="dxa"/>
            <w:vAlign w:val="center"/>
          </w:tcPr>
          <w:p>
            <w:pPr>
              <w:pStyle w:val="11"/>
            </w:pPr>
            <w:r>
              <w:t>877.09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16.50</w:t>
            </w:r>
          </w:p>
        </w:tc>
        <w:tc>
          <w:tcPr>
            <w:tcW w:w="1474" w:type="dxa"/>
            <w:vAlign w:val="center"/>
          </w:tcPr>
          <w:p>
            <w:pPr>
              <w:pStyle w:val="11"/>
            </w:pPr>
            <w:r>
              <w:t>16.50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2248.64</w:t>
            </w:r>
          </w:p>
        </w:tc>
        <w:tc>
          <w:tcPr>
            <w:tcW w:w="3402" w:type="dxa"/>
            <w:vAlign w:val="center"/>
          </w:tcPr>
          <w:p>
            <w:pPr>
              <w:pStyle w:val="14"/>
            </w:pPr>
            <w:r>
              <w:t>本年支出合计</w:t>
            </w:r>
          </w:p>
        </w:tc>
        <w:tc>
          <w:tcPr>
            <w:tcW w:w="1474" w:type="dxa"/>
            <w:vAlign w:val="center"/>
          </w:tcPr>
          <w:p>
            <w:pPr>
              <w:pStyle w:val="15"/>
            </w:pPr>
            <w:r>
              <w:t>2248.64</w:t>
            </w:r>
          </w:p>
        </w:tc>
        <w:tc>
          <w:tcPr>
            <w:tcW w:w="1474" w:type="dxa"/>
            <w:vAlign w:val="center"/>
          </w:tcPr>
          <w:p>
            <w:pPr>
              <w:pStyle w:val="15"/>
            </w:pPr>
            <w:r>
              <w:t>1371.55</w:t>
            </w:r>
          </w:p>
        </w:tc>
        <w:tc>
          <w:tcPr>
            <w:tcW w:w="1474" w:type="dxa"/>
            <w:vAlign w:val="center"/>
          </w:tcPr>
          <w:p>
            <w:pPr>
              <w:pStyle w:val="15"/>
            </w:pPr>
            <w:r>
              <w:t>877.09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2248.64</w:t>
            </w:r>
          </w:p>
        </w:tc>
        <w:tc>
          <w:tcPr>
            <w:tcW w:w="3402" w:type="dxa"/>
            <w:vAlign w:val="center"/>
          </w:tcPr>
          <w:p>
            <w:pPr>
              <w:pStyle w:val="14"/>
            </w:pPr>
            <w:r>
              <w:t>支出总计</w:t>
            </w:r>
          </w:p>
        </w:tc>
        <w:tc>
          <w:tcPr>
            <w:tcW w:w="1474" w:type="dxa"/>
            <w:vAlign w:val="center"/>
          </w:tcPr>
          <w:p>
            <w:pPr>
              <w:pStyle w:val="15"/>
            </w:pPr>
            <w:r>
              <w:t>2248.64</w:t>
            </w:r>
          </w:p>
        </w:tc>
        <w:tc>
          <w:tcPr>
            <w:tcW w:w="1474" w:type="dxa"/>
            <w:vAlign w:val="center"/>
          </w:tcPr>
          <w:p>
            <w:pPr>
              <w:pStyle w:val="15"/>
            </w:pPr>
            <w:r>
              <w:t>1371.55</w:t>
            </w:r>
          </w:p>
        </w:tc>
        <w:tc>
          <w:tcPr>
            <w:tcW w:w="1474" w:type="dxa"/>
            <w:vAlign w:val="center"/>
          </w:tcPr>
          <w:p>
            <w:pPr>
              <w:pStyle w:val="15"/>
            </w:pPr>
            <w:r>
              <w:t>877.09</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1371.55</w:t>
            </w:r>
          </w:p>
        </w:tc>
        <w:tc>
          <w:tcPr>
            <w:tcW w:w="2551" w:type="dxa"/>
            <w:vAlign w:val="center"/>
          </w:tcPr>
          <w:p>
            <w:pPr>
              <w:pStyle w:val="15"/>
            </w:pPr>
            <w:r>
              <w:t>326.00</w:t>
            </w:r>
          </w:p>
        </w:tc>
        <w:tc>
          <w:tcPr>
            <w:tcW w:w="2551" w:type="dxa"/>
            <w:vAlign w:val="center"/>
          </w:tcPr>
          <w:p>
            <w:pPr>
              <w:pStyle w:val="15"/>
            </w:pPr>
            <w:r>
              <w:t>1045.55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52.72</w:t>
            </w:r>
          </w:p>
        </w:tc>
        <w:tc>
          <w:tcPr>
            <w:tcW w:w="2551" w:type="dxa"/>
            <w:vAlign w:val="center"/>
          </w:tcPr>
          <w:p>
            <w:pPr>
              <w:pStyle w:val="11"/>
            </w:pPr>
            <w:r>
              <w:t>46.92</w:t>
            </w:r>
          </w:p>
        </w:tc>
        <w:tc>
          <w:tcPr>
            <w:tcW w:w="2551" w:type="dxa"/>
            <w:vAlign w:val="center"/>
          </w:tcPr>
          <w:p>
            <w:pPr>
              <w:pStyle w:val="11"/>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46.92</w:t>
            </w:r>
          </w:p>
        </w:tc>
        <w:tc>
          <w:tcPr>
            <w:tcW w:w="2551" w:type="dxa"/>
            <w:vAlign w:val="center"/>
          </w:tcPr>
          <w:p>
            <w:pPr>
              <w:pStyle w:val="11"/>
            </w:pPr>
            <w:r>
              <w:t>46.92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28.99</w:t>
            </w:r>
          </w:p>
        </w:tc>
        <w:tc>
          <w:tcPr>
            <w:tcW w:w="2551" w:type="dxa"/>
            <w:vAlign w:val="center"/>
          </w:tcPr>
          <w:p>
            <w:pPr>
              <w:pStyle w:val="11"/>
            </w:pPr>
            <w:r>
              <w:t>28.99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17.93</w:t>
            </w:r>
          </w:p>
        </w:tc>
        <w:tc>
          <w:tcPr>
            <w:tcW w:w="2551" w:type="dxa"/>
            <w:vAlign w:val="center"/>
          </w:tcPr>
          <w:p>
            <w:pPr>
              <w:pStyle w:val="11"/>
            </w:pPr>
            <w:r>
              <w:t>17.93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5.80</w:t>
            </w:r>
          </w:p>
        </w:tc>
        <w:tc>
          <w:tcPr>
            <w:tcW w:w="2551" w:type="dxa"/>
            <w:vAlign w:val="center"/>
          </w:tcPr>
          <w:p>
            <w:pPr>
              <w:pStyle w:val="11"/>
            </w:pPr>
          </w:p>
        </w:tc>
        <w:tc>
          <w:tcPr>
            <w:tcW w:w="2551" w:type="dxa"/>
            <w:vAlign w:val="center"/>
          </w:tcPr>
          <w:p>
            <w:pPr>
              <w:pStyle w:val="11"/>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5.80</w:t>
            </w:r>
          </w:p>
        </w:tc>
        <w:tc>
          <w:tcPr>
            <w:tcW w:w="2551" w:type="dxa"/>
            <w:vAlign w:val="center"/>
          </w:tcPr>
          <w:p>
            <w:pPr>
              <w:pStyle w:val="11"/>
            </w:pPr>
          </w:p>
        </w:tc>
        <w:tc>
          <w:tcPr>
            <w:tcW w:w="2551" w:type="dxa"/>
            <w:vAlign w:val="center"/>
          </w:tcPr>
          <w:p>
            <w:pPr>
              <w:pStyle w:val="11"/>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11.57</w:t>
            </w:r>
          </w:p>
        </w:tc>
        <w:tc>
          <w:tcPr>
            <w:tcW w:w="2551" w:type="dxa"/>
            <w:vAlign w:val="center"/>
          </w:tcPr>
          <w:p>
            <w:pPr>
              <w:pStyle w:val="11"/>
            </w:pPr>
            <w:r>
              <w:t>11.57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11.57</w:t>
            </w:r>
          </w:p>
        </w:tc>
        <w:tc>
          <w:tcPr>
            <w:tcW w:w="2551" w:type="dxa"/>
            <w:vAlign w:val="center"/>
          </w:tcPr>
          <w:p>
            <w:pPr>
              <w:pStyle w:val="11"/>
            </w:pPr>
            <w:r>
              <w:t>11.57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11.57</w:t>
            </w:r>
          </w:p>
        </w:tc>
        <w:tc>
          <w:tcPr>
            <w:tcW w:w="2551" w:type="dxa"/>
            <w:vAlign w:val="center"/>
          </w:tcPr>
          <w:p>
            <w:pPr>
              <w:pStyle w:val="11"/>
            </w:pPr>
            <w:r>
              <w:t>11.57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1290.76</w:t>
            </w:r>
          </w:p>
        </w:tc>
        <w:tc>
          <w:tcPr>
            <w:tcW w:w="2551" w:type="dxa"/>
            <w:vAlign w:val="center"/>
          </w:tcPr>
          <w:p>
            <w:pPr>
              <w:pStyle w:val="11"/>
            </w:pPr>
            <w:r>
              <w:t>251.01</w:t>
            </w:r>
          </w:p>
        </w:tc>
        <w:tc>
          <w:tcPr>
            <w:tcW w:w="2551" w:type="dxa"/>
            <w:vAlign w:val="center"/>
          </w:tcPr>
          <w:p>
            <w:pPr>
              <w:pStyle w:val="11"/>
            </w:pPr>
            <w:r>
              <w:t>1039.75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251.08</w:t>
            </w:r>
          </w:p>
        </w:tc>
        <w:tc>
          <w:tcPr>
            <w:tcW w:w="2551" w:type="dxa"/>
            <w:vAlign w:val="center"/>
          </w:tcPr>
          <w:p>
            <w:pPr>
              <w:pStyle w:val="11"/>
            </w:pPr>
            <w:r>
              <w:t>251.01</w:t>
            </w:r>
          </w:p>
        </w:tc>
        <w:tc>
          <w:tcPr>
            <w:tcW w:w="2551"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251.01</w:t>
            </w:r>
          </w:p>
        </w:tc>
        <w:tc>
          <w:tcPr>
            <w:tcW w:w="2551" w:type="dxa"/>
            <w:vAlign w:val="center"/>
          </w:tcPr>
          <w:p>
            <w:pPr>
              <w:pStyle w:val="11"/>
            </w:pPr>
            <w:r>
              <w:t>251.01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0.07</w:t>
            </w:r>
          </w:p>
        </w:tc>
        <w:tc>
          <w:tcPr>
            <w:tcW w:w="2551" w:type="dxa"/>
            <w:vAlign w:val="center"/>
          </w:tcPr>
          <w:p>
            <w:pPr>
              <w:pStyle w:val="11"/>
            </w:pPr>
          </w:p>
        </w:tc>
        <w:tc>
          <w:tcPr>
            <w:tcW w:w="2551"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1039.68</w:t>
            </w:r>
          </w:p>
        </w:tc>
        <w:tc>
          <w:tcPr>
            <w:tcW w:w="2551" w:type="dxa"/>
            <w:vAlign w:val="center"/>
          </w:tcPr>
          <w:p>
            <w:pPr>
              <w:pStyle w:val="11"/>
            </w:pPr>
          </w:p>
        </w:tc>
        <w:tc>
          <w:tcPr>
            <w:tcW w:w="2551" w:type="dxa"/>
            <w:vAlign w:val="center"/>
          </w:tcPr>
          <w:p>
            <w:pPr>
              <w:pStyle w:val="11"/>
            </w:pPr>
            <w:r>
              <w:t>1039.68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1039.68</w:t>
            </w:r>
          </w:p>
        </w:tc>
        <w:tc>
          <w:tcPr>
            <w:tcW w:w="2551" w:type="dxa"/>
            <w:vAlign w:val="center"/>
          </w:tcPr>
          <w:p>
            <w:pPr>
              <w:pStyle w:val="11"/>
            </w:pPr>
          </w:p>
        </w:tc>
        <w:tc>
          <w:tcPr>
            <w:tcW w:w="2551" w:type="dxa"/>
            <w:vAlign w:val="center"/>
          </w:tcPr>
          <w:p>
            <w:pPr>
              <w:pStyle w:val="11"/>
            </w:pPr>
            <w:r>
              <w:t>1039.68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16.50</w:t>
            </w:r>
          </w:p>
        </w:tc>
        <w:tc>
          <w:tcPr>
            <w:tcW w:w="2551" w:type="dxa"/>
            <w:vAlign w:val="center"/>
          </w:tcPr>
          <w:p>
            <w:pPr>
              <w:pStyle w:val="11"/>
            </w:pPr>
            <w:r>
              <w:t>16.50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16.50</w:t>
            </w:r>
          </w:p>
        </w:tc>
        <w:tc>
          <w:tcPr>
            <w:tcW w:w="2551" w:type="dxa"/>
            <w:vAlign w:val="center"/>
          </w:tcPr>
          <w:p>
            <w:pPr>
              <w:pStyle w:val="11"/>
            </w:pPr>
            <w:r>
              <w:t>16.50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16.50</w:t>
            </w:r>
          </w:p>
        </w:tc>
        <w:tc>
          <w:tcPr>
            <w:tcW w:w="2551" w:type="dxa"/>
            <w:vAlign w:val="center"/>
          </w:tcPr>
          <w:p>
            <w:pPr>
              <w:pStyle w:val="11"/>
            </w:pPr>
            <w:r>
              <w:t>16.50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326.00</w:t>
            </w:r>
          </w:p>
        </w:tc>
        <w:tc>
          <w:tcPr>
            <w:tcW w:w="2551" w:type="dxa"/>
            <w:vAlign w:val="center"/>
          </w:tcPr>
          <w:p>
            <w:pPr>
              <w:pStyle w:val="15"/>
            </w:pPr>
            <w:r>
              <w:t>213.83</w:t>
            </w:r>
          </w:p>
        </w:tc>
        <w:tc>
          <w:tcPr>
            <w:tcW w:w="2551" w:type="dxa"/>
            <w:vAlign w:val="center"/>
          </w:tcPr>
          <w:p>
            <w:pPr>
              <w:pStyle w:val="15"/>
            </w:pPr>
            <w:r>
              <w:t>112.17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185.07</w:t>
            </w:r>
          </w:p>
        </w:tc>
        <w:tc>
          <w:tcPr>
            <w:tcW w:w="2551" w:type="dxa"/>
            <w:vAlign w:val="center"/>
          </w:tcPr>
          <w:p>
            <w:pPr>
              <w:pStyle w:val="11"/>
            </w:pPr>
            <w:r>
              <w:t>185.07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49.82</w:t>
            </w:r>
          </w:p>
        </w:tc>
        <w:tc>
          <w:tcPr>
            <w:tcW w:w="2551" w:type="dxa"/>
            <w:vAlign w:val="center"/>
          </w:tcPr>
          <w:p>
            <w:pPr>
              <w:pStyle w:val="11"/>
            </w:pPr>
            <w:r>
              <w:t>49.82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9.35</w:t>
            </w:r>
          </w:p>
        </w:tc>
        <w:tc>
          <w:tcPr>
            <w:tcW w:w="2551" w:type="dxa"/>
            <w:vAlign w:val="center"/>
          </w:tcPr>
          <w:p>
            <w:pPr>
              <w:pStyle w:val="11"/>
            </w:pPr>
            <w:r>
              <w:t>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78.41</w:t>
            </w:r>
          </w:p>
        </w:tc>
        <w:tc>
          <w:tcPr>
            <w:tcW w:w="2551" w:type="dxa"/>
            <w:vAlign w:val="center"/>
          </w:tcPr>
          <w:p>
            <w:pPr>
              <w:pStyle w:val="11"/>
            </w:pPr>
            <w:r>
              <w:t>78.41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17.93</w:t>
            </w:r>
          </w:p>
        </w:tc>
        <w:tc>
          <w:tcPr>
            <w:tcW w:w="2551" w:type="dxa"/>
            <w:vAlign w:val="center"/>
          </w:tcPr>
          <w:p>
            <w:pPr>
              <w:pStyle w:val="11"/>
            </w:pPr>
            <w:r>
              <w:t>17.93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5.96</w:t>
            </w:r>
          </w:p>
        </w:tc>
        <w:tc>
          <w:tcPr>
            <w:tcW w:w="2551" w:type="dxa"/>
            <w:vAlign w:val="center"/>
          </w:tcPr>
          <w:p>
            <w:pPr>
              <w:pStyle w:val="11"/>
            </w:pPr>
            <w:r>
              <w:t>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5.61</w:t>
            </w:r>
          </w:p>
        </w:tc>
        <w:tc>
          <w:tcPr>
            <w:tcW w:w="2551" w:type="dxa"/>
            <w:vAlign w:val="center"/>
          </w:tcPr>
          <w:p>
            <w:pPr>
              <w:pStyle w:val="11"/>
            </w:pPr>
            <w:r>
              <w:t>5.61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1.49</w:t>
            </w:r>
          </w:p>
        </w:tc>
        <w:tc>
          <w:tcPr>
            <w:tcW w:w="2551" w:type="dxa"/>
            <w:vAlign w:val="center"/>
          </w:tcPr>
          <w:p>
            <w:pPr>
              <w:pStyle w:val="11"/>
            </w:pPr>
            <w:r>
              <w:t>1.49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16.50</w:t>
            </w:r>
          </w:p>
        </w:tc>
        <w:tc>
          <w:tcPr>
            <w:tcW w:w="2551" w:type="dxa"/>
            <w:vAlign w:val="center"/>
          </w:tcPr>
          <w:p>
            <w:pPr>
              <w:pStyle w:val="11"/>
            </w:pPr>
            <w:r>
              <w:t>16.50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112.17</w:t>
            </w:r>
          </w:p>
        </w:tc>
        <w:tc>
          <w:tcPr>
            <w:tcW w:w="2551" w:type="dxa"/>
            <w:vAlign w:val="center"/>
          </w:tcPr>
          <w:p>
            <w:pPr>
              <w:pStyle w:val="11"/>
            </w:pPr>
          </w:p>
        </w:tc>
        <w:tc>
          <w:tcPr>
            <w:tcW w:w="2551" w:type="dxa"/>
            <w:vAlign w:val="center"/>
          </w:tcPr>
          <w:p>
            <w:pPr>
              <w:pStyle w:val="11"/>
            </w:pPr>
            <w:r>
              <w:t>112.17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6.60</w:t>
            </w:r>
          </w:p>
        </w:tc>
        <w:tc>
          <w:tcPr>
            <w:tcW w:w="2551" w:type="dxa"/>
            <w:vAlign w:val="center"/>
          </w:tcPr>
          <w:p>
            <w:pPr>
              <w:pStyle w:val="11"/>
            </w:pPr>
          </w:p>
        </w:tc>
        <w:tc>
          <w:tcPr>
            <w:tcW w:w="2551" w:type="dxa"/>
            <w:vAlign w:val="center"/>
          </w:tcPr>
          <w:p>
            <w:pPr>
              <w:pStyle w:val="11"/>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99.69</w:t>
            </w:r>
          </w:p>
        </w:tc>
        <w:tc>
          <w:tcPr>
            <w:tcW w:w="2551" w:type="dxa"/>
            <w:vAlign w:val="center"/>
          </w:tcPr>
          <w:p>
            <w:pPr>
              <w:pStyle w:val="11"/>
            </w:pPr>
          </w:p>
        </w:tc>
        <w:tc>
          <w:tcPr>
            <w:tcW w:w="2551" w:type="dxa"/>
            <w:vAlign w:val="center"/>
          </w:tcPr>
          <w:p>
            <w:pPr>
              <w:pStyle w:val="11"/>
            </w:pPr>
            <w:r>
              <w:t>99.69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1.02</w:t>
            </w:r>
          </w:p>
        </w:tc>
        <w:tc>
          <w:tcPr>
            <w:tcW w:w="2551" w:type="dxa"/>
            <w:vAlign w:val="center"/>
          </w:tcPr>
          <w:p>
            <w:pPr>
              <w:pStyle w:val="11"/>
            </w:pPr>
          </w:p>
        </w:tc>
        <w:tc>
          <w:tcPr>
            <w:tcW w:w="2551" w:type="dxa"/>
            <w:vAlign w:val="center"/>
          </w:tcPr>
          <w:p>
            <w:pPr>
              <w:pStyle w:val="11"/>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2.16</w:t>
            </w:r>
          </w:p>
        </w:tc>
        <w:tc>
          <w:tcPr>
            <w:tcW w:w="2551" w:type="dxa"/>
            <w:vAlign w:val="center"/>
          </w:tcPr>
          <w:p>
            <w:pPr>
              <w:pStyle w:val="11"/>
            </w:pPr>
          </w:p>
        </w:tc>
        <w:tc>
          <w:tcPr>
            <w:tcW w:w="2551"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28.76</w:t>
            </w:r>
          </w:p>
        </w:tc>
        <w:tc>
          <w:tcPr>
            <w:tcW w:w="2551" w:type="dxa"/>
            <w:vAlign w:val="center"/>
          </w:tcPr>
          <w:p>
            <w:pPr>
              <w:pStyle w:val="11"/>
            </w:pPr>
            <w:r>
              <w:t>28.76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28.76</w:t>
            </w:r>
          </w:p>
        </w:tc>
        <w:tc>
          <w:tcPr>
            <w:tcW w:w="2551" w:type="dxa"/>
            <w:vAlign w:val="center"/>
          </w:tcPr>
          <w:p>
            <w:pPr>
              <w:pStyle w:val="11"/>
            </w:pPr>
            <w:r>
              <w:t>28.76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877.09</w:t>
            </w:r>
          </w:p>
        </w:tc>
        <w:tc>
          <w:tcPr>
            <w:tcW w:w="2551" w:type="dxa"/>
            <w:vAlign w:val="center"/>
          </w:tcPr>
          <w:p>
            <w:pPr>
              <w:pStyle w:val="15"/>
            </w:pPr>
          </w:p>
        </w:tc>
        <w:tc>
          <w:tcPr>
            <w:tcW w:w="2551" w:type="dxa"/>
            <w:vAlign w:val="center"/>
          </w:tcPr>
          <w:p>
            <w:pPr>
              <w:pStyle w:val="15"/>
            </w:pPr>
            <w:r>
              <w:t>877.09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877.09</w:t>
            </w:r>
          </w:p>
        </w:tc>
        <w:tc>
          <w:tcPr>
            <w:tcW w:w="2551" w:type="dxa"/>
            <w:vAlign w:val="center"/>
          </w:tcPr>
          <w:p>
            <w:pPr>
              <w:pStyle w:val="11"/>
            </w:pPr>
          </w:p>
        </w:tc>
        <w:tc>
          <w:tcPr>
            <w:tcW w:w="2551" w:type="dxa"/>
            <w:vAlign w:val="center"/>
          </w:tcPr>
          <w:p>
            <w:pPr>
              <w:pStyle w:val="11"/>
            </w:pPr>
            <w:r>
              <w:t>877.09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877.09</w:t>
            </w:r>
          </w:p>
        </w:tc>
        <w:tc>
          <w:tcPr>
            <w:tcW w:w="2551" w:type="dxa"/>
            <w:vAlign w:val="center"/>
          </w:tcPr>
          <w:p>
            <w:pPr>
              <w:pStyle w:val="11"/>
            </w:pPr>
          </w:p>
        </w:tc>
        <w:tc>
          <w:tcPr>
            <w:tcW w:w="2551" w:type="dxa"/>
            <w:vAlign w:val="center"/>
          </w:tcPr>
          <w:p>
            <w:pPr>
              <w:pStyle w:val="11"/>
            </w:pPr>
            <w:r>
              <w:t>877.09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877.09</w:t>
            </w:r>
          </w:p>
        </w:tc>
        <w:tc>
          <w:tcPr>
            <w:tcW w:w="2551" w:type="dxa"/>
            <w:vAlign w:val="center"/>
          </w:tcPr>
          <w:p>
            <w:pPr>
              <w:pStyle w:val="11"/>
            </w:pPr>
          </w:p>
        </w:tc>
        <w:tc>
          <w:tcPr>
            <w:tcW w:w="2551" w:type="dxa"/>
            <w:vAlign w:val="center"/>
          </w:tcPr>
          <w:p>
            <w:pPr>
              <w:pStyle w:val="11"/>
            </w:pPr>
            <w:r>
              <w:t>877.09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石家庄市鹿泉区房屋征收中心2026年单位预算信息公开情况说明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按照《中华人民共和国预算法》、《地方预决算公开操作规程》和《关于进一步推进预算公开工作的实施意见》规定，现将石家庄市鹿泉区房屋征收中心2026年单位预算公开如下：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贯彻有关法规、规章，负责房屋征收与补偿工作；对房屋征收实施单位和房屋征收价格评估机构进行管理；管理房屋征收档案资料；对房屋征收活动进行协调和督导检查。</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石家庄市鹿泉区房屋征收中心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2248.64万元，其中：一般公共预算收入1371.55万元，基金预算收入877.09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房屋征收中心年度单位预算中支出预算的总体情况。2026年支出预算2248.64万元，其中基本支出326.00万元，包括人员经费213.83万元和日常公用经费112.17万元；项目支出1922.64万元，主要为房屋征收项目征收成本和涉军人员工资等资金支出。</w:t>
      </w:r>
    </w:p>
    <w:p>
      <w:pPr>
        <w:pStyle w:val="18"/>
      </w:pPr>
      <w:r>
        <w:t>3、比上年增减情况</w:t>
      </w:r>
    </w:p>
    <w:p>
      <w:pPr>
        <w:pStyle w:val="18"/>
      </w:pPr>
      <w:r>
        <w:t>2026年预算收支安排2248.64万元，较2025年预算减少896.11万元，其中：基本支出减少11.95万元，主要为人员经费支出减少项目支出减少884.16万元，主要为减少房屋征收项目资金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1、2026年北斗路回迁楼不动产登记证遗留问题办证费绩效目标表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13011026P00160610002B</w:t>
            </w:r>
          </w:p>
        </w:tc>
        <w:tc>
          <w:tcPr>
            <w:tcW w:w="2835" w:type="dxa"/>
            <w:vAlign w:val="center"/>
          </w:tcPr>
          <w:p>
            <w:pPr>
              <w:pStyle w:val="10"/>
            </w:pPr>
            <w:r>
              <w:t>项目名称</w:t>
            </w:r>
          </w:p>
        </w:tc>
        <w:tc>
          <w:tcPr>
            <w:tcW w:w="6095" w:type="dxa"/>
            <w:gridSpan w:val="3"/>
            <w:vAlign w:val="center"/>
          </w:tcPr>
          <w:p>
            <w:pPr>
              <w:pStyle w:val="12"/>
            </w:pPr>
            <w:r>
              <w:t>2026年北斗路回迁楼不动产登记证遗留问题办证费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0.07</w:t>
            </w:r>
          </w:p>
        </w:tc>
        <w:tc>
          <w:tcPr>
            <w:tcW w:w="2835" w:type="dxa"/>
            <w:vAlign w:val="center"/>
          </w:tcPr>
          <w:p>
            <w:pPr>
              <w:pStyle w:val="10"/>
            </w:pPr>
            <w:r>
              <w:t>其中：财政    资金</w:t>
            </w:r>
          </w:p>
        </w:tc>
        <w:tc>
          <w:tcPr>
            <w:tcW w:w="2551" w:type="dxa"/>
            <w:vAlign w:val="center"/>
          </w:tcPr>
          <w:p>
            <w:pPr>
              <w:pStyle w:val="12"/>
            </w:pPr>
            <w:r>
              <w:t>0.07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解决北斗路拆迁改造工程涉及的一街、二街、八街和水务局回迁户办理不动产登记证遗留问题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1.解决北斗路拆迁改造工程涉及的一街、二街、八街和水务局回迁户办理不动产登记证遗留问题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退费人数</w:t>
            </w:r>
          </w:p>
        </w:tc>
        <w:tc>
          <w:tcPr>
            <w:tcW w:w="5386" w:type="dxa"/>
            <w:vAlign w:val="center"/>
          </w:tcPr>
          <w:p>
            <w:pPr>
              <w:pStyle w:val="12"/>
            </w:pPr>
            <w:r>
              <w:t>手续齐全可报销人数</w:t>
            </w:r>
          </w:p>
        </w:tc>
        <w:tc>
          <w:tcPr>
            <w:tcW w:w="2268" w:type="dxa"/>
            <w:vAlign w:val="center"/>
          </w:tcPr>
          <w:p>
            <w:pPr>
              <w:pStyle w:val="12"/>
            </w:pPr>
            <w:r>
              <w:t>按实际可报销人数为准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退费完成率</w:t>
            </w:r>
          </w:p>
        </w:tc>
        <w:tc>
          <w:tcPr>
            <w:tcW w:w="5386" w:type="dxa"/>
            <w:vAlign w:val="center"/>
          </w:tcPr>
          <w:p>
            <w:pPr>
              <w:pStyle w:val="12"/>
            </w:pPr>
            <w:r>
              <w:t>实际退费占手续齐全的回迁户比率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退费时间</w:t>
            </w:r>
          </w:p>
        </w:tc>
        <w:tc>
          <w:tcPr>
            <w:tcW w:w="5386" w:type="dxa"/>
            <w:vAlign w:val="center"/>
          </w:tcPr>
          <w:p>
            <w:pPr>
              <w:pStyle w:val="12"/>
            </w:pPr>
            <w:r>
              <w:t>手续齐全的回迁户提供报销手续及时退费</w:t>
            </w:r>
          </w:p>
        </w:tc>
        <w:tc>
          <w:tcPr>
            <w:tcW w:w="2268" w:type="dxa"/>
            <w:vAlign w:val="center"/>
          </w:tcPr>
          <w:p>
            <w:pPr>
              <w:pStyle w:val="12"/>
            </w:pPr>
            <w:r>
              <w:t>≤7工作日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退费金额标准</w:t>
            </w:r>
          </w:p>
        </w:tc>
        <w:tc>
          <w:tcPr>
            <w:tcW w:w="5386" w:type="dxa"/>
            <w:vAlign w:val="center"/>
          </w:tcPr>
          <w:p>
            <w:pPr>
              <w:pStyle w:val="12"/>
            </w:pPr>
            <w:r>
              <w:t>以可报销税票上的金额为准</w:t>
            </w:r>
          </w:p>
        </w:tc>
        <w:tc>
          <w:tcPr>
            <w:tcW w:w="2268" w:type="dxa"/>
            <w:vAlign w:val="center"/>
          </w:tcPr>
          <w:p>
            <w:pPr>
              <w:pStyle w:val="12"/>
            </w:pPr>
            <w:r>
              <w:t>可报销税票上的金额为准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办理退费手续完成率</w:t>
            </w:r>
          </w:p>
        </w:tc>
        <w:tc>
          <w:tcPr>
            <w:tcW w:w="5386" w:type="dxa"/>
            <w:vAlign w:val="center"/>
          </w:tcPr>
          <w:p>
            <w:pPr>
              <w:pStyle w:val="12"/>
            </w:pPr>
            <w:r>
              <w:t>正常有序、及时办理退费手续率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回迁户满意度</w:t>
            </w:r>
          </w:p>
        </w:tc>
        <w:tc>
          <w:tcPr>
            <w:tcW w:w="5386" w:type="dxa"/>
            <w:vAlign w:val="center"/>
          </w:tcPr>
          <w:p>
            <w:pPr>
              <w:pStyle w:val="12"/>
            </w:pPr>
            <w:r>
              <w:t>北斗路拆迁改造工程涉及的一街、二街、八街和水务局回迁户满意度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2、2026年龙泉片区旧城改造拆迁成本（一期）绩效目标表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13011026P000008100064</w:t>
            </w:r>
          </w:p>
        </w:tc>
        <w:tc>
          <w:tcPr>
            <w:tcW w:w="2835" w:type="dxa"/>
            <w:vAlign w:val="center"/>
          </w:tcPr>
          <w:p>
            <w:pPr>
              <w:pStyle w:val="10"/>
            </w:pPr>
            <w:r>
              <w:t>项目名称</w:t>
            </w:r>
          </w:p>
        </w:tc>
        <w:tc>
          <w:tcPr>
            <w:tcW w:w="6095" w:type="dxa"/>
            <w:gridSpan w:val="3"/>
            <w:vAlign w:val="center"/>
          </w:tcPr>
          <w:p>
            <w:pPr>
              <w:pStyle w:val="12"/>
            </w:pPr>
            <w:r>
              <w:t>2026年龙泉片区旧城改造拆迁成本（一期）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91.69</w:t>
            </w:r>
          </w:p>
        </w:tc>
        <w:tc>
          <w:tcPr>
            <w:tcW w:w="2835" w:type="dxa"/>
            <w:vAlign w:val="center"/>
          </w:tcPr>
          <w:p>
            <w:pPr>
              <w:pStyle w:val="10"/>
            </w:pPr>
            <w:r>
              <w:t>其中：财政    资金</w:t>
            </w:r>
          </w:p>
        </w:tc>
        <w:tc>
          <w:tcPr>
            <w:tcW w:w="2551" w:type="dxa"/>
            <w:vAlign w:val="center"/>
          </w:tcPr>
          <w:p>
            <w:pPr>
              <w:pStyle w:val="12"/>
            </w:pPr>
            <w:r>
              <w:t>91.69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主要用于回迁楼建设支出，保障回迁楼建设如期完工</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1.主要用于回迁楼建设支出，保障回迁楼建设如期完工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征收项目数量</w:t>
            </w:r>
          </w:p>
        </w:tc>
        <w:tc>
          <w:tcPr>
            <w:tcW w:w="5386" w:type="dxa"/>
            <w:vAlign w:val="center"/>
          </w:tcPr>
          <w:p>
            <w:pPr>
              <w:pStyle w:val="12"/>
            </w:pPr>
            <w:r>
              <w:t>拆迁成本用于征收项目数量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保障回迁楼建设完成率</w:t>
            </w:r>
          </w:p>
        </w:tc>
        <w:tc>
          <w:tcPr>
            <w:tcW w:w="5386" w:type="dxa"/>
            <w:vAlign w:val="center"/>
          </w:tcPr>
          <w:p>
            <w:pPr>
              <w:pStyle w:val="12"/>
            </w:pPr>
            <w:r>
              <w:t>保障回迁楼建设完成率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及时支付拆迁成本</w:t>
            </w:r>
          </w:p>
        </w:tc>
        <w:tc>
          <w:tcPr>
            <w:tcW w:w="5386" w:type="dxa"/>
            <w:vAlign w:val="center"/>
          </w:tcPr>
          <w:p>
            <w:pPr>
              <w:pStyle w:val="12"/>
            </w:pPr>
            <w:r>
              <w:t>根据审核通过的申请及时支付拆迁成本</w:t>
            </w:r>
          </w:p>
        </w:tc>
        <w:tc>
          <w:tcPr>
            <w:tcW w:w="2268" w:type="dxa"/>
            <w:vAlign w:val="center"/>
          </w:tcPr>
          <w:p>
            <w:pPr>
              <w:pStyle w:val="12"/>
            </w:pPr>
            <w:r>
              <w:t>≤3工作日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拆迁成本</w:t>
            </w:r>
          </w:p>
        </w:tc>
        <w:tc>
          <w:tcPr>
            <w:tcW w:w="5386" w:type="dxa"/>
            <w:vAlign w:val="center"/>
          </w:tcPr>
          <w:p>
            <w:pPr>
              <w:pStyle w:val="12"/>
            </w:pPr>
            <w:r>
              <w:t>拆迁成本</w:t>
            </w:r>
          </w:p>
        </w:tc>
        <w:tc>
          <w:tcPr>
            <w:tcW w:w="2268" w:type="dxa"/>
            <w:vAlign w:val="center"/>
          </w:tcPr>
          <w:p>
            <w:pPr>
              <w:pStyle w:val="12"/>
            </w:pPr>
            <w:r>
              <w:t>91.69万元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交房期限</w:t>
            </w:r>
          </w:p>
        </w:tc>
        <w:tc>
          <w:tcPr>
            <w:tcW w:w="5386" w:type="dxa"/>
            <w:vAlign w:val="center"/>
          </w:tcPr>
          <w:p>
            <w:pPr>
              <w:pStyle w:val="12"/>
            </w:pPr>
            <w:r>
              <w:t>回迁楼交房期限</w:t>
            </w:r>
          </w:p>
        </w:tc>
        <w:tc>
          <w:tcPr>
            <w:tcW w:w="2268" w:type="dxa"/>
            <w:vAlign w:val="center"/>
          </w:tcPr>
          <w:p>
            <w:pPr>
              <w:pStyle w:val="12"/>
            </w:pPr>
            <w:r>
              <w:t>≤2年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3、2026年龙泉片区旧城改造项目拆迁成本（一期）绩效目标表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13011026P00000810012H</w:t>
            </w:r>
          </w:p>
        </w:tc>
        <w:tc>
          <w:tcPr>
            <w:tcW w:w="2835" w:type="dxa"/>
            <w:vAlign w:val="center"/>
          </w:tcPr>
          <w:p>
            <w:pPr>
              <w:pStyle w:val="10"/>
            </w:pPr>
            <w:r>
              <w:t>项目名称</w:t>
            </w:r>
          </w:p>
        </w:tc>
        <w:tc>
          <w:tcPr>
            <w:tcW w:w="6095" w:type="dxa"/>
            <w:gridSpan w:val="3"/>
            <w:vAlign w:val="center"/>
          </w:tcPr>
          <w:p>
            <w:pPr>
              <w:pStyle w:val="12"/>
            </w:pPr>
            <w:r>
              <w:t>2026年龙泉片区旧城改造项目拆迁成本（一期）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430.00</w:t>
            </w:r>
          </w:p>
        </w:tc>
        <w:tc>
          <w:tcPr>
            <w:tcW w:w="2835" w:type="dxa"/>
            <w:vAlign w:val="center"/>
          </w:tcPr>
          <w:p>
            <w:pPr>
              <w:pStyle w:val="10"/>
            </w:pPr>
            <w:r>
              <w:t>其中：财政    资金</w:t>
            </w:r>
          </w:p>
        </w:tc>
        <w:tc>
          <w:tcPr>
            <w:tcW w:w="2551" w:type="dxa"/>
            <w:vAlign w:val="center"/>
          </w:tcPr>
          <w:p>
            <w:pPr>
              <w:pStyle w:val="12"/>
            </w:pPr>
            <w:r>
              <w:t>430.00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主要用于回迁楼建设支出，保障回迁楼建设如期完工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1.主要用于回迁楼建设支出，保障回迁楼建设如期完工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征收项目数量</w:t>
            </w:r>
          </w:p>
        </w:tc>
        <w:tc>
          <w:tcPr>
            <w:tcW w:w="5386" w:type="dxa"/>
            <w:vAlign w:val="center"/>
          </w:tcPr>
          <w:p>
            <w:pPr>
              <w:pStyle w:val="12"/>
            </w:pPr>
            <w:r>
              <w:t>拆迁成本用于征收项目数量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保障回迁楼建设完成率</w:t>
            </w:r>
          </w:p>
        </w:tc>
        <w:tc>
          <w:tcPr>
            <w:tcW w:w="5386" w:type="dxa"/>
            <w:vAlign w:val="center"/>
          </w:tcPr>
          <w:p>
            <w:pPr>
              <w:pStyle w:val="12"/>
            </w:pPr>
            <w:r>
              <w:t>保障回迁楼建设完成率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支付拆迁成本的时间</w:t>
            </w:r>
          </w:p>
        </w:tc>
        <w:tc>
          <w:tcPr>
            <w:tcW w:w="5386" w:type="dxa"/>
            <w:vAlign w:val="center"/>
          </w:tcPr>
          <w:p>
            <w:pPr>
              <w:pStyle w:val="12"/>
            </w:pPr>
            <w:r>
              <w:t>根据审核通过的申请及时支付拆迁成本</w:t>
            </w:r>
          </w:p>
        </w:tc>
        <w:tc>
          <w:tcPr>
            <w:tcW w:w="2268" w:type="dxa"/>
            <w:vAlign w:val="center"/>
          </w:tcPr>
          <w:p>
            <w:pPr>
              <w:pStyle w:val="12"/>
            </w:pPr>
            <w:r>
              <w:t>≤3工作日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拆迁成本</w:t>
            </w:r>
          </w:p>
        </w:tc>
        <w:tc>
          <w:tcPr>
            <w:tcW w:w="5386" w:type="dxa"/>
            <w:vAlign w:val="center"/>
          </w:tcPr>
          <w:p>
            <w:pPr>
              <w:pStyle w:val="12"/>
            </w:pPr>
            <w:r>
              <w:t>拆迁成本</w:t>
            </w:r>
          </w:p>
        </w:tc>
        <w:tc>
          <w:tcPr>
            <w:tcW w:w="2268" w:type="dxa"/>
            <w:vAlign w:val="center"/>
          </w:tcPr>
          <w:p>
            <w:pPr>
              <w:pStyle w:val="12"/>
            </w:pPr>
            <w:r>
              <w:t>430万元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交房期限</w:t>
            </w:r>
          </w:p>
        </w:tc>
        <w:tc>
          <w:tcPr>
            <w:tcW w:w="5386" w:type="dxa"/>
            <w:vAlign w:val="center"/>
          </w:tcPr>
          <w:p>
            <w:pPr>
              <w:pStyle w:val="12"/>
            </w:pPr>
            <w:r>
              <w:t>回迁楼交房期限</w:t>
            </w:r>
          </w:p>
        </w:tc>
        <w:tc>
          <w:tcPr>
            <w:tcW w:w="2268" w:type="dxa"/>
            <w:vAlign w:val="center"/>
          </w:tcPr>
          <w:p>
            <w:pPr>
              <w:pStyle w:val="12"/>
            </w:pPr>
            <w:r>
              <w:t>≤2年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4、2026年涉军人员工资及社保绩效目标表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13011026P001540100516</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5.80</w:t>
            </w:r>
          </w:p>
        </w:tc>
        <w:tc>
          <w:tcPr>
            <w:tcW w:w="2835" w:type="dxa"/>
            <w:vAlign w:val="center"/>
          </w:tcPr>
          <w:p>
            <w:pPr>
              <w:pStyle w:val="10"/>
            </w:pPr>
            <w:r>
              <w:t>其中：财政    资金</w:t>
            </w:r>
          </w:p>
        </w:tc>
        <w:tc>
          <w:tcPr>
            <w:tcW w:w="2551" w:type="dxa"/>
            <w:vAlign w:val="center"/>
          </w:tcPr>
          <w:p>
            <w:pPr>
              <w:pStyle w:val="12"/>
            </w:pPr>
            <w:r>
              <w:t>5.80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涉军人员工资及社保费用支出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1.对符合条件的退役军人1人，实行托管安置，帮扶到位，加大就业援助力度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退役人数</w:t>
            </w:r>
          </w:p>
        </w:tc>
        <w:tc>
          <w:tcPr>
            <w:tcW w:w="5386" w:type="dxa"/>
            <w:vAlign w:val="center"/>
          </w:tcPr>
          <w:p>
            <w:pPr>
              <w:pStyle w:val="12"/>
            </w:pPr>
            <w:r>
              <w:t>单位退役实际人数</w:t>
            </w:r>
          </w:p>
        </w:tc>
        <w:tc>
          <w:tcPr>
            <w:tcW w:w="2268" w:type="dxa"/>
            <w:vAlign w:val="center"/>
          </w:tcPr>
          <w:p>
            <w:pPr>
              <w:pStyle w:val="12"/>
            </w:pPr>
            <w:r>
              <w:t>1人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及时发放时间</w:t>
            </w:r>
          </w:p>
        </w:tc>
        <w:tc>
          <w:tcPr>
            <w:tcW w:w="5386" w:type="dxa"/>
            <w:vAlign w:val="center"/>
          </w:tcPr>
          <w:p>
            <w:pPr>
              <w:pStyle w:val="12"/>
            </w:pPr>
            <w:r>
              <w:t>资金到位后及时发放</w:t>
            </w:r>
          </w:p>
        </w:tc>
        <w:tc>
          <w:tcPr>
            <w:tcW w:w="2268" w:type="dxa"/>
            <w:vAlign w:val="center"/>
          </w:tcPr>
          <w:p>
            <w:pPr>
              <w:pStyle w:val="12"/>
            </w:pPr>
            <w:r>
              <w:t>≤7工作日</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退役人员工资发放标准</w:t>
            </w:r>
          </w:p>
        </w:tc>
        <w:tc>
          <w:tcPr>
            <w:tcW w:w="5386" w:type="dxa"/>
            <w:vAlign w:val="center"/>
          </w:tcPr>
          <w:p>
            <w:pPr>
              <w:pStyle w:val="12"/>
            </w:pPr>
            <w:r>
              <w:t>对符合条件的退役人员发放工资标准</w:t>
            </w:r>
          </w:p>
        </w:tc>
        <w:tc>
          <w:tcPr>
            <w:tcW w:w="2268" w:type="dxa"/>
            <w:vAlign w:val="center"/>
          </w:tcPr>
          <w:p>
            <w:pPr>
              <w:pStyle w:val="12"/>
            </w:pPr>
            <w:r>
              <w:t>5.8万元</w:t>
            </w:r>
          </w:p>
        </w:tc>
        <w:tc>
          <w:tcPr>
            <w:tcW w:w="1276" w:type="dxa"/>
            <w:vAlign w:val="center"/>
          </w:tcPr>
          <w:p>
            <w:pPr>
              <w:pStyle w:val="12"/>
            </w:pPr>
            <w:r>
              <w:t>年初预收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托管安置帮扶人数</w:t>
            </w:r>
          </w:p>
        </w:tc>
        <w:tc>
          <w:tcPr>
            <w:tcW w:w="5386" w:type="dxa"/>
            <w:vAlign w:val="center"/>
          </w:tcPr>
          <w:p>
            <w:pPr>
              <w:pStyle w:val="12"/>
            </w:pPr>
            <w:r>
              <w:t>对退役帮扶安置人员到位的人数</w:t>
            </w:r>
          </w:p>
        </w:tc>
        <w:tc>
          <w:tcPr>
            <w:tcW w:w="2268" w:type="dxa"/>
            <w:vAlign w:val="center"/>
          </w:tcPr>
          <w:p>
            <w:pPr>
              <w:pStyle w:val="12"/>
            </w:pPr>
            <w:r>
              <w:t>1人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对退役安置满意和较满意的人数</w:t>
            </w:r>
          </w:p>
        </w:tc>
        <w:tc>
          <w:tcPr>
            <w:tcW w:w="2268" w:type="dxa"/>
            <w:vAlign w:val="center"/>
          </w:tcPr>
          <w:p>
            <w:pPr>
              <w:pStyle w:val="12"/>
            </w:pPr>
            <w:r>
              <w:t>1人</w:t>
            </w:r>
          </w:p>
        </w:tc>
        <w:tc>
          <w:tcPr>
            <w:tcW w:w="1276" w:type="dxa"/>
            <w:vAlign w:val="center"/>
          </w:tcPr>
          <w:p>
            <w:pPr>
              <w:pStyle w:val="12"/>
            </w:pPr>
            <w:r>
              <w:t>鹿办文[2017]31号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5、2026年水泥厂生活区和原防疫站旧城改建项目征收成本绩效目标表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13011026P00000810007P</w:t>
            </w:r>
          </w:p>
        </w:tc>
        <w:tc>
          <w:tcPr>
            <w:tcW w:w="2835" w:type="dxa"/>
            <w:vAlign w:val="center"/>
          </w:tcPr>
          <w:p>
            <w:pPr>
              <w:pStyle w:val="10"/>
            </w:pPr>
            <w:r>
              <w:t>项目名称</w:t>
            </w:r>
          </w:p>
        </w:tc>
        <w:tc>
          <w:tcPr>
            <w:tcW w:w="6095" w:type="dxa"/>
            <w:gridSpan w:val="3"/>
            <w:vAlign w:val="center"/>
          </w:tcPr>
          <w:p>
            <w:pPr>
              <w:pStyle w:val="12"/>
            </w:pPr>
            <w:r>
              <w:t>2026年水泥厂生活区和原防疫站旧城改建项目征收成本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1395.08</w:t>
            </w:r>
          </w:p>
        </w:tc>
        <w:tc>
          <w:tcPr>
            <w:tcW w:w="2835" w:type="dxa"/>
            <w:vAlign w:val="center"/>
          </w:tcPr>
          <w:p>
            <w:pPr>
              <w:pStyle w:val="10"/>
            </w:pPr>
            <w:r>
              <w:t>其中：财政    资金</w:t>
            </w:r>
          </w:p>
        </w:tc>
        <w:tc>
          <w:tcPr>
            <w:tcW w:w="2551" w:type="dxa"/>
            <w:vAlign w:val="center"/>
          </w:tcPr>
          <w:p>
            <w:pPr>
              <w:pStyle w:val="12"/>
            </w:pPr>
            <w:r>
              <w:t>1395.08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主要用于房屋征收及回迁楼建安成本支出</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1.主要用于房屋征收及回迁楼建安成本支出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拆迁面积</w:t>
            </w:r>
          </w:p>
        </w:tc>
        <w:tc>
          <w:tcPr>
            <w:tcW w:w="5386" w:type="dxa"/>
            <w:vAlign w:val="center"/>
          </w:tcPr>
          <w:p>
            <w:pPr>
              <w:pStyle w:val="12"/>
            </w:pPr>
            <w:r>
              <w:t>项目拆迁面积</w:t>
            </w:r>
          </w:p>
        </w:tc>
        <w:tc>
          <w:tcPr>
            <w:tcW w:w="2268" w:type="dxa"/>
            <w:vAlign w:val="center"/>
          </w:tcPr>
          <w:p>
            <w:pPr>
              <w:pStyle w:val="12"/>
            </w:pPr>
            <w:r>
              <w:t>3.5万平米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回迁面积</w:t>
            </w:r>
          </w:p>
        </w:tc>
        <w:tc>
          <w:tcPr>
            <w:tcW w:w="5386" w:type="dxa"/>
            <w:vAlign w:val="center"/>
          </w:tcPr>
          <w:p>
            <w:pPr>
              <w:pStyle w:val="12"/>
            </w:pPr>
            <w:r>
              <w:t>回迁楼建筑面积</w:t>
            </w:r>
          </w:p>
        </w:tc>
        <w:tc>
          <w:tcPr>
            <w:tcW w:w="2268" w:type="dxa"/>
            <w:vAlign w:val="center"/>
          </w:tcPr>
          <w:p>
            <w:pPr>
              <w:pStyle w:val="12"/>
            </w:pPr>
            <w:r>
              <w:t>4535平方米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拆迁及回迁建设完成率</w:t>
            </w:r>
          </w:p>
        </w:tc>
        <w:tc>
          <w:tcPr>
            <w:tcW w:w="5386" w:type="dxa"/>
            <w:vAlign w:val="center"/>
          </w:tcPr>
          <w:p>
            <w:pPr>
              <w:pStyle w:val="12"/>
            </w:pPr>
            <w:r>
              <w:t>拆迁及回迁建设完成率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拆迁及回迁建设工作按时完成率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386" w:type="dxa"/>
            <w:vAlign w:val="center"/>
          </w:tcPr>
          <w:p>
            <w:pPr>
              <w:pStyle w:val="12"/>
            </w:pPr>
            <w:r>
              <w:t>拆迁及回迁建设部分成本</w:t>
            </w:r>
          </w:p>
        </w:tc>
        <w:tc>
          <w:tcPr>
            <w:tcW w:w="2268" w:type="dxa"/>
            <w:vAlign w:val="center"/>
          </w:tcPr>
          <w:p>
            <w:pPr>
              <w:pStyle w:val="12"/>
            </w:pPr>
            <w:r>
              <w:t>1395.08万元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回迁楼户数</w:t>
            </w:r>
          </w:p>
        </w:tc>
        <w:tc>
          <w:tcPr>
            <w:tcW w:w="5386" w:type="dxa"/>
            <w:vAlign w:val="center"/>
          </w:tcPr>
          <w:p>
            <w:pPr>
              <w:pStyle w:val="12"/>
            </w:pPr>
            <w:r>
              <w:t>回迁楼可安置户数</w:t>
            </w:r>
          </w:p>
        </w:tc>
        <w:tc>
          <w:tcPr>
            <w:tcW w:w="2268" w:type="dxa"/>
            <w:vAlign w:val="center"/>
          </w:tcPr>
          <w:p>
            <w:pPr>
              <w:pStyle w:val="12"/>
            </w:pPr>
            <w:r>
              <w:t>440户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交房期限</w:t>
            </w:r>
          </w:p>
        </w:tc>
        <w:tc>
          <w:tcPr>
            <w:tcW w:w="5386" w:type="dxa"/>
            <w:vAlign w:val="center"/>
          </w:tcPr>
          <w:p>
            <w:pPr>
              <w:pStyle w:val="12"/>
            </w:pPr>
            <w:r>
              <w:t>回迁楼交房期限</w:t>
            </w:r>
          </w:p>
        </w:tc>
        <w:tc>
          <w:tcPr>
            <w:tcW w:w="2268" w:type="dxa"/>
            <w:vAlign w:val="center"/>
          </w:tcPr>
          <w:p>
            <w:pPr>
              <w:pStyle w:val="12"/>
            </w:pPr>
            <w:r>
              <w:t>≤2年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2.36</w:t>
            </w:r>
          </w:p>
        </w:tc>
        <w:tc>
          <w:tcPr>
            <w:tcW w:w="964" w:type="dxa"/>
            <w:vAlign w:val="center"/>
          </w:tcPr>
          <w:p>
            <w:pPr>
              <w:pStyle w:val="15"/>
            </w:pPr>
            <w:r>
              <w:t>2.36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石家庄市鹿泉区房屋征收中心小计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2.36</w:t>
            </w:r>
          </w:p>
        </w:tc>
        <w:tc>
          <w:tcPr>
            <w:tcW w:w="964" w:type="dxa"/>
            <w:vAlign w:val="center"/>
          </w:tcPr>
          <w:p>
            <w:pPr>
              <w:pStyle w:val="15"/>
            </w:pPr>
            <w:r>
              <w:t>2.36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105.57</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0.34</w:t>
            </w:r>
          </w:p>
        </w:tc>
        <w:tc>
          <w:tcPr>
            <w:tcW w:w="964" w:type="dxa"/>
            <w:vAlign w:val="center"/>
          </w:tcPr>
          <w:p>
            <w:pPr>
              <w:pStyle w:val="11"/>
            </w:pPr>
            <w:r>
              <w:t>0.34</w:t>
            </w:r>
          </w:p>
        </w:tc>
        <w:tc>
          <w:tcPr>
            <w:tcW w:w="964" w:type="dxa"/>
            <w:vAlign w:val="center"/>
          </w:tcPr>
          <w:p>
            <w:pPr>
              <w:pStyle w:val="11"/>
            </w:pPr>
            <w:r>
              <w:t>0.34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105.57</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0.70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105.57</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升</w:t>
            </w:r>
          </w:p>
        </w:tc>
        <w:tc>
          <w:tcPr>
            <w:tcW w:w="850" w:type="dxa"/>
            <w:vAlign w:val="center"/>
          </w:tcPr>
          <w:p>
            <w:pPr>
              <w:pStyle w:val="11"/>
            </w:pPr>
            <w:r>
              <w:t>750</w:t>
            </w:r>
          </w:p>
        </w:tc>
        <w:tc>
          <w:tcPr>
            <w:tcW w:w="850" w:type="dxa"/>
            <w:vAlign w:val="center"/>
          </w:tcPr>
          <w:p>
            <w:pPr>
              <w:pStyle w:val="11"/>
            </w:pPr>
            <w:r>
              <w:t>0.00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w:t>
            </w:r>
          </w:p>
        </w:tc>
        <w:tc>
          <w:tcPr>
            <w:tcW w:w="850" w:type="dxa"/>
            <w:vAlign w:val="center"/>
          </w:tcPr>
          <w:p>
            <w:pPr>
              <w:pStyle w:val="11"/>
            </w:pPr>
            <w:r>
              <w:t>0.24</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石家庄市鹿泉区房屋征收中心上年末固定资产金额为18.87万元（详见下表）。本年度拟购置固定资产总额为0.00万元，已按要求列入政府采购预算，详见政府采购预算表。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57</w:t>
            </w:r>
          </w:p>
        </w:tc>
        <w:tc>
          <w:tcPr>
            <w:tcW w:w="2835" w:type="dxa"/>
            <w:vAlign w:val="center"/>
          </w:tcPr>
          <w:p>
            <w:pPr>
              <w:pStyle w:val="11"/>
            </w:pPr>
            <w:r>
              <w:t>9.29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四、石家庄市鹿泉区住房和建设监管综合服务中心收支预算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710.90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32.08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508.22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710.90</w:t>
            </w:r>
          </w:p>
        </w:tc>
        <w:tc>
          <w:tcPr>
            <w:tcW w:w="4535" w:type="dxa"/>
            <w:vAlign w:val="center"/>
          </w:tcPr>
          <w:p>
            <w:pPr>
              <w:pStyle w:val="14"/>
            </w:pPr>
            <w:r>
              <w:t>本年支出合计</w:t>
            </w:r>
          </w:p>
        </w:tc>
        <w:tc>
          <w:tcPr>
            <w:tcW w:w="2126" w:type="dxa"/>
            <w:vAlign w:val="center"/>
          </w:tcPr>
          <w:p>
            <w:pPr>
              <w:pStyle w:val="15"/>
            </w:pPr>
            <w:r>
              <w:t>710.90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710.90</w:t>
            </w:r>
          </w:p>
        </w:tc>
        <w:tc>
          <w:tcPr>
            <w:tcW w:w="4535" w:type="dxa"/>
            <w:vAlign w:val="center"/>
          </w:tcPr>
          <w:p>
            <w:pPr>
              <w:pStyle w:val="14"/>
            </w:pPr>
            <w:r>
              <w:t>支出总计</w:t>
            </w:r>
          </w:p>
        </w:tc>
        <w:tc>
          <w:tcPr>
            <w:tcW w:w="2126" w:type="dxa"/>
            <w:vAlign w:val="center"/>
          </w:tcPr>
          <w:p>
            <w:pPr>
              <w:pStyle w:val="15"/>
            </w:pPr>
            <w:r>
              <w:t>710.90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710.90</w:t>
            </w:r>
          </w:p>
        </w:tc>
        <w:tc>
          <w:tcPr>
            <w:tcW w:w="1134" w:type="dxa"/>
            <w:vAlign w:val="center"/>
          </w:tcPr>
          <w:p>
            <w:pPr>
              <w:pStyle w:val="15"/>
            </w:pPr>
            <w:r>
              <w:t>710.90</w:t>
            </w:r>
          </w:p>
        </w:tc>
        <w:tc>
          <w:tcPr>
            <w:tcW w:w="1134" w:type="dxa"/>
            <w:vAlign w:val="center"/>
          </w:tcPr>
          <w:p>
            <w:pPr>
              <w:pStyle w:val="15"/>
            </w:pPr>
            <w:r>
              <w:t>710.90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127.14</w:t>
            </w:r>
          </w:p>
        </w:tc>
        <w:tc>
          <w:tcPr>
            <w:tcW w:w="1134" w:type="dxa"/>
            <w:vAlign w:val="center"/>
          </w:tcPr>
          <w:p>
            <w:pPr>
              <w:pStyle w:val="11"/>
            </w:pPr>
            <w:r>
              <w:t>127.14</w:t>
            </w:r>
          </w:p>
        </w:tc>
        <w:tc>
          <w:tcPr>
            <w:tcW w:w="1134" w:type="dxa"/>
            <w:vAlign w:val="center"/>
          </w:tcPr>
          <w:p>
            <w:pPr>
              <w:pStyle w:val="11"/>
            </w:pPr>
            <w:r>
              <w:t>127.14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8.92</w:t>
            </w:r>
          </w:p>
        </w:tc>
        <w:tc>
          <w:tcPr>
            <w:tcW w:w="1134" w:type="dxa"/>
            <w:vAlign w:val="center"/>
          </w:tcPr>
          <w:p>
            <w:pPr>
              <w:pStyle w:val="11"/>
            </w:pPr>
            <w:r>
              <w:t>8.92</w:t>
            </w:r>
          </w:p>
        </w:tc>
        <w:tc>
          <w:tcPr>
            <w:tcW w:w="1134" w:type="dxa"/>
            <w:vAlign w:val="center"/>
          </w:tcPr>
          <w:p>
            <w:pPr>
              <w:pStyle w:val="11"/>
            </w:pPr>
            <w:r>
              <w:t>8.92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47.39</w:t>
            </w:r>
          </w:p>
        </w:tc>
        <w:tc>
          <w:tcPr>
            <w:tcW w:w="1134" w:type="dxa"/>
            <w:vAlign w:val="center"/>
          </w:tcPr>
          <w:p>
            <w:pPr>
              <w:pStyle w:val="11"/>
            </w:pPr>
            <w:r>
              <w:t>47.39</w:t>
            </w:r>
          </w:p>
        </w:tc>
        <w:tc>
          <w:tcPr>
            <w:tcW w:w="1134" w:type="dxa"/>
            <w:vAlign w:val="center"/>
          </w:tcPr>
          <w:p>
            <w:pPr>
              <w:pStyle w:val="11"/>
            </w:pPr>
            <w:r>
              <w:t>47.39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23.69</w:t>
            </w:r>
          </w:p>
        </w:tc>
        <w:tc>
          <w:tcPr>
            <w:tcW w:w="1134" w:type="dxa"/>
            <w:vAlign w:val="center"/>
          </w:tcPr>
          <w:p>
            <w:pPr>
              <w:pStyle w:val="11"/>
            </w:pPr>
            <w:r>
              <w:t>23.69</w:t>
            </w:r>
          </w:p>
        </w:tc>
        <w:tc>
          <w:tcPr>
            <w:tcW w:w="1134" w:type="dxa"/>
            <w:vAlign w:val="center"/>
          </w:tcPr>
          <w:p>
            <w:pPr>
              <w:pStyle w:val="11"/>
            </w:pPr>
            <w:r>
              <w:t>23.69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47.14</w:t>
            </w:r>
          </w:p>
        </w:tc>
        <w:tc>
          <w:tcPr>
            <w:tcW w:w="1134" w:type="dxa"/>
            <w:vAlign w:val="center"/>
          </w:tcPr>
          <w:p>
            <w:pPr>
              <w:pStyle w:val="11"/>
            </w:pPr>
            <w:r>
              <w:t>47.14</w:t>
            </w:r>
          </w:p>
        </w:tc>
        <w:tc>
          <w:tcPr>
            <w:tcW w:w="1134" w:type="dxa"/>
            <w:vAlign w:val="center"/>
          </w:tcPr>
          <w:p>
            <w:pPr>
              <w:pStyle w:val="11"/>
            </w:pPr>
            <w:r>
              <w:t>47.14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47.14</w:t>
            </w:r>
          </w:p>
        </w:tc>
        <w:tc>
          <w:tcPr>
            <w:tcW w:w="1134" w:type="dxa"/>
            <w:vAlign w:val="center"/>
          </w:tcPr>
          <w:p>
            <w:pPr>
              <w:pStyle w:val="11"/>
            </w:pPr>
            <w:r>
              <w:t>47.14</w:t>
            </w:r>
          </w:p>
        </w:tc>
        <w:tc>
          <w:tcPr>
            <w:tcW w:w="1134" w:type="dxa"/>
            <w:vAlign w:val="center"/>
          </w:tcPr>
          <w:p>
            <w:pPr>
              <w:pStyle w:val="11"/>
            </w:pPr>
            <w:r>
              <w:t>47.14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32.08</w:t>
            </w:r>
          </w:p>
        </w:tc>
        <w:tc>
          <w:tcPr>
            <w:tcW w:w="1134" w:type="dxa"/>
            <w:vAlign w:val="center"/>
          </w:tcPr>
          <w:p>
            <w:pPr>
              <w:pStyle w:val="11"/>
            </w:pPr>
            <w:r>
              <w:t>32.08</w:t>
            </w:r>
          </w:p>
        </w:tc>
        <w:tc>
          <w:tcPr>
            <w:tcW w:w="1134" w:type="dxa"/>
            <w:vAlign w:val="center"/>
          </w:tcPr>
          <w:p>
            <w:pPr>
              <w:pStyle w:val="11"/>
            </w:pPr>
            <w:r>
              <w:t>32.08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32.08</w:t>
            </w:r>
          </w:p>
        </w:tc>
        <w:tc>
          <w:tcPr>
            <w:tcW w:w="1134" w:type="dxa"/>
            <w:vAlign w:val="center"/>
          </w:tcPr>
          <w:p>
            <w:pPr>
              <w:pStyle w:val="11"/>
            </w:pPr>
            <w:r>
              <w:t>32.08</w:t>
            </w:r>
          </w:p>
        </w:tc>
        <w:tc>
          <w:tcPr>
            <w:tcW w:w="1134" w:type="dxa"/>
            <w:vAlign w:val="center"/>
          </w:tcPr>
          <w:p>
            <w:pPr>
              <w:pStyle w:val="11"/>
            </w:pPr>
            <w:r>
              <w:t>32.08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32.08</w:t>
            </w:r>
          </w:p>
        </w:tc>
        <w:tc>
          <w:tcPr>
            <w:tcW w:w="1134" w:type="dxa"/>
            <w:vAlign w:val="center"/>
          </w:tcPr>
          <w:p>
            <w:pPr>
              <w:pStyle w:val="11"/>
            </w:pPr>
            <w:r>
              <w:t>32.08</w:t>
            </w:r>
          </w:p>
        </w:tc>
        <w:tc>
          <w:tcPr>
            <w:tcW w:w="1134" w:type="dxa"/>
            <w:vAlign w:val="center"/>
          </w:tcPr>
          <w:p>
            <w:pPr>
              <w:pStyle w:val="11"/>
            </w:pPr>
            <w:r>
              <w:t>32.08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508.22</w:t>
            </w:r>
          </w:p>
        </w:tc>
        <w:tc>
          <w:tcPr>
            <w:tcW w:w="1134" w:type="dxa"/>
            <w:vAlign w:val="center"/>
          </w:tcPr>
          <w:p>
            <w:pPr>
              <w:pStyle w:val="11"/>
            </w:pPr>
            <w:r>
              <w:t>508.22</w:t>
            </w:r>
          </w:p>
        </w:tc>
        <w:tc>
          <w:tcPr>
            <w:tcW w:w="1134" w:type="dxa"/>
            <w:vAlign w:val="center"/>
          </w:tcPr>
          <w:p>
            <w:pPr>
              <w:pStyle w:val="11"/>
            </w:pPr>
            <w:r>
              <w:t>508.22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21206</w:t>
            </w:r>
          </w:p>
        </w:tc>
        <w:tc>
          <w:tcPr>
            <w:tcW w:w="1559" w:type="dxa"/>
            <w:vAlign w:val="center"/>
          </w:tcPr>
          <w:p>
            <w:pPr>
              <w:pStyle w:val="12"/>
            </w:pPr>
            <w:r>
              <w:t>建设市场管理与监督</w:t>
            </w:r>
          </w:p>
        </w:tc>
        <w:tc>
          <w:tcPr>
            <w:tcW w:w="1134" w:type="dxa"/>
            <w:vAlign w:val="center"/>
          </w:tcPr>
          <w:p>
            <w:pPr>
              <w:pStyle w:val="11"/>
            </w:pPr>
            <w:r>
              <w:t>508.22</w:t>
            </w:r>
          </w:p>
        </w:tc>
        <w:tc>
          <w:tcPr>
            <w:tcW w:w="1134" w:type="dxa"/>
            <w:vAlign w:val="center"/>
          </w:tcPr>
          <w:p>
            <w:pPr>
              <w:pStyle w:val="11"/>
            </w:pPr>
            <w:r>
              <w:t>508.22</w:t>
            </w:r>
          </w:p>
        </w:tc>
        <w:tc>
          <w:tcPr>
            <w:tcW w:w="1134" w:type="dxa"/>
            <w:vAlign w:val="center"/>
          </w:tcPr>
          <w:p>
            <w:pPr>
              <w:pStyle w:val="11"/>
            </w:pPr>
            <w:r>
              <w:t>508.22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2120601</w:t>
            </w:r>
          </w:p>
        </w:tc>
        <w:tc>
          <w:tcPr>
            <w:tcW w:w="1559" w:type="dxa"/>
            <w:vAlign w:val="center"/>
          </w:tcPr>
          <w:p>
            <w:pPr>
              <w:pStyle w:val="12"/>
            </w:pPr>
            <w:r>
              <w:t>建设市场管理与监督</w:t>
            </w:r>
          </w:p>
        </w:tc>
        <w:tc>
          <w:tcPr>
            <w:tcW w:w="1134" w:type="dxa"/>
            <w:vAlign w:val="center"/>
          </w:tcPr>
          <w:p>
            <w:pPr>
              <w:pStyle w:val="11"/>
            </w:pPr>
            <w:r>
              <w:t>508.22</w:t>
            </w:r>
          </w:p>
        </w:tc>
        <w:tc>
          <w:tcPr>
            <w:tcW w:w="1134" w:type="dxa"/>
            <w:vAlign w:val="center"/>
          </w:tcPr>
          <w:p>
            <w:pPr>
              <w:pStyle w:val="11"/>
            </w:pPr>
            <w:r>
              <w:t>508.22</w:t>
            </w:r>
          </w:p>
        </w:tc>
        <w:tc>
          <w:tcPr>
            <w:tcW w:w="1134" w:type="dxa"/>
            <w:vAlign w:val="center"/>
          </w:tcPr>
          <w:p>
            <w:pPr>
              <w:pStyle w:val="11"/>
            </w:pPr>
            <w:r>
              <w:t>508.22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43.47</w:t>
            </w:r>
          </w:p>
        </w:tc>
        <w:tc>
          <w:tcPr>
            <w:tcW w:w="1134" w:type="dxa"/>
            <w:vAlign w:val="center"/>
          </w:tcPr>
          <w:p>
            <w:pPr>
              <w:pStyle w:val="11"/>
            </w:pPr>
            <w:r>
              <w:t>43.47</w:t>
            </w:r>
          </w:p>
        </w:tc>
        <w:tc>
          <w:tcPr>
            <w:tcW w:w="1134" w:type="dxa"/>
            <w:vAlign w:val="center"/>
          </w:tcPr>
          <w:p>
            <w:pPr>
              <w:pStyle w:val="11"/>
            </w:pPr>
            <w:r>
              <w:t>43.47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43.47</w:t>
            </w:r>
          </w:p>
        </w:tc>
        <w:tc>
          <w:tcPr>
            <w:tcW w:w="1134" w:type="dxa"/>
            <w:vAlign w:val="center"/>
          </w:tcPr>
          <w:p>
            <w:pPr>
              <w:pStyle w:val="11"/>
            </w:pPr>
            <w:r>
              <w:t>43.47</w:t>
            </w:r>
          </w:p>
        </w:tc>
        <w:tc>
          <w:tcPr>
            <w:tcW w:w="1134" w:type="dxa"/>
            <w:vAlign w:val="center"/>
          </w:tcPr>
          <w:p>
            <w:pPr>
              <w:pStyle w:val="11"/>
            </w:pPr>
            <w:r>
              <w:t>43.47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43.47</w:t>
            </w:r>
          </w:p>
        </w:tc>
        <w:tc>
          <w:tcPr>
            <w:tcW w:w="1134" w:type="dxa"/>
            <w:vAlign w:val="center"/>
          </w:tcPr>
          <w:p>
            <w:pPr>
              <w:pStyle w:val="11"/>
            </w:pPr>
            <w:r>
              <w:t>43.47</w:t>
            </w:r>
          </w:p>
        </w:tc>
        <w:tc>
          <w:tcPr>
            <w:tcW w:w="1134" w:type="dxa"/>
            <w:vAlign w:val="center"/>
          </w:tcPr>
          <w:p>
            <w:pPr>
              <w:pStyle w:val="11"/>
            </w:pPr>
            <w:r>
              <w:t>43.47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710.90</w:t>
            </w:r>
          </w:p>
        </w:tc>
        <w:tc>
          <w:tcPr>
            <w:tcW w:w="1361" w:type="dxa"/>
            <w:vAlign w:val="center"/>
          </w:tcPr>
          <w:p>
            <w:pPr>
              <w:pStyle w:val="15"/>
            </w:pPr>
            <w:r>
              <w:t>573.76</w:t>
            </w:r>
          </w:p>
        </w:tc>
        <w:tc>
          <w:tcPr>
            <w:tcW w:w="1361" w:type="dxa"/>
            <w:vAlign w:val="center"/>
          </w:tcPr>
          <w:p>
            <w:pPr>
              <w:pStyle w:val="15"/>
            </w:pPr>
            <w:r>
              <w:t>137.14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127.14</w:t>
            </w:r>
          </w:p>
        </w:tc>
        <w:tc>
          <w:tcPr>
            <w:tcW w:w="1361" w:type="dxa"/>
            <w:vAlign w:val="center"/>
          </w:tcPr>
          <w:p>
            <w:pPr>
              <w:pStyle w:val="11"/>
            </w:pPr>
            <w:r>
              <w:t>80.00</w:t>
            </w:r>
          </w:p>
        </w:tc>
        <w:tc>
          <w:tcPr>
            <w:tcW w:w="1361" w:type="dxa"/>
            <w:vAlign w:val="center"/>
          </w:tcPr>
          <w:p>
            <w:pPr>
              <w:pStyle w:val="11"/>
            </w:pPr>
            <w:r>
              <w:t>47.14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80.00</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8.92</w:t>
            </w:r>
          </w:p>
        </w:tc>
        <w:tc>
          <w:tcPr>
            <w:tcW w:w="1361" w:type="dxa"/>
            <w:vAlign w:val="center"/>
          </w:tcPr>
          <w:p>
            <w:pPr>
              <w:pStyle w:val="11"/>
            </w:pPr>
            <w:r>
              <w:t>8.92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47.39</w:t>
            </w:r>
          </w:p>
        </w:tc>
        <w:tc>
          <w:tcPr>
            <w:tcW w:w="1361" w:type="dxa"/>
            <w:vAlign w:val="center"/>
          </w:tcPr>
          <w:p>
            <w:pPr>
              <w:pStyle w:val="11"/>
            </w:pPr>
            <w:r>
              <w:t>47.39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23.69</w:t>
            </w:r>
          </w:p>
        </w:tc>
        <w:tc>
          <w:tcPr>
            <w:tcW w:w="1361" w:type="dxa"/>
            <w:vAlign w:val="center"/>
          </w:tcPr>
          <w:p>
            <w:pPr>
              <w:pStyle w:val="11"/>
            </w:pPr>
            <w:r>
              <w:t>23.69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47.14</w:t>
            </w:r>
          </w:p>
        </w:tc>
        <w:tc>
          <w:tcPr>
            <w:tcW w:w="1361" w:type="dxa"/>
            <w:vAlign w:val="center"/>
          </w:tcPr>
          <w:p>
            <w:pPr>
              <w:pStyle w:val="11"/>
            </w:pPr>
          </w:p>
        </w:tc>
        <w:tc>
          <w:tcPr>
            <w:tcW w:w="1361" w:type="dxa"/>
            <w:vAlign w:val="center"/>
          </w:tcPr>
          <w:p>
            <w:pPr>
              <w:pStyle w:val="11"/>
            </w:pPr>
            <w:r>
              <w:t>47.14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47.14</w:t>
            </w:r>
          </w:p>
        </w:tc>
        <w:tc>
          <w:tcPr>
            <w:tcW w:w="1361" w:type="dxa"/>
            <w:vAlign w:val="center"/>
          </w:tcPr>
          <w:p>
            <w:pPr>
              <w:pStyle w:val="11"/>
            </w:pPr>
          </w:p>
        </w:tc>
        <w:tc>
          <w:tcPr>
            <w:tcW w:w="1361" w:type="dxa"/>
            <w:vAlign w:val="center"/>
          </w:tcPr>
          <w:p>
            <w:pPr>
              <w:pStyle w:val="11"/>
            </w:pPr>
            <w:r>
              <w:t>47.14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32.08</w:t>
            </w:r>
          </w:p>
        </w:tc>
        <w:tc>
          <w:tcPr>
            <w:tcW w:w="1361" w:type="dxa"/>
            <w:vAlign w:val="center"/>
          </w:tcPr>
          <w:p>
            <w:pPr>
              <w:pStyle w:val="11"/>
            </w:pPr>
            <w:r>
              <w:t>32.08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32.08</w:t>
            </w:r>
          </w:p>
        </w:tc>
        <w:tc>
          <w:tcPr>
            <w:tcW w:w="1361" w:type="dxa"/>
            <w:vAlign w:val="center"/>
          </w:tcPr>
          <w:p>
            <w:pPr>
              <w:pStyle w:val="11"/>
            </w:pPr>
            <w:r>
              <w:t>32.08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32.08</w:t>
            </w:r>
          </w:p>
        </w:tc>
        <w:tc>
          <w:tcPr>
            <w:tcW w:w="1361" w:type="dxa"/>
            <w:vAlign w:val="center"/>
          </w:tcPr>
          <w:p>
            <w:pPr>
              <w:pStyle w:val="11"/>
            </w:pPr>
            <w:r>
              <w:t>32.08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508.22</w:t>
            </w:r>
          </w:p>
        </w:tc>
        <w:tc>
          <w:tcPr>
            <w:tcW w:w="1361" w:type="dxa"/>
            <w:vAlign w:val="center"/>
          </w:tcPr>
          <w:p>
            <w:pPr>
              <w:pStyle w:val="11"/>
            </w:pPr>
            <w:r>
              <w:t>418.22</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21206</w:t>
            </w:r>
          </w:p>
        </w:tc>
        <w:tc>
          <w:tcPr>
            <w:tcW w:w="4535" w:type="dxa"/>
            <w:vAlign w:val="center"/>
          </w:tcPr>
          <w:p>
            <w:pPr>
              <w:pStyle w:val="12"/>
            </w:pPr>
            <w:r>
              <w:t>建设市场管理与监督</w:t>
            </w:r>
          </w:p>
        </w:tc>
        <w:tc>
          <w:tcPr>
            <w:tcW w:w="1361" w:type="dxa"/>
            <w:vAlign w:val="center"/>
          </w:tcPr>
          <w:p>
            <w:pPr>
              <w:pStyle w:val="11"/>
            </w:pPr>
            <w:r>
              <w:t>508.22</w:t>
            </w:r>
          </w:p>
        </w:tc>
        <w:tc>
          <w:tcPr>
            <w:tcW w:w="1361" w:type="dxa"/>
            <w:vAlign w:val="center"/>
          </w:tcPr>
          <w:p>
            <w:pPr>
              <w:pStyle w:val="11"/>
            </w:pPr>
            <w:r>
              <w:t>418.22</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2120601</w:t>
            </w:r>
          </w:p>
        </w:tc>
        <w:tc>
          <w:tcPr>
            <w:tcW w:w="4535" w:type="dxa"/>
            <w:vAlign w:val="center"/>
          </w:tcPr>
          <w:p>
            <w:pPr>
              <w:pStyle w:val="12"/>
            </w:pPr>
            <w:r>
              <w:t>建设市场管理与监督</w:t>
            </w:r>
          </w:p>
        </w:tc>
        <w:tc>
          <w:tcPr>
            <w:tcW w:w="1361" w:type="dxa"/>
            <w:vAlign w:val="center"/>
          </w:tcPr>
          <w:p>
            <w:pPr>
              <w:pStyle w:val="11"/>
            </w:pPr>
            <w:r>
              <w:t>508.22</w:t>
            </w:r>
          </w:p>
        </w:tc>
        <w:tc>
          <w:tcPr>
            <w:tcW w:w="1361" w:type="dxa"/>
            <w:vAlign w:val="center"/>
          </w:tcPr>
          <w:p>
            <w:pPr>
              <w:pStyle w:val="11"/>
            </w:pPr>
            <w:r>
              <w:t>418.22</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43.47</w:t>
            </w:r>
          </w:p>
        </w:tc>
        <w:tc>
          <w:tcPr>
            <w:tcW w:w="1361" w:type="dxa"/>
            <w:vAlign w:val="center"/>
          </w:tcPr>
          <w:p>
            <w:pPr>
              <w:pStyle w:val="11"/>
            </w:pPr>
            <w:r>
              <w:t>43.47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43.47</w:t>
            </w:r>
          </w:p>
        </w:tc>
        <w:tc>
          <w:tcPr>
            <w:tcW w:w="1361" w:type="dxa"/>
            <w:vAlign w:val="center"/>
          </w:tcPr>
          <w:p>
            <w:pPr>
              <w:pStyle w:val="11"/>
            </w:pPr>
            <w:r>
              <w:t>43.47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43.47</w:t>
            </w:r>
          </w:p>
        </w:tc>
        <w:tc>
          <w:tcPr>
            <w:tcW w:w="1361" w:type="dxa"/>
            <w:vAlign w:val="center"/>
          </w:tcPr>
          <w:p>
            <w:pPr>
              <w:pStyle w:val="11"/>
            </w:pPr>
            <w:r>
              <w:t>43.47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710.90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127.14</w:t>
            </w:r>
          </w:p>
        </w:tc>
        <w:tc>
          <w:tcPr>
            <w:tcW w:w="1474" w:type="dxa"/>
            <w:vAlign w:val="center"/>
          </w:tcPr>
          <w:p>
            <w:pPr>
              <w:pStyle w:val="11"/>
            </w:pPr>
            <w:r>
              <w:t>127.14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32.08</w:t>
            </w:r>
          </w:p>
        </w:tc>
        <w:tc>
          <w:tcPr>
            <w:tcW w:w="1474" w:type="dxa"/>
            <w:vAlign w:val="center"/>
          </w:tcPr>
          <w:p>
            <w:pPr>
              <w:pStyle w:val="11"/>
            </w:pPr>
            <w:r>
              <w:t>32.08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508.22</w:t>
            </w:r>
          </w:p>
        </w:tc>
        <w:tc>
          <w:tcPr>
            <w:tcW w:w="1474" w:type="dxa"/>
            <w:vAlign w:val="center"/>
          </w:tcPr>
          <w:p>
            <w:pPr>
              <w:pStyle w:val="11"/>
            </w:pPr>
            <w:r>
              <w:t>508.22</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43.47</w:t>
            </w:r>
          </w:p>
        </w:tc>
        <w:tc>
          <w:tcPr>
            <w:tcW w:w="1474" w:type="dxa"/>
            <w:vAlign w:val="center"/>
          </w:tcPr>
          <w:p>
            <w:pPr>
              <w:pStyle w:val="11"/>
            </w:pPr>
            <w:r>
              <w:t>43.47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710.90</w:t>
            </w:r>
          </w:p>
        </w:tc>
        <w:tc>
          <w:tcPr>
            <w:tcW w:w="3402" w:type="dxa"/>
            <w:vAlign w:val="center"/>
          </w:tcPr>
          <w:p>
            <w:pPr>
              <w:pStyle w:val="14"/>
            </w:pPr>
            <w:r>
              <w:t>本年支出合计</w:t>
            </w:r>
          </w:p>
        </w:tc>
        <w:tc>
          <w:tcPr>
            <w:tcW w:w="1474" w:type="dxa"/>
            <w:vAlign w:val="center"/>
          </w:tcPr>
          <w:p>
            <w:pPr>
              <w:pStyle w:val="15"/>
            </w:pPr>
            <w:r>
              <w:t>710.90</w:t>
            </w:r>
          </w:p>
        </w:tc>
        <w:tc>
          <w:tcPr>
            <w:tcW w:w="1474" w:type="dxa"/>
            <w:vAlign w:val="center"/>
          </w:tcPr>
          <w:p>
            <w:pPr>
              <w:pStyle w:val="15"/>
            </w:pPr>
            <w:r>
              <w:t>710.90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710.90</w:t>
            </w:r>
          </w:p>
        </w:tc>
        <w:tc>
          <w:tcPr>
            <w:tcW w:w="3402" w:type="dxa"/>
            <w:vAlign w:val="center"/>
          </w:tcPr>
          <w:p>
            <w:pPr>
              <w:pStyle w:val="14"/>
            </w:pPr>
            <w:r>
              <w:t>支出总计</w:t>
            </w:r>
          </w:p>
        </w:tc>
        <w:tc>
          <w:tcPr>
            <w:tcW w:w="1474" w:type="dxa"/>
            <w:vAlign w:val="center"/>
          </w:tcPr>
          <w:p>
            <w:pPr>
              <w:pStyle w:val="15"/>
            </w:pPr>
            <w:r>
              <w:t>710.90</w:t>
            </w:r>
          </w:p>
        </w:tc>
        <w:tc>
          <w:tcPr>
            <w:tcW w:w="1474" w:type="dxa"/>
            <w:vAlign w:val="center"/>
          </w:tcPr>
          <w:p>
            <w:pPr>
              <w:pStyle w:val="15"/>
            </w:pPr>
            <w:r>
              <w:t>710.90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710.90</w:t>
            </w:r>
          </w:p>
        </w:tc>
        <w:tc>
          <w:tcPr>
            <w:tcW w:w="2551" w:type="dxa"/>
            <w:vAlign w:val="center"/>
          </w:tcPr>
          <w:p>
            <w:pPr>
              <w:pStyle w:val="15"/>
            </w:pPr>
            <w:r>
              <w:t>573.76</w:t>
            </w:r>
          </w:p>
        </w:tc>
        <w:tc>
          <w:tcPr>
            <w:tcW w:w="2551" w:type="dxa"/>
            <w:vAlign w:val="center"/>
          </w:tcPr>
          <w:p>
            <w:pPr>
              <w:pStyle w:val="15"/>
            </w:pPr>
            <w:r>
              <w:t>137.14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127.14</w:t>
            </w:r>
          </w:p>
        </w:tc>
        <w:tc>
          <w:tcPr>
            <w:tcW w:w="2551" w:type="dxa"/>
            <w:vAlign w:val="center"/>
          </w:tcPr>
          <w:p>
            <w:pPr>
              <w:pStyle w:val="11"/>
            </w:pPr>
            <w:r>
              <w:t>80.00</w:t>
            </w:r>
          </w:p>
        </w:tc>
        <w:tc>
          <w:tcPr>
            <w:tcW w:w="2551" w:type="dxa"/>
            <w:vAlign w:val="center"/>
          </w:tcPr>
          <w:p>
            <w:pPr>
              <w:pStyle w:val="11"/>
            </w:pPr>
            <w:r>
              <w:t>47.14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8.92</w:t>
            </w:r>
          </w:p>
        </w:tc>
        <w:tc>
          <w:tcPr>
            <w:tcW w:w="2551" w:type="dxa"/>
            <w:vAlign w:val="center"/>
          </w:tcPr>
          <w:p>
            <w:pPr>
              <w:pStyle w:val="11"/>
            </w:pPr>
            <w:r>
              <w:t>8.92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47.39</w:t>
            </w:r>
          </w:p>
        </w:tc>
        <w:tc>
          <w:tcPr>
            <w:tcW w:w="2551" w:type="dxa"/>
            <w:vAlign w:val="center"/>
          </w:tcPr>
          <w:p>
            <w:pPr>
              <w:pStyle w:val="11"/>
            </w:pPr>
            <w:r>
              <w:t>47.39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23.69</w:t>
            </w:r>
          </w:p>
        </w:tc>
        <w:tc>
          <w:tcPr>
            <w:tcW w:w="2551" w:type="dxa"/>
            <w:vAlign w:val="center"/>
          </w:tcPr>
          <w:p>
            <w:pPr>
              <w:pStyle w:val="11"/>
            </w:pPr>
            <w:r>
              <w:t>23.69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47.14</w:t>
            </w:r>
          </w:p>
        </w:tc>
        <w:tc>
          <w:tcPr>
            <w:tcW w:w="2551" w:type="dxa"/>
            <w:vAlign w:val="center"/>
          </w:tcPr>
          <w:p>
            <w:pPr>
              <w:pStyle w:val="11"/>
            </w:pPr>
          </w:p>
        </w:tc>
        <w:tc>
          <w:tcPr>
            <w:tcW w:w="2551" w:type="dxa"/>
            <w:vAlign w:val="center"/>
          </w:tcPr>
          <w:p>
            <w:pPr>
              <w:pStyle w:val="11"/>
            </w:pPr>
            <w:r>
              <w:t>47.14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47.14</w:t>
            </w:r>
          </w:p>
        </w:tc>
        <w:tc>
          <w:tcPr>
            <w:tcW w:w="2551" w:type="dxa"/>
            <w:vAlign w:val="center"/>
          </w:tcPr>
          <w:p>
            <w:pPr>
              <w:pStyle w:val="11"/>
            </w:pPr>
          </w:p>
        </w:tc>
        <w:tc>
          <w:tcPr>
            <w:tcW w:w="2551" w:type="dxa"/>
            <w:vAlign w:val="center"/>
          </w:tcPr>
          <w:p>
            <w:pPr>
              <w:pStyle w:val="11"/>
            </w:pPr>
            <w:r>
              <w:t>47.14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32.08</w:t>
            </w:r>
          </w:p>
        </w:tc>
        <w:tc>
          <w:tcPr>
            <w:tcW w:w="2551" w:type="dxa"/>
            <w:vAlign w:val="center"/>
          </w:tcPr>
          <w:p>
            <w:pPr>
              <w:pStyle w:val="11"/>
            </w:pPr>
            <w:r>
              <w:t>32.08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32.08</w:t>
            </w:r>
          </w:p>
        </w:tc>
        <w:tc>
          <w:tcPr>
            <w:tcW w:w="2551" w:type="dxa"/>
            <w:vAlign w:val="center"/>
          </w:tcPr>
          <w:p>
            <w:pPr>
              <w:pStyle w:val="11"/>
            </w:pPr>
            <w:r>
              <w:t>32.08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32.08</w:t>
            </w:r>
          </w:p>
        </w:tc>
        <w:tc>
          <w:tcPr>
            <w:tcW w:w="2551" w:type="dxa"/>
            <w:vAlign w:val="center"/>
          </w:tcPr>
          <w:p>
            <w:pPr>
              <w:pStyle w:val="11"/>
            </w:pPr>
            <w:r>
              <w:t>32.08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508.22</w:t>
            </w:r>
          </w:p>
        </w:tc>
        <w:tc>
          <w:tcPr>
            <w:tcW w:w="2551" w:type="dxa"/>
            <w:vAlign w:val="center"/>
          </w:tcPr>
          <w:p>
            <w:pPr>
              <w:pStyle w:val="11"/>
            </w:pPr>
            <w:r>
              <w:t>418.22</w:t>
            </w: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21206</w:t>
            </w:r>
          </w:p>
        </w:tc>
        <w:tc>
          <w:tcPr>
            <w:tcW w:w="4535" w:type="dxa"/>
            <w:vAlign w:val="center"/>
          </w:tcPr>
          <w:p>
            <w:pPr>
              <w:pStyle w:val="12"/>
            </w:pPr>
            <w:r>
              <w:t>建设市场管理与监督</w:t>
            </w:r>
          </w:p>
        </w:tc>
        <w:tc>
          <w:tcPr>
            <w:tcW w:w="2551" w:type="dxa"/>
            <w:vAlign w:val="center"/>
          </w:tcPr>
          <w:p>
            <w:pPr>
              <w:pStyle w:val="11"/>
            </w:pPr>
            <w:r>
              <w:t>508.22</w:t>
            </w:r>
          </w:p>
        </w:tc>
        <w:tc>
          <w:tcPr>
            <w:tcW w:w="2551" w:type="dxa"/>
            <w:vAlign w:val="center"/>
          </w:tcPr>
          <w:p>
            <w:pPr>
              <w:pStyle w:val="11"/>
            </w:pPr>
            <w:r>
              <w:t>418.22</w:t>
            </w: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2120601</w:t>
            </w:r>
          </w:p>
        </w:tc>
        <w:tc>
          <w:tcPr>
            <w:tcW w:w="4535" w:type="dxa"/>
            <w:vAlign w:val="center"/>
          </w:tcPr>
          <w:p>
            <w:pPr>
              <w:pStyle w:val="12"/>
            </w:pPr>
            <w:r>
              <w:t>建设市场管理与监督</w:t>
            </w:r>
          </w:p>
        </w:tc>
        <w:tc>
          <w:tcPr>
            <w:tcW w:w="2551" w:type="dxa"/>
            <w:vAlign w:val="center"/>
          </w:tcPr>
          <w:p>
            <w:pPr>
              <w:pStyle w:val="11"/>
            </w:pPr>
            <w:r>
              <w:t>508.22</w:t>
            </w:r>
          </w:p>
        </w:tc>
        <w:tc>
          <w:tcPr>
            <w:tcW w:w="2551" w:type="dxa"/>
            <w:vAlign w:val="center"/>
          </w:tcPr>
          <w:p>
            <w:pPr>
              <w:pStyle w:val="11"/>
            </w:pPr>
            <w:r>
              <w:t>418.22</w:t>
            </w: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43.47</w:t>
            </w:r>
          </w:p>
        </w:tc>
        <w:tc>
          <w:tcPr>
            <w:tcW w:w="2551" w:type="dxa"/>
            <w:vAlign w:val="center"/>
          </w:tcPr>
          <w:p>
            <w:pPr>
              <w:pStyle w:val="11"/>
            </w:pPr>
            <w:r>
              <w:t>43.47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43.47</w:t>
            </w:r>
          </w:p>
        </w:tc>
        <w:tc>
          <w:tcPr>
            <w:tcW w:w="2551" w:type="dxa"/>
            <w:vAlign w:val="center"/>
          </w:tcPr>
          <w:p>
            <w:pPr>
              <w:pStyle w:val="11"/>
            </w:pPr>
            <w:r>
              <w:t>43.47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43.47</w:t>
            </w:r>
          </w:p>
        </w:tc>
        <w:tc>
          <w:tcPr>
            <w:tcW w:w="2551" w:type="dxa"/>
            <w:vAlign w:val="center"/>
          </w:tcPr>
          <w:p>
            <w:pPr>
              <w:pStyle w:val="11"/>
            </w:pPr>
            <w:r>
              <w:t>43.47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573.76</w:t>
            </w:r>
          </w:p>
        </w:tc>
        <w:tc>
          <w:tcPr>
            <w:tcW w:w="2551" w:type="dxa"/>
            <w:vAlign w:val="center"/>
          </w:tcPr>
          <w:p>
            <w:pPr>
              <w:pStyle w:val="15"/>
            </w:pPr>
            <w:r>
              <w:t>520.91</w:t>
            </w:r>
          </w:p>
        </w:tc>
        <w:tc>
          <w:tcPr>
            <w:tcW w:w="2551" w:type="dxa"/>
            <w:vAlign w:val="center"/>
          </w:tcPr>
          <w:p>
            <w:pPr>
              <w:pStyle w:val="15"/>
            </w:pPr>
            <w:r>
              <w:t>52.85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511.99</w:t>
            </w:r>
          </w:p>
        </w:tc>
        <w:tc>
          <w:tcPr>
            <w:tcW w:w="2551" w:type="dxa"/>
            <w:vAlign w:val="center"/>
          </w:tcPr>
          <w:p>
            <w:pPr>
              <w:pStyle w:val="11"/>
            </w:pPr>
            <w:r>
              <w:t>511.99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136.70</w:t>
            </w:r>
          </w:p>
        </w:tc>
        <w:tc>
          <w:tcPr>
            <w:tcW w:w="2551" w:type="dxa"/>
            <w:vAlign w:val="center"/>
          </w:tcPr>
          <w:p>
            <w:pPr>
              <w:pStyle w:val="11"/>
            </w:pPr>
            <w:r>
              <w:t>136.70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25.31</w:t>
            </w:r>
          </w:p>
        </w:tc>
        <w:tc>
          <w:tcPr>
            <w:tcW w:w="2551" w:type="dxa"/>
            <w:vAlign w:val="center"/>
          </w:tcPr>
          <w:p>
            <w:pPr>
              <w:pStyle w:val="11"/>
            </w:pPr>
            <w:r>
              <w:t>25.31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200.64</w:t>
            </w:r>
          </w:p>
        </w:tc>
        <w:tc>
          <w:tcPr>
            <w:tcW w:w="2551" w:type="dxa"/>
            <w:vAlign w:val="center"/>
          </w:tcPr>
          <w:p>
            <w:pPr>
              <w:pStyle w:val="11"/>
            </w:pPr>
            <w:r>
              <w:t>200.64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47.39</w:t>
            </w:r>
          </w:p>
        </w:tc>
        <w:tc>
          <w:tcPr>
            <w:tcW w:w="2551" w:type="dxa"/>
            <w:vAlign w:val="center"/>
          </w:tcPr>
          <w:p>
            <w:pPr>
              <w:pStyle w:val="11"/>
            </w:pPr>
            <w:r>
              <w:t>47.39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23.69</w:t>
            </w:r>
          </w:p>
        </w:tc>
        <w:tc>
          <w:tcPr>
            <w:tcW w:w="2551" w:type="dxa"/>
            <w:vAlign w:val="center"/>
          </w:tcPr>
          <w:p>
            <w:pPr>
              <w:pStyle w:val="11"/>
            </w:pPr>
            <w:r>
              <w:t>23.69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17.19</w:t>
            </w:r>
          </w:p>
        </w:tc>
        <w:tc>
          <w:tcPr>
            <w:tcW w:w="2551" w:type="dxa"/>
            <w:vAlign w:val="center"/>
          </w:tcPr>
          <w:p>
            <w:pPr>
              <w:pStyle w:val="11"/>
            </w:pPr>
            <w:r>
              <w:t>17.19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14.90</w:t>
            </w:r>
          </w:p>
        </w:tc>
        <w:tc>
          <w:tcPr>
            <w:tcW w:w="2551" w:type="dxa"/>
            <w:vAlign w:val="center"/>
          </w:tcPr>
          <w:p>
            <w:pPr>
              <w:pStyle w:val="11"/>
            </w:pPr>
            <w:r>
              <w:t>14.90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2.72</w:t>
            </w:r>
          </w:p>
        </w:tc>
        <w:tc>
          <w:tcPr>
            <w:tcW w:w="2551" w:type="dxa"/>
            <w:vAlign w:val="center"/>
          </w:tcPr>
          <w:p>
            <w:pPr>
              <w:pStyle w:val="11"/>
            </w:pPr>
            <w:r>
              <w:t>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43.47</w:t>
            </w:r>
          </w:p>
        </w:tc>
        <w:tc>
          <w:tcPr>
            <w:tcW w:w="2551" w:type="dxa"/>
            <w:vAlign w:val="center"/>
          </w:tcPr>
          <w:p>
            <w:pPr>
              <w:pStyle w:val="11"/>
            </w:pPr>
            <w:r>
              <w:t>43.47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52.85</w:t>
            </w:r>
          </w:p>
        </w:tc>
        <w:tc>
          <w:tcPr>
            <w:tcW w:w="2551" w:type="dxa"/>
            <w:vAlign w:val="center"/>
          </w:tcPr>
          <w:p>
            <w:pPr>
              <w:pStyle w:val="11"/>
            </w:pPr>
          </w:p>
        </w:tc>
        <w:tc>
          <w:tcPr>
            <w:tcW w:w="2551" w:type="dxa"/>
            <w:vAlign w:val="center"/>
          </w:tcPr>
          <w:p>
            <w:pPr>
              <w:pStyle w:val="11"/>
            </w:pPr>
            <w:r>
              <w:t>52.85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46.25</w:t>
            </w:r>
          </w:p>
        </w:tc>
        <w:tc>
          <w:tcPr>
            <w:tcW w:w="2551" w:type="dxa"/>
            <w:vAlign w:val="center"/>
          </w:tcPr>
          <w:p>
            <w:pPr>
              <w:pStyle w:val="11"/>
            </w:pPr>
          </w:p>
        </w:tc>
        <w:tc>
          <w:tcPr>
            <w:tcW w:w="2551" w:type="dxa"/>
            <w:vAlign w:val="center"/>
          </w:tcPr>
          <w:p>
            <w:pPr>
              <w:pStyle w:val="11"/>
            </w:pPr>
            <w:r>
              <w:t>46.25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2.72</w:t>
            </w:r>
          </w:p>
        </w:tc>
        <w:tc>
          <w:tcPr>
            <w:tcW w:w="2551" w:type="dxa"/>
            <w:vAlign w:val="center"/>
          </w:tcPr>
          <w:p>
            <w:pPr>
              <w:pStyle w:val="11"/>
            </w:pPr>
          </w:p>
        </w:tc>
        <w:tc>
          <w:tcPr>
            <w:tcW w:w="2551" w:type="dxa"/>
            <w:vAlign w:val="center"/>
          </w:tcPr>
          <w:p>
            <w:pPr>
              <w:pStyle w:val="11"/>
            </w:pPr>
            <w:r>
              <w:t>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3.89</w:t>
            </w:r>
          </w:p>
        </w:tc>
        <w:tc>
          <w:tcPr>
            <w:tcW w:w="2551" w:type="dxa"/>
            <w:vAlign w:val="center"/>
          </w:tcPr>
          <w:p>
            <w:pPr>
              <w:pStyle w:val="11"/>
            </w:pPr>
          </w:p>
        </w:tc>
        <w:tc>
          <w:tcPr>
            <w:tcW w:w="2551" w:type="dxa"/>
            <w:vAlign w:val="center"/>
          </w:tcPr>
          <w:p>
            <w:pPr>
              <w:pStyle w:val="11"/>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8.92</w:t>
            </w:r>
          </w:p>
        </w:tc>
        <w:tc>
          <w:tcPr>
            <w:tcW w:w="2551" w:type="dxa"/>
            <w:vAlign w:val="center"/>
          </w:tcPr>
          <w:p>
            <w:pPr>
              <w:pStyle w:val="11"/>
            </w:pPr>
            <w:r>
              <w:t>8.92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8.92</w:t>
            </w:r>
          </w:p>
        </w:tc>
        <w:tc>
          <w:tcPr>
            <w:tcW w:w="2551" w:type="dxa"/>
            <w:vAlign w:val="center"/>
          </w:tcPr>
          <w:p>
            <w:pPr>
              <w:pStyle w:val="11"/>
            </w:pPr>
            <w:r>
              <w:t>8.92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石家庄市鹿泉区住房和建设监管综合服务中心2026年单位预算信息公开情况说明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按照《中华人民共和国预算法》、《地方预决算公开操作规程》和《关于进一步推进预算公开工作的实施意见》规定，现将石家庄市鹿泉区住房和建设监管综合服务中心2026年单位预算公开如下：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为住房和建设监管提供综合服务工作;负责对房屋建筑和市政基础设施工程招投标活动、施工现场实名制落实工作、房地产项目销售、建筑业企业资质等建筑市场方面工作提供技术指导和业务咨询服务;负责接待、登记、收集对违法发包、转包、违法分包、出借资质及挂靠行为等的举报、投诉;负责对乡镇做好房屋建筑和市政基础设施工程违法施工治理、工地扬尘治理提供业务咨询和服务;做好解决建设领域因违法发包、转包、违法分包、挂靠、拖欠工程款等导致的拖欠农民工工资问题和住房领域信访问题的服务性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石家庄市鹿泉区住房和建设监管综合服务中心</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710.90万元，其中：一般公共预算收入710.90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住房和建设监管综合服务中心年度单位预算中支出预算的总体情况。2026年支出预算710.90万元，其中基本支出573.76万元，包括人员经费520.91万元和日常公用经费52.85万元；项目支出137.14万元，主要为涉军人员工资及社保、执法业务费资金支出。</w:t>
      </w:r>
    </w:p>
    <w:p>
      <w:pPr>
        <w:pStyle w:val="18"/>
      </w:pPr>
      <w:r>
        <w:t>3、比上年增减情况</w:t>
      </w:r>
    </w:p>
    <w:p>
      <w:pPr>
        <w:pStyle w:val="18"/>
      </w:pPr>
      <w:r>
        <w:t>2026年预算收支安排710.90万元，较2025年预算增加18.43万元，其中：基本支出增加23.76万元，主要为人员经费支出增加项目支出减少5.33万元，主要为减少执法业务费支出。预计下年使用的单位资金结余增加0.00万元。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1、2026年涉军人员工资及社保绩效目标表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13011026P001540100541</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47.14</w:t>
            </w:r>
          </w:p>
        </w:tc>
        <w:tc>
          <w:tcPr>
            <w:tcW w:w="2835" w:type="dxa"/>
            <w:vAlign w:val="center"/>
          </w:tcPr>
          <w:p>
            <w:pPr>
              <w:pStyle w:val="10"/>
            </w:pPr>
            <w:r>
              <w:t>其中：财政    资金</w:t>
            </w:r>
          </w:p>
        </w:tc>
        <w:tc>
          <w:tcPr>
            <w:tcW w:w="2551" w:type="dxa"/>
            <w:vAlign w:val="center"/>
          </w:tcPr>
          <w:p>
            <w:pPr>
              <w:pStyle w:val="12"/>
            </w:pPr>
            <w:r>
              <w:t>47.14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对符合政府安排工作条件的8名退役士兵，因下岗失业，生活困难的帮扶救助到位，加大就业援助工作力度，通过公益性岗位予以托管安置。</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1."对符合政府安排工作条件的8名退役士兵，因下岗失业，生活困难的帮扶救助到位，加大就业援助工作力度，通过公益性岗位予以托管安置。</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退役军人公益性岗位工资发放到位率</w:t>
            </w:r>
          </w:p>
        </w:tc>
        <w:tc>
          <w:tcPr>
            <w:tcW w:w="5386" w:type="dxa"/>
            <w:vAlign w:val="center"/>
          </w:tcPr>
          <w:p>
            <w:pPr>
              <w:pStyle w:val="12"/>
            </w:pPr>
            <w:r>
              <w:t>保障退役军人公益性岗位工资按时足额发放人数占应发放人数的比例</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退役军人公益性岗位工资的发放人数</w:t>
            </w:r>
          </w:p>
        </w:tc>
        <w:tc>
          <w:tcPr>
            <w:tcW w:w="5386" w:type="dxa"/>
            <w:vAlign w:val="center"/>
          </w:tcPr>
          <w:p>
            <w:pPr>
              <w:pStyle w:val="12"/>
            </w:pPr>
            <w:r>
              <w:t>单位安置退役军人公益性岗位的实际人数</w:t>
            </w:r>
          </w:p>
        </w:tc>
        <w:tc>
          <w:tcPr>
            <w:tcW w:w="2268" w:type="dxa"/>
            <w:vAlign w:val="center"/>
          </w:tcPr>
          <w:p>
            <w:pPr>
              <w:pStyle w:val="12"/>
            </w:pPr>
            <w:r>
              <w:t>8个数</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退役军人公益性岗位工资发放及时率</w:t>
            </w:r>
          </w:p>
        </w:tc>
        <w:tc>
          <w:tcPr>
            <w:tcW w:w="5386" w:type="dxa"/>
            <w:vAlign w:val="center"/>
          </w:tcPr>
          <w:p>
            <w:pPr>
              <w:pStyle w:val="12"/>
            </w:pPr>
            <w:r>
              <w:t>保障退役军人公益性岗位工资发放及时发放的人数占应发放总人数的比率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退役军人公益性岗位工资发放标准</w:t>
            </w:r>
          </w:p>
        </w:tc>
        <w:tc>
          <w:tcPr>
            <w:tcW w:w="5386" w:type="dxa"/>
            <w:vAlign w:val="center"/>
          </w:tcPr>
          <w:p>
            <w:pPr>
              <w:pStyle w:val="12"/>
            </w:pPr>
            <w:r>
              <w:t>对符合条件的退役军人公益性岗位发放的金额。</w:t>
            </w:r>
          </w:p>
        </w:tc>
        <w:tc>
          <w:tcPr>
            <w:tcW w:w="2268" w:type="dxa"/>
            <w:vAlign w:val="center"/>
          </w:tcPr>
          <w:p>
            <w:pPr>
              <w:pStyle w:val="12"/>
            </w:pPr>
            <w:r>
              <w:t>统一按照规定执行</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托管安置帮扶到位率</w:t>
            </w:r>
          </w:p>
        </w:tc>
        <w:tc>
          <w:tcPr>
            <w:tcW w:w="5386" w:type="dxa"/>
            <w:vAlign w:val="center"/>
          </w:tcPr>
          <w:p>
            <w:pPr>
              <w:pStyle w:val="12"/>
            </w:pPr>
            <w:r>
              <w:t>对退役托管帮扶到位的人数比率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对退役安置满意和较满意的人数占总人数的比率</w:t>
            </w:r>
          </w:p>
        </w:tc>
        <w:tc>
          <w:tcPr>
            <w:tcW w:w="2268" w:type="dxa"/>
            <w:vAlign w:val="center"/>
          </w:tcPr>
          <w:p>
            <w:pPr>
              <w:pStyle w:val="12"/>
            </w:pPr>
            <w:r>
              <w:t>100%</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2、执法业务费2026绩效目标表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13011026P000011100411</w:t>
            </w:r>
          </w:p>
        </w:tc>
        <w:tc>
          <w:tcPr>
            <w:tcW w:w="2835" w:type="dxa"/>
            <w:vAlign w:val="center"/>
          </w:tcPr>
          <w:p>
            <w:pPr>
              <w:pStyle w:val="10"/>
            </w:pPr>
            <w:r>
              <w:t>项目名称</w:t>
            </w:r>
          </w:p>
        </w:tc>
        <w:tc>
          <w:tcPr>
            <w:tcW w:w="6095" w:type="dxa"/>
            <w:gridSpan w:val="3"/>
            <w:vAlign w:val="center"/>
          </w:tcPr>
          <w:p>
            <w:pPr>
              <w:pStyle w:val="12"/>
            </w:pPr>
            <w:r>
              <w:t>执法业务费2026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"""确保28人的经费保障工作并通过对35个房地产销售项目、100个在建项目进行的执法检查，杜绝全区违规建设、销售行为，确保不发生违规建设及销售行为，保障房地产市场健康有序发展。"</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1."确保28人的经费保障工作并通过对35个房地产销售项目、100个在建项目进行的执法检查，杜绝全区违规建设、销售行为，确保不发生违规建设及销售行为，保障房地产市场健康有序发展。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28人</w:t>
            </w:r>
          </w:p>
        </w:tc>
        <w:tc>
          <w:tcPr>
            <w:tcW w:w="1276" w:type="dxa"/>
            <w:vAlign w:val="center"/>
          </w:tcPr>
          <w:p>
            <w:pPr>
              <w:pStyle w:val="12"/>
            </w:pPr>
            <w:r>
              <w:t>根据鹿政办[2012]1号文件</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办公费、交通费、水电费、及其他公用经费的支出。</w:t>
            </w:r>
          </w:p>
        </w:tc>
        <w:tc>
          <w:tcPr>
            <w:tcW w:w="2268" w:type="dxa"/>
            <w:vAlign w:val="center"/>
          </w:tcPr>
          <w:p>
            <w:pPr>
              <w:pStyle w:val="12"/>
            </w:pPr>
            <w:r>
              <w:t>按统一规定执行</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行政检查项目的数量</w:t>
            </w:r>
          </w:p>
        </w:tc>
        <w:tc>
          <w:tcPr>
            <w:tcW w:w="5386" w:type="dxa"/>
            <w:vAlign w:val="center"/>
          </w:tcPr>
          <w:p>
            <w:pPr>
              <w:pStyle w:val="12"/>
            </w:pPr>
            <w:r>
              <w:t>实际检查房地产销售项目的个数。</w:t>
            </w:r>
          </w:p>
        </w:tc>
        <w:tc>
          <w:tcPr>
            <w:tcW w:w="2268" w:type="dxa"/>
            <w:vAlign w:val="center"/>
          </w:tcPr>
          <w:p>
            <w:pPr>
              <w:pStyle w:val="12"/>
            </w:pPr>
            <w:r>
              <w:t>35个数</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监督检查建立劳务实名制到位率</w:t>
            </w:r>
          </w:p>
        </w:tc>
        <w:tc>
          <w:tcPr>
            <w:tcW w:w="5386" w:type="dxa"/>
            <w:vAlign w:val="center"/>
          </w:tcPr>
          <w:p>
            <w:pPr>
              <w:pStyle w:val="12"/>
            </w:pPr>
            <w:r>
              <w:t>实际建立劳务实名制的项目数量占应建立劳务实名制项目数量的比例。</w:t>
            </w:r>
          </w:p>
        </w:tc>
        <w:tc>
          <w:tcPr>
            <w:tcW w:w="2268" w:type="dxa"/>
            <w:vAlign w:val="center"/>
          </w:tcPr>
          <w:p>
            <w:pPr>
              <w:pStyle w:val="12"/>
            </w:pPr>
            <w:r>
              <w:t>100%</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监督招标完成率</w:t>
            </w:r>
          </w:p>
        </w:tc>
        <w:tc>
          <w:tcPr>
            <w:tcW w:w="5386" w:type="dxa"/>
            <w:vAlign w:val="center"/>
          </w:tcPr>
          <w:p>
            <w:pPr>
              <w:pStyle w:val="12"/>
            </w:pPr>
            <w:r>
              <w:t>实际监管招标项目个数占招标项目个数的比例。</w:t>
            </w:r>
          </w:p>
        </w:tc>
        <w:tc>
          <w:tcPr>
            <w:tcW w:w="2268" w:type="dxa"/>
            <w:vAlign w:val="center"/>
          </w:tcPr>
          <w:p>
            <w:pPr>
              <w:pStyle w:val="12"/>
            </w:pPr>
            <w:r>
              <w:t>100%</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行政检查项目的及时率</w:t>
            </w:r>
          </w:p>
        </w:tc>
        <w:tc>
          <w:tcPr>
            <w:tcW w:w="5386" w:type="dxa"/>
            <w:vAlign w:val="center"/>
          </w:tcPr>
          <w:p>
            <w:pPr>
              <w:pStyle w:val="12"/>
            </w:pPr>
            <w:r>
              <w:t>实际行政检查在建项目个数占应执法检查在建项目个数的比例。</w:t>
            </w:r>
          </w:p>
        </w:tc>
        <w:tc>
          <w:tcPr>
            <w:tcW w:w="2268" w:type="dxa"/>
            <w:vAlign w:val="center"/>
          </w:tcPr>
          <w:p>
            <w:pPr>
              <w:pStyle w:val="12"/>
            </w:pPr>
            <w:r>
              <w:t>100%</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行政检查项目的数量</w:t>
            </w:r>
          </w:p>
        </w:tc>
        <w:tc>
          <w:tcPr>
            <w:tcW w:w="5386" w:type="dxa"/>
            <w:vAlign w:val="center"/>
          </w:tcPr>
          <w:p>
            <w:pPr>
              <w:pStyle w:val="12"/>
            </w:pPr>
            <w:r>
              <w:t>实际行政检查在建工程项目的个数。</w:t>
            </w:r>
          </w:p>
        </w:tc>
        <w:tc>
          <w:tcPr>
            <w:tcW w:w="2268" w:type="dxa"/>
            <w:vAlign w:val="center"/>
          </w:tcPr>
          <w:p>
            <w:pPr>
              <w:pStyle w:val="12"/>
            </w:pPr>
            <w:r>
              <w:t>100个数</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行政检查建设工程项目违规建设率</w:t>
            </w:r>
          </w:p>
        </w:tc>
        <w:tc>
          <w:tcPr>
            <w:tcW w:w="5386" w:type="dxa"/>
            <w:vAlign w:val="center"/>
          </w:tcPr>
          <w:p>
            <w:pPr>
              <w:pStyle w:val="12"/>
            </w:pPr>
            <w:r>
              <w:t>实际发生违规建设的数量占全部建设工程项目数量的比例。</w:t>
            </w:r>
          </w:p>
        </w:tc>
        <w:tc>
          <w:tcPr>
            <w:tcW w:w="2268" w:type="dxa"/>
            <w:vAlign w:val="center"/>
          </w:tcPr>
          <w:p>
            <w:pPr>
              <w:pStyle w:val="12"/>
            </w:pPr>
            <w:r>
              <w:t>1%</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行政检查房地产项目违规销售率</w:t>
            </w:r>
          </w:p>
        </w:tc>
        <w:tc>
          <w:tcPr>
            <w:tcW w:w="5386" w:type="dxa"/>
            <w:vAlign w:val="center"/>
          </w:tcPr>
          <w:p>
            <w:pPr>
              <w:pStyle w:val="12"/>
            </w:pPr>
            <w:r>
              <w:t>实际发生违规销售的数量占全部在售数量的比例。</w:t>
            </w:r>
          </w:p>
        </w:tc>
        <w:tc>
          <w:tcPr>
            <w:tcW w:w="2268" w:type="dxa"/>
            <w:vAlign w:val="center"/>
          </w:tcPr>
          <w:p>
            <w:pPr>
              <w:pStyle w:val="12"/>
            </w:pPr>
            <w:r>
              <w:t>1%</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产生拖欠农民工工资的发生率</w:t>
            </w:r>
          </w:p>
        </w:tc>
        <w:tc>
          <w:tcPr>
            <w:tcW w:w="5386" w:type="dxa"/>
            <w:vAlign w:val="center"/>
          </w:tcPr>
          <w:p>
            <w:pPr>
              <w:pStyle w:val="12"/>
            </w:pPr>
            <w:r>
              <w:t>实际产生拖欠农民工工资现象的数量占全部建设工程项目数量的比例。</w:t>
            </w:r>
          </w:p>
        </w:tc>
        <w:tc>
          <w:tcPr>
            <w:tcW w:w="2268" w:type="dxa"/>
            <w:vAlign w:val="center"/>
          </w:tcPr>
          <w:p>
            <w:pPr>
              <w:pStyle w:val="12"/>
            </w:pPr>
            <w:r>
              <w:t>1%</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保障日常办公需要，维持单位正常运转</w:t>
            </w:r>
          </w:p>
        </w:tc>
        <w:tc>
          <w:tcPr>
            <w:tcW w:w="5386" w:type="dxa"/>
            <w:vAlign w:val="center"/>
          </w:tcPr>
          <w:p>
            <w:pPr>
              <w:pStyle w:val="12"/>
            </w:pPr>
            <w:r>
              <w:t>保障日常办公需要，维持单位正常运转。</w:t>
            </w:r>
          </w:p>
        </w:tc>
        <w:tc>
          <w:tcPr>
            <w:tcW w:w="2268" w:type="dxa"/>
            <w:vAlign w:val="center"/>
          </w:tcPr>
          <w:p>
            <w:pPr>
              <w:pStyle w:val="12"/>
            </w:pPr>
            <w:r>
              <w:t>100%</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监督检查招标程序不合格、不规范率</w:t>
            </w:r>
          </w:p>
        </w:tc>
        <w:tc>
          <w:tcPr>
            <w:tcW w:w="5386" w:type="dxa"/>
            <w:vAlign w:val="center"/>
          </w:tcPr>
          <w:p>
            <w:pPr>
              <w:pStyle w:val="12"/>
            </w:pPr>
            <w:r>
              <w:t>实际产生招标项目不规范的数量占全部应招标项目数量的比例。</w:t>
            </w:r>
          </w:p>
        </w:tc>
        <w:tc>
          <w:tcPr>
            <w:tcW w:w="2268" w:type="dxa"/>
            <w:vAlign w:val="center"/>
          </w:tcPr>
          <w:p>
            <w:pPr>
              <w:pStyle w:val="12"/>
            </w:pPr>
            <w:r>
              <w:t>1%</w:t>
            </w:r>
          </w:p>
        </w:tc>
        <w:tc>
          <w:tcPr>
            <w:tcW w:w="1276"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群众对建筑和房地产市场管理的满意度。</w:t>
            </w:r>
          </w:p>
        </w:tc>
        <w:tc>
          <w:tcPr>
            <w:tcW w:w="2268" w:type="dxa"/>
            <w:vAlign w:val="center"/>
          </w:tcPr>
          <w:p>
            <w:pPr>
              <w:pStyle w:val="12"/>
            </w:pPr>
            <w:r>
              <w:t>100%</w:t>
            </w:r>
          </w:p>
        </w:tc>
        <w:tc>
          <w:tcPr>
            <w:tcW w:w="1276" w:type="dxa"/>
            <w:vAlign w:val="center"/>
          </w:tcPr>
          <w:p>
            <w:pPr>
              <w:pStyle w:val="12"/>
            </w:pPr>
            <w:r>
              <w:t>根据鹿政办[2012]1号文件</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39.36</w:t>
            </w:r>
          </w:p>
        </w:tc>
        <w:tc>
          <w:tcPr>
            <w:tcW w:w="964" w:type="dxa"/>
            <w:vAlign w:val="center"/>
          </w:tcPr>
          <w:p>
            <w:pPr>
              <w:pStyle w:val="15"/>
            </w:pPr>
            <w:r>
              <w:t>39.36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石家庄市鹿泉区住房和建设监管综合服务中心小计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39.36</w:t>
            </w:r>
          </w:p>
        </w:tc>
        <w:tc>
          <w:tcPr>
            <w:tcW w:w="964" w:type="dxa"/>
            <w:vAlign w:val="center"/>
          </w:tcPr>
          <w:p>
            <w:pPr>
              <w:pStyle w:val="15"/>
            </w:pPr>
            <w:r>
              <w:t>39.36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执法业务费2026</w:t>
            </w:r>
          </w:p>
        </w:tc>
        <w:tc>
          <w:tcPr>
            <w:tcW w:w="964" w:type="dxa"/>
            <w:vAlign w:val="center"/>
          </w:tcPr>
          <w:p>
            <w:pPr>
              <w:pStyle w:val="11"/>
            </w:pPr>
            <w:r>
              <w:t>90.00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1080</w:t>
            </w:r>
          </w:p>
        </w:tc>
        <w:tc>
          <w:tcPr>
            <w:tcW w:w="850" w:type="dxa"/>
            <w:vAlign w:val="center"/>
          </w:tcPr>
          <w:p>
            <w:pPr>
              <w:pStyle w:val="11"/>
            </w:pPr>
            <w:r>
              <w:t>0.00</w:t>
            </w:r>
          </w:p>
        </w:tc>
        <w:tc>
          <w:tcPr>
            <w:tcW w:w="964" w:type="dxa"/>
            <w:vAlign w:val="center"/>
          </w:tcPr>
          <w:p>
            <w:pPr>
              <w:pStyle w:val="11"/>
            </w:pPr>
            <w:r>
              <w:t>2.70</w:t>
            </w:r>
          </w:p>
        </w:tc>
        <w:tc>
          <w:tcPr>
            <w:tcW w:w="964" w:type="dxa"/>
            <w:vAlign w:val="center"/>
          </w:tcPr>
          <w:p>
            <w:pPr>
              <w:pStyle w:val="11"/>
            </w:pPr>
            <w:r>
              <w:t>2.70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执法业务费2026</w:t>
            </w:r>
          </w:p>
        </w:tc>
        <w:tc>
          <w:tcPr>
            <w:tcW w:w="964" w:type="dxa"/>
            <w:vAlign w:val="center"/>
          </w:tcPr>
          <w:p>
            <w:pPr>
              <w:pStyle w:val="11"/>
            </w:pPr>
            <w:r>
              <w:t>90.00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12</w:t>
            </w:r>
          </w:p>
        </w:tc>
        <w:tc>
          <w:tcPr>
            <w:tcW w:w="850" w:type="dxa"/>
            <w:vAlign w:val="center"/>
          </w:tcPr>
          <w:p>
            <w:pPr>
              <w:pStyle w:val="11"/>
            </w:pPr>
            <w:r>
              <w:t>1.12</w:t>
            </w:r>
          </w:p>
        </w:tc>
        <w:tc>
          <w:tcPr>
            <w:tcW w:w="964" w:type="dxa"/>
            <w:vAlign w:val="center"/>
          </w:tcPr>
          <w:p>
            <w:pPr>
              <w:pStyle w:val="11"/>
            </w:pPr>
            <w:r>
              <w:t>13.44</w:t>
            </w:r>
          </w:p>
        </w:tc>
        <w:tc>
          <w:tcPr>
            <w:tcW w:w="964" w:type="dxa"/>
            <w:vAlign w:val="center"/>
          </w:tcPr>
          <w:p>
            <w:pPr>
              <w:pStyle w:val="11"/>
            </w:pPr>
            <w:r>
              <w:t>13.44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执法业务费2026</w:t>
            </w:r>
          </w:p>
        </w:tc>
        <w:tc>
          <w:tcPr>
            <w:tcW w:w="964" w:type="dxa"/>
            <w:vAlign w:val="center"/>
          </w:tcPr>
          <w:p>
            <w:pPr>
              <w:pStyle w:val="11"/>
            </w:pPr>
            <w:r>
              <w:t>90.00</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1.38</w:t>
            </w:r>
          </w:p>
        </w:tc>
        <w:tc>
          <w:tcPr>
            <w:tcW w:w="964" w:type="dxa"/>
            <w:vAlign w:val="center"/>
          </w:tcPr>
          <w:p>
            <w:pPr>
              <w:pStyle w:val="11"/>
            </w:pPr>
            <w:r>
              <w:t>2.76</w:t>
            </w:r>
          </w:p>
        </w:tc>
        <w:tc>
          <w:tcPr>
            <w:tcW w:w="964" w:type="dxa"/>
            <w:vAlign w:val="center"/>
          </w:tcPr>
          <w:p>
            <w:pPr>
              <w:pStyle w:val="11"/>
            </w:pPr>
            <w:r>
              <w:t>2.76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执法业务费2026</w:t>
            </w:r>
          </w:p>
        </w:tc>
        <w:tc>
          <w:tcPr>
            <w:tcW w:w="964" w:type="dxa"/>
            <w:vAlign w:val="center"/>
          </w:tcPr>
          <w:p>
            <w:pPr>
              <w:pStyle w:val="11"/>
            </w:pPr>
            <w:r>
              <w:t>90.00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执法业务费2026</w:t>
            </w:r>
          </w:p>
        </w:tc>
        <w:tc>
          <w:tcPr>
            <w:tcW w:w="964" w:type="dxa"/>
            <w:vAlign w:val="center"/>
          </w:tcPr>
          <w:p>
            <w:pPr>
              <w:pStyle w:val="11"/>
            </w:pPr>
            <w:r>
              <w:t>90.00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12</w:t>
            </w:r>
          </w:p>
        </w:tc>
        <w:tc>
          <w:tcPr>
            <w:tcW w:w="850" w:type="dxa"/>
            <w:vAlign w:val="center"/>
          </w:tcPr>
          <w:p>
            <w:pPr>
              <w:pStyle w:val="11"/>
            </w:pPr>
            <w:r>
              <w:t>0.54</w:t>
            </w:r>
          </w:p>
        </w:tc>
        <w:tc>
          <w:tcPr>
            <w:tcW w:w="964" w:type="dxa"/>
            <w:vAlign w:val="center"/>
          </w:tcPr>
          <w:p>
            <w:pPr>
              <w:pStyle w:val="11"/>
            </w:pPr>
            <w:r>
              <w:t>6.48</w:t>
            </w:r>
          </w:p>
        </w:tc>
        <w:tc>
          <w:tcPr>
            <w:tcW w:w="964" w:type="dxa"/>
            <w:vAlign w:val="center"/>
          </w:tcPr>
          <w:p>
            <w:pPr>
              <w:pStyle w:val="11"/>
            </w:pPr>
            <w:r>
              <w:t>6.48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执法业务费2026</w:t>
            </w:r>
          </w:p>
        </w:tc>
        <w:tc>
          <w:tcPr>
            <w:tcW w:w="964" w:type="dxa"/>
            <w:vAlign w:val="center"/>
          </w:tcPr>
          <w:p>
            <w:pPr>
              <w:pStyle w:val="11"/>
            </w:pPr>
            <w:r>
              <w:t>90.00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115</w:t>
            </w:r>
          </w:p>
        </w:tc>
        <w:tc>
          <w:tcPr>
            <w:tcW w:w="850" w:type="dxa"/>
            <w:vAlign w:val="center"/>
          </w:tcPr>
          <w:p>
            <w:pPr>
              <w:pStyle w:val="11"/>
            </w:pPr>
            <w:r>
              <w:t>0.10</w:t>
            </w:r>
          </w:p>
        </w:tc>
        <w:tc>
          <w:tcPr>
            <w:tcW w:w="964" w:type="dxa"/>
            <w:vAlign w:val="center"/>
          </w:tcPr>
          <w:p>
            <w:pPr>
              <w:pStyle w:val="11"/>
            </w:pPr>
            <w:r>
              <w:t>11.50</w:t>
            </w:r>
          </w:p>
        </w:tc>
        <w:tc>
          <w:tcPr>
            <w:tcW w:w="964" w:type="dxa"/>
            <w:vAlign w:val="center"/>
          </w:tcPr>
          <w:p>
            <w:pPr>
              <w:pStyle w:val="11"/>
            </w:pPr>
            <w:r>
              <w:t>11.50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执法业务费2026</w:t>
            </w:r>
          </w:p>
        </w:tc>
        <w:tc>
          <w:tcPr>
            <w:tcW w:w="964" w:type="dxa"/>
            <w:vAlign w:val="center"/>
          </w:tcPr>
          <w:p>
            <w:pPr>
              <w:pStyle w:val="11"/>
            </w:pPr>
            <w:r>
              <w:t>90.00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1.10</w:t>
            </w:r>
          </w:p>
        </w:tc>
        <w:tc>
          <w:tcPr>
            <w:tcW w:w="964" w:type="dxa"/>
            <w:vAlign w:val="center"/>
          </w:tcPr>
          <w:p>
            <w:pPr>
              <w:pStyle w:val="11"/>
            </w:pPr>
            <w:r>
              <w:t>1.10</w:t>
            </w:r>
          </w:p>
        </w:tc>
        <w:tc>
          <w:tcPr>
            <w:tcW w:w="964" w:type="dxa"/>
            <w:vAlign w:val="center"/>
          </w:tcPr>
          <w:p>
            <w:pPr>
              <w:pStyle w:val="11"/>
            </w:pPr>
            <w:r>
              <w:t>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执法业务费2026</w:t>
            </w:r>
          </w:p>
        </w:tc>
        <w:tc>
          <w:tcPr>
            <w:tcW w:w="964" w:type="dxa"/>
            <w:vAlign w:val="center"/>
          </w:tcPr>
          <w:p>
            <w:pPr>
              <w:pStyle w:val="11"/>
            </w:pPr>
            <w:r>
              <w:t>90.00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1400</w:t>
            </w:r>
          </w:p>
        </w:tc>
        <w:tc>
          <w:tcPr>
            <w:tcW w:w="850" w:type="dxa"/>
            <w:vAlign w:val="center"/>
          </w:tcPr>
          <w:p>
            <w:pPr>
              <w:pStyle w:val="11"/>
            </w:pPr>
            <w:r>
              <w:t>0.00</w:t>
            </w:r>
          </w:p>
        </w:tc>
        <w:tc>
          <w:tcPr>
            <w:tcW w:w="964" w:type="dxa"/>
            <w:vAlign w:val="center"/>
          </w:tcPr>
          <w:p>
            <w:pPr>
              <w:pStyle w:val="11"/>
            </w:pPr>
            <w:r>
              <w:t>0.98</w:t>
            </w:r>
          </w:p>
        </w:tc>
        <w:tc>
          <w:tcPr>
            <w:tcW w:w="964" w:type="dxa"/>
            <w:vAlign w:val="center"/>
          </w:tcPr>
          <w:p>
            <w:pPr>
              <w:pStyle w:val="11"/>
            </w:pPr>
            <w:r>
              <w:t>0.98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石家庄市鹿泉区住房和建设监管综合服务中心上年末固定资产金额为93.37万元（详见下表）。本年度拟购置固定资产总额为0.00万元，已按要求列入政府采购预算，详见政府采购预算表。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333006石家庄市鹿泉区住房和建设监管综合服务中心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458</w:t>
            </w:r>
          </w:p>
        </w:tc>
        <w:tc>
          <w:tcPr>
            <w:tcW w:w="2835" w:type="dxa"/>
            <w:vAlign w:val="center"/>
          </w:tcPr>
          <w:p>
            <w:pPr>
              <w:pStyle w:val="11"/>
            </w:pPr>
            <w:r>
              <w:t>84.71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五、石家庄市鹿泉区城市建设服务中心收支预算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657.26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523.99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657.26</w:t>
            </w:r>
          </w:p>
        </w:tc>
        <w:tc>
          <w:tcPr>
            <w:tcW w:w="4535" w:type="dxa"/>
            <w:vAlign w:val="center"/>
          </w:tcPr>
          <w:p>
            <w:pPr>
              <w:pStyle w:val="14"/>
            </w:pPr>
            <w:r>
              <w:t>本年支出合计</w:t>
            </w:r>
          </w:p>
        </w:tc>
        <w:tc>
          <w:tcPr>
            <w:tcW w:w="2126" w:type="dxa"/>
            <w:vAlign w:val="center"/>
          </w:tcPr>
          <w:p>
            <w:pPr>
              <w:pStyle w:val="15"/>
            </w:pPr>
            <w:r>
              <w:t>657.26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657.26</w:t>
            </w:r>
          </w:p>
        </w:tc>
        <w:tc>
          <w:tcPr>
            <w:tcW w:w="4535" w:type="dxa"/>
            <w:vAlign w:val="center"/>
          </w:tcPr>
          <w:p>
            <w:pPr>
              <w:pStyle w:val="14"/>
            </w:pPr>
            <w:r>
              <w:t>支出总计</w:t>
            </w:r>
          </w:p>
        </w:tc>
        <w:tc>
          <w:tcPr>
            <w:tcW w:w="2126" w:type="dxa"/>
            <w:vAlign w:val="center"/>
          </w:tcPr>
          <w:p>
            <w:pPr>
              <w:pStyle w:val="15"/>
            </w:pPr>
            <w:r>
              <w:t>657.26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657.26</w:t>
            </w:r>
          </w:p>
        </w:tc>
        <w:tc>
          <w:tcPr>
            <w:tcW w:w="1134" w:type="dxa"/>
            <w:vAlign w:val="center"/>
          </w:tcPr>
          <w:p>
            <w:pPr>
              <w:pStyle w:val="15"/>
            </w:pPr>
            <w:r>
              <w:t>657.26</w:t>
            </w:r>
          </w:p>
        </w:tc>
        <w:tc>
          <w:tcPr>
            <w:tcW w:w="1134" w:type="dxa"/>
            <w:vAlign w:val="center"/>
          </w:tcPr>
          <w:p>
            <w:pPr>
              <w:pStyle w:val="15"/>
            </w:pPr>
            <w:r>
              <w:t>657.26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87.36</w:t>
            </w:r>
          </w:p>
        </w:tc>
        <w:tc>
          <w:tcPr>
            <w:tcW w:w="1134" w:type="dxa"/>
            <w:vAlign w:val="center"/>
          </w:tcPr>
          <w:p>
            <w:pPr>
              <w:pStyle w:val="11"/>
            </w:pPr>
            <w:r>
              <w:t>87.36</w:t>
            </w:r>
          </w:p>
        </w:tc>
        <w:tc>
          <w:tcPr>
            <w:tcW w:w="1134" w:type="dxa"/>
            <w:vAlign w:val="center"/>
          </w:tcPr>
          <w:p>
            <w:pPr>
              <w:pStyle w:val="11"/>
            </w:pPr>
            <w:r>
              <w:t>87.36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33.93</w:t>
            </w:r>
          </w:p>
        </w:tc>
        <w:tc>
          <w:tcPr>
            <w:tcW w:w="1134" w:type="dxa"/>
            <w:vAlign w:val="center"/>
          </w:tcPr>
          <w:p>
            <w:pPr>
              <w:pStyle w:val="11"/>
            </w:pPr>
            <w:r>
              <w:t>33.93</w:t>
            </w:r>
          </w:p>
        </w:tc>
        <w:tc>
          <w:tcPr>
            <w:tcW w:w="1134" w:type="dxa"/>
            <w:vAlign w:val="center"/>
          </w:tcPr>
          <w:p>
            <w:pPr>
              <w:pStyle w:val="11"/>
            </w:pPr>
            <w:r>
              <w:t>33.93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4.56</w:t>
            </w:r>
          </w:p>
        </w:tc>
        <w:tc>
          <w:tcPr>
            <w:tcW w:w="1134" w:type="dxa"/>
            <w:vAlign w:val="center"/>
          </w:tcPr>
          <w:p>
            <w:pPr>
              <w:pStyle w:val="11"/>
            </w:pPr>
            <w:r>
              <w:t>4.56</w:t>
            </w:r>
          </w:p>
        </w:tc>
        <w:tc>
          <w:tcPr>
            <w:tcW w:w="1134" w:type="dxa"/>
            <w:vAlign w:val="center"/>
          </w:tcPr>
          <w:p>
            <w:pPr>
              <w:pStyle w:val="11"/>
            </w:pPr>
            <w:r>
              <w:t>4.56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29.37</w:t>
            </w:r>
          </w:p>
        </w:tc>
        <w:tc>
          <w:tcPr>
            <w:tcW w:w="1134" w:type="dxa"/>
            <w:vAlign w:val="center"/>
          </w:tcPr>
          <w:p>
            <w:pPr>
              <w:pStyle w:val="11"/>
            </w:pPr>
            <w:r>
              <w:t>29.37</w:t>
            </w:r>
          </w:p>
        </w:tc>
        <w:tc>
          <w:tcPr>
            <w:tcW w:w="1134" w:type="dxa"/>
            <w:vAlign w:val="center"/>
          </w:tcPr>
          <w:p>
            <w:pPr>
              <w:pStyle w:val="11"/>
            </w:pPr>
            <w:r>
              <w:t>29.37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53.43</w:t>
            </w:r>
          </w:p>
        </w:tc>
        <w:tc>
          <w:tcPr>
            <w:tcW w:w="1134" w:type="dxa"/>
            <w:vAlign w:val="center"/>
          </w:tcPr>
          <w:p>
            <w:pPr>
              <w:pStyle w:val="11"/>
            </w:pPr>
            <w:r>
              <w:t>53.43</w:t>
            </w:r>
          </w:p>
        </w:tc>
        <w:tc>
          <w:tcPr>
            <w:tcW w:w="1134" w:type="dxa"/>
            <w:vAlign w:val="center"/>
          </w:tcPr>
          <w:p>
            <w:pPr>
              <w:pStyle w:val="11"/>
            </w:pPr>
            <w:r>
              <w:t>53.43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53.43</w:t>
            </w:r>
          </w:p>
        </w:tc>
        <w:tc>
          <w:tcPr>
            <w:tcW w:w="1134" w:type="dxa"/>
            <w:vAlign w:val="center"/>
          </w:tcPr>
          <w:p>
            <w:pPr>
              <w:pStyle w:val="11"/>
            </w:pPr>
            <w:r>
              <w:t>53.43</w:t>
            </w:r>
          </w:p>
        </w:tc>
        <w:tc>
          <w:tcPr>
            <w:tcW w:w="1134" w:type="dxa"/>
            <w:vAlign w:val="center"/>
          </w:tcPr>
          <w:p>
            <w:pPr>
              <w:pStyle w:val="11"/>
            </w:pPr>
            <w:r>
              <w:t>53.43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19.03</w:t>
            </w:r>
          </w:p>
        </w:tc>
        <w:tc>
          <w:tcPr>
            <w:tcW w:w="1134" w:type="dxa"/>
            <w:vAlign w:val="center"/>
          </w:tcPr>
          <w:p>
            <w:pPr>
              <w:pStyle w:val="11"/>
            </w:pPr>
            <w:r>
              <w:t>19.03</w:t>
            </w:r>
          </w:p>
        </w:tc>
        <w:tc>
          <w:tcPr>
            <w:tcW w:w="1134" w:type="dxa"/>
            <w:vAlign w:val="center"/>
          </w:tcPr>
          <w:p>
            <w:pPr>
              <w:pStyle w:val="11"/>
            </w:pPr>
            <w:r>
              <w:t>19.03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19.03</w:t>
            </w:r>
          </w:p>
        </w:tc>
        <w:tc>
          <w:tcPr>
            <w:tcW w:w="1134" w:type="dxa"/>
            <w:vAlign w:val="center"/>
          </w:tcPr>
          <w:p>
            <w:pPr>
              <w:pStyle w:val="11"/>
            </w:pPr>
            <w:r>
              <w:t>19.03</w:t>
            </w:r>
          </w:p>
        </w:tc>
        <w:tc>
          <w:tcPr>
            <w:tcW w:w="1134" w:type="dxa"/>
            <w:vAlign w:val="center"/>
          </w:tcPr>
          <w:p>
            <w:pPr>
              <w:pStyle w:val="11"/>
            </w:pPr>
            <w:r>
              <w:t>19.03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19.03</w:t>
            </w:r>
          </w:p>
        </w:tc>
        <w:tc>
          <w:tcPr>
            <w:tcW w:w="1134" w:type="dxa"/>
            <w:vAlign w:val="center"/>
          </w:tcPr>
          <w:p>
            <w:pPr>
              <w:pStyle w:val="11"/>
            </w:pPr>
            <w:r>
              <w:t>19.03</w:t>
            </w:r>
          </w:p>
        </w:tc>
        <w:tc>
          <w:tcPr>
            <w:tcW w:w="1134" w:type="dxa"/>
            <w:vAlign w:val="center"/>
          </w:tcPr>
          <w:p>
            <w:pPr>
              <w:pStyle w:val="11"/>
            </w:pPr>
            <w:r>
              <w:t>19.03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523.99</w:t>
            </w:r>
          </w:p>
        </w:tc>
        <w:tc>
          <w:tcPr>
            <w:tcW w:w="1134" w:type="dxa"/>
            <w:vAlign w:val="center"/>
          </w:tcPr>
          <w:p>
            <w:pPr>
              <w:pStyle w:val="11"/>
            </w:pPr>
            <w:r>
              <w:t>523.99</w:t>
            </w:r>
          </w:p>
        </w:tc>
        <w:tc>
          <w:tcPr>
            <w:tcW w:w="1134" w:type="dxa"/>
            <w:vAlign w:val="center"/>
          </w:tcPr>
          <w:p>
            <w:pPr>
              <w:pStyle w:val="11"/>
            </w:pPr>
            <w:r>
              <w:t>523.99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211.89</w:t>
            </w:r>
          </w:p>
        </w:tc>
        <w:tc>
          <w:tcPr>
            <w:tcW w:w="1134" w:type="dxa"/>
            <w:vAlign w:val="center"/>
          </w:tcPr>
          <w:p>
            <w:pPr>
              <w:pStyle w:val="11"/>
            </w:pPr>
            <w:r>
              <w:t>211.89</w:t>
            </w:r>
          </w:p>
        </w:tc>
        <w:tc>
          <w:tcPr>
            <w:tcW w:w="1134" w:type="dxa"/>
            <w:vAlign w:val="center"/>
          </w:tcPr>
          <w:p>
            <w:pPr>
              <w:pStyle w:val="11"/>
            </w:pPr>
            <w:r>
              <w:t>211.89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211.89</w:t>
            </w:r>
          </w:p>
        </w:tc>
        <w:tc>
          <w:tcPr>
            <w:tcW w:w="1134" w:type="dxa"/>
            <w:vAlign w:val="center"/>
          </w:tcPr>
          <w:p>
            <w:pPr>
              <w:pStyle w:val="11"/>
            </w:pPr>
            <w:r>
              <w:t>211.89</w:t>
            </w:r>
          </w:p>
        </w:tc>
        <w:tc>
          <w:tcPr>
            <w:tcW w:w="1134" w:type="dxa"/>
            <w:vAlign w:val="center"/>
          </w:tcPr>
          <w:p>
            <w:pPr>
              <w:pStyle w:val="11"/>
            </w:pPr>
            <w:r>
              <w:t>211.89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21206</w:t>
            </w:r>
          </w:p>
        </w:tc>
        <w:tc>
          <w:tcPr>
            <w:tcW w:w="1559" w:type="dxa"/>
            <w:vAlign w:val="center"/>
          </w:tcPr>
          <w:p>
            <w:pPr>
              <w:pStyle w:val="12"/>
            </w:pPr>
            <w:r>
              <w:t>建设市场管理与监督</w:t>
            </w:r>
          </w:p>
        </w:tc>
        <w:tc>
          <w:tcPr>
            <w:tcW w:w="1134" w:type="dxa"/>
            <w:vAlign w:val="center"/>
          </w:tcPr>
          <w:p>
            <w:pPr>
              <w:pStyle w:val="11"/>
            </w:pPr>
            <w:r>
              <w:t>312.10</w:t>
            </w:r>
          </w:p>
        </w:tc>
        <w:tc>
          <w:tcPr>
            <w:tcW w:w="1134" w:type="dxa"/>
            <w:vAlign w:val="center"/>
          </w:tcPr>
          <w:p>
            <w:pPr>
              <w:pStyle w:val="11"/>
            </w:pPr>
            <w:r>
              <w:t>312.10</w:t>
            </w:r>
          </w:p>
        </w:tc>
        <w:tc>
          <w:tcPr>
            <w:tcW w:w="1134" w:type="dxa"/>
            <w:vAlign w:val="center"/>
          </w:tcPr>
          <w:p>
            <w:pPr>
              <w:pStyle w:val="11"/>
            </w:pPr>
            <w:r>
              <w:t>312.10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2120601</w:t>
            </w:r>
          </w:p>
        </w:tc>
        <w:tc>
          <w:tcPr>
            <w:tcW w:w="1559" w:type="dxa"/>
            <w:vAlign w:val="center"/>
          </w:tcPr>
          <w:p>
            <w:pPr>
              <w:pStyle w:val="12"/>
            </w:pPr>
            <w:r>
              <w:t>建设市场管理与监督</w:t>
            </w:r>
          </w:p>
        </w:tc>
        <w:tc>
          <w:tcPr>
            <w:tcW w:w="1134" w:type="dxa"/>
            <w:vAlign w:val="center"/>
          </w:tcPr>
          <w:p>
            <w:pPr>
              <w:pStyle w:val="11"/>
            </w:pPr>
            <w:r>
              <w:t>312.10</w:t>
            </w:r>
          </w:p>
        </w:tc>
        <w:tc>
          <w:tcPr>
            <w:tcW w:w="1134" w:type="dxa"/>
            <w:vAlign w:val="center"/>
          </w:tcPr>
          <w:p>
            <w:pPr>
              <w:pStyle w:val="11"/>
            </w:pPr>
            <w:r>
              <w:t>312.10</w:t>
            </w:r>
          </w:p>
        </w:tc>
        <w:tc>
          <w:tcPr>
            <w:tcW w:w="1134" w:type="dxa"/>
            <w:vAlign w:val="center"/>
          </w:tcPr>
          <w:p>
            <w:pPr>
              <w:pStyle w:val="11"/>
            </w:pPr>
            <w:r>
              <w:t>312.10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26.88</w:t>
            </w:r>
          </w:p>
        </w:tc>
        <w:tc>
          <w:tcPr>
            <w:tcW w:w="1134" w:type="dxa"/>
            <w:vAlign w:val="center"/>
          </w:tcPr>
          <w:p>
            <w:pPr>
              <w:pStyle w:val="11"/>
            </w:pPr>
            <w:r>
              <w:t>26.88</w:t>
            </w:r>
          </w:p>
        </w:tc>
        <w:tc>
          <w:tcPr>
            <w:tcW w:w="1134" w:type="dxa"/>
            <w:vAlign w:val="center"/>
          </w:tcPr>
          <w:p>
            <w:pPr>
              <w:pStyle w:val="11"/>
            </w:pPr>
            <w:r>
              <w:t>26.88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26.88</w:t>
            </w:r>
          </w:p>
        </w:tc>
        <w:tc>
          <w:tcPr>
            <w:tcW w:w="1134" w:type="dxa"/>
            <w:vAlign w:val="center"/>
          </w:tcPr>
          <w:p>
            <w:pPr>
              <w:pStyle w:val="11"/>
            </w:pPr>
            <w:r>
              <w:t>26.88</w:t>
            </w:r>
          </w:p>
        </w:tc>
        <w:tc>
          <w:tcPr>
            <w:tcW w:w="1134" w:type="dxa"/>
            <w:vAlign w:val="center"/>
          </w:tcPr>
          <w:p>
            <w:pPr>
              <w:pStyle w:val="11"/>
            </w:pPr>
            <w:r>
              <w:t>26.88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26.88</w:t>
            </w:r>
          </w:p>
        </w:tc>
        <w:tc>
          <w:tcPr>
            <w:tcW w:w="1134" w:type="dxa"/>
            <w:vAlign w:val="center"/>
          </w:tcPr>
          <w:p>
            <w:pPr>
              <w:pStyle w:val="11"/>
            </w:pPr>
            <w:r>
              <w:t>26.88</w:t>
            </w:r>
          </w:p>
        </w:tc>
        <w:tc>
          <w:tcPr>
            <w:tcW w:w="1134" w:type="dxa"/>
            <w:vAlign w:val="center"/>
          </w:tcPr>
          <w:p>
            <w:pPr>
              <w:pStyle w:val="11"/>
            </w:pPr>
            <w:r>
              <w:t>26.88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657.26</w:t>
            </w:r>
          </w:p>
        </w:tc>
        <w:tc>
          <w:tcPr>
            <w:tcW w:w="1361" w:type="dxa"/>
            <w:vAlign w:val="center"/>
          </w:tcPr>
          <w:p>
            <w:pPr>
              <w:pStyle w:val="15"/>
            </w:pPr>
            <w:r>
              <w:t>391.94</w:t>
            </w:r>
          </w:p>
        </w:tc>
        <w:tc>
          <w:tcPr>
            <w:tcW w:w="1361" w:type="dxa"/>
            <w:vAlign w:val="center"/>
          </w:tcPr>
          <w:p>
            <w:pPr>
              <w:pStyle w:val="15"/>
            </w:pPr>
            <w:r>
              <w:t>265.32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87.36</w:t>
            </w:r>
          </w:p>
        </w:tc>
        <w:tc>
          <w:tcPr>
            <w:tcW w:w="1361" w:type="dxa"/>
            <w:vAlign w:val="center"/>
          </w:tcPr>
          <w:p>
            <w:pPr>
              <w:pStyle w:val="11"/>
            </w:pPr>
            <w:r>
              <w:t>33.93</w:t>
            </w:r>
          </w:p>
        </w:tc>
        <w:tc>
          <w:tcPr>
            <w:tcW w:w="1361" w:type="dxa"/>
            <w:vAlign w:val="center"/>
          </w:tcPr>
          <w:p>
            <w:pPr>
              <w:pStyle w:val="11"/>
            </w:pPr>
            <w:r>
              <w:t>53.43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33.93</w:t>
            </w:r>
          </w:p>
        </w:tc>
        <w:tc>
          <w:tcPr>
            <w:tcW w:w="1361" w:type="dxa"/>
            <w:vAlign w:val="center"/>
          </w:tcPr>
          <w:p>
            <w:pPr>
              <w:pStyle w:val="11"/>
            </w:pPr>
            <w:r>
              <w:t>33.93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4.56</w:t>
            </w:r>
          </w:p>
        </w:tc>
        <w:tc>
          <w:tcPr>
            <w:tcW w:w="1361" w:type="dxa"/>
            <w:vAlign w:val="center"/>
          </w:tcPr>
          <w:p>
            <w:pPr>
              <w:pStyle w:val="11"/>
            </w:pPr>
            <w:r>
              <w:t>4.56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29.37</w:t>
            </w:r>
          </w:p>
        </w:tc>
        <w:tc>
          <w:tcPr>
            <w:tcW w:w="1361" w:type="dxa"/>
            <w:vAlign w:val="center"/>
          </w:tcPr>
          <w:p>
            <w:pPr>
              <w:pStyle w:val="11"/>
            </w:pPr>
            <w:r>
              <w:t>29.37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53.43</w:t>
            </w:r>
          </w:p>
        </w:tc>
        <w:tc>
          <w:tcPr>
            <w:tcW w:w="1361" w:type="dxa"/>
            <w:vAlign w:val="center"/>
          </w:tcPr>
          <w:p>
            <w:pPr>
              <w:pStyle w:val="11"/>
            </w:pPr>
          </w:p>
        </w:tc>
        <w:tc>
          <w:tcPr>
            <w:tcW w:w="1361" w:type="dxa"/>
            <w:vAlign w:val="center"/>
          </w:tcPr>
          <w:p>
            <w:pPr>
              <w:pStyle w:val="11"/>
            </w:pPr>
            <w:r>
              <w:t>53.43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53.43</w:t>
            </w:r>
          </w:p>
        </w:tc>
        <w:tc>
          <w:tcPr>
            <w:tcW w:w="1361" w:type="dxa"/>
            <w:vAlign w:val="center"/>
          </w:tcPr>
          <w:p>
            <w:pPr>
              <w:pStyle w:val="11"/>
            </w:pPr>
          </w:p>
        </w:tc>
        <w:tc>
          <w:tcPr>
            <w:tcW w:w="1361" w:type="dxa"/>
            <w:vAlign w:val="center"/>
          </w:tcPr>
          <w:p>
            <w:pPr>
              <w:pStyle w:val="11"/>
            </w:pPr>
            <w:r>
              <w:t>53.43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19.03</w:t>
            </w:r>
          </w:p>
        </w:tc>
        <w:tc>
          <w:tcPr>
            <w:tcW w:w="1361" w:type="dxa"/>
            <w:vAlign w:val="center"/>
          </w:tcPr>
          <w:p>
            <w:pPr>
              <w:pStyle w:val="11"/>
            </w:pPr>
            <w:r>
              <w:t>19.03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19.03</w:t>
            </w:r>
          </w:p>
        </w:tc>
        <w:tc>
          <w:tcPr>
            <w:tcW w:w="1361" w:type="dxa"/>
            <w:vAlign w:val="center"/>
          </w:tcPr>
          <w:p>
            <w:pPr>
              <w:pStyle w:val="11"/>
            </w:pPr>
            <w:r>
              <w:t>19.03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19.03</w:t>
            </w:r>
          </w:p>
        </w:tc>
        <w:tc>
          <w:tcPr>
            <w:tcW w:w="1361" w:type="dxa"/>
            <w:vAlign w:val="center"/>
          </w:tcPr>
          <w:p>
            <w:pPr>
              <w:pStyle w:val="11"/>
            </w:pPr>
            <w:r>
              <w:t>19.03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523.99</w:t>
            </w:r>
          </w:p>
        </w:tc>
        <w:tc>
          <w:tcPr>
            <w:tcW w:w="1361" w:type="dxa"/>
            <w:vAlign w:val="center"/>
          </w:tcPr>
          <w:p>
            <w:pPr>
              <w:pStyle w:val="11"/>
            </w:pPr>
            <w:r>
              <w:t>312.10</w:t>
            </w:r>
          </w:p>
        </w:tc>
        <w:tc>
          <w:tcPr>
            <w:tcW w:w="1361" w:type="dxa"/>
            <w:vAlign w:val="center"/>
          </w:tcPr>
          <w:p>
            <w:pPr>
              <w:pStyle w:val="11"/>
            </w:pPr>
            <w:r>
              <w:t>211.89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211.89</w:t>
            </w:r>
          </w:p>
        </w:tc>
        <w:tc>
          <w:tcPr>
            <w:tcW w:w="1361" w:type="dxa"/>
            <w:vAlign w:val="center"/>
          </w:tcPr>
          <w:p>
            <w:pPr>
              <w:pStyle w:val="11"/>
            </w:pPr>
          </w:p>
        </w:tc>
        <w:tc>
          <w:tcPr>
            <w:tcW w:w="1361" w:type="dxa"/>
            <w:vAlign w:val="center"/>
          </w:tcPr>
          <w:p>
            <w:pPr>
              <w:pStyle w:val="11"/>
            </w:pPr>
            <w:r>
              <w:t>211.89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211.89</w:t>
            </w:r>
          </w:p>
        </w:tc>
        <w:tc>
          <w:tcPr>
            <w:tcW w:w="1361" w:type="dxa"/>
            <w:vAlign w:val="center"/>
          </w:tcPr>
          <w:p>
            <w:pPr>
              <w:pStyle w:val="11"/>
            </w:pPr>
          </w:p>
        </w:tc>
        <w:tc>
          <w:tcPr>
            <w:tcW w:w="1361" w:type="dxa"/>
            <w:vAlign w:val="center"/>
          </w:tcPr>
          <w:p>
            <w:pPr>
              <w:pStyle w:val="11"/>
            </w:pPr>
            <w:r>
              <w:t>211.89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21206</w:t>
            </w:r>
          </w:p>
        </w:tc>
        <w:tc>
          <w:tcPr>
            <w:tcW w:w="4535" w:type="dxa"/>
            <w:vAlign w:val="center"/>
          </w:tcPr>
          <w:p>
            <w:pPr>
              <w:pStyle w:val="12"/>
            </w:pPr>
            <w:r>
              <w:t>建设市场管理与监督</w:t>
            </w:r>
          </w:p>
        </w:tc>
        <w:tc>
          <w:tcPr>
            <w:tcW w:w="1361" w:type="dxa"/>
            <w:vAlign w:val="center"/>
          </w:tcPr>
          <w:p>
            <w:pPr>
              <w:pStyle w:val="11"/>
            </w:pPr>
            <w:r>
              <w:t>312.10</w:t>
            </w:r>
          </w:p>
        </w:tc>
        <w:tc>
          <w:tcPr>
            <w:tcW w:w="1361" w:type="dxa"/>
            <w:vAlign w:val="center"/>
          </w:tcPr>
          <w:p>
            <w:pPr>
              <w:pStyle w:val="11"/>
            </w:pPr>
            <w:r>
              <w:t>312.10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2120601</w:t>
            </w:r>
          </w:p>
        </w:tc>
        <w:tc>
          <w:tcPr>
            <w:tcW w:w="4535" w:type="dxa"/>
            <w:vAlign w:val="center"/>
          </w:tcPr>
          <w:p>
            <w:pPr>
              <w:pStyle w:val="12"/>
            </w:pPr>
            <w:r>
              <w:t>建设市场管理与监督</w:t>
            </w:r>
          </w:p>
        </w:tc>
        <w:tc>
          <w:tcPr>
            <w:tcW w:w="1361" w:type="dxa"/>
            <w:vAlign w:val="center"/>
          </w:tcPr>
          <w:p>
            <w:pPr>
              <w:pStyle w:val="11"/>
            </w:pPr>
            <w:r>
              <w:t>312.10</w:t>
            </w:r>
          </w:p>
        </w:tc>
        <w:tc>
          <w:tcPr>
            <w:tcW w:w="1361" w:type="dxa"/>
            <w:vAlign w:val="center"/>
          </w:tcPr>
          <w:p>
            <w:pPr>
              <w:pStyle w:val="11"/>
            </w:pPr>
            <w:r>
              <w:t>312.10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26.88</w:t>
            </w:r>
          </w:p>
        </w:tc>
        <w:tc>
          <w:tcPr>
            <w:tcW w:w="1361" w:type="dxa"/>
            <w:vAlign w:val="center"/>
          </w:tcPr>
          <w:p>
            <w:pPr>
              <w:pStyle w:val="11"/>
            </w:pPr>
            <w:r>
              <w:t>26.88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26.88</w:t>
            </w:r>
          </w:p>
        </w:tc>
        <w:tc>
          <w:tcPr>
            <w:tcW w:w="1361" w:type="dxa"/>
            <w:vAlign w:val="center"/>
          </w:tcPr>
          <w:p>
            <w:pPr>
              <w:pStyle w:val="11"/>
            </w:pPr>
            <w:r>
              <w:t>26.88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26.88</w:t>
            </w:r>
          </w:p>
        </w:tc>
        <w:tc>
          <w:tcPr>
            <w:tcW w:w="1361" w:type="dxa"/>
            <w:vAlign w:val="center"/>
          </w:tcPr>
          <w:p>
            <w:pPr>
              <w:pStyle w:val="11"/>
            </w:pPr>
            <w:r>
              <w:t>26.88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657.26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87.36</w:t>
            </w:r>
          </w:p>
        </w:tc>
        <w:tc>
          <w:tcPr>
            <w:tcW w:w="1474" w:type="dxa"/>
            <w:vAlign w:val="center"/>
          </w:tcPr>
          <w:p>
            <w:pPr>
              <w:pStyle w:val="11"/>
            </w:pPr>
            <w:r>
              <w:t>87.36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19.03</w:t>
            </w:r>
          </w:p>
        </w:tc>
        <w:tc>
          <w:tcPr>
            <w:tcW w:w="1474" w:type="dxa"/>
            <w:vAlign w:val="center"/>
          </w:tcPr>
          <w:p>
            <w:pPr>
              <w:pStyle w:val="11"/>
            </w:pPr>
            <w:r>
              <w:t>19.03</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523.99</w:t>
            </w:r>
          </w:p>
        </w:tc>
        <w:tc>
          <w:tcPr>
            <w:tcW w:w="1474" w:type="dxa"/>
            <w:vAlign w:val="center"/>
          </w:tcPr>
          <w:p>
            <w:pPr>
              <w:pStyle w:val="11"/>
            </w:pPr>
            <w:r>
              <w:t>523.99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26.88</w:t>
            </w:r>
          </w:p>
        </w:tc>
        <w:tc>
          <w:tcPr>
            <w:tcW w:w="1474" w:type="dxa"/>
            <w:vAlign w:val="center"/>
          </w:tcPr>
          <w:p>
            <w:pPr>
              <w:pStyle w:val="11"/>
            </w:pPr>
            <w:r>
              <w:t>26.88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657.26</w:t>
            </w:r>
          </w:p>
        </w:tc>
        <w:tc>
          <w:tcPr>
            <w:tcW w:w="3402" w:type="dxa"/>
            <w:vAlign w:val="center"/>
          </w:tcPr>
          <w:p>
            <w:pPr>
              <w:pStyle w:val="14"/>
            </w:pPr>
            <w:r>
              <w:t>本年支出合计</w:t>
            </w:r>
          </w:p>
        </w:tc>
        <w:tc>
          <w:tcPr>
            <w:tcW w:w="1474" w:type="dxa"/>
            <w:vAlign w:val="center"/>
          </w:tcPr>
          <w:p>
            <w:pPr>
              <w:pStyle w:val="15"/>
            </w:pPr>
            <w:r>
              <w:t>657.26</w:t>
            </w:r>
          </w:p>
        </w:tc>
        <w:tc>
          <w:tcPr>
            <w:tcW w:w="1474" w:type="dxa"/>
            <w:vAlign w:val="center"/>
          </w:tcPr>
          <w:p>
            <w:pPr>
              <w:pStyle w:val="15"/>
            </w:pPr>
            <w:r>
              <w:t>657.26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657.26</w:t>
            </w:r>
          </w:p>
        </w:tc>
        <w:tc>
          <w:tcPr>
            <w:tcW w:w="3402" w:type="dxa"/>
            <w:vAlign w:val="center"/>
          </w:tcPr>
          <w:p>
            <w:pPr>
              <w:pStyle w:val="14"/>
            </w:pPr>
            <w:r>
              <w:t>支出总计</w:t>
            </w:r>
          </w:p>
        </w:tc>
        <w:tc>
          <w:tcPr>
            <w:tcW w:w="1474" w:type="dxa"/>
            <w:vAlign w:val="center"/>
          </w:tcPr>
          <w:p>
            <w:pPr>
              <w:pStyle w:val="15"/>
            </w:pPr>
            <w:r>
              <w:t>657.26</w:t>
            </w:r>
          </w:p>
        </w:tc>
        <w:tc>
          <w:tcPr>
            <w:tcW w:w="1474" w:type="dxa"/>
            <w:vAlign w:val="center"/>
          </w:tcPr>
          <w:p>
            <w:pPr>
              <w:pStyle w:val="15"/>
            </w:pPr>
            <w:r>
              <w:t>657.26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657.26</w:t>
            </w:r>
          </w:p>
        </w:tc>
        <w:tc>
          <w:tcPr>
            <w:tcW w:w="2551" w:type="dxa"/>
            <w:vAlign w:val="center"/>
          </w:tcPr>
          <w:p>
            <w:pPr>
              <w:pStyle w:val="15"/>
            </w:pPr>
            <w:r>
              <w:t>391.94</w:t>
            </w:r>
          </w:p>
        </w:tc>
        <w:tc>
          <w:tcPr>
            <w:tcW w:w="2551" w:type="dxa"/>
            <w:vAlign w:val="center"/>
          </w:tcPr>
          <w:p>
            <w:pPr>
              <w:pStyle w:val="15"/>
            </w:pPr>
            <w:r>
              <w:t>265.32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87.36</w:t>
            </w:r>
          </w:p>
        </w:tc>
        <w:tc>
          <w:tcPr>
            <w:tcW w:w="2551" w:type="dxa"/>
            <w:vAlign w:val="center"/>
          </w:tcPr>
          <w:p>
            <w:pPr>
              <w:pStyle w:val="11"/>
            </w:pPr>
            <w:r>
              <w:t>33.93</w:t>
            </w:r>
          </w:p>
        </w:tc>
        <w:tc>
          <w:tcPr>
            <w:tcW w:w="2551" w:type="dxa"/>
            <w:vAlign w:val="center"/>
          </w:tcPr>
          <w:p>
            <w:pPr>
              <w:pStyle w:val="11"/>
            </w:pPr>
            <w:r>
              <w:t>53.43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33.93</w:t>
            </w:r>
          </w:p>
        </w:tc>
        <w:tc>
          <w:tcPr>
            <w:tcW w:w="2551" w:type="dxa"/>
            <w:vAlign w:val="center"/>
          </w:tcPr>
          <w:p>
            <w:pPr>
              <w:pStyle w:val="11"/>
            </w:pPr>
            <w:r>
              <w:t>33.93</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4.56</w:t>
            </w:r>
          </w:p>
        </w:tc>
        <w:tc>
          <w:tcPr>
            <w:tcW w:w="2551" w:type="dxa"/>
            <w:vAlign w:val="center"/>
          </w:tcPr>
          <w:p>
            <w:pPr>
              <w:pStyle w:val="11"/>
            </w:pPr>
            <w:r>
              <w:t>4.56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29.37</w:t>
            </w:r>
          </w:p>
        </w:tc>
        <w:tc>
          <w:tcPr>
            <w:tcW w:w="2551" w:type="dxa"/>
            <w:vAlign w:val="center"/>
          </w:tcPr>
          <w:p>
            <w:pPr>
              <w:pStyle w:val="11"/>
            </w:pPr>
            <w:r>
              <w:t>29.37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53.43</w:t>
            </w:r>
          </w:p>
        </w:tc>
        <w:tc>
          <w:tcPr>
            <w:tcW w:w="2551" w:type="dxa"/>
            <w:vAlign w:val="center"/>
          </w:tcPr>
          <w:p>
            <w:pPr>
              <w:pStyle w:val="11"/>
            </w:pPr>
          </w:p>
        </w:tc>
        <w:tc>
          <w:tcPr>
            <w:tcW w:w="2551" w:type="dxa"/>
            <w:vAlign w:val="center"/>
          </w:tcPr>
          <w:p>
            <w:pPr>
              <w:pStyle w:val="11"/>
            </w:pPr>
            <w:r>
              <w:t>53.43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53.43</w:t>
            </w:r>
          </w:p>
        </w:tc>
        <w:tc>
          <w:tcPr>
            <w:tcW w:w="2551" w:type="dxa"/>
            <w:vAlign w:val="center"/>
          </w:tcPr>
          <w:p>
            <w:pPr>
              <w:pStyle w:val="11"/>
            </w:pPr>
          </w:p>
        </w:tc>
        <w:tc>
          <w:tcPr>
            <w:tcW w:w="2551" w:type="dxa"/>
            <w:vAlign w:val="center"/>
          </w:tcPr>
          <w:p>
            <w:pPr>
              <w:pStyle w:val="11"/>
            </w:pPr>
            <w:r>
              <w:t>53.43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19.03</w:t>
            </w:r>
          </w:p>
        </w:tc>
        <w:tc>
          <w:tcPr>
            <w:tcW w:w="2551" w:type="dxa"/>
            <w:vAlign w:val="center"/>
          </w:tcPr>
          <w:p>
            <w:pPr>
              <w:pStyle w:val="11"/>
            </w:pPr>
            <w:r>
              <w:t>19.03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19.03</w:t>
            </w:r>
          </w:p>
        </w:tc>
        <w:tc>
          <w:tcPr>
            <w:tcW w:w="2551" w:type="dxa"/>
            <w:vAlign w:val="center"/>
          </w:tcPr>
          <w:p>
            <w:pPr>
              <w:pStyle w:val="11"/>
            </w:pPr>
            <w:r>
              <w:t>19.03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19.03</w:t>
            </w:r>
          </w:p>
        </w:tc>
        <w:tc>
          <w:tcPr>
            <w:tcW w:w="2551" w:type="dxa"/>
            <w:vAlign w:val="center"/>
          </w:tcPr>
          <w:p>
            <w:pPr>
              <w:pStyle w:val="11"/>
            </w:pPr>
            <w:r>
              <w:t>19.03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523.99</w:t>
            </w:r>
          </w:p>
        </w:tc>
        <w:tc>
          <w:tcPr>
            <w:tcW w:w="2551" w:type="dxa"/>
            <w:vAlign w:val="center"/>
          </w:tcPr>
          <w:p>
            <w:pPr>
              <w:pStyle w:val="11"/>
            </w:pPr>
            <w:r>
              <w:t>312.10</w:t>
            </w:r>
          </w:p>
        </w:tc>
        <w:tc>
          <w:tcPr>
            <w:tcW w:w="2551" w:type="dxa"/>
            <w:vAlign w:val="center"/>
          </w:tcPr>
          <w:p>
            <w:pPr>
              <w:pStyle w:val="11"/>
            </w:pPr>
            <w:r>
              <w:t>211.89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211.89</w:t>
            </w:r>
          </w:p>
        </w:tc>
        <w:tc>
          <w:tcPr>
            <w:tcW w:w="2551" w:type="dxa"/>
            <w:vAlign w:val="center"/>
          </w:tcPr>
          <w:p>
            <w:pPr>
              <w:pStyle w:val="11"/>
            </w:pPr>
          </w:p>
        </w:tc>
        <w:tc>
          <w:tcPr>
            <w:tcW w:w="2551" w:type="dxa"/>
            <w:vAlign w:val="center"/>
          </w:tcPr>
          <w:p>
            <w:pPr>
              <w:pStyle w:val="11"/>
            </w:pPr>
            <w:r>
              <w:t>211.89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211.89</w:t>
            </w:r>
          </w:p>
        </w:tc>
        <w:tc>
          <w:tcPr>
            <w:tcW w:w="2551" w:type="dxa"/>
            <w:vAlign w:val="center"/>
          </w:tcPr>
          <w:p>
            <w:pPr>
              <w:pStyle w:val="11"/>
            </w:pPr>
          </w:p>
        </w:tc>
        <w:tc>
          <w:tcPr>
            <w:tcW w:w="2551" w:type="dxa"/>
            <w:vAlign w:val="center"/>
          </w:tcPr>
          <w:p>
            <w:pPr>
              <w:pStyle w:val="11"/>
            </w:pPr>
            <w:r>
              <w:t>211.89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21206</w:t>
            </w:r>
          </w:p>
        </w:tc>
        <w:tc>
          <w:tcPr>
            <w:tcW w:w="4535" w:type="dxa"/>
            <w:vAlign w:val="center"/>
          </w:tcPr>
          <w:p>
            <w:pPr>
              <w:pStyle w:val="12"/>
            </w:pPr>
            <w:r>
              <w:t>建设市场管理与监督</w:t>
            </w:r>
          </w:p>
        </w:tc>
        <w:tc>
          <w:tcPr>
            <w:tcW w:w="2551" w:type="dxa"/>
            <w:vAlign w:val="center"/>
          </w:tcPr>
          <w:p>
            <w:pPr>
              <w:pStyle w:val="11"/>
            </w:pPr>
            <w:r>
              <w:t>312.10</w:t>
            </w:r>
          </w:p>
        </w:tc>
        <w:tc>
          <w:tcPr>
            <w:tcW w:w="2551" w:type="dxa"/>
            <w:vAlign w:val="center"/>
          </w:tcPr>
          <w:p>
            <w:pPr>
              <w:pStyle w:val="11"/>
            </w:pPr>
            <w:r>
              <w:t>312.10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2120601</w:t>
            </w:r>
          </w:p>
        </w:tc>
        <w:tc>
          <w:tcPr>
            <w:tcW w:w="4535" w:type="dxa"/>
            <w:vAlign w:val="center"/>
          </w:tcPr>
          <w:p>
            <w:pPr>
              <w:pStyle w:val="12"/>
            </w:pPr>
            <w:r>
              <w:t>建设市场管理与监督</w:t>
            </w:r>
          </w:p>
        </w:tc>
        <w:tc>
          <w:tcPr>
            <w:tcW w:w="2551" w:type="dxa"/>
            <w:vAlign w:val="center"/>
          </w:tcPr>
          <w:p>
            <w:pPr>
              <w:pStyle w:val="11"/>
            </w:pPr>
            <w:r>
              <w:t>312.10</w:t>
            </w:r>
          </w:p>
        </w:tc>
        <w:tc>
          <w:tcPr>
            <w:tcW w:w="2551" w:type="dxa"/>
            <w:vAlign w:val="center"/>
          </w:tcPr>
          <w:p>
            <w:pPr>
              <w:pStyle w:val="11"/>
            </w:pPr>
            <w:r>
              <w:t>312.10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26.88</w:t>
            </w:r>
          </w:p>
        </w:tc>
        <w:tc>
          <w:tcPr>
            <w:tcW w:w="2551" w:type="dxa"/>
            <w:vAlign w:val="center"/>
          </w:tcPr>
          <w:p>
            <w:pPr>
              <w:pStyle w:val="11"/>
            </w:pPr>
            <w:r>
              <w:t>26.88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26.88</w:t>
            </w:r>
          </w:p>
        </w:tc>
        <w:tc>
          <w:tcPr>
            <w:tcW w:w="2551" w:type="dxa"/>
            <w:vAlign w:val="center"/>
          </w:tcPr>
          <w:p>
            <w:pPr>
              <w:pStyle w:val="11"/>
            </w:pPr>
            <w:r>
              <w:t>26.88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26.88</w:t>
            </w:r>
          </w:p>
        </w:tc>
        <w:tc>
          <w:tcPr>
            <w:tcW w:w="2551" w:type="dxa"/>
            <w:vAlign w:val="center"/>
          </w:tcPr>
          <w:p>
            <w:pPr>
              <w:pStyle w:val="11"/>
            </w:pPr>
            <w:r>
              <w:t>26.88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391.94</w:t>
            </w:r>
          </w:p>
        </w:tc>
        <w:tc>
          <w:tcPr>
            <w:tcW w:w="2551" w:type="dxa"/>
            <w:vAlign w:val="center"/>
          </w:tcPr>
          <w:p>
            <w:pPr>
              <w:pStyle w:val="15"/>
            </w:pPr>
            <w:r>
              <w:t>305.75</w:t>
            </w:r>
          </w:p>
        </w:tc>
        <w:tc>
          <w:tcPr>
            <w:tcW w:w="2551" w:type="dxa"/>
            <w:vAlign w:val="center"/>
          </w:tcPr>
          <w:p>
            <w:pPr>
              <w:pStyle w:val="15"/>
            </w:pPr>
            <w:r>
              <w:t>86.19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301.19</w:t>
            </w:r>
          </w:p>
        </w:tc>
        <w:tc>
          <w:tcPr>
            <w:tcW w:w="2551" w:type="dxa"/>
            <w:vAlign w:val="center"/>
          </w:tcPr>
          <w:p>
            <w:pPr>
              <w:pStyle w:val="11"/>
            </w:pPr>
            <w:r>
              <w:t>301.19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85.50</w:t>
            </w:r>
          </w:p>
        </w:tc>
        <w:tc>
          <w:tcPr>
            <w:tcW w:w="2551" w:type="dxa"/>
            <w:vAlign w:val="center"/>
          </w:tcPr>
          <w:p>
            <w:pPr>
              <w:pStyle w:val="11"/>
            </w:pPr>
            <w:r>
              <w:t>85.50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15.69</w:t>
            </w:r>
          </w:p>
        </w:tc>
        <w:tc>
          <w:tcPr>
            <w:tcW w:w="2551" w:type="dxa"/>
            <w:vAlign w:val="center"/>
          </w:tcPr>
          <w:p>
            <w:pPr>
              <w:pStyle w:val="11"/>
            </w:pPr>
            <w:r>
              <w:t>15.69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123.03</w:t>
            </w:r>
          </w:p>
        </w:tc>
        <w:tc>
          <w:tcPr>
            <w:tcW w:w="2551" w:type="dxa"/>
            <w:vAlign w:val="center"/>
          </w:tcPr>
          <w:p>
            <w:pPr>
              <w:pStyle w:val="11"/>
            </w:pPr>
            <w:r>
              <w:t>123.03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29.37</w:t>
            </w:r>
          </w:p>
        </w:tc>
        <w:tc>
          <w:tcPr>
            <w:tcW w:w="2551" w:type="dxa"/>
            <w:vAlign w:val="center"/>
          </w:tcPr>
          <w:p>
            <w:pPr>
              <w:pStyle w:val="11"/>
            </w:pPr>
            <w:r>
              <w:t>29.37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9.80</w:t>
            </w:r>
          </w:p>
        </w:tc>
        <w:tc>
          <w:tcPr>
            <w:tcW w:w="2551" w:type="dxa"/>
            <w:vAlign w:val="center"/>
          </w:tcPr>
          <w:p>
            <w:pPr>
              <w:pStyle w:val="11"/>
            </w:pPr>
            <w:r>
              <w:t>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9.23</w:t>
            </w:r>
          </w:p>
        </w:tc>
        <w:tc>
          <w:tcPr>
            <w:tcW w:w="2551" w:type="dxa"/>
            <w:vAlign w:val="center"/>
          </w:tcPr>
          <w:p>
            <w:pPr>
              <w:pStyle w:val="11"/>
            </w:pPr>
            <w:r>
              <w:t>9.23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1.69</w:t>
            </w:r>
          </w:p>
        </w:tc>
        <w:tc>
          <w:tcPr>
            <w:tcW w:w="2551" w:type="dxa"/>
            <w:vAlign w:val="center"/>
          </w:tcPr>
          <w:p>
            <w:pPr>
              <w:pStyle w:val="11"/>
            </w:pPr>
            <w:r>
              <w:t>1.69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26.88</w:t>
            </w:r>
          </w:p>
        </w:tc>
        <w:tc>
          <w:tcPr>
            <w:tcW w:w="2551" w:type="dxa"/>
            <w:vAlign w:val="center"/>
          </w:tcPr>
          <w:p>
            <w:pPr>
              <w:pStyle w:val="11"/>
            </w:pPr>
            <w:r>
              <w:t>26.88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86.19</w:t>
            </w:r>
          </w:p>
        </w:tc>
        <w:tc>
          <w:tcPr>
            <w:tcW w:w="2551" w:type="dxa"/>
            <w:vAlign w:val="center"/>
          </w:tcPr>
          <w:p>
            <w:pPr>
              <w:pStyle w:val="11"/>
            </w:pPr>
          </w:p>
        </w:tc>
        <w:tc>
          <w:tcPr>
            <w:tcW w:w="2551" w:type="dxa"/>
            <w:vAlign w:val="center"/>
          </w:tcPr>
          <w:p>
            <w:pPr>
              <w:pStyle w:val="11"/>
            </w:pPr>
            <w:r>
              <w:t>86.19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10.20</w:t>
            </w:r>
          </w:p>
        </w:tc>
        <w:tc>
          <w:tcPr>
            <w:tcW w:w="2551" w:type="dxa"/>
            <w:vAlign w:val="center"/>
          </w:tcPr>
          <w:p>
            <w:pPr>
              <w:pStyle w:val="11"/>
            </w:pPr>
          </w:p>
        </w:tc>
        <w:tc>
          <w:tcPr>
            <w:tcW w:w="2551" w:type="dxa"/>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71.89</w:t>
            </w:r>
          </w:p>
        </w:tc>
        <w:tc>
          <w:tcPr>
            <w:tcW w:w="2551" w:type="dxa"/>
            <w:vAlign w:val="center"/>
          </w:tcPr>
          <w:p>
            <w:pPr>
              <w:pStyle w:val="11"/>
            </w:pPr>
          </w:p>
        </w:tc>
        <w:tc>
          <w:tcPr>
            <w:tcW w:w="2551" w:type="dxa"/>
            <w:vAlign w:val="center"/>
          </w:tcPr>
          <w:p>
            <w:pPr>
              <w:pStyle w:val="11"/>
            </w:pPr>
            <w:r>
              <w:t>71.89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1.68</w:t>
            </w:r>
          </w:p>
        </w:tc>
        <w:tc>
          <w:tcPr>
            <w:tcW w:w="2551" w:type="dxa"/>
            <w:vAlign w:val="center"/>
          </w:tcPr>
          <w:p>
            <w:pPr>
              <w:pStyle w:val="11"/>
            </w:pPr>
          </w:p>
        </w:tc>
        <w:tc>
          <w:tcPr>
            <w:tcW w:w="2551" w:type="dxa"/>
            <w:vAlign w:val="center"/>
          </w:tcPr>
          <w:p>
            <w:pPr>
              <w:pStyle w:val="11"/>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2.42</w:t>
            </w:r>
          </w:p>
        </w:tc>
        <w:tc>
          <w:tcPr>
            <w:tcW w:w="2551" w:type="dxa"/>
            <w:vAlign w:val="center"/>
          </w:tcPr>
          <w:p>
            <w:pPr>
              <w:pStyle w:val="11"/>
            </w:pPr>
          </w:p>
        </w:tc>
        <w:tc>
          <w:tcPr>
            <w:tcW w:w="2551" w:type="dxa"/>
            <w:vAlign w:val="center"/>
          </w:tcPr>
          <w:p>
            <w:pPr>
              <w:pStyle w:val="11"/>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4.56</w:t>
            </w:r>
          </w:p>
        </w:tc>
        <w:tc>
          <w:tcPr>
            <w:tcW w:w="2551" w:type="dxa"/>
            <w:vAlign w:val="center"/>
          </w:tcPr>
          <w:p>
            <w:pPr>
              <w:pStyle w:val="11"/>
            </w:pPr>
            <w:r>
              <w:t>4.56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4.56</w:t>
            </w:r>
          </w:p>
        </w:tc>
        <w:tc>
          <w:tcPr>
            <w:tcW w:w="2551" w:type="dxa"/>
            <w:vAlign w:val="center"/>
          </w:tcPr>
          <w:p>
            <w:pPr>
              <w:pStyle w:val="11"/>
            </w:pPr>
            <w:r>
              <w:t>4.56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石家庄市鹿泉区城市建设服务中心2026年单位预算信息公开情况说明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按照《中华人民共和国预算法》、《地方预决算公开操作规程》和《关于进一步推进预算公开工作的实施意见》规定，现将石家庄市鹿泉区城市建设服务中心2026年单位预算公开如下：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1、责负组织城市道路，市政基础设施的谋划工作。</w:t>
      </w:r>
    </w:p>
    <w:p>
      <w:pPr>
        <w:pStyle w:val="17"/>
      </w:pPr>
      <w:r>
        <w:t>2、负责组织项目建设立项、选址、环评、初设、用地和规划许可、施工许可等前期工作。</w:t>
      </w:r>
    </w:p>
    <w:p>
      <w:pPr>
        <w:pStyle w:val="17"/>
      </w:pPr>
      <w:r>
        <w:t>3、负责项目的各项招投标组织工作，档案资料建设和管理工作、竣工验收和移交工作及工程结算审核、审计工作。4、负责污水处理、中水利用等相关服务。5、负责全区燃气市场行业管理及燃气行业安全生产工作。6、负责全区燃气工程新建、扩建、改建项目的审批报建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石家庄市鹿泉区城市建设服务中心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657.26万元，其中：一般公共预算收入657.26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城市建设服务中心年度单位预算中支出预算的总体情况。2026年支出预算657.26万元，其中基本支出391.94万元，包括人员经费305.75万元和日常公用经费86.19万元；项目支出265.32万元，主要为涉军人员工资社保费、入管网企业检测费、污水管网及泵站管护费等资金支出。</w:t>
      </w:r>
    </w:p>
    <w:p>
      <w:pPr>
        <w:pStyle w:val="18"/>
      </w:pPr>
      <w:r>
        <w:t>3、比上年增减情况</w:t>
      </w:r>
    </w:p>
    <w:p>
      <w:pPr>
        <w:pStyle w:val="18"/>
      </w:pPr>
      <w:r>
        <w:t>2026年预算收支安排657.26万元，较2025年预算减少22.46万元，其中：基本支出增加15.05万元，主要为人员经费支出增加项目支出减少37.51万元，主要为管护费减少支出。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1、2026年泵站变压器基本电费绩效目标表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13011026P00155610167A</w:t>
            </w:r>
          </w:p>
        </w:tc>
        <w:tc>
          <w:tcPr>
            <w:tcW w:w="2835" w:type="dxa"/>
            <w:vAlign w:val="center"/>
          </w:tcPr>
          <w:p>
            <w:pPr>
              <w:pStyle w:val="10"/>
            </w:pPr>
            <w:r>
              <w:t>项目名称</w:t>
            </w:r>
          </w:p>
        </w:tc>
        <w:tc>
          <w:tcPr>
            <w:tcW w:w="6095" w:type="dxa"/>
            <w:gridSpan w:val="3"/>
            <w:vAlign w:val="center"/>
          </w:tcPr>
          <w:p>
            <w:pPr>
              <w:pStyle w:val="12"/>
            </w:pPr>
            <w:r>
              <w:t>2026年泵站变压器基本电费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1.89</w:t>
            </w:r>
          </w:p>
        </w:tc>
        <w:tc>
          <w:tcPr>
            <w:tcW w:w="2835" w:type="dxa"/>
            <w:vAlign w:val="center"/>
          </w:tcPr>
          <w:p>
            <w:pPr>
              <w:pStyle w:val="10"/>
            </w:pPr>
            <w:r>
              <w:t>其中：财政    资金</w:t>
            </w:r>
          </w:p>
        </w:tc>
        <w:tc>
          <w:tcPr>
            <w:tcW w:w="2551" w:type="dxa"/>
            <w:vAlign w:val="center"/>
          </w:tcPr>
          <w:p>
            <w:pPr>
              <w:pStyle w:val="12"/>
            </w:pPr>
            <w:r>
              <w:t>1.89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泵站变压器基本电费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1.根据河北省物价局《关于创新和完善促进绿色展价格机制的实施意见（冀价政调[2018]147号》文件要求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基本电费=容量单价*变压器额定容量总和使用于生产负荷相对稳定</w:t>
            </w:r>
          </w:p>
        </w:tc>
        <w:tc>
          <w:tcPr>
            <w:tcW w:w="5386" w:type="dxa"/>
            <w:vAlign w:val="center"/>
          </w:tcPr>
          <w:p>
            <w:pPr>
              <w:pStyle w:val="12"/>
            </w:pPr>
            <w:r>
              <w:t>若实际最大需量超过合同核定值，超用部分会按规定加倍收费</w:t>
            </w:r>
          </w:p>
        </w:tc>
        <w:tc>
          <w:tcPr>
            <w:tcW w:w="2268" w:type="dxa"/>
            <w:vAlign w:val="center"/>
          </w:tcPr>
          <w:p>
            <w:pPr>
              <w:pStyle w:val="12"/>
            </w:pPr>
            <w:r>
              <w:t>度</w:t>
            </w:r>
          </w:p>
        </w:tc>
        <w:tc>
          <w:tcPr>
            <w:tcW w:w="1276" w:type="dxa"/>
            <w:vAlign w:val="center"/>
          </w:tcPr>
          <w:p>
            <w:pPr>
              <w:pStyle w:val="12"/>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影响设备正常运行时长，进而影响基本电费的利用率</w:t>
            </w:r>
          </w:p>
        </w:tc>
        <w:tc>
          <w:tcPr>
            <w:tcW w:w="5386" w:type="dxa"/>
            <w:vAlign w:val="center"/>
          </w:tcPr>
          <w:p>
            <w:pPr>
              <w:pStyle w:val="12"/>
            </w:pPr>
            <w:r>
              <w:t>电压过高会加速设备绝缘老化过低会导致电机转柜不足、设备无法正常启动</w:t>
            </w:r>
          </w:p>
        </w:tc>
        <w:tc>
          <w:tcPr>
            <w:tcW w:w="2268" w:type="dxa"/>
            <w:vAlign w:val="center"/>
          </w:tcPr>
          <w:p>
            <w:pPr>
              <w:pStyle w:val="12"/>
            </w:pPr>
            <w:r>
              <w:t>量</w:t>
            </w:r>
          </w:p>
        </w:tc>
        <w:tc>
          <w:tcPr>
            <w:tcW w:w="1276" w:type="dxa"/>
            <w:vAlign w:val="center"/>
          </w:tcPr>
          <w:p>
            <w:pPr>
              <w:pStyle w:val="12"/>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维护污水管网及时率</w:t>
            </w:r>
          </w:p>
        </w:tc>
        <w:tc>
          <w:tcPr>
            <w:tcW w:w="5386" w:type="dxa"/>
            <w:vAlign w:val="center"/>
          </w:tcPr>
          <w:p>
            <w:pPr>
              <w:pStyle w:val="12"/>
            </w:pPr>
            <w:r>
              <w:t>维护污水管道损坏及修复及时率</w:t>
            </w:r>
          </w:p>
        </w:tc>
        <w:tc>
          <w:tcPr>
            <w:tcW w:w="2268" w:type="dxa"/>
            <w:vAlign w:val="center"/>
          </w:tcPr>
          <w:p>
            <w:pPr>
              <w:pStyle w:val="12"/>
            </w:pPr>
            <w:r>
              <w:t>≥100%</w:t>
            </w:r>
          </w:p>
        </w:tc>
        <w:tc>
          <w:tcPr>
            <w:tcW w:w="1276" w:type="dxa"/>
            <w:vAlign w:val="center"/>
          </w:tcPr>
          <w:p>
            <w:pPr>
              <w:pStyle w:val="12"/>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维护泵站管网成本</w:t>
            </w:r>
          </w:p>
        </w:tc>
        <w:tc>
          <w:tcPr>
            <w:tcW w:w="5386" w:type="dxa"/>
            <w:vAlign w:val="center"/>
          </w:tcPr>
          <w:p>
            <w:pPr>
              <w:pStyle w:val="12"/>
            </w:pPr>
            <w:r>
              <w:t>维护泵站电费</w:t>
            </w:r>
          </w:p>
        </w:tc>
        <w:tc>
          <w:tcPr>
            <w:tcW w:w="2268" w:type="dxa"/>
            <w:vAlign w:val="center"/>
          </w:tcPr>
          <w:p>
            <w:pPr>
              <w:pStyle w:val="12"/>
            </w:pPr>
            <w:r>
              <w:t>27万元</w:t>
            </w:r>
          </w:p>
        </w:tc>
        <w:tc>
          <w:tcPr>
            <w:tcW w:w="1276" w:type="dxa"/>
            <w:vAlign w:val="center"/>
          </w:tcPr>
          <w:p>
            <w:pPr>
              <w:pStyle w:val="12"/>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维护泵站管网完成率</w:t>
            </w:r>
          </w:p>
        </w:tc>
        <w:tc>
          <w:tcPr>
            <w:tcW w:w="5386" w:type="dxa"/>
            <w:vAlign w:val="center"/>
          </w:tcPr>
          <w:p>
            <w:pPr>
              <w:pStyle w:val="12"/>
            </w:pPr>
            <w:r>
              <w:t>维护泵站管网全年合格率达到百分比</w:t>
            </w:r>
          </w:p>
        </w:tc>
        <w:tc>
          <w:tcPr>
            <w:tcW w:w="2268" w:type="dxa"/>
            <w:vAlign w:val="center"/>
          </w:tcPr>
          <w:p>
            <w:pPr>
              <w:pStyle w:val="12"/>
            </w:pPr>
            <w:r>
              <w:t>100%</w:t>
            </w:r>
          </w:p>
        </w:tc>
        <w:tc>
          <w:tcPr>
            <w:tcW w:w="1276" w:type="dxa"/>
            <w:vAlign w:val="center"/>
          </w:tcPr>
          <w:p>
            <w:pPr>
              <w:pStyle w:val="12"/>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收水范围内收益群众满意度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2、2026年入管网企业检测费绩效目标表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13011026P001556101653</w:t>
            </w:r>
          </w:p>
        </w:tc>
        <w:tc>
          <w:tcPr>
            <w:tcW w:w="2835" w:type="dxa"/>
            <w:vAlign w:val="center"/>
          </w:tcPr>
          <w:p>
            <w:pPr>
              <w:pStyle w:val="10"/>
            </w:pPr>
            <w:r>
              <w:t>项目名称</w:t>
            </w:r>
          </w:p>
        </w:tc>
        <w:tc>
          <w:tcPr>
            <w:tcW w:w="6095" w:type="dxa"/>
            <w:gridSpan w:val="3"/>
            <w:vAlign w:val="center"/>
          </w:tcPr>
          <w:p>
            <w:pPr>
              <w:pStyle w:val="12"/>
            </w:pPr>
            <w:r>
              <w:t>2026年入管网企业检测费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聘请第三方对65家企业进行水质检测，确保检测后入管网企业排水达标排放，污水处理厂进水水质达标。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1.聘请第三方对65家企业进行水质检测，确保检测后入管网企业排水达标排放，污水处理厂进水水质达标。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污水检测雇佣人数</w:t>
            </w:r>
          </w:p>
        </w:tc>
        <w:tc>
          <w:tcPr>
            <w:tcW w:w="5386" w:type="dxa"/>
            <w:vAlign w:val="center"/>
          </w:tcPr>
          <w:p>
            <w:pPr>
              <w:pStyle w:val="12"/>
            </w:pPr>
            <w:r>
              <w:t>污水排放检测人员</w:t>
            </w:r>
          </w:p>
        </w:tc>
        <w:tc>
          <w:tcPr>
            <w:tcW w:w="2268" w:type="dxa"/>
            <w:vAlign w:val="center"/>
          </w:tcPr>
          <w:p>
            <w:pPr>
              <w:pStyle w:val="12"/>
            </w:pPr>
            <w:r>
              <w:t>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污水检测数量</w:t>
            </w:r>
          </w:p>
        </w:tc>
        <w:tc>
          <w:tcPr>
            <w:tcW w:w="5386" w:type="dxa"/>
            <w:vAlign w:val="center"/>
          </w:tcPr>
          <w:p>
            <w:pPr>
              <w:pStyle w:val="12"/>
            </w:pPr>
            <w:r>
              <w:t>检测接入污水管网单位数量</w:t>
            </w:r>
          </w:p>
        </w:tc>
        <w:tc>
          <w:tcPr>
            <w:tcW w:w="2268" w:type="dxa"/>
            <w:vAlign w:val="center"/>
          </w:tcPr>
          <w:p>
            <w:pPr>
              <w:pStyle w:val="12"/>
            </w:pPr>
            <w:r>
              <w:t>≥65家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检测准确率</w:t>
            </w:r>
          </w:p>
        </w:tc>
        <w:tc>
          <w:tcPr>
            <w:tcW w:w="5386" w:type="dxa"/>
            <w:vAlign w:val="center"/>
          </w:tcPr>
          <w:p>
            <w:pPr>
              <w:pStyle w:val="12"/>
            </w:pPr>
            <w:r>
              <w:t>检测水质数据准确率达到百分比</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污水检测成本</w:t>
            </w:r>
          </w:p>
        </w:tc>
        <w:tc>
          <w:tcPr>
            <w:tcW w:w="5386" w:type="dxa"/>
            <w:vAlign w:val="center"/>
          </w:tcPr>
          <w:p>
            <w:pPr>
              <w:pStyle w:val="12"/>
            </w:pPr>
            <w:r>
              <w:t>用于对入管网企业污水排放主要指标检测费用</w:t>
            </w:r>
          </w:p>
        </w:tc>
        <w:tc>
          <w:tcPr>
            <w:tcW w:w="2268" w:type="dxa"/>
            <w:vAlign w:val="center"/>
          </w:tcPr>
          <w:p>
            <w:pPr>
              <w:pStyle w:val="12"/>
            </w:pPr>
            <w:r>
              <w:t>≤32万元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检测及时率</w:t>
            </w:r>
          </w:p>
        </w:tc>
        <w:tc>
          <w:tcPr>
            <w:tcW w:w="5386" w:type="dxa"/>
            <w:vAlign w:val="center"/>
          </w:tcPr>
          <w:p>
            <w:pPr>
              <w:pStyle w:val="12"/>
            </w:pPr>
            <w:r>
              <w:t>每年对入管网单位抽检率达到百分比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入管网单位排水达标</w:t>
            </w:r>
          </w:p>
        </w:tc>
        <w:tc>
          <w:tcPr>
            <w:tcW w:w="5386" w:type="dxa"/>
            <w:vAlign w:val="center"/>
          </w:tcPr>
          <w:p>
            <w:pPr>
              <w:pStyle w:val="12"/>
            </w:pPr>
            <w:r>
              <w:t>确保入管网单位排水达到污水处理厂进水标准</w:t>
            </w:r>
          </w:p>
        </w:tc>
        <w:tc>
          <w:tcPr>
            <w:tcW w:w="2268" w:type="dxa"/>
            <w:vAlign w:val="center"/>
          </w:tcPr>
          <w:p>
            <w:pPr>
              <w:pStyle w:val="12"/>
            </w:pPr>
            <w:r>
              <w:t>达标排放</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检测对象满意度</w:t>
            </w:r>
          </w:p>
        </w:tc>
        <w:tc>
          <w:tcPr>
            <w:tcW w:w="5386" w:type="dxa"/>
            <w:vAlign w:val="center"/>
          </w:tcPr>
          <w:p>
            <w:pPr>
              <w:pStyle w:val="12"/>
            </w:pPr>
            <w:r>
              <w:t>对入管网企业检测服务对象满意度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3、2026年涉军人员工资及社保绩效目标表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13011026P001540100516</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53.43</w:t>
            </w:r>
          </w:p>
        </w:tc>
        <w:tc>
          <w:tcPr>
            <w:tcW w:w="2835" w:type="dxa"/>
            <w:vAlign w:val="center"/>
          </w:tcPr>
          <w:p>
            <w:pPr>
              <w:pStyle w:val="10"/>
            </w:pPr>
            <w:r>
              <w:t>其中：财政    资金</w:t>
            </w:r>
          </w:p>
        </w:tc>
        <w:tc>
          <w:tcPr>
            <w:tcW w:w="2551" w:type="dxa"/>
            <w:vAlign w:val="center"/>
          </w:tcPr>
          <w:p>
            <w:pPr>
              <w:pStyle w:val="12"/>
            </w:pPr>
            <w:r>
              <w:t>53.43</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涉军人员工资及社保费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1.对符合条件的退役军人9人，实行公益岗位托管安置，帮扶到位，加大就业援助力度。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退役人数</w:t>
            </w:r>
          </w:p>
        </w:tc>
        <w:tc>
          <w:tcPr>
            <w:tcW w:w="5386" w:type="dxa"/>
            <w:vAlign w:val="center"/>
          </w:tcPr>
          <w:p>
            <w:pPr>
              <w:pStyle w:val="12"/>
            </w:pPr>
            <w:r>
              <w:t>单位退役实际人数</w:t>
            </w:r>
          </w:p>
        </w:tc>
        <w:tc>
          <w:tcPr>
            <w:tcW w:w="2268" w:type="dxa"/>
            <w:vAlign w:val="center"/>
          </w:tcPr>
          <w:p>
            <w:pPr>
              <w:pStyle w:val="12"/>
            </w:pPr>
            <w:r>
              <w:t>9人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及时发放时间</w:t>
            </w:r>
          </w:p>
        </w:tc>
        <w:tc>
          <w:tcPr>
            <w:tcW w:w="5386" w:type="dxa"/>
            <w:vAlign w:val="center"/>
          </w:tcPr>
          <w:p>
            <w:pPr>
              <w:pStyle w:val="12"/>
            </w:pPr>
            <w:r>
              <w:t>资金到位后及时发放</w:t>
            </w:r>
          </w:p>
        </w:tc>
        <w:tc>
          <w:tcPr>
            <w:tcW w:w="2268" w:type="dxa"/>
            <w:vAlign w:val="center"/>
          </w:tcPr>
          <w:p>
            <w:pPr>
              <w:pStyle w:val="12"/>
            </w:pPr>
            <w:r>
              <w:t>≤7工作日</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退役人员工资发放标准</w:t>
            </w:r>
          </w:p>
        </w:tc>
        <w:tc>
          <w:tcPr>
            <w:tcW w:w="5386" w:type="dxa"/>
            <w:vAlign w:val="center"/>
          </w:tcPr>
          <w:p>
            <w:pPr>
              <w:pStyle w:val="12"/>
            </w:pPr>
            <w:r>
              <w:t>对符合条件的退役人员发放工资标准</w:t>
            </w:r>
          </w:p>
        </w:tc>
        <w:tc>
          <w:tcPr>
            <w:tcW w:w="2268" w:type="dxa"/>
            <w:vAlign w:val="center"/>
          </w:tcPr>
          <w:p>
            <w:pPr>
              <w:pStyle w:val="12"/>
            </w:pPr>
            <w:r>
              <w:t>53.43万元</w:t>
            </w:r>
          </w:p>
        </w:tc>
        <w:tc>
          <w:tcPr>
            <w:tcW w:w="1276" w:type="dxa"/>
            <w:vAlign w:val="center"/>
          </w:tcPr>
          <w:p>
            <w:pPr>
              <w:pStyle w:val="12"/>
            </w:pPr>
            <w:r>
              <w:t>年初预收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托管安置帮扶人数</w:t>
            </w:r>
          </w:p>
        </w:tc>
        <w:tc>
          <w:tcPr>
            <w:tcW w:w="5386" w:type="dxa"/>
            <w:vAlign w:val="center"/>
          </w:tcPr>
          <w:p>
            <w:pPr>
              <w:pStyle w:val="12"/>
            </w:pPr>
            <w:r>
              <w:t>对退役帮扶安置人员到位的人数</w:t>
            </w:r>
          </w:p>
        </w:tc>
        <w:tc>
          <w:tcPr>
            <w:tcW w:w="2268" w:type="dxa"/>
            <w:vAlign w:val="center"/>
          </w:tcPr>
          <w:p>
            <w:pPr>
              <w:pStyle w:val="12"/>
            </w:pPr>
            <w:r>
              <w:t>9人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对退役安置满意和较满意的人数</w:t>
            </w:r>
          </w:p>
        </w:tc>
        <w:tc>
          <w:tcPr>
            <w:tcW w:w="2268" w:type="dxa"/>
            <w:vAlign w:val="center"/>
          </w:tcPr>
          <w:p>
            <w:pPr>
              <w:pStyle w:val="12"/>
            </w:pPr>
            <w:r>
              <w:t>9人</w:t>
            </w:r>
          </w:p>
        </w:tc>
        <w:tc>
          <w:tcPr>
            <w:tcW w:w="1276" w:type="dxa"/>
            <w:vAlign w:val="center"/>
          </w:tcPr>
          <w:p>
            <w:pPr>
              <w:pStyle w:val="12"/>
            </w:pPr>
            <w:r>
              <w:t>鹿办文[2017]31号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4、2026年污水管网及泵站管护费绩效目标表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13011026P00155610166N</w:t>
            </w:r>
          </w:p>
        </w:tc>
        <w:tc>
          <w:tcPr>
            <w:tcW w:w="2835" w:type="dxa"/>
            <w:vAlign w:val="center"/>
          </w:tcPr>
          <w:p>
            <w:pPr>
              <w:pStyle w:val="10"/>
            </w:pPr>
            <w:r>
              <w:t>项目名称</w:t>
            </w:r>
          </w:p>
        </w:tc>
        <w:tc>
          <w:tcPr>
            <w:tcW w:w="6095" w:type="dxa"/>
            <w:gridSpan w:val="3"/>
            <w:vAlign w:val="center"/>
          </w:tcPr>
          <w:p>
            <w:pPr>
              <w:pStyle w:val="12"/>
            </w:pPr>
            <w:r>
              <w:t>2026年污水管网及泵站管护费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寺家庄泵站、对拾里洋房泵站、东北片区污水泵站，西部物流污水管网管护，泵站电费168万元，雇用污水管道巡护人员工资72万元、应急抢修（保障运转）费70万元，共计310万元。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1.寺家庄泵站、对拾里洋房泵站、东北片区污水泵站，西部物流污水管网管护，泵站电费168万元，雇用污水管道巡护人员工资72万元、应急抢修（保障运转）费70万元，共计310万元。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雇佣人数</w:t>
            </w:r>
          </w:p>
        </w:tc>
        <w:tc>
          <w:tcPr>
            <w:tcW w:w="5386" w:type="dxa"/>
            <w:vAlign w:val="center"/>
          </w:tcPr>
          <w:p>
            <w:pPr>
              <w:pStyle w:val="12"/>
            </w:pPr>
            <w:r>
              <w:t>维护泵站管网运行人员</w:t>
            </w:r>
          </w:p>
        </w:tc>
        <w:tc>
          <w:tcPr>
            <w:tcW w:w="2268" w:type="dxa"/>
            <w:vAlign w:val="center"/>
          </w:tcPr>
          <w:p>
            <w:pPr>
              <w:pStyle w:val="12"/>
            </w:pPr>
            <w:r>
              <w:t>≥30人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维护管网长度</w:t>
            </w:r>
          </w:p>
        </w:tc>
        <w:tc>
          <w:tcPr>
            <w:tcW w:w="5386" w:type="dxa"/>
            <w:vAlign w:val="center"/>
          </w:tcPr>
          <w:p>
            <w:pPr>
              <w:pStyle w:val="12"/>
            </w:pPr>
            <w:r>
              <w:t>维护泵站污水管网管护长度</w:t>
            </w:r>
          </w:p>
        </w:tc>
        <w:tc>
          <w:tcPr>
            <w:tcW w:w="2268" w:type="dxa"/>
            <w:vAlign w:val="center"/>
          </w:tcPr>
          <w:p>
            <w:pPr>
              <w:pStyle w:val="12"/>
            </w:pPr>
            <w:r>
              <w:t>≥50公里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维护污水管网及时率</w:t>
            </w:r>
          </w:p>
        </w:tc>
        <w:tc>
          <w:tcPr>
            <w:tcW w:w="5386" w:type="dxa"/>
            <w:vAlign w:val="center"/>
          </w:tcPr>
          <w:p>
            <w:pPr>
              <w:pStyle w:val="12"/>
            </w:pPr>
            <w:r>
              <w:t>维护污水管道损坏及修复及时率</w:t>
            </w:r>
          </w:p>
        </w:tc>
        <w:tc>
          <w:tcPr>
            <w:tcW w:w="2268" w:type="dxa"/>
            <w:vAlign w:val="center"/>
          </w:tcPr>
          <w:p>
            <w:pPr>
              <w:pStyle w:val="12"/>
            </w:pPr>
            <w:r>
              <w:t>≥100%</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维护泵站管网成本</w:t>
            </w:r>
          </w:p>
        </w:tc>
        <w:tc>
          <w:tcPr>
            <w:tcW w:w="5386" w:type="dxa"/>
            <w:vAlign w:val="center"/>
          </w:tcPr>
          <w:p>
            <w:pPr>
              <w:pStyle w:val="12"/>
            </w:pPr>
            <w:r>
              <w:t>维护泵站、管网日常运行、维修、管护、工资、电费等</w:t>
            </w:r>
          </w:p>
        </w:tc>
        <w:tc>
          <w:tcPr>
            <w:tcW w:w="2268" w:type="dxa"/>
            <w:vAlign w:val="center"/>
          </w:tcPr>
          <w:p>
            <w:pPr>
              <w:pStyle w:val="12"/>
            </w:pPr>
            <w:r>
              <w:t>310万元</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维护泵站管网完成率</w:t>
            </w:r>
          </w:p>
        </w:tc>
        <w:tc>
          <w:tcPr>
            <w:tcW w:w="5386" w:type="dxa"/>
            <w:vAlign w:val="center"/>
          </w:tcPr>
          <w:p>
            <w:pPr>
              <w:pStyle w:val="12"/>
            </w:pPr>
            <w:r>
              <w:t>维护泵站管网全年合格率达到百分比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收水范围内收益群众满意度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1.64</w:t>
            </w:r>
          </w:p>
        </w:tc>
        <w:tc>
          <w:tcPr>
            <w:tcW w:w="964" w:type="dxa"/>
            <w:vAlign w:val="center"/>
          </w:tcPr>
          <w:p>
            <w:pPr>
              <w:pStyle w:val="15"/>
            </w:pPr>
            <w:r>
              <w:t>1.64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石家庄市鹿泉区城市建设服务中心小计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1.64</w:t>
            </w:r>
          </w:p>
        </w:tc>
        <w:tc>
          <w:tcPr>
            <w:tcW w:w="964" w:type="dxa"/>
            <w:vAlign w:val="center"/>
          </w:tcPr>
          <w:p>
            <w:pPr>
              <w:pStyle w:val="15"/>
            </w:pPr>
            <w:r>
              <w:t>1.64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10.20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5</w:t>
            </w:r>
          </w:p>
        </w:tc>
        <w:tc>
          <w:tcPr>
            <w:tcW w:w="850" w:type="dxa"/>
            <w:vAlign w:val="center"/>
          </w:tcPr>
          <w:p>
            <w:pPr>
              <w:pStyle w:val="11"/>
            </w:pPr>
            <w:r>
              <w:t>0.08</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10.20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w:t>
            </w:r>
          </w:p>
        </w:tc>
        <w:tc>
          <w:tcPr>
            <w:tcW w:w="850" w:type="dxa"/>
            <w:vAlign w:val="center"/>
          </w:tcPr>
          <w:p>
            <w:pPr>
              <w:pStyle w:val="11"/>
            </w:pPr>
            <w:r>
              <w:t>0.31</w:t>
            </w:r>
          </w:p>
        </w:tc>
        <w:tc>
          <w:tcPr>
            <w:tcW w:w="964" w:type="dxa"/>
            <w:vAlign w:val="center"/>
          </w:tcPr>
          <w:p>
            <w:pPr>
              <w:pStyle w:val="11"/>
            </w:pPr>
            <w:r>
              <w:t>1.24</w:t>
            </w:r>
          </w:p>
        </w:tc>
        <w:tc>
          <w:tcPr>
            <w:tcW w:w="964" w:type="dxa"/>
            <w:vAlign w:val="center"/>
          </w:tcPr>
          <w:p>
            <w:pPr>
              <w:pStyle w:val="11"/>
            </w:pPr>
            <w:r>
              <w:t>1.24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石家庄市鹿泉区城市建设服务中心上年末固定资产金额为79.69万元（详见下表）。本年度拟购置固定资产总额为0.40万元，已按要求列入政府采购预算，详见政府采购预算表。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100</w:t>
            </w:r>
          </w:p>
        </w:tc>
        <w:tc>
          <w:tcPr>
            <w:tcW w:w="2835" w:type="dxa"/>
            <w:vAlign w:val="center"/>
          </w:tcPr>
          <w:p>
            <w:pPr>
              <w:pStyle w:val="11"/>
            </w:pPr>
            <w:r>
              <w:t>79.69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六、石家庄市鹿泉区住房保障和房地产服务中心收支预算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684.54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471.21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33.76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684.54</w:t>
            </w:r>
          </w:p>
        </w:tc>
        <w:tc>
          <w:tcPr>
            <w:tcW w:w="4535" w:type="dxa"/>
            <w:vAlign w:val="center"/>
          </w:tcPr>
          <w:p>
            <w:pPr>
              <w:pStyle w:val="14"/>
            </w:pPr>
            <w:r>
              <w:t>本年支出合计</w:t>
            </w:r>
          </w:p>
        </w:tc>
        <w:tc>
          <w:tcPr>
            <w:tcW w:w="2126" w:type="dxa"/>
            <w:vAlign w:val="center"/>
          </w:tcPr>
          <w:p>
            <w:pPr>
              <w:pStyle w:val="15"/>
            </w:pPr>
            <w:r>
              <w:t>684.54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684.54</w:t>
            </w:r>
          </w:p>
        </w:tc>
        <w:tc>
          <w:tcPr>
            <w:tcW w:w="4535" w:type="dxa"/>
            <w:vAlign w:val="center"/>
          </w:tcPr>
          <w:p>
            <w:pPr>
              <w:pStyle w:val="14"/>
            </w:pPr>
            <w:r>
              <w:t>支出总计</w:t>
            </w:r>
          </w:p>
        </w:tc>
        <w:tc>
          <w:tcPr>
            <w:tcW w:w="2126" w:type="dxa"/>
            <w:vAlign w:val="center"/>
          </w:tcPr>
          <w:p>
            <w:pPr>
              <w:pStyle w:val="15"/>
            </w:pPr>
            <w:r>
              <w:t>684.54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684.54</w:t>
            </w:r>
          </w:p>
        </w:tc>
        <w:tc>
          <w:tcPr>
            <w:tcW w:w="1134" w:type="dxa"/>
            <w:vAlign w:val="center"/>
          </w:tcPr>
          <w:p>
            <w:pPr>
              <w:pStyle w:val="15"/>
            </w:pPr>
            <w:r>
              <w:t>684.54</w:t>
            </w:r>
          </w:p>
        </w:tc>
        <w:tc>
          <w:tcPr>
            <w:tcW w:w="1134" w:type="dxa"/>
            <w:vAlign w:val="center"/>
          </w:tcPr>
          <w:p>
            <w:pPr>
              <w:pStyle w:val="15"/>
            </w:pPr>
            <w:r>
              <w:t>684.54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154.80</w:t>
            </w:r>
          </w:p>
        </w:tc>
        <w:tc>
          <w:tcPr>
            <w:tcW w:w="1134" w:type="dxa"/>
            <w:vAlign w:val="center"/>
          </w:tcPr>
          <w:p>
            <w:pPr>
              <w:pStyle w:val="11"/>
            </w:pPr>
            <w:r>
              <w:t>154.80</w:t>
            </w:r>
          </w:p>
        </w:tc>
        <w:tc>
          <w:tcPr>
            <w:tcW w:w="1134" w:type="dxa"/>
            <w:vAlign w:val="center"/>
          </w:tcPr>
          <w:p>
            <w:pPr>
              <w:pStyle w:val="11"/>
            </w:pPr>
            <w:r>
              <w:t>154.80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137.35</w:t>
            </w:r>
          </w:p>
        </w:tc>
        <w:tc>
          <w:tcPr>
            <w:tcW w:w="1134" w:type="dxa"/>
            <w:vAlign w:val="center"/>
          </w:tcPr>
          <w:p>
            <w:pPr>
              <w:pStyle w:val="11"/>
            </w:pPr>
            <w:r>
              <w:t>137.35</w:t>
            </w:r>
          </w:p>
        </w:tc>
        <w:tc>
          <w:tcPr>
            <w:tcW w:w="1134" w:type="dxa"/>
            <w:vAlign w:val="center"/>
          </w:tcPr>
          <w:p>
            <w:pPr>
              <w:pStyle w:val="11"/>
            </w:pPr>
            <w:r>
              <w:t>137.35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82.23</w:t>
            </w:r>
          </w:p>
        </w:tc>
        <w:tc>
          <w:tcPr>
            <w:tcW w:w="1134" w:type="dxa"/>
            <w:vAlign w:val="center"/>
          </w:tcPr>
          <w:p>
            <w:pPr>
              <w:pStyle w:val="11"/>
            </w:pPr>
            <w:r>
              <w:t>82.23</w:t>
            </w:r>
          </w:p>
        </w:tc>
        <w:tc>
          <w:tcPr>
            <w:tcW w:w="1134" w:type="dxa"/>
            <w:vAlign w:val="center"/>
          </w:tcPr>
          <w:p>
            <w:pPr>
              <w:pStyle w:val="11"/>
            </w:pPr>
            <w:r>
              <w:t>82.23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36.75</w:t>
            </w:r>
          </w:p>
        </w:tc>
        <w:tc>
          <w:tcPr>
            <w:tcW w:w="1134" w:type="dxa"/>
            <w:vAlign w:val="center"/>
          </w:tcPr>
          <w:p>
            <w:pPr>
              <w:pStyle w:val="11"/>
            </w:pPr>
            <w:r>
              <w:t>36.75</w:t>
            </w:r>
          </w:p>
        </w:tc>
        <w:tc>
          <w:tcPr>
            <w:tcW w:w="1134" w:type="dxa"/>
            <w:vAlign w:val="center"/>
          </w:tcPr>
          <w:p>
            <w:pPr>
              <w:pStyle w:val="11"/>
            </w:pPr>
            <w:r>
              <w:t>36.75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18.37</w:t>
            </w:r>
          </w:p>
        </w:tc>
        <w:tc>
          <w:tcPr>
            <w:tcW w:w="1134" w:type="dxa"/>
            <w:vAlign w:val="center"/>
          </w:tcPr>
          <w:p>
            <w:pPr>
              <w:pStyle w:val="11"/>
            </w:pPr>
            <w:r>
              <w:t>18.37</w:t>
            </w:r>
          </w:p>
        </w:tc>
        <w:tc>
          <w:tcPr>
            <w:tcW w:w="1134" w:type="dxa"/>
            <w:vAlign w:val="center"/>
          </w:tcPr>
          <w:p>
            <w:pPr>
              <w:pStyle w:val="11"/>
            </w:pPr>
            <w:r>
              <w:t>18.37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17.45</w:t>
            </w:r>
          </w:p>
        </w:tc>
        <w:tc>
          <w:tcPr>
            <w:tcW w:w="1134" w:type="dxa"/>
            <w:vAlign w:val="center"/>
          </w:tcPr>
          <w:p>
            <w:pPr>
              <w:pStyle w:val="11"/>
            </w:pPr>
            <w:r>
              <w:t>17.45</w:t>
            </w:r>
          </w:p>
        </w:tc>
        <w:tc>
          <w:tcPr>
            <w:tcW w:w="1134" w:type="dxa"/>
            <w:vAlign w:val="center"/>
          </w:tcPr>
          <w:p>
            <w:pPr>
              <w:pStyle w:val="11"/>
            </w:pPr>
            <w:r>
              <w:t>17.45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17.45</w:t>
            </w:r>
          </w:p>
        </w:tc>
        <w:tc>
          <w:tcPr>
            <w:tcW w:w="1134" w:type="dxa"/>
            <w:vAlign w:val="center"/>
          </w:tcPr>
          <w:p>
            <w:pPr>
              <w:pStyle w:val="11"/>
            </w:pPr>
            <w:r>
              <w:t>17.45</w:t>
            </w:r>
          </w:p>
        </w:tc>
        <w:tc>
          <w:tcPr>
            <w:tcW w:w="1134" w:type="dxa"/>
            <w:vAlign w:val="center"/>
          </w:tcPr>
          <w:p>
            <w:pPr>
              <w:pStyle w:val="11"/>
            </w:pPr>
            <w:r>
              <w:t>17.45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24.78</w:t>
            </w:r>
          </w:p>
        </w:tc>
        <w:tc>
          <w:tcPr>
            <w:tcW w:w="1134" w:type="dxa"/>
            <w:vAlign w:val="center"/>
          </w:tcPr>
          <w:p>
            <w:pPr>
              <w:pStyle w:val="11"/>
            </w:pPr>
            <w:r>
              <w:t>24.78</w:t>
            </w:r>
          </w:p>
        </w:tc>
        <w:tc>
          <w:tcPr>
            <w:tcW w:w="1134" w:type="dxa"/>
            <w:vAlign w:val="center"/>
          </w:tcPr>
          <w:p>
            <w:pPr>
              <w:pStyle w:val="11"/>
            </w:pPr>
            <w:r>
              <w:t>24.78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24.78</w:t>
            </w:r>
          </w:p>
        </w:tc>
        <w:tc>
          <w:tcPr>
            <w:tcW w:w="1134" w:type="dxa"/>
            <w:vAlign w:val="center"/>
          </w:tcPr>
          <w:p>
            <w:pPr>
              <w:pStyle w:val="11"/>
            </w:pPr>
            <w:r>
              <w:t>24.78</w:t>
            </w:r>
          </w:p>
        </w:tc>
        <w:tc>
          <w:tcPr>
            <w:tcW w:w="1134" w:type="dxa"/>
            <w:vAlign w:val="center"/>
          </w:tcPr>
          <w:p>
            <w:pPr>
              <w:pStyle w:val="11"/>
            </w:pPr>
            <w:r>
              <w:t>24.78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24.78</w:t>
            </w:r>
          </w:p>
        </w:tc>
        <w:tc>
          <w:tcPr>
            <w:tcW w:w="1134" w:type="dxa"/>
            <w:vAlign w:val="center"/>
          </w:tcPr>
          <w:p>
            <w:pPr>
              <w:pStyle w:val="11"/>
            </w:pPr>
            <w:r>
              <w:t>24.78</w:t>
            </w:r>
          </w:p>
        </w:tc>
        <w:tc>
          <w:tcPr>
            <w:tcW w:w="1134" w:type="dxa"/>
            <w:vAlign w:val="center"/>
          </w:tcPr>
          <w:p>
            <w:pPr>
              <w:pStyle w:val="11"/>
            </w:pPr>
            <w:r>
              <w:t>24.78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471.21</w:t>
            </w:r>
          </w:p>
        </w:tc>
        <w:tc>
          <w:tcPr>
            <w:tcW w:w="1134" w:type="dxa"/>
            <w:vAlign w:val="center"/>
          </w:tcPr>
          <w:p>
            <w:pPr>
              <w:pStyle w:val="11"/>
            </w:pPr>
            <w:r>
              <w:t>471.21</w:t>
            </w:r>
          </w:p>
        </w:tc>
        <w:tc>
          <w:tcPr>
            <w:tcW w:w="1134" w:type="dxa"/>
            <w:vAlign w:val="center"/>
          </w:tcPr>
          <w:p>
            <w:pPr>
              <w:pStyle w:val="11"/>
            </w:pPr>
            <w:r>
              <w:t>471.21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471.21</w:t>
            </w:r>
          </w:p>
        </w:tc>
        <w:tc>
          <w:tcPr>
            <w:tcW w:w="1134" w:type="dxa"/>
            <w:vAlign w:val="center"/>
          </w:tcPr>
          <w:p>
            <w:pPr>
              <w:pStyle w:val="11"/>
            </w:pPr>
            <w:r>
              <w:t>471.21</w:t>
            </w:r>
          </w:p>
        </w:tc>
        <w:tc>
          <w:tcPr>
            <w:tcW w:w="1134" w:type="dxa"/>
            <w:vAlign w:val="center"/>
          </w:tcPr>
          <w:p>
            <w:pPr>
              <w:pStyle w:val="11"/>
            </w:pPr>
            <w:r>
              <w:t>471.21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448.65</w:t>
            </w:r>
          </w:p>
        </w:tc>
        <w:tc>
          <w:tcPr>
            <w:tcW w:w="1134" w:type="dxa"/>
            <w:vAlign w:val="center"/>
          </w:tcPr>
          <w:p>
            <w:pPr>
              <w:pStyle w:val="11"/>
            </w:pPr>
            <w:r>
              <w:t>448.65</w:t>
            </w:r>
          </w:p>
        </w:tc>
        <w:tc>
          <w:tcPr>
            <w:tcW w:w="1134" w:type="dxa"/>
            <w:vAlign w:val="center"/>
          </w:tcPr>
          <w:p>
            <w:pPr>
              <w:pStyle w:val="11"/>
            </w:pPr>
            <w:r>
              <w:t>448.65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22.56</w:t>
            </w:r>
          </w:p>
        </w:tc>
        <w:tc>
          <w:tcPr>
            <w:tcW w:w="1134" w:type="dxa"/>
            <w:vAlign w:val="center"/>
          </w:tcPr>
          <w:p>
            <w:pPr>
              <w:pStyle w:val="11"/>
            </w:pPr>
            <w:r>
              <w:t>22.56</w:t>
            </w:r>
          </w:p>
        </w:tc>
        <w:tc>
          <w:tcPr>
            <w:tcW w:w="1134" w:type="dxa"/>
            <w:vAlign w:val="center"/>
          </w:tcPr>
          <w:p>
            <w:pPr>
              <w:pStyle w:val="11"/>
            </w:pPr>
            <w:r>
              <w:t>22.56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33.76</w:t>
            </w:r>
          </w:p>
        </w:tc>
        <w:tc>
          <w:tcPr>
            <w:tcW w:w="1134" w:type="dxa"/>
            <w:vAlign w:val="center"/>
          </w:tcPr>
          <w:p>
            <w:pPr>
              <w:pStyle w:val="11"/>
            </w:pPr>
            <w:r>
              <w:t>33.76</w:t>
            </w:r>
          </w:p>
        </w:tc>
        <w:tc>
          <w:tcPr>
            <w:tcW w:w="1134" w:type="dxa"/>
            <w:vAlign w:val="center"/>
          </w:tcPr>
          <w:p>
            <w:pPr>
              <w:pStyle w:val="11"/>
            </w:pPr>
            <w:r>
              <w:t>33.76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33.76</w:t>
            </w:r>
          </w:p>
        </w:tc>
        <w:tc>
          <w:tcPr>
            <w:tcW w:w="1134" w:type="dxa"/>
            <w:vAlign w:val="center"/>
          </w:tcPr>
          <w:p>
            <w:pPr>
              <w:pStyle w:val="11"/>
            </w:pPr>
            <w:r>
              <w:t>33.76</w:t>
            </w:r>
          </w:p>
        </w:tc>
        <w:tc>
          <w:tcPr>
            <w:tcW w:w="1134" w:type="dxa"/>
            <w:vAlign w:val="center"/>
          </w:tcPr>
          <w:p>
            <w:pPr>
              <w:pStyle w:val="11"/>
            </w:pPr>
            <w:r>
              <w:t>33.76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33.76</w:t>
            </w:r>
          </w:p>
        </w:tc>
        <w:tc>
          <w:tcPr>
            <w:tcW w:w="1134" w:type="dxa"/>
            <w:vAlign w:val="center"/>
          </w:tcPr>
          <w:p>
            <w:pPr>
              <w:pStyle w:val="11"/>
            </w:pPr>
            <w:r>
              <w:t>33.76</w:t>
            </w:r>
          </w:p>
        </w:tc>
        <w:tc>
          <w:tcPr>
            <w:tcW w:w="1134" w:type="dxa"/>
            <w:vAlign w:val="center"/>
          </w:tcPr>
          <w:p>
            <w:pPr>
              <w:pStyle w:val="11"/>
            </w:pPr>
            <w:r>
              <w:t>33.76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684.54</w:t>
            </w:r>
          </w:p>
        </w:tc>
        <w:tc>
          <w:tcPr>
            <w:tcW w:w="1361" w:type="dxa"/>
            <w:vAlign w:val="center"/>
          </w:tcPr>
          <w:p>
            <w:pPr>
              <w:pStyle w:val="15"/>
            </w:pPr>
            <w:r>
              <w:t>644.53</w:t>
            </w:r>
          </w:p>
        </w:tc>
        <w:tc>
          <w:tcPr>
            <w:tcW w:w="1361" w:type="dxa"/>
            <w:vAlign w:val="center"/>
          </w:tcPr>
          <w:p>
            <w:pPr>
              <w:pStyle w:val="15"/>
            </w:pPr>
            <w:r>
              <w:t>40.01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154.80</w:t>
            </w:r>
          </w:p>
        </w:tc>
        <w:tc>
          <w:tcPr>
            <w:tcW w:w="1361" w:type="dxa"/>
            <w:vAlign w:val="center"/>
          </w:tcPr>
          <w:p>
            <w:pPr>
              <w:pStyle w:val="11"/>
            </w:pPr>
            <w:r>
              <w:t>137.35</w:t>
            </w:r>
          </w:p>
        </w:tc>
        <w:tc>
          <w:tcPr>
            <w:tcW w:w="1361" w:type="dxa"/>
            <w:vAlign w:val="center"/>
          </w:tcPr>
          <w:p>
            <w:pPr>
              <w:pStyle w:val="11"/>
            </w:pPr>
            <w:r>
              <w:t>17.45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137.35</w:t>
            </w:r>
          </w:p>
        </w:tc>
        <w:tc>
          <w:tcPr>
            <w:tcW w:w="1361" w:type="dxa"/>
            <w:vAlign w:val="center"/>
          </w:tcPr>
          <w:p>
            <w:pPr>
              <w:pStyle w:val="11"/>
            </w:pPr>
            <w:r>
              <w:t>137.35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82.23</w:t>
            </w:r>
          </w:p>
        </w:tc>
        <w:tc>
          <w:tcPr>
            <w:tcW w:w="1361" w:type="dxa"/>
            <w:vAlign w:val="center"/>
          </w:tcPr>
          <w:p>
            <w:pPr>
              <w:pStyle w:val="11"/>
            </w:pPr>
            <w:r>
              <w:t>82.23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36.75</w:t>
            </w:r>
          </w:p>
        </w:tc>
        <w:tc>
          <w:tcPr>
            <w:tcW w:w="1361" w:type="dxa"/>
            <w:vAlign w:val="center"/>
          </w:tcPr>
          <w:p>
            <w:pPr>
              <w:pStyle w:val="11"/>
            </w:pPr>
            <w:r>
              <w:t>36.75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18.37</w:t>
            </w:r>
          </w:p>
        </w:tc>
        <w:tc>
          <w:tcPr>
            <w:tcW w:w="1361" w:type="dxa"/>
            <w:vAlign w:val="center"/>
          </w:tcPr>
          <w:p>
            <w:pPr>
              <w:pStyle w:val="11"/>
            </w:pPr>
            <w:r>
              <w:t>18.37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17.45</w:t>
            </w:r>
          </w:p>
        </w:tc>
        <w:tc>
          <w:tcPr>
            <w:tcW w:w="1361" w:type="dxa"/>
            <w:vAlign w:val="center"/>
          </w:tcPr>
          <w:p>
            <w:pPr>
              <w:pStyle w:val="11"/>
            </w:pPr>
          </w:p>
        </w:tc>
        <w:tc>
          <w:tcPr>
            <w:tcW w:w="1361" w:type="dxa"/>
            <w:vAlign w:val="center"/>
          </w:tcPr>
          <w:p>
            <w:pPr>
              <w:pStyle w:val="11"/>
            </w:pPr>
            <w:r>
              <w:t>17.45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17.45</w:t>
            </w:r>
          </w:p>
        </w:tc>
        <w:tc>
          <w:tcPr>
            <w:tcW w:w="1361" w:type="dxa"/>
            <w:vAlign w:val="center"/>
          </w:tcPr>
          <w:p>
            <w:pPr>
              <w:pStyle w:val="11"/>
            </w:pPr>
          </w:p>
        </w:tc>
        <w:tc>
          <w:tcPr>
            <w:tcW w:w="1361" w:type="dxa"/>
            <w:vAlign w:val="center"/>
          </w:tcPr>
          <w:p>
            <w:pPr>
              <w:pStyle w:val="11"/>
            </w:pPr>
            <w:r>
              <w:t>17.45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24.78</w:t>
            </w:r>
          </w:p>
        </w:tc>
        <w:tc>
          <w:tcPr>
            <w:tcW w:w="1361" w:type="dxa"/>
            <w:vAlign w:val="center"/>
          </w:tcPr>
          <w:p>
            <w:pPr>
              <w:pStyle w:val="11"/>
            </w:pPr>
            <w:r>
              <w:t>24.78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24.78</w:t>
            </w:r>
          </w:p>
        </w:tc>
        <w:tc>
          <w:tcPr>
            <w:tcW w:w="1361" w:type="dxa"/>
            <w:vAlign w:val="center"/>
          </w:tcPr>
          <w:p>
            <w:pPr>
              <w:pStyle w:val="11"/>
            </w:pPr>
            <w:r>
              <w:t>24.78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24.78</w:t>
            </w:r>
          </w:p>
        </w:tc>
        <w:tc>
          <w:tcPr>
            <w:tcW w:w="1361" w:type="dxa"/>
            <w:vAlign w:val="center"/>
          </w:tcPr>
          <w:p>
            <w:pPr>
              <w:pStyle w:val="11"/>
            </w:pPr>
            <w:r>
              <w:t>24.78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471.21</w:t>
            </w:r>
          </w:p>
        </w:tc>
        <w:tc>
          <w:tcPr>
            <w:tcW w:w="1361" w:type="dxa"/>
            <w:vAlign w:val="center"/>
          </w:tcPr>
          <w:p>
            <w:pPr>
              <w:pStyle w:val="11"/>
            </w:pPr>
            <w:r>
              <w:t>448.65</w:t>
            </w:r>
          </w:p>
        </w:tc>
        <w:tc>
          <w:tcPr>
            <w:tcW w:w="1361" w:type="dxa"/>
            <w:vAlign w:val="center"/>
          </w:tcPr>
          <w:p>
            <w:pPr>
              <w:pStyle w:val="11"/>
            </w:pPr>
            <w:r>
              <w:t>22.56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471.21</w:t>
            </w:r>
          </w:p>
        </w:tc>
        <w:tc>
          <w:tcPr>
            <w:tcW w:w="1361" w:type="dxa"/>
            <w:vAlign w:val="center"/>
          </w:tcPr>
          <w:p>
            <w:pPr>
              <w:pStyle w:val="11"/>
            </w:pPr>
            <w:r>
              <w:t>448.65</w:t>
            </w:r>
          </w:p>
        </w:tc>
        <w:tc>
          <w:tcPr>
            <w:tcW w:w="1361" w:type="dxa"/>
            <w:vAlign w:val="center"/>
          </w:tcPr>
          <w:p>
            <w:pPr>
              <w:pStyle w:val="11"/>
            </w:pPr>
            <w:r>
              <w:t>22.56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448.65</w:t>
            </w:r>
          </w:p>
        </w:tc>
        <w:tc>
          <w:tcPr>
            <w:tcW w:w="1361" w:type="dxa"/>
            <w:vAlign w:val="center"/>
          </w:tcPr>
          <w:p>
            <w:pPr>
              <w:pStyle w:val="11"/>
            </w:pPr>
            <w:r>
              <w:t>448.65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22.56</w:t>
            </w:r>
          </w:p>
        </w:tc>
        <w:tc>
          <w:tcPr>
            <w:tcW w:w="1361" w:type="dxa"/>
            <w:vAlign w:val="center"/>
          </w:tcPr>
          <w:p>
            <w:pPr>
              <w:pStyle w:val="11"/>
            </w:pPr>
          </w:p>
        </w:tc>
        <w:tc>
          <w:tcPr>
            <w:tcW w:w="1361" w:type="dxa"/>
            <w:vAlign w:val="center"/>
          </w:tcPr>
          <w:p>
            <w:pPr>
              <w:pStyle w:val="11"/>
            </w:pPr>
            <w:r>
              <w:t>22.56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33.76</w:t>
            </w:r>
          </w:p>
        </w:tc>
        <w:tc>
          <w:tcPr>
            <w:tcW w:w="1361" w:type="dxa"/>
            <w:vAlign w:val="center"/>
          </w:tcPr>
          <w:p>
            <w:pPr>
              <w:pStyle w:val="11"/>
            </w:pPr>
            <w:r>
              <w:t>33.76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33.76</w:t>
            </w:r>
          </w:p>
        </w:tc>
        <w:tc>
          <w:tcPr>
            <w:tcW w:w="1361" w:type="dxa"/>
            <w:vAlign w:val="center"/>
          </w:tcPr>
          <w:p>
            <w:pPr>
              <w:pStyle w:val="11"/>
            </w:pPr>
            <w:r>
              <w:t>33.76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33.76</w:t>
            </w:r>
          </w:p>
        </w:tc>
        <w:tc>
          <w:tcPr>
            <w:tcW w:w="1361" w:type="dxa"/>
            <w:vAlign w:val="center"/>
          </w:tcPr>
          <w:p>
            <w:pPr>
              <w:pStyle w:val="11"/>
            </w:pPr>
            <w:r>
              <w:t>33.76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684.54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154.80</w:t>
            </w:r>
          </w:p>
        </w:tc>
        <w:tc>
          <w:tcPr>
            <w:tcW w:w="1474" w:type="dxa"/>
            <w:vAlign w:val="center"/>
          </w:tcPr>
          <w:p>
            <w:pPr>
              <w:pStyle w:val="11"/>
            </w:pPr>
            <w:r>
              <w:t>154.80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24.78</w:t>
            </w:r>
          </w:p>
        </w:tc>
        <w:tc>
          <w:tcPr>
            <w:tcW w:w="1474" w:type="dxa"/>
            <w:vAlign w:val="center"/>
          </w:tcPr>
          <w:p>
            <w:pPr>
              <w:pStyle w:val="11"/>
            </w:pPr>
            <w:r>
              <w:t>24.78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471.21</w:t>
            </w:r>
          </w:p>
        </w:tc>
        <w:tc>
          <w:tcPr>
            <w:tcW w:w="1474" w:type="dxa"/>
            <w:vAlign w:val="center"/>
          </w:tcPr>
          <w:p>
            <w:pPr>
              <w:pStyle w:val="11"/>
            </w:pPr>
            <w:r>
              <w:t>471.21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33.76</w:t>
            </w:r>
          </w:p>
        </w:tc>
        <w:tc>
          <w:tcPr>
            <w:tcW w:w="1474" w:type="dxa"/>
            <w:vAlign w:val="center"/>
          </w:tcPr>
          <w:p>
            <w:pPr>
              <w:pStyle w:val="11"/>
            </w:pPr>
            <w:r>
              <w:t>33.76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684.54</w:t>
            </w:r>
          </w:p>
        </w:tc>
        <w:tc>
          <w:tcPr>
            <w:tcW w:w="3402" w:type="dxa"/>
            <w:vAlign w:val="center"/>
          </w:tcPr>
          <w:p>
            <w:pPr>
              <w:pStyle w:val="14"/>
            </w:pPr>
            <w:r>
              <w:t>本年支出合计</w:t>
            </w:r>
          </w:p>
        </w:tc>
        <w:tc>
          <w:tcPr>
            <w:tcW w:w="1474" w:type="dxa"/>
            <w:vAlign w:val="center"/>
          </w:tcPr>
          <w:p>
            <w:pPr>
              <w:pStyle w:val="15"/>
            </w:pPr>
            <w:r>
              <w:t>684.54</w:t>
            </w:r>
          </w:p>
        </w:tc>
        <w:tc>
          <w:tcPr>
            <w:tcW w:w="1474" w:type="dxa"/>
            <w:vAlign w:val="center"/>
          </w:tcPr>
          <w:p>
            <w:pPr>
              <w:pStyle w:val="15"/>
            </w:pPr>
            <w:r>
              <w:t>684.54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684.54</w:t>
            </w:r>
          </w:p>
        </w:tc>
        <w:tc>
          <w:tcPr>
            <w:tcW w:w="3402" w:type="dxa"/>
            <w:vAlign w:val="center"/>
          </w:tcPr>
          <w:p>
            <w:pPr>
              <w:pStyle w:val="14"/>
            </w:pPr>
            <w:r>
              <w:t>支出总计</w:t>
            </w:r>
          </w:p>
        </w:tc>
        <w:tc>
          <w:tcPr>
            <w:tcW w:w="1474" w:type="dxa"/>
            <w:vAlign w:val="center"/>
          </w:tcPr>
          <w:p>
            <w:pPr>
              <w:pStyle w:val="15"/>
            </w:pPr>
            <w:r>
              <w:t>684.54</w:t>
            </w:r>
          </w:p>
        </w:tc>
        <w:tc>
          <w:tcPr>
            <w:tcW w:w="1474" w:type="dxa"/>
            <w:vAlign w:val="center"/>
          </w:tcPr>
          <w:p>
            <w:pPr>
              <w:pStyle w:val="15"/>
            </w:pPr>
            <w:r>
              <w:t>684.54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684.54</w:t>
            </w:r>
          </w:p>
        </w:tc>
        <w:tc>
          <w:tcPr>
            <w:tcW w:w="2551" w:type="dxa"/>
            <w:vAlign w:val="center"/>
          </w:tcPr>
          <w:p>
            <w:pPr>
              <w:pStyle w:val="15"/>
            </w:pPr>
            <w:r>
              <w:t>644.53</w:t>
            </w:r>
          </w:p>
        </w:tc>
        <w:tc>
          <w:tcPr>
            <w:tcW w:w="2551" w:type="dxa"/>
            <w:vAlign w:val="center"/>
          </w:tcPr>
          <w:p>
            <w:pPr>
              <w:pStyle w:val="15"/>
            </w:pPr>
            <w:r>
              <w:t>40.01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154.80</w:t>
            </w:r>
          </w:p>
        </w:tc>
        <w:tc>
          <w:tcPr>
            <w:tcW w:w="2551" w:type="dxa"/>
            <w:vAlign w:val="center"/>
          </w:tcPr>
          <w:p>
            <w:pPr>
              <w:pStyle w:val="11"/>
            </w:pPr>
            <w:r>
              <w:t>137.35</w:t>
            </w:r>
          </w:p>
        </w:tc>
        <w:tc>
          <w:tcPr>
            <w:tcW w:w="2551" w:type="dxa"/>
            <w:vAlign w:val="center"/>
          </w:tcPr>
          <w:p>
            <w:pPr>
              <w:pStyle w:val="11"/>
            </w:pPr>
            <w:r>
              <w:t>17.45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137.35</w:t>
            </w:r>
          </w:p>
        </w:tc>
        <w:tc>
          <w:tcPr>
            <w:tcW w:w="2551" w:type="dxa"/>
            <w:vAlign w:val="center"/>
          </w:tcPr>
          <w:p>
            <w:pPr>
              <w:pStyle w:val="11"/>
            </w:pPr>
            <w:r>
              <w:t>137.35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82.23</w:t>
            </w:r>
          </w:p>
        </w:tc>
        <w:tc>
          <w:tcPr>
            <w:tcW w:w="2551" w:type="dxa"/>
            <w:vAlign w:val="center"/>
          </w:tcPr>
          <w:p>
            <w:pPr>
              <w:pStyle w:val="11"/>
            </w:pPr>
            <w:r>
              <w:t>82.23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36.75</w:t>
            </w:r>
          </w:p>
        </w:tc>
        <w:tc>
          <w:tcPr>
            <w:tcW w:w="2551" w:type="dxa"/>
            <w:vAlign w:val="center"/>
          </w:tcPr>
          <w:p>
            <w:pPr>
              <w:pStyle w:val="11"/>
            </w:pPr>
            <w:r>
              <w:t>36.75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18.37</w:t>
            </w:r>
          </w:p>
        </w:tc>
        <w:tc>
          <w:tcPr>
            <w:tcW w:w="2551" w:type="dxa"/>
            <w:vAlign w:val="center"/>
          </w:tcPr>
          <w:p>
            <w:pPr>
              <w:pStyle w:val="11"/>
            </w:pPr>
            <w:r>
              <w:t>18.37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17.45</w:t>
            </w:r>
          </w:p>
        </w:tc>
        <w:tc>
          <w:tcPr>
            <w:tcW w:w="2551" w:type="dxa"/>
            <w:vAlign w:val="center"/>
          </w:tcPr>
          <w:p>
            <w:pPr>
              <w:pStyle w:val="11"/>
            </w:pPr>
          </w:p>
        </w:tc>
        <w:tc>
          <w:tcPr>
            <w:tcW w:w="2551" w:type="dxa"/>
            <w:vAlign w:val="center"/>
          </w:tcPr>
          <w:p>
            <w:pPr>
              <w:pStyle w:val="11"/>
            </w:pPr>
            <w:r>
              <w:t>17.45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17.45</w:t>
            </w:r>
          </w:p>
        </w:tc>
        <w:tc>
          <w:tcPr>
            <w:tcW w:w="2551" w:type="dxa"/>
            <w:vAlign w:val="center"/>
          </w:tcPr>
          <w:p>
            <w:pPr>
              <w:pStyle w:val="11"/>
            </w:pPr>
          </w:p>
        </w:tc>
        <w:tc>
          <w:tcPr>
            <w:tcW w:w="2551" w:type="dxa"/>
            <w:vAlign w:val="center"/>
          </w:tcPr>
          <w:p>
            <w:pPr>
              <w:pStyle w:val="11"/>
            </w:pPr>
            <w:r>
              <w:t>17.45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24.78</w:t>
            </w:r>
          </w:p>
        </w:tc>
        <w:tc>
          <w:tcPr>
            <w:tcW w:w="2551" w:type="dxa"/>
            <w:vAlign w:val="center"/>
          </w:tcPr>
          <w:p>
            <w:pPr>
              <w:pStyle w:val="11"/>
            </w:pPr>
            <w:r>
              <w:t>24.78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24.78</w:t>
            </w:r>
          </w:p>
        </w:tc>
        <w:tc>
          <w:tcPr>
            <w:tcW w:w="2551" w:type="dxa"/>
            <w:vAlign w:val="center"/>
          </w:tcPr>
          <w:p>
            <w:pPr>
              <w:pStyle w:val="11"/>
            </w:pPr>
            <w:r>
              <w:t>24.78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24.78</w:t>
            </w:r>
          </w:p>
        </w:tc>
        <w:tc>
          <w:tcPr>
            <w:tcW w:w="2551" w:type="dxa"/>
            <w:vAlign w:val="center"/>
          </w:tcPr>
          <w:p>
            <w:pPr>
              <w:pStyle w:val="11"/>
            </w:pPr>
            <w:r>
              <w:t>24.78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471.21</w:t>
            </w:r>
          </w:p>
        </w:tc>
        <w:tc>
          <w:tcPr>
            <w:tcW w:w="2551" w:type="dxa"/>
            <w:vAlign w:val="center"/>
          </w:tcPr>
          <w:p>
            <w:pPr>
              <w:pStyle w:val="11"/>
            </w:pPr>
            <w:r>
              <w:t>448.65</w:t>
            </w:r>
          </w:p>
        </w:tc>
        <w:tc>
          <w:tcPr>
            <w:tcW w:w="2551" w:type="dxa"/>
            <w:vAlign w:val="center"/>
          </w:tcPr>
          <w:p>
            <w:pPr>
              <w:pStyle w:val="11"/>
            </w:pPr>
            <w:r>
              <w:t>22.56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471.21</w:t>
            </w:r>
          </w:p>
        </w:tc>
        <w:tc>
          <w:tcPr>
            <w:tcW w:w="2551" w:type="dxa"/>
            <w:vAlign w:val="center"/>
          </w:tcPr>
          <w:p>
            <w:pPr>
              <w:pStyle w:val="11"/>
            </w:pPr>
            <w:r>
              <w:t>448.65</w:t>
            </w:r>
          </w:p>
        </w:tc>
        <w:tc>
          <w:tcPr>
            <w:tcW w:w="2551" w:type="dxa"/>
            <w:vAlign w:val="center"/>
          </w:tcPr>
          <w:p>
            <w:pPr>
              <w:pStyle w:val="11"/>
            </w:pPr>
            <w:r>
              <w:t>22.56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448.65</w:t>
            </w:r>
          </w:p>
        </w:tc>
        <w:tc>
          <w:tcPr>
            <w:tcW w:w="2551" w:type="dxa"/>
            <w:vAlign w:val="center"/>
          </w:tcPr>
          <w:p>
            <w:pPr>
              <w:pStyle w:val="11"/>
            </w:pPr>
            <w:r>
              <w:t>448.65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22.56</w:t>
            </w:r>
          </w:p>
        </w:tc>
        <w:tc>
          <w:tcPr>
            <w:tcW w:w="2551" w:type="dxa"/>
            <w:vAlign w:val="center"/>
          </w:tcPr>
          <w:p>
            <w:pPr>
              <w:pStyle w:val="11"/>
            </w:pPr>
          </w:p>
        </w:tc>
        <w:tc>
          <w:tcPr>
            <w:tcW w:w="2551" w:type="dxa"/>
            <w:vAlign w:val="center"/>
          </w:tcPr>
          <w:p>
            <w:pPr>
              <w:pStyle w:val="11"/>
            </w:pPr>
            <w:r>
              <w:t>22.56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33.76</w:t>
            </w:r>
          </w:p>
        </w:tc>
        <w:tc>
          <w:tcPr>
            <w:tcW w:w="2551" w:type="dxa"/>
            <w:vAlign w:val="center"/>
          </w:tcPr>
          <w:p>
            <w:pPr>
              <w:pStyle w:val="11"/>
            </w:pPr>
            <w:r>
              <w:t>33.76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33.76</w:t>
            </w:r>
          </w:p>
        </w:tc>
        <w:tc>
          <w:tcPr>
            <w:tcW w:w="2551" w:type="dxa"/>
            <w:vAlign w:val="center"/>
          </w:tcPr>
          <w:p>
            <w:pPr>
              <w:pStyle w:val="11"/>
            </w:pPr>
            <w:r>
              <w:t>33.76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33.76</w:t>
            </w:r>
          </w:p>
        </w:tc>
        <w:tc>
          <w:tcPr>
            <w:tcW w:w="2551" w:type="dxa"/>
            <w:vAlign w:val="center"/>
          </w:tcPr>
          <w:p>
            <w:pPr>
              <w:pStyle w:val="11"/>
            </w:pPr>
            <w:r>
              <w:t>33.76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644.53</w:t>
            </w:r>
          </w:p>
        </w:tc>
        <w:tc>
          <w:tcPr>
            <w:tcW w:w="2551" w:type="dxa"/>
            <w:vAlign w:val="center"/>
          </w:tcPr>
          <w:p>
            <w:pPr>
              <w:pStyle w:val="15"/>
            </w:pPr>
            <w:r>
              <w:t>483.12</w:t>
            </w:r>
          </w:p>
        </w:tc>
        <w:tc>
          <w:tcPr>
            <w:tcW w:w="2551" w:type="dxa"/>
            <w:vAlign w:val="center"/>
          </w:tcPr>
          <w:p>
            <w:pPr>
              <w:pStyle w:val="15"/>
            </w:pPr>
            <w:r>
              <w:t>161.41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397.43</w:t>
            </w:r>
          </w:p>
        </w:tc>
        <w:tc>
          <w:tcPr>
            <w:tcW w:w="2551" w:type="dxa"/>
            <w:vAlign w:val="center"/>
          </w:tcPr>
          <w:p>
            <w:pPr>
              <w:pStyle w:val="11"/>
            </w:pPr>
            <w:r>
              <w:t>397.43</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105.16</w:t>
            </w:r>
          </w:p>
        </w:tc>
        <w:tc>
          <w:tcPr>
            <w:tcW w:w="2551" w:type="dxa"/>
            <w:vAlign w:val="center"/>
          </w:tcPr>
          <w:p>
            <w:pPr>
              <w:pStyle w:val="11"/>
            </w:pPr>
            <w:r>
              <w:t>105.16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19.66</w:t>
            </w:r>
          </w:p>
        </w:tc>
        <w:tc>
          <w:tcPr>
            <w:tcW w:w="2551" w:type="dxa"/>
            <w:vAlign w:val="center"/>
          </w:tcPr>
          <w:p>
            <w:pPr>
              <w:pStyle w:val="11"/>
            </w:pPr>
            <w:r>
              <w:t>19.66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156.85</w:t>
            </w:r>
          </w:p>
        </w:tc>
        <w:tc>
          <w:tcPr>
            <w:tcW w:w="2551" w:type="dxa"/>
            <w:vAlign w:val="center"/>
          </w:tcPr>
          <w:p>
            <w:pPr>
              <w:pStyle w:val="11"/>
            </w:pPr>
            <w:r>
              <w:t>156.85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36.75</w:t>
            </w:r>
          </w:p>
        </w:tc>
        <w:tc>
          <w:tcPr>
            <w:tcW w:w="2551" w:type="dxa"/>
            <w:vAlign w:val="center"/>
          </w:tcPr>
          <w:p>
            <w:pPr>
              <w:pStyle w:val="11"/>
            </w:pPr>
            <w:r>
              <w:t>36.75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18.37</w:t>
            </w:r>
          </w:p>
        </w:tc>
        <w:tc>
          <w:tcPr>
            <w:tcW w:w="2551" w:type="dxa"/>
            <w:vAlign w:val="center"/>
          </w:tcPr>
          <w:p>
            <w:pPr>
              <w:pStyle w:val="11"/>
            </w:pPr>
            <w:r>
              <w:t>18.37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13.27</w:t>
            </w:r>
          </w:p>
        </w:tc>
        <w:tc>
          <w:tcPr>
            <w:tcW w:w="2551" w:type="dxa"/>
            <w:vAlign w:val="center"/>
          </w:tcPr>
          <w:p>
            <w:pPr>
              <w:pStyle w:val="11"/>
            </w:pPr>
            <w:r>
              <w:t>13.27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11.50</w:t>
            </w:r>
          </w:p>
        </w:tc>
        <w:tc>
          <w:tcPr>
            <w:tcW w:w="2551" w:type="dxa"/>
            <w:vAlign w:val="center"/>
          </w:tcPr>
          <w:p>
            <w:pPr>
              <w:pStyle w:val="11"/>
            </w:pPr>
            <w:r>
              <w:t>11.50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2.11</w:t>
            </w:r>
          </w:p>
        </w:tc>
        <w:tc>
          <w:tcPr>
            <w:tcW w:w="2551" w:type="dxa"/>
            <w:vAlign w:val="center"/>
          </w:tcPr>
          <w:p>
            <w:pPr>
              <w:pStyle w:val="11"/>
            </w:pPr>
            <w:r>
              <w:t>2.11</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33.76</w:t>
            </w:r>
          </w:p>
        </w:tc>
        <w:tc>
          <w:tcPr>
            <w:tcW w:w="2551" w:type="dxa"/>
            <w:vAlign w:val="center"/>
          </w:tcPr>
          <w:p>
            <w:pPr>
              <w:pStyle w:val="11"/>
            </w:pPr>
            <w:r>
              <w:t>33.76</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161.41</w:t>
            </w:r>
          </w:p>
        </w:tc>
        <w:tc>
          <w:tcPr>
            <w:tcW w:w="2551" w:type="dxa"/>
            <w:vAlign w:val="center"/>
          </w:tcPr>
          <w:p>
            <w:pPr>
              <w:pStyle w:val="11"/>
            </w:pPr>
          </w:p>
        </w:tc>
        <w:tc>
          <w:tcPr>
            <w:tcW w:w="2551" w:type="dxa"/>
            <w:vAlign w:val="center"/>
          </w:tcPr>
          <w:p>
            <w:pPr>
              <w:pStyle w:val="11"/>
            </w:pPr>
            <w:r>
              <w:t>161.41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13.20</w:t>
            </w:r>
          </w:p>
        </w:tc>
        <w:tc>
          <w:tcPr>
            <w:tcW w:w="2551" w:type="dxa"/>
            <w:vAlign w:val="center"/>
          </w:tcPr>
          <w:p>
            <w:pPr>
              <w:pStyle w:val="11"/>
            </w:pPr>
          </w:p>
        </w:tc>
        <w:tc>
          <w:tcPr>
            <w:tcW w:w="2551" w:type="dxa"/>
            <w:vAlign w:val="center"/>
          </w:tcPr>
          <w:p>
            <w:pPr>
              <w:pStyle w:val="11"/>
            </w:pPr>
            <w: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5.97</w:t>
            </w:r>
          </w:p>
        </w:tc>
        <w:tc>
          <w:tcPr>
            <w:tcW w:w="2551" w:type="dxa"/>
            <w:vAlign w:val="center"/>
          </w:tcPr>
          <w:p>
            <w:pPr>
              <w:pStyle w:val="11"/>
            </w:pPr>
          </w:p>
        </w:tc>
        <w:tc>
          <w:tcPr>
            <w:tcW w:w="2551" w:type="dxa"/>
            <w:vAlign w:val="center"/>
          </w:tcPr>
          <w:p>
            <w:pPr>
              <w:pStyle w:val="11"/>
            </w:pPr>
            <w:r>
              <w:t>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130.15</w:t>
            </w:r>
          </w:p>
        </w:tc>
        <w:tc>
          <w:tcPr>
            <w:tcW w:w="2551" w:type="dxa"/>
            <w:vAlign w:val="center"/>
          </w:tcPr>
          <w:p>
            <w:pPr>
              <w:pStyle w:val="11"/>
            </w:pPr>
          </w:p>
        </w:tc>
        <w:tc>
          <w:tcPr>
            <w:tcW w:w="2551" w:type="dxa"/>
            <w:vAlign w:val="center"/>
          </w:tcPr>
          <w:p>
            <w:pPr>
              <w:pStyle w:val="11"/>
            </w:pPr>
            <w:r>
              <w:t>130.15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2.11</w:t>
            </w:r>
          </w:p>
        </w:tc>
        <w:tc>
          <w:tcPr>
            <w:tcW w:w="2551" w:type="dxa"/>
            <w:vAlign w:val="center"/>
          </w:tcPr>
          <w:p>
            <w:pPr>
              <w:pStyle w:val="11"/>
            </w:pPr>
          </w:p>
        </w:tc>
        <w:tc>
          <w:tcPr>
            <w:tcW w:w="2551" w:type="dxa"/>
            <w:vAlign w:val="center"/>
          </w:tcPr>
          <w:p>
            <w:pPr>
              <w:pStyle w:val="11"/>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4.58</w:t>
            </w:r>
          </w:p>
        </w:tc>
        <w:tc>
          <w:tcPr>
            <w:tcW w:w="2551" w:type="dxa"/>
            <w:vAlign w:val="center"/>
          </w:tcPr>
          <w:p>
            <w:pPr>
              <w:pStyle w:val="11"/>
            </w:pPr>
          </w:p>
        </w:tc>
        <w:tc>
          <w:tcPr>
            <w:tcW w:w="2551" w:type="dxa"/>
            <w:vAlign w:val="center"/>
          </w:tcPr>
          <w:p>
            <w:pPr>
              <w:pStyle w:val="11"/>
            </w:pPr>
            <w:r>
              <w:t>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85.69</w:t>
            </w:r>
          </w:p>
        </w:tc>
        <w:tc>
          <w:tcPr>
            <w:tcW w:w="2551" w:type="dxa"/>
            <w:vAlign w:val="center"/>
          </w:tcPr>
          <w:p>
            <w:pPr>
              <w:pStyle w:val="11"/>
            </w:pPr>
            <w:r>
              <w:t>85.69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82.00</w:t>
            </w:r>
          </w:p>
        </w:tc>
        <w:tc>
          <w:tcPr>
            <w:tcW w:w="2551" w:type="dxa"/>
            <w:vAlign w:val="center"/>
          </w:tcPr>
          <w:p>
            <w:pPr>
              <w:pStyle w:val="11"/>
            </w:pPr>
            <w:r>
              <w:t>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3.70</w:t>
            </w:r>
          </w:p>
        </w:tc>
        <w:tc>
          <w:tcPr>
            <w:tcW w:w="2551" w:type="dxa"/>
            <w:vAlign w:val="center"/>
          </w:tcPr>
          <w:p>
            <w:pPr>
              <w:pStyle w:val="11"/>
            </w:pPr>
            <w:r>
              <w:t>3.70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石家庄市鹿泉区住房保障和房地产服务中心2026年单位预算信息公开情况说明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按照《中华人民共和国预算法》、《地方预决算公开操作规程》和《关于进一步推进预算公开工作的实施意见》规定，现将石家庄市鹿泉区住房保障和房地产服务中心2026年单位预算公开如下：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根据《石家庄市鹿泉区住房保障和房地产服务中心职能配置、内设机构和人员编制规定》，鹿泉区住房保障和房地产服务中心的主要职责是：</w:t>
      </w:r>
    </w:p>
    <w:p>
      <w:pPr>
        <w:pStyle w:val="17"/>
      </w:pPr>
      <w:r>
        <w:t>负责为本辖区内房地产中介机构提供行业服务工作；负责本辖区内的各类房屋交易服务工作；负责本辖区内商品房预售资金和存量房交易资金入缴和使用的基础性、事务性工作；负责住宅专项维修资金入缴的基础性工作；负责房屋安全方面的政策咨询工作；为乡镇、社区开展房屋安全具体工作提供技术服务；建立辖区危旧服务档案。</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石家庄市鹿泉区住房保障和房地产服务中心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684.54万元，其中：一般公共预算收入684.54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住房保障和房地产服务中心年度单位预算中支出预算的总体情况。2026年支出预算684.54万元，其中基本支出644.53万元，包括人员经费483.12万元和日常公用经费161.41万元；项目支出40.01万元，主要为涉军人员工资及社保、网络专线资金等支出。</w:t>
      </w:r>
    </w:p>
    <w:p>
      <w:pPr>
        <w:pStyle w:val="18"/>
      </w:pPr>
      <w:r>
        <w:t>3、比上年增减情况</w:t>
      </w:r>
    </w:p>
    <w:p>
      <w:pPr>
        <w:pStyle w:val="18"/>
      </w:pPr>
      <w:r>
        <w:t>2026年预算收支安排684.54万元，较2025年预算减少78.54万元，其中：基本支出减少73.23万元，主要为人员经费支出减少项目支出减少5.31万元，主要为减少网络专线资金支出。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5.40万元，其中因公出国（境）费0.00万元；公务用车购置及运维费5.40万元（其中：公务用车购置费为0.00万元，公务用车运维费5.40万元)；公务接待费0.00万元。与2025年相比增加0.00万元，增减变化的主要原因是与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1、2026年涉军人员工资及社保绩效目标表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13011026P001540100516</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17.45</w:t>
            </w:r>
          </w:p>
        </w:tc>
        <w:tc>
          <w:tcPr>
            <w:tcW w:w="2835" w:type="dxa"/>
            <w:vAlign w:val="center"/>
          </w:tcPr>
          <w:p>
            <w:pPr>
              <w:pStyle w:val="10"/>
            </w:pPr>
            <w:r>
              <w:t>其中：财政    资金</w:t>
            </w:r>
          </w:p>
        </w:tc>
        <w:tc>
          <w:tcPr>
            <w:tcW w:w="2551" w:type="dxa"/>
            <w:vAlign w:val="center"/>
          </w:tcPr>
          <w:p>
            <w:pPr>
              <w:pStyle w:val="12"/>
            </w:pPr>
            <w:r>
              <w:t>17.45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对符合政府安排工作条件的退役士兵，因下岗失业，生活困难的帮扶救助到位，加大就业援助工作力度，通过公益性岗位予以托管安置。</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1."对符合政府安排工作条件的退役士兵，因下岗失业，生活困难的帮扶救助到位，加大就业援助工作力度，通过公益性岗位予以托管安置。</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退役军人公益性岗位工资资金发放到位率</w:t>
            </w:r>
          </w:p>
        </w:tc>
        <w:tc>
          <w:tcPr>
            <w:tcW w:w="5386" w:type="dxa"/>
            <w:vAlign w:val="center"/>
          </w:tcPr>
          <w:p>
            <w:pPr>
              <w:pStyle w:val="12"/>
            </w:pPr>
            <w:r>
              <w:t>保障退役军人公益性岗位工资按时足额发放人数占实际发放人数的比例</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安置退役军人公益性岗位人数</w:t>
            </w:r>
          </w:p>
        </w:tc>
        <w:tc>
          <w:tcPr>
            <w:tcW w:w="5386" w:type="dxa"/>
            <w:vAlign w:val="center"/>
          </w:tcPr>
          <w:p>
            <w:pPr>
              <w:pStyle w:val="12"/>
            </w:pPr>
            <w:r>
              <w:t>单位安置退役军人公益性岗位的实际人数</w:t>
            </w:r>
          </w:p>
        </w:tc>
        <w:tc>
          <w:tcPr>
            <w:tcW w:w="2268" w:type="dxa"/>
            <w:vAlign w:val="center"/>
          </w:tcPr>
          <w:p>
            <w:pPr>
              <w:pStyle w:val="12"/>
            </w:pPr>
            <w:r>
              <w:t>3个</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退役军人公益性岗位工资发放及时率</w:t>
            </w:r>
          </w:p>
        </w:tc>
        <w:tc>
          <w:tcPr>
            <w:tcW w:w="5386" w:type="dxa"/>
            <w:vAlign w:val="center"/>
          </w:tcPr>
          <w:p>
            <w:pPr>
              <w:pStyle w:val="12"/>
            </w:pPr>
            <w:r>
              <w:t>保障退役军人公益性岗位工资发放及时的人数占应发放总人数的比率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退役军人公益性岗位资金发放标准</w:t>
            </w:r>
          </w:p>
        </w:tc>
        <w:tc>
          <w:tcPr>
            <w:tcW w:w="5386" w:type="dxa"/>
            <w:vAlign w:val="center"/>
          </w:tcPr>
          <w:p>
            <w:pPr>
              <w:pStyle w:val="12"/>
            </w:pPr>
            <w:r>
              <w:t>对符合条件的退役军人公益性岗位发放的工资金额</w:t>
            </w:r>
          </w:p>
        </w:tc>
        <w:tc>
          <w:tcPr>
            <w:tcW w:w="2268" w:type="dxa"/>
            <w:vAlign w:val="center"/>
          </w:tcPr>
          <w:p>
            <w:pPr>
              <w:pStyle w:val="12"/>
            </w:pPr>
            <w:r>
              <w:t>17.45万元</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托管安置帮扶到位率</w:t>
            </w:r>
          </w:p>
        </w:tc>
        <w:tc>
          <w:tcPr>
            <w:tcW w:w="5386" w:type="dxa"/>
            <w:vAlign w:val="center"/>
          </w:tcPr>
          <w:p>
            <w:pPr>
              <w:pStyle w:val="12"/>
            </w:pPr>
            <w:r>
              <w:t>对退役托管安置帮扶到位人数比率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退役军人安置满意度</w:t>
            </w:r>
          </w:p>
        </w:tc>
        <w:tc>
          <w:tcPr>
            <w:tcW w:w="5386" w:type="dxa"/>
            <w:vAlign w:val="center"/>
          </w:tcPr>
          <w:p>
            <w:pPr>
              <w:pStyle w:val="12"/>
            </w:pPr>
            <w:r>
              <w:t>对退役军人安置满意和较满意的人数占总人数的比率</w:t>
            </w:r>
          </w:p>
        </w:tc>
        <w:tc>
          <w:tcPr>
            <w:tcW w:w="2268" w:type="dxa"/>
            <w:vAlign w:val="center"/>
          </w:tcPr>
          <w:p>
            <w:pPr>
              <w:pStyle w:val="12"/>
            </w:pPr>
            <w:r>
              <w:t>100%</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2、房屋鉴定中心办公经费2026绩效目标表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13011026P000011100509</w:t>
            </w:r>
          </w:p>
        </w:tc>
        <w:tc>
          <w:tcPr>
            <w:tcW w:w="2835" w:type="dxa"/>
            <w:vAlign w:val="center"/>
          </w:tcPr>
          <w:p>
            <w:pPr>
              <w:pStyle w:val="10"/>
            </w:pPr>
            <w:r>
              <w:t>项目名称</w:t>
            </w:r>
          </w:p>
        </w:tc>
        <w:tc>
          <w:tcPr>
            <w:tcW w:w="6095" w:type="dxa"/>
            <w:gridSpan w:val="3"/>
            <w:vAlign w:val="center"/>
          </w:tcPr>
          <w:p>
            <w:pPr>
              <w:pStyle w:val="12"/>
            </w:pPr>
            <w:r>
              <w:t>房屋鉴定中心办公经费2026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夏季汛期保障危旧房屋隐患排查，冬季防冻减灾保障危旧房屋隐患排查和日常巡查，隐患治理，保障住房安全，避免房屋安全事故发生。</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1."夏季汛期保障危旧房屋隐患排查，冬季防冻减灾保障危旧房屋隐患排查和日常巡查，隐患治理，保障住房安全，避免房屋安全事故发生。</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巡查危房栋数</w:t>
            </w:r>
          </w:p>
        </w:tc>
        <w:tc>
          <w:tcPr>
            <w:tcW w:w="5386" w:type="dxa"/>
            <w:vAlign w:val="center"/>
          </w:tcPr>
          <w:p>
            <w:pPr>
              <w:pStyle w:val="12"/>
            </w:pPr>
            <w:r>
              <w:t>未按时完成审计项目数量</w:t>
            </w:r>
          </w:p>
        </w:tc>
        <w:tc>
          <w:tcPr>
            <w:tcW w:w="2268" w:type="dxa"/>
            <w:vAlign w:val="center"/>
          </w:tcPr>
          <w:p>
            <w:pPr>
              <w:pStyle w:val="12"/>
            </w:pPr>
            <w:r>
              <w:t>16栋</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巡查危房按时完成率</w:t>
            </w:r>
          </w:p>
        </w:tc>
        <w:tc>
          <w:tcPr>
            <w:tcW w:w="5386" w:type="dxa"/>
            <w:vAlign w:val="center"/>
          </w:tcPr>
          <w:p>
            <w:pPr>
              <w:pStyle w:val="12"/>
            </w:pPr>
            <w:r>
              <w:t>按时完成安全排查任务数占总排查任务的比例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成本控制，办公消耗，车辆使用，宣传牌、条幅制作费用</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楼栋隐患排查率</w:t>
            </w:r>
          </w:p>
        </w:tc>
        <w:tc>
          <w:tcPr>
            <w:tcW w:w="5386" w:type="dxa"/>
            <w:vAlign w:val="center"/>
          </w:tcPr>
          <w:p>
            <w:pPr>
              <w:pStyle w:val="12"/>
            </w:pPr>
            <w:r>
              <w:t>已完成鉴定的排除隐患危房数量占全部危房数量的占比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受益户数</w:t>
            </w:r>
          </w:p>
        </w:tc>
        <w:tc>
          <w:tcPr>
            <w:tcW w:w="5386" w:type="dxa"/>
            <w:vAlign w:val="center"/>
          </w:tcPr>
          <w:p>
            <w:pPr>
              <w:pStyle w:val="12"/>
            </w:pPr>
            <w:r>
              <w:t>已完成鉴定的危房现居住户</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房屋安全事故发生事故</w:t>
            </w:r>
          </w:p>
        </w:tc>
        <w:tc>
          <w:tcPr>
            <w:tcW w:w="5386" w:type="dxa"/>
            <w:vAlign w:val="center"/>
          </w:tcPr>
          <w:p>
            <w:pPr>
              <w:pStyle w:val="12"/>
            </w:pPr>
            <w:r>
              <w:t>通过排查对隐患部位的处理，避免房屋安全事故的发生</w:t>
            </w:r>
          </w:p>
        </w:tc>
        <w:tc>
          <w:tcPr>
            <w:tcW w:w="2268" w:type="dxa"/>
            <w:vAlign w:val="center"/>
          </w:tcPr>
          <w:p>
            <w:pPr>
              <w:pStyle w:val="12"/>
            </w:pPr>
            <w:r>
              <w:t>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保障办公需要，维持单位运转</w:t>
            </w:r>
          </w:p>
        </w:tc>
        <w:tc>
          <w:tcPr>
            <w:tcW w:w="5386" w:type="dxa"/>
            <w:vAlign w:val="center"/>
          </w:tcPr>
          <w:p>
            <w:pPr>
              <w:pStyle w:val="12"/>
            </w:pPr>
            <w:r>
              <w:t>保障日常办公需要，维持单位正常运转</w:t>
            </w:r>
          </w:p>
        </w:tc>
        <w:tc>
          <w:tcPr>
            <w:tcW w:w="2268" w:type="dxa"/>
            <w:vAlign w:val="center"/>
          </w:tcPr>
          <w:p>
            <w:pPr>
              <w:pStyle w:val="12"/>
            </w:pPr>
            <w:r>
              <w:t>维持单位运转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危旧房屋现居住户的满意度</w:t>
            </w:r>
          </w:p>
        </w:tc>
        <w:tc>
          <w:tcPr>
            <w:tcW w:w="5386" w:type="dxa"/>
            <w:vAlign w:val="center"/>
          </w:tcPr>
          <w:p>
            <w:pPr>
              <w:pStyle w:val="12"/>
            </w:pPr>
            <w:r>
              <w:t>危旧房屋现居住户的满意度占居住户的比例</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3、网络专线2026绩效目标表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13011026P000011100463</w:t>
            </w:r>
          </w:p>
        </w:tc>
        <w:tc>
          <w:tcPr>
            <w:tcW w:w="2835" w:type="dxa"/>
            <w:vAlign w:val="center"/>
          </w:tcPr>
          <w:p>
            <w:pPr>
              <w:pStyle w:val="10"/>
            </w:pPr>
            <w:r>
              <w:t>项目名称</w:t>
            </w:r>
          </w:p>
        </w:tc>
        <w:tc>
          <w:tcPr>
            <w:tcW w:w="6095" w:type="dxa"/>
            <w:gridSpan w:val="3"/>
            <w:vAlign w:val="center"/>
          </w:tcPr>
          <w:p>
            <w:pPr>
              <w:pStyle w:val="12"/>
            </w:pPr>
            <w:r>
              <w:t>网络专线2026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5.52</w:t>
            </w:r>
          </w:p>
        </w:tc>
        <w:tc>
          <w:tcPr>
            <w:tcW w:w="2835" w:type="dxa"/>
            <w:vAlign w:val="center"/>
          </w:tcPr>
          <w:p>
            <w:pPr>
              <w:pStyle w:val="10"/>
            </w:pPr>
            <w:r>
              <w:t>其中：财政    资金</w:t>
            </w:r>
          </w:p>
        </w:tc>
        <w:tc>
          <w:tcPr>
            <w:tcW w:w="2551" w:type="dxa"/>
            <w:vAlign w:val="center"/>
          </w:tcPr>
          <w:p>
            <w:pPr>
              <w:pStyle w:val="12"/>
            </w:pPr>
            <w:r>
              <w:t>5.52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租用通信专网，确保我单位与不动产登记中心联合办公正常传输房屋信息数据</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1."租用通信专网，确保我单位与不动产登记中心联合办公正常传输房屋信息数据</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专网费用</w:t>
            </w:r>
          </w:p>
        </w:tc>
        <w:tc>
          <w:tcPr>
            <w:tcW w:w="5386" w:type="dxa"/>
            <w:vAlign w:val="center"/>
          </w:tcPr>
          <w:p>
            <w:pPr>
              <w:pStyle w:val="12"/>
            </w:pPr>
            <w:r>
              <w:t>市房管局系统专线费用</w:t>
            </w:r>
          </w:p>
        </w:tc>
        <w:tc>
          <w:tcPr>
            <w:tcW w:w="2268" w:type="dxa"/>
            <w:vAlign w:val="center"/>
          </w:tcPr>
          <w:p>
            <w:pPr>
              <w:pStyle w:val="12"/>
            </w:pPr>
            <w:r>
              <w:t>2.4万元/年</w:t>
            </w:r>
          </w:p>
        </w:tc>
        <w:tc>
          <w:tcPr>
            <w:tcW w:w="1276" w:type="dxa"/>
            <w:vAlign w:val="center"/>
          </w:tcPr>
          <w:p>
            <w:pPr>
              <w:pStyle w:val="12"/>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专网费用</w:t>
            </w:r>
          </w:p>
        </w:tc>
        <w:tc>
          <w:tcPr>
            <w:tcW w:w="5386" w:type="dxa"/>
            <w:vAlign w:val="center"/>
          </w:tcPr>
          <w:p>
            <w:pPr>
              <w:pStyle w:val="12"/>
            </w:pPr>
            <w:r>
              <w:t>智慧广场不动产信息共享专线费</w:t>
            </w:r>
          </w:p>
        </w:tc>
        <w:tc>
          <w:tcPr>
            <w:tcW w:w="2268" w:type="dxa"/>
            <w:vAlign w:val="center"/>
          </w:tcPr>
          <w:p>
            <w:pPr>
              <w:pStyle w:val="12"/>
            </w:pPr>
            <w:r>
              <w:t>2.4万元/年</w:t>
            </w:r>
          </w:p>
        </w:tc>
        <w:tc>
          <w:tcPr>
            <w:tcW w:w="1276" w:type="dxa"/>
            <w:vAlign w:val="center"/>
          </w:tcPr>
          <w:p>
            <w:pPr>
              <w:pStyle w:val="12"/>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专网费用</w:t>
            </w:r>
          </w:p>
        </w:tc>
        <w:tc>
          <w:tcPr>
            <w:tcW w:w="5386" w:type="dxa"/>
            <w:vAlign w:val="center"/>
          </w:tcPr>
          <w:p>
            <w:pPr>
              <w:pStyle w:val="12"/>
            </w:pPr>
            <w:r>
              <w:t>审批局专线费用</w:t>
            </w:r>
          </w:p>
        </w:tc>
        <w:tc>
          <w:tcPr>
            <w:tcW w:w="2268" w:type="dxa"/>
            <w:vAlign w:val="center"/>
          </w:tcPr>
          <w:p>
            <w:pPr>
              <w:pStyle w:val="12"/>
            </w:pPr>
            <w:r>
              <w:t>1.08万元/年</w:t>
            </w:r>
          </w:p>
        </w:tc>
        <w:tc>
          <w:tcPr>
            <w:tcW w:w="1276" w:type="dxa"/>
            <w:vAlign w:val="center"/>
          </w:tcPr>
          <w:p>
            <w:pPr>
              <w:pStyle w:val="12"/>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专网数量</w:t>
            </w:r>
          </w:p>
        </w:tc>
        <w:tc>
          <w:tcPr>
            <w:tcW w:w="5386" w:type="dxa"/>
            <w:vAlign w:val="center"/>
          </w:tcPr>
          <w:p>
            <w:pPr>
              <w:pStyle w:val="12"/>
            </w:pPr>
            <w:r>
              <w:t>联通两条、电信一条</w:t>
            </w:r>
          </w:p>
        </w:tc>
        <w:tc>
          <w:tcPr>
            <w:tcW w:w="2268" w:type="dxa"/>
            <w:vAlign w:val="center"/>
          </w:tcPr>
          <w:p>
            <w:pPr>
              <w:pStyle w:val="12"/>
            </w:pPr>
            <w:r>
              <w:t>3条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系统故障率</w:t>
            </w:r>
          </w:p>
        </w:tc>
        <w:tc>
          <w:tcPr>
            <w:tcW w:w="5386" w:type="dxa"/>
            <w:vAlign w:val="center"/>
          </w:tcPr>
          <w:p>
            <w:pPr>
              <w:pStyle w:val="12"/>
            </w:pPr>
            <w:r>
              <w:t>网络专线出现故障时间与总运行时间的比例</w:t>
            </w:r>
          </w:p>
        </w:tc>
        <w:tc>
          <w:tcPr>
            <w:tcW w:w="2268" w:type="dxa"/>
            <w:vAlign w:val="center"/>
          </w:tcPr>
          <w:p>
            <w:pPr>
              <w:pStyle w:val="12"/>
            </w:pPr>
            <w:r>
              <w:t>≤1%</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系统运行维护响应时间</w:t>
            </w:r>
          </w:p>
        </w:tc>
        <w:tc>
          <w:tcPr>
            <w:tcW w:w="5386" w:type="dxa"/>
            <w:vAlign w:val="center"/>
          </w:tcPr>
          <w:p>
            <w:pPr>
              <w:pStyle w:val="12"/>
            </w:pPr>
            <w:r>
              <w:t>保障24小时专线网络畅通</w:t>
            </w:r>
          </w:p>
        </w:tc>
        <w:tc>
          <w:tcPr>
            <w:tcW w:w="2268" w:type="dxa"/>
            <w:vAlign w:val="center"/>
          </w:tcPr>
          <w:p>
            <w:pPr>
              <w:pStyle w:val="12"/>
            </w:pPr>
            <w:r>
              <w:t>24小时/天</w:t>
            </w:r>
          </w:p>
        </w:tc>
        <w:tc>
          <w:tcPr>
            <w:tcW w:w="1276" w:type="dxa"/>
            <w:vAlign w:val="center"/>
          </w:tcPr>
          <w:p>
            <w:pPr>
              <w:pStyle w:val="12"/>
            </w:pPr>
            <w:r>
              <w:t>通信公司服务标准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确保我单位与不动产登记中心联合办公正常进行并且数据互通，业务及时、有效地办理</w:t>
            </w:r>
          </w:p>
        </w:tc>
        <w:tc>
          <w:tcPr>
            <w:tcW w:w="2268" w:type="dxa"/>
            <w:vAlign w:val="center"/>
          </w:tcPr>
          <w:p>
            <w:pPr>
              <w:pStyle w:val="12"/>
            </w:pPr>
            <w:r>
              <w:t>确保我单位与不动产登记中心联合办公正常进行并且数据互通，业务及时有效地办理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满意和较满意人数占被调查人数的比例</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4、维修资金信息专网2026绩效目标表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13011026P00001110048A</w:t>
            </w:r>
          </w:p>
        </w:tc>
        <w:tc>
          <w:tcPr>
            <w:tcW w:w="2835" w:type="dxa"/>
            <w:vAlign w:val="center"/>
          </w:tcPr>
          <w:p>
            <w:pPr>
              <w:pStyle w:val="10"/>
            </w:pPr>
            <w:r>
              <w:t>项目名称</w:t>
            </w:r>
          </w:p>
        </w:tc>
        <w:tc>
          <w:tcPr>
            <w:tcW w:w="6095" w:type="dxa"/>
            <w:gridSpan w:val="3"/>
            <w:vAlign w:val="center"/>
          </w:tcPr>
          <w:p>
            <w:pPr>
              <w:pStyle w:val="12"/>
            </w:pPr>
            <w:r>
              <w:t>维修资金信息专网2026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w:t>
            </w:r>
          </w:p>
        </w:tc>
        <w:tc>
          <w:tcPr>
            <w:tcW w:w="2835" w:type="dxa"/>
            <w:vAlign w:val="center"/>
          </w:tcPr>
          <w:p>
            <w:pPr>
              <w:pStyle w:val="10"/>
            </w:pPr>
            <w:r>
              <w:t>其中：财政    资金</w:t>
            </w:r>
          </w:p>
        </w:tc>
        <w:tc>
          <w:tcPr>
            <w:tcW w:w="2551" w:type="dxa"/>
            <w:vAlign w:val="center"/>
          </w:tcPr>
          <w:p>
            <w:pPr>
              <w:pStyle w:val="12"/>
            </w:pPr>
            <w:r>
              <w:t>3.20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rPr>
                <w:rFonts w:hint="eastAsia" w:eastAsia="方正书宋_GBK"/>
                <w:lang w:eastAsia="zh-CN"/>
              </w:rPr>
            </w:pPr>
            <w:r>
              <w:t>维修资金窗口每年受理案件数约14余万件，此项费用是为了确保维修资金1个模块的正常运行，保持网络稳定，保障业务正常办理、工作正常运转</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1.维修资金窗口每年受理案件数约14余万件，此项费用是为了确保维修资金1个模块的正常运行，保持网络稳定，保障业务正常办理、工作正常运转。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电子票据系统维护</w:t>
            </w:r>
          </w:p>
        </w:tc>
        <w:tc>
          <w:tcPr>
            <w:tcW w:w="5386" w:type="dxa"/>
            <w:vAlign w:val="center"/>
          </w:tcPr>
          <w:p>
            <w:pPr>
              <w:pStyle w:val="12"/>
            </w:pPr>
            <w:r>
              <w:t>维修资金信息系统中电子票据系统维护费</w:t>
            </w:r>
          </w:p>
        </w:tc>
        <w:tc>
          <w:tcPr>
            <w:tcW w:w="2268" w:type="dxa"/>
            <w:vAlign w:val="center"/>
          </w:tcPr>
          <w:p>
            <w:pPr>
              <w:pStyle w:val="12"/>
            </w:pPr>
            <w:r>
              <w:t>3.2万元/年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涉及业务模块数量</w:t>
            </w:r>
          </w:p>
        </w:tc>
        <w:tc>
          <w:tcPr>
            <w:tcW w:w="5386" w:type="dxa"/>
            <w:vAlign w:val="center"/>
          </w:tcPr>
          <w:p>
            <w:pPr>
              <w:pStyle w:val="12"/>
            </w:pPr>
            <w:r>
              <w:t>电子票据模块</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维修资金业务处理及时性</w:t>
            </w:r>
          </w:p>
        </w:tc>
        <w:tc>
          <w:tcPr>
            <w:tcW w:w="5386" w:type="dxa"/>
            <w:vAlign w:val="center"/>
          </w:tcPr>
          <w:p>
            <w:pPr>
              <w:pStyle w:val="12"/>
            </w:pPr>
            <w:r>
              <w:t>及时处理业务数占总处理数的比率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系统使用合格率</w:t>
            </w:r>
          </w:p>
        </w:tc>
        <w:tc>
          <w:tcPr>
            <w:tcW w:w="5386" w:type="dxa"/>
            <w:vAlign w:val="center"/>
          </w:tcPr>
          <w:p>
            <w:pPr>
              <w:pStyle w:val="12"/>
            </w:pPr>
            <w:r>
              <w:t>系统模块维护按时完成的数量占需要维护系统模块的比例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硬件设备和系统均可正常使用</w:t>
            </w:r>
          </w:p>
        </w:tc>
        <w:tc>
          <w:tcPr>
            <w:tcW w:w="5386" w:type="dxa"/>
            <w:vAlign w:val="center"/>
          </w:tcPr>
          <w:p>
            <w:pPr>
              <w:pStyle w:val="12"/>
            </w:pPr>
            <w:r>
              <w:t>保障维修资金缴存相关业务全天24小时正常进行</w:t>
            </w:r>
          </w:p>
        </w:tc>
        <w:tc>
          <w:tcPr>
            <w:tcW w:w="2268" w:type="dxa"/>
            <w:vAlign w:val="center"/>
          </w:tcPr>
          <w:p>
            <w:pPr>
              <w:pStyle w:val="12"/>
            </w:pPr>
            <w:r>
              <w:t>24小时/天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保障网络和数据安全的时间</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提高业务办事效率，让群众等待时间短、跑腿次数少</w:t>
            </w:r>
          </w:p>
        </w:tc>
        <w:tc>
          <w:tcPr>
            <w:tcW w:w="2268" w:type="dxa"/>
            <w:vAlign w:val="center"/>
          </w:tcPr>
          <w:p>
            <w:pPr>
              <w:pStyle w:val="12"/>
            </w:pPr>
            <w:r>
              <w:t>100%</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5、信息维护费2026绩效目标表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13011026P00001110047N</w:t>
            </w:r>
          </w:p>
        </w:tc>
        <w:tc>
          <w:tcPr>
            <w:tcW w:w="2835" w:type="dxa"/>
            <w:vAlign w:val="center"/>
          </w:tcPr>
          <w:p>
            <w:pPr>
              <w:pStyle w:val="10"/>
            </w:pPr>
            <w:r>
              <w:t>项目名称</w:t>
            </w:r>
          </w:p>
        </w:tc>
        <w:tc>
          <w:tcPr>
            <w:tcW w:w="6095" w:type="dxa"/>
            <w:gridSpan w:val="3"/>
            <w:vAlign w:val="center"/>
          </w:tcPr>
          <w:p>
            <w:pPr>
              <w:pStyle w:val="12"/>
            </w:pPr>
            <w:r>
              <w:t>信息维护费2026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3.84</w:t>
            </w:r>
          </w:p>
        </w:tc>
        <w:tc>
          <w:tcPr>
            <w:tcW w:w="2835" w:type="dxa"/>
            <w:vAlign w:val="center"/>
          </w:tcPr>
          <w:p>
            <w:pPr>
              <w:pStyle w:val="10"/>
            </w:pPr>
            <w:r>
              <w:t>其中：财政    资金</w:t>
            </w:r>
          </w:p>
        </w:tc>
        <w:tc>
          <w:tcPr>
            <w:tcW w:w="2551" w:type="dxa"/>
            <w:vAlign w:val="center"/>
          </w:tcPr>
          <w:p>
            <w:pPr>
              <w:pStyle w:val="12"/>
            </w:pPr>
            <w:r>
              <w:t>3.84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为了保障存量房过户、房产抵押业务、房产交易备案等相关业务全天24小时正常进行，确保与不动产对接数据信息畅通，准确，保障业务正常办理，工作正常运转</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1.为了保障存量房过户、房产抵押业务、房产交易备案等相关业务全天24小时正常进行，确保与不动产对接数据信息畅通，准确，保障业务正常办理，工作正常运转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系统数据维护达标标准</w:t>
            </w:r>
          </w:p>
        </w:tc>
        <w:tc>
          <w:tcPr>
            <w:tcW w:w="5386" w:type="dxa"/>
            <w:vAlign w:val="center"/>
          </w:tcPr>
          <w:p>
            <w:pPr>
              <w:pStyle w:val="12"/>
            </w:pPr>
            <w:r>
              <w:t>符合相关技术标准和数据管理规范，控制维护进度和质量</w:t>
            </w:r>
          </w:p>
        </w:tc>
        <w:tc>
          <w:tcPr>
            <w:tcW w:w="2268" w:type="dxa"/>
            <w:vAlign w:val="center"/>
          </w:tcPr>
          <w:p>
            <w:pPr>
              <w:pStyle w:val="12"/>
            </w:pPr>
            <w:r>
              <w:t>符合数据库管理相关规定及国家标准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系统维护办结案件的数量</w:t>
            </w:r>
          </w:p>
        </w:tc>
        <w:tc>
          <w:tcPr>
            <w:tcW w:w="5386" w:type="dxa"/>
            <w:vAlign w:val="center"/>
          </w:tcPr>
          <w:p>
            <w:pPr>
              <w:pStyle w:val="12"/>
            </w:pPr>
            <w:r>
              <w:t>接收案件数量占所有办结案件数量的比例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系统维护按时完成率</w:t>
            </w:r>
          </w:p>
        </w:tc>
        <w:tc>
          <w:tcPr>
            <w:tcW w:w="5386" w:type="dxa"/>
            <w:vAlign w:val="center"/>
          </w:tcPr>
          <w:p>
            <w:pPr>
              <w:pStyle w:val="12"/>
            </w:pPr>
            <w:r>
              <w:t>系统维护数据按时完成的数量占需要维护系统数据的比例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系统维护成本</w:t>
            </w:r>
          </w:p>
        </w:tc>
        <w:tc>
          <w:tcPr>
            <w:tcW w:w="5386" w:type="dxa"/>
            <w:vAlign w:val="center"/>
          </w:tcPr>
          <w:p>
            <w:pPr>
              <w:pStyle w:val="12"/>
            </w:pPr>
            <w:r>
              <w:t>与不动产对接中间库系统、数据维护费用</w:t>
            </w:r>
          </w:p>
        </w:tc>
        <w:tc>
          <w:tcPr>
            <w:tcW w:w="2268" w:type="dxa"/>
            <w:vAlign w:val="center"/>
          </w:tcPr>
          <w:p>
            <w:pPr>
              <w:pStyle w:val="12"/>
            </w:pPr>
            <w:r>
              <w:t>3.84万元/年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业务正常进行时间</w:t>
            </w:r>
          </w:p>
        </w:tc>
        <w:tc>
          <w:tcPr>
            <w:tcW w:w="5386" w:type="dxa"/>
            <w:vAlign w:val="center"/>
          </w:tcPr>
          <w:p>
            <w:pPr>
              <w:pStyle w:val="12"/>
            </w:pPr>
            <w:r>
              <w:t>保障存量房过户、房产抵押业务、房产交易备案等相关业务全天24小时正常进行</w:t>
            </w:r>
          </w:p>
        </w:tc>
        <w:tc>
          <w:tcPr>
            <w:tcW w:w="2268" w:type="dxa"/>
            <w:vAlign w:val="center"/>
          </w:tcPr>
          <w:p>
            <w:pPr>
              <w:pStyle w:val="12"/>
            </w:pPr>
            <w:r>
              <w:t>24小时/天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系统故障恢复时限</w:t>
            </w:r>
          </w:p>
        </w:tc>
        <w:tc>
          <w:tcPr>
            <w:tcW w:w="5386" w:type="dxa"/>
            <w:vAlign w:val="center"/>
          </w:tcPr>
          <w:p>
            <w:pPr>
              <w:pStyle w:val="12"/>
            </w:pPr>
            <w:r>
              <w:t>系统出现故障后及时修复的时间</w:t>
            </w:r>
          </w:p>
        </w:tc>
        <w:tc>
          <w:tcPr>
            <w:tcW w:w="2268" w:type="dxa"/>
            <w:vAlign w:val="center"/>
          </w:tcPr>
          <w:p>
            <w:pPr>
              <w:pStyle w:val="12"/>
            </w:pPr>
            <w:r>
              <w:t>≤24小时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保障网络和数据安全的时间</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提高业务办事效率，让群众等待时间短、跑腿次数少</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6、租赁中心办公经费2026绩效目标表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13011026P00001110049X</w:t>
            </w:r>
          </w:p>
        </w:tc>
        <w:tc>
          <w:tcPr>
            <w:tcW w:w="2835" w:type="dxa"/>
            <w:vAlign w:val="center"/>
          </w:tcPr>
          <w:p>
            <w:pPr>
              <w:pStyle w:val="10"/>
            </w:pPr>
            <w:r>
              <w:t>项目名称</w:t>
            </w:r>
          </w:p>
        </w:tc>
        <w:tc>
          <w:tcPr>
            <w:tcW w:w="6095" w:type="dxa"/>
            <w:gridSpan w:val="3"/>
            <w:vAlign w:val="center"/>
          </w:tcPr>
          <w:p>
            <w:pPr>
              <w:pStyle w:val="12"/>
            </w:pPr>
            <w:r>
              <w:t>租赁中心办公经费2026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保障15人办公经费正常运转，对租赁房源日常监管、抽查、普及试点政策，促进租赁市场正常开展工作，保证工作有效进行。</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1."保障15人办公经费正常运转，对租赁房源日常监管、抽查、普及试点政策，促进租赁市场正常开展工作，保证工作有效进行。</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办公费、水电费、交通费、会议费、工会经费、招待费及其他公用经费的支出</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10人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保障日常办公需要，维持单位正常运啊转</w:t>
            </w:r>
          </w:p>
        </w:tc>
        <w:tc>
          <w:tcPr>
            <w:tcW w:w="5386" w:type="dxa"/>
            <w:vAlign w:val="center"/>
          </w:tcPr>
          <w:p>
            <w:pPr>
              <w:pStyle w:val="12"/>
            </w:pPr>
            <w:r>
              <w:t>保障日常办公需要，维持单位正常运转</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使用和服务对象满意度</w:t>
            </w:r>
          </w:p>
        </w:tc>
        <w:tc>
          <w:tcPr>
            <w:tcW w:w="5386" w:type="dxa"/>
            <w:vAlign w:val="center"/>
          </w:tcPr>
          <w:p>
            <w:pPr>
              <w:pStyle w:val="12"/>
            </w:pPr>
            <w:r>
              <w:t>使用和服务对象满意度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9.62</w:t>
            </w:r>
          </w:p>
        </w:tc>
        <w:tc>
          <w:tcPr>
            <w:tcW w:w="964" w:type="dxa"/>
            <w:vAlign w:val="center"/>
          </w:tcPr>
          <w:p>
            <w:pPr>
              <w:pStyle w:val="15"/>
            </w:pPr>
            <w:r>
              <w:t>9.62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石家庄市鹿泉区住房保障和房地产服务中心小计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9.62</w:t>
            </w:r>
          </w:p>
        </w:tc>
        <w:tc>
          <w:tcPr>
            <w:tcW w:w="964" w:type="dxa"/>
            <w:vAlign w:val="center"/>
          </w:tcPr>
          <w:p>
            <w:pPr>
              <w:pStyle w:val="15"/>
            </w:pPr>
            <w:r>
              <w:t>9.62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148.21</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0.20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148.21</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1.85</w:t>
            </w:r>
          </w:p>
        </w:tc>
        <w:tc>
          <w:tcPr>
            <w:tcW w:w="964" w:type="dxa"/>
            <w:vAlign w:val="center"/>
          </w:tcPr>
          <w:p>
            <w:pPr>
              <w:pStyle w:val="11"/>
            </w:pPr>
            <w:r>
              <w:t>3.70</w:t>
            </w:r>
          </w:p>
        </w:tc>
        <w:tc>
          <w:tcPr>
            <w:tcW w:w="964" w:type="dxa"/>
            <w:vAlign w:val="center"/>
          </w:tcPr>
          <w:p>
            <w:pPr>
              <w:pStyle w:val="11"/>
            </w:pPr>
            <w:r>
              <w:t>3.70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148.21</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0.65</w:t>
            </w:r>
          </w:p>
        </w:tc>
        <w:tc>
          <w:tcPr>
            <w:tcW w:w="964" w:type="dxa"/>
            <w:vAlign w:val="center"/>
          </w:tcPr>
          <w:p>
            <w:pPr>
              <w:pStyle w:val="11"/>
            </w:pPr>
            <w:r>
              <w:t>1.30</w:t>
            </w:r>
          </w:p>
        </w:tc>
        <w:tc>
          <w:tcPr>
            <w:tcW w:w="964" w:type="dxa"/>
            <w:vAlign w:val="center"/>
          </w:tcPr>
          <w:p>
            <w:pPr>
              <w:pStyle w:val="11"/>
            </w:pPr>
            <w:r>
              <w:t>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w:t>
            </w:r>
          </w:p>
        </w:tc>
        <w:tc>
          <w:tcPr>
            <w:tcW w:w="850" w:type="dxa"/>
            <w:vAlign w:val="center"/>
          </w:tcPr>
          <w:p>
            <w:pPr>
              <w:pStyle w:val="11"/>
            </w:pPr>
            <w:r>
              <w:t>0.20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13.20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1.71</w:t>
            </w:r>
          </w:p>
        </w:tc>
        <w:tc>
          <w:tcPr>
            <w:tcW w:w="964" w:type="dxa"/>
            <w:vAlign w:val="center"/>
          </w:tcPr>
          <w:p>
            <w:pPr>
              <w:pStyle w:val="11"/>
            </w:pPr>
            <w:r>
              <w:t>3.42</w:t>
            </w:r>
          </w:p>
        </w:tc>
        <w:tc>
          <w:tcPr>
            <w:tcW w:w="964" w:type="dxa"/>
            <w:vAlign w:val="center"/>
          </w:tcPr>
          <w:p>
            <w:pPr>
              <w:pStyle w:val="11"/>
            </w:pPr>
            <w:r>
              <w:t>3.42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3.42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石家庄市鹿泉区住房保障和房地产服务中心上年末固定资产金额为591.35万元（详见下表）。本年度拟购置固定资产总额为0.00万元，已按要求列入政府采购预算，详见政府采购预算表。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2568</w:t>
            </w:r>
          </w:p>
        </w:tc>
        <w:tc>
          <w:tcPr>
            <w:tcW w:w="2835" w:type="dxa"/>
            <w:vAlign w:val="center"/>
          </w:tcPr>
          <w:p>
            <w:pPr>
              <w:pStyle w:val="11"/>
            </w:pPr>
            <w:r>
              <w:t>447.76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306</w:t>
            </w:r>
          </w:p>
        </w:tc>
        <w:tc>
          <w:tcPr>
            <w:tcW w:w="2835" w:type="dxa"/>
            <w:vAlign w:val="center"/>
          </w:tcPr>
          <w:p>
            <w:pPr>
              <w:pStyle w:val="11"/>
            </w:pPr>
            <w:r>
              <w:t>53.36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727</w:t>
            </w:r>
          </w:p>
        </w:tc>
        <w:tc>
          <w:tcPr>
            <w:tcW w:w="2835" w:type="dxa"/>
            <w:vAlign w:val="center"/>
          </w:tcPr>
          <w:p>
            <w:pPr>
              <w:pStyle w:val="11"/>
            </w:pPr>
            <w:r>
              <w:t>125.74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七、石家庄市鹿泉区廉租住房和经济适用住房管理中心收支预算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461.86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500.00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781.04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961.86</w:t>
            </w:r>
          </w:p>
        </w:tc>
        <w:tc>
          <w:tcPr>
            <w:tcW w:w="4535" w:type="dxa"/>
            <w:vAlign w:val="center"/>
          </w:tcPr>
          <w:p>
            <w:pPr>
              <w:pStyle w:val="14"/>
            </w:pPr>
            <w:r>
              <w:t>本年支出合计</w:t>
            </w:r>
          </w:p>
        </w:tc>
        <w:tc>
          <w:tcPr>
            <w:tcW w:w="2126" w:type="dxa"/>
            <w:vAlign w:val="center"/>
          </w:tcPr>
          <w:p>
            <w:pPr>
              <w:pStyle w:val="15"/>
            </w:pPr>
            <w:r>
              <w:t>961.86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961.86</w:t>
            </w:r>
          </w:p>
        </w:tc>
        <w:tc>
          <w:tcPr>
            <w:tcW w:w="4535" w:type="dxa"/>
            <w:vAlign w:val="center"/>
          </w:tcPr>
          <w:p>
            <w:pPr>
              <w:pStyle w:val="14"/>
            </w:pPr>
            <w:r>
              <w:t>支出总计</w:t>
            </w:r>
          </w:p>
        </w:tc>
        <w:tc>
          <w:tcPr>
            <w:tcW w:w="2126" w:type="dxa"/>
            <w:vAlign w:val="center"/>
          </w:tcPr>
          <w:p>
            <w:pPr>
              <w:pStyle w:val="15"/>
            </w:pPr>
            <w:r>
              <w:t>961.86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961.86</w:t>
            </w:r>
          </w:p>
        </w:tc>
        <w:tc>
          <w:tcPr>
            <w:tcW w:w="1134" w:type="dxa"/>
            <w:vAlign w:val="center"/>
          </w:tcPr>
          <w:p>
            <w:pPr>
              <w:pStyle w:val="15"/>
            </w:pPr>
            <w:r>
              <w:t>961.86</w:t>
            </w:r>
          </w:p>
        </w:tc>
        <w:tc>
          <w:tcPr>
            <w:tcW w:w="1134" w:type="dxa"/>
            <w:vAlign w:val="center"/>
          </w:tcPr>
          <w:p>
            <w:pPr>
              <w:pStyle w:val="15"/>
            </w:pPr>
            <w:r>
              <w:t>961.86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65.08</w:t>
            </w:r>
          </w:p>
        </w:tc>
        <w:tc>
          <w:tcPr>
            <w:tcW w:w="1134" w:type="dxa"/>
            <w:vAlign w:val="center"/>
          </w:tcPr>
          <w:p>
            <w:pPr>
              <w:pStyle w:val="11"/>
            </w:pPr>
            <w:r>
              <w:t>65.08</w:t>
            </w:r>
          </w:p>
        </w:tc>
        <w:tc>
          <w:tcPr>
            <w:tcW w:w="1134" w:type="dxa"/>
            <w:vAlign w:val="center"/>
          </w:tcPr>
          <w:p>
            <w:pPr>
              <w:pStyle w:val="11"/>
            </w:pPr>
            <w:r>
              <w:t>65.08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65.08</w:t>
            </w:r>
          </w:p>
        </w:tc>
        <w:tc>
          <w:tcPr>
            <w:tcW w:w="1134" w:type="dxa"/>
            <w:vAlign w:val="center"/>
          </w:tcPr>
          <w:p>
            <w:pPr>
              <w:pStyle w:val="11"/>
            </w:pPr>
            <w:r>
              <w:t>65.08</w:t>
            </w:r>
          </w:p>
        </w:tc>
        <w:tc>
          <w:tcPr>
            <w:tcW w:w="1134" w:type="dxa"/>
            <w:vAlign w:val="center"/>
          </w:tcPr>
          <w:p>
            <w:pPr>
              <w:pStyle w:val="11"/>
            </w:pPr>
            <w:r>
              <w:t>65.08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19.31</w:t>
            </w:r>
          </w:p>
        </w:tc>
        <w:tc>
          <w:tcPr>
            <w:tcW w:w="1134" w:type="dxa"/>
            <w:vAlign w:val="center"/>
          </w:tcPr>
          <w:p>
            <w:pPr>
              <w:pStyle w:val="11"/>
            </w:pPr>
            <w:r>
              <w:t>19.31</w:t>
            </w:r>
          </w:p>
        </w:tc>
        <w:tc>
          <w:tcPr>
            <w:tcW w:w="1134" w:type="dxa"/>
            <w:vAlign w:val="center"/>
          </w:tcPr>
          <w:p>
            <w:pPr>
              <w:pStyle w:val="11"/>
            </w:pPr>
            <w:r>
              <w:t>19.31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30.51</w:t>
            </w:r>
          </w:p>
        </w:tc>
        <w:tc>
          <w:tcPr>
            <w:tcW w:w="1134" w:type="dxa"/>
            <w:vAlign w:val="center"/>
          </w:tcPr>
          <w:p>
            <w:pPr>
              <w:pStyle w:val="11"/>
            </w:pPr>
            <w:r>
              <w:t>30.51</w:t>
            </w:r>
          </w:p>
        </w:tc>
        <w:tc>
          <w:tcPr>
            <w:tcW w:w="1134" w:type="dxa"/>
            <w:vAlign w:val="center"/>
          </w:tcPr>
          <w:p>
            <w:pPr>
              <w:pStyle w:val="11"/>
            </w:pPr>
            <w:r>
              <w:t>30.51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15.26</w:t>
            </w:r>
          </w:p>
        </w:tc>
        <w:tc>
          <w:tcPr>
            <w:tcW w:w="1134" w:type="dxa"/>
            <w:vAlign w:val="center"/>
          </w:tcPr>
          <w:p>
            <w:pPr>
              <w:pStyle w:val="11"/>
            </w:pPr>
            <w:r>
              <w:t>15.26</w:t>
            </w:r>
          </w:p>
        </w:tc>
        <w:tc>
          <w:tcPr>
            <w:tcW w:w="1134" w:type="dxa"/>
            <w:vAlign w:val="center"/>
          </w:tcPr>
          <w:p>
            <w:pPr>
              <w:pStyle w:val="11"/>
            </w:pPr>
            <w:r>
              <w:t>15.26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20.64</w:t>
            </w:r>
          </w:p>
        </w:tc>
        <w:tc>
          <w:tcPr>
            <w:tcW w:w="1134" w:type="dxa"/>
            <w:vAlign w:val="center"/>
          </w:tcPr>
          <w:p>
            <w:pPr>
              <w:pStyle w:val="11"/>
            </w:pPr>
            <w:r>
              <w:t>20.64</w:t>
            </w:r>
          </w:p>
        </w:tc>
        <w:tc>
          <w:tcPr>
            <w:tcW w:w="1134" w:type="dxa"/>
            <w:vAlign w:val="center"/>
          </w:tcPr>
          <w:p>
            <w:pPr>
              <w:pStyle w:val="11"/>
            </w:pPr>
            <w:r>
              <w:t>20.64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20.64</w:t>
            </w:r>
          </w:p>
        </w:tc>
        <w:tc>
          <w:tcPr>
            <w:tcW w:w="1134" w:type="dxa"/>
            <w:vAlign w:val="center"/>
          </w:tcPr>
          <w:p>
            <w:pPr>
              <w:pStyle w:val="11"/>
            </w:pPr>
            <w:r>
              <w:t>20.64</w:t>
            </w:r>
          </w:p>
        </w:tc>
        <w:tc>
          <w:tcPr>
            <w:tcW w:w="1134" w:type="dxa"/>
            <w:vAlign w:val="center"/>
          </w:tcPr>
          <w:p>
            <w:pPr>
              <w:pStyle w:val="11"/>
            </w:pPr>
            <w:r>
              <w:t>20.64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20.64</w:t>
            </w:r>
          </w:p>
        </w:tc>
        <w:tc>
          <w:tcPr>
            <w:tcW w:w="1134" w:type="dxa"/>
            <w:vAlign w:val="center"/>
          </w:tcPr>
          <w:p>
            <w:pPr>
              <w:pStyle w:val="11"/>
            </w:pPr>
            <w:r>
              <w:t>20.64</w:t>
            </w:r>
          </w:p>
        </w:tc>
        <w:tc>
          <w:tcPr>
            <w:tcW w:w="1134" w:type="dxa"/>
            <w:vAlign w:val="center"/>
          </w:tcPr>
          <w:p>
            <w:pPr>
              <w:pStyle w:val="11"/>
            </w:pPr>
            <w:r>
              <w:t>20.64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781.04</w:t>
            </w:r>
          </w:p>
        </w:tc>
        <w:tc>
          <w:tcPr>
            <w:tcW w:w="1134" w:type="dxa"/>
            <w:vAlign w:val="center"/>
          </w:tcPr>
          <w:p>
            <w:pPr>
              <w:pStyle w:val="11"/>
            </w:pPr>
            <w:r>
              <w:t>781.04</w:t>
            </w:r>
          </w:p>
        </w:tc>
        <w:tc>
          <w:tcPr>
            <w:tcW w:w="1134" w:type="dxa"/>
            <w:vAlign w:val="center"/>
          </w:tcPr>
          <w:p>
            <w:pPr>
              <w:pStyle w:val="11"/>
            </w:pPr>
            <w:r>
              <w:t>781.04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281.04</w:t>
            </w:r>
          </w:p>
        </w:tc>
        <w:tc>
          <w:tcPr>
            <w:tcW w:w="1134" w:type="dxa"/>
            <w:vAlign w:val="center"/>
          </w:tcPr>
          <w:p>
            <w:pPr>
              <w:pStyle w:val="11"/>
            </w:pPr>
            <w:r>
              <w:t>281.04</w:t>
            </w:r>
          </w:p>
        </w:tc>
        <w:tc>
          <w:tcPr>
            <w:tcW w:w="1134" w:type="dxa"/>
            <w:vAlign w:val="center"/>
          </w:tcPr>
          <w:p>
            <w:pPr>
              <w:pStyle w:val="11"/>
            </w:pPr>
            <w:r>
              <w:t>281.04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281.04</w:t>
            </w:r>
          </w:p>
        </w:tc>
        <w:tc>
          <w:tcPr>
            <w:tcW w:w="1134" w:type="dxa"/>
            <w:vAlign w:val="center"/>
          </w:tcPr>
          <w:p>
            <w:pPr>
              <w:pStyle w:val="11"/>
            </w:pPr>
            <w:r>
              <w:t>281.04</w:t>
            </w:r>
          </w:p>
        </w:tc>
        <w:tc>
          <w:tcPr>
            <w:tcW w:w="1134" w:type="dxa"/>
            <w:vAlign w:val="center"/>
          </w:tcPr>
          <w:p>
            <w:pPr>
              <w:pStyle w:val="11"/>
            </w:pPr>
            <w:r>
              <w:t>281.04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2120807</w:t>
            </w:r>
          </w:p>
        </w:tc>
        <w:tc>
          <w:tcPr>
            <w:tcW w:w="1559" w:type="dxa"/>
            <w:vAlign w:val="center"/>
          </w:tcPr>
          <w:p>
            <w:pPr>
              <w:pStyle w:val="12"/>
            </w:pPr>
            <w:r>
              <w:t>廉租住房支出</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95.10</w:t>
            </w:r>
          </w:p>
        </w:tc>
        <w:tc>
          <w:tcPr>
            <w:tcW w:w="1134" w:type="dxa"/>
            <w:vAlign w:val="center"/>
          </w:tcPr>
          <w:p>
            <w:pPr>
              <w:pStyle w:val="11"/>
            </w:pPr>
            <w:r>
              <w:t>95.10</w:t>
            </w:r>
          </w:p>
        </w:tc>
        <w:tc>
          <w:tcPr>
            <w:tcW w:w="1134" w:type="dxa"/>
            <w:vAlign w:val="center"/>
          </w:tcPr>
          <w:p>
            <w:pPr>
              <w:pStyle w:val="11"/>
            </w:pPr>
            <w:r>
              <w:t>95.10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22101</w:t>
            </w:r>
          </w:p>
        </w:tc>
        <w:tc>
          <w:tcPr>
            <w:tcW w:w="1559" w:type="dxa"/>
            <w:vAlign w:val="center"/>
          </w:tcPr>
          <w:p>
            <w:pPr>
              <w:pStyle w:val="12"/>
            </w:pPr>
            <w:r>
              <w:t>保障性安居工程支出</w:t>
            </w:r>
          </w:p>
        </w:tc>
        <w:tc>
          <w:tcPr>
            <w:tcW w:w="1134" w:type="dxa"/>
            <w:vAlign w:val="center"/>
          </w:tcPr>
          <w:p>
            <w:pPr>
              <w:pStyle w:val="11"/>
            </w:pPr>
            <w:r>
              <w:t>66.89</w:t>
            </w:r>
          </w:p>
        </w:tc>
        <w:tc>
          <w:tcPr>
            <w:tcW w:w="1134" w:type="dxa"/>
            <w:vAlign w:val="center"/>
          </w:tcPr>
          <w:p>
            <w:pPr>
              <w:pStyle w:val="11"/>
            </w:pPr>
            <w:r>
              <w:t>66.89</w:t>
            </w:r>
          </w:p>
        </w:tc>
        <w:tc>
          <w:tcPr>
            <w:tcW w:w="1134" w:type="dxa"/>
            <w:vAlign w:val="center"/>
          </w:tcPr>
          <w:p>
            <w:pPr>
              <w:pStyle w:val="11"/>
            </w:pPr>
            <w:r>
              <w:t>66.89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2210111</w:t>
            </w:r>
          </w:p>
        </w:tc>
        <w:tc>
          <w:tcPr>
            <w:tcW w:w="1559" w:type="dxa"/>
            <w:vAlign w:val="center"/>
          </w:tcPr>
          <w:p>
            <w:pPr>
              <w:pStyle w:val="12"/>
            </w:pPr>
            <w:r>
              <w:t>配租型住房保障</w:t>
            </w:r>
          </w:p>
        </w:tc>
        <w:tc>
          <w:tcPr>
            <w:tcW w:w="1134" w:type="dxa"/>
            <w:vAlign w:val="center"/>
          </w:tcPr>
          <w:p>
            <w:pPr>
              <w:pStyle w:val="11"/>
            </w:pPr>
            <w:r>
              <w:t>66.89</w:t>
            </w:r>
          </w:p>
        </w:tc>
        <w:tc>
          <w:tcPr>
            <w:tcW w:w="1134" w:type="dxa"/>
            <w:vAlign w:val="center"/>
          </w:tcPr>
          <w:p>
            <w:pPr>
              <w:pStyle w:val="11"/>
            </w:pPr>
            <w:r>
              <w:t>66.89</w:t>
            </w:r>
          </w:p>
        </w:tc>
        <w:tc>
          <w:tcPr>
            <w:tcW w:w="1134" w:type="dxa"/>
            <w:vAlign w:val="center"/>
          </w:tcPr>
          <w:p>
            <w:pPr>
              <w:pStyle w:val="11"/>
            </w:pPr>
            <w:r>
              <w:t>66.89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28.21</w:t>
            </w:r>
          </w:p>
        </w:tc>
        <w:tc>
          <w:tcPr>
            <w:tcW w:w="1134" w:type="dxa"/>
            <w:vAlign w:val="center"/>
          </w:tcPr>
          <w:p>
            <w:pPr>
              <w:pStyle w:val="11"/>
            </w:pPr>
            <w:r>
              <w:t>28.21</w:t>
            </w:r>
          </w:p>
        </w:tc>
        <w:tc>
          <w:tcPr>
            <w:tcW w:w="1134" w:type="dxa"/>
            <w:vAlign w:val="center"/>
          </w:tcPr>
          <w:p>
            <w:pPr>
              <w:pStyle w:val="11"/>
            </w:pPr>
            <w:r>
              <w:t>28.21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28.21</w:t>
            </w:r>
          </w:p>
        </w:tc>
        <w:tc>
          <w:tcPr>
            <w:tcW w:w="1134" w:type="dxa"/>
            <w:vAlign w:val="center"/>
          </w:tcPr>
          <w:p>
            <w:pPr>
              <w:pStyle w:val="11"/>
            </w:pPr>
            <w:r>
              <w:t>28.21</w:t>
            </w:r>
          </w:p>
        </w:tc>
        <w:tc>
          <w:tcPr>
            <w:tcW w:w="1134" w:type="dxa"/>
            <w:vAlign w:val="center"/>
          </w:tcPr>
          <w:p>
            <w:pPr>
              <w:pStyle w:val="11"/>
            </w:pPr>
            <w:r>
              <w:t>28.21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961.86</w:t>
            </w:r>
          </w:p>
        </w:tc>
        <w:tc>
          <w:tcPr>
            <w:tcW w:w="1361" w:type="dxa"/>
            <w:vAlign w:val="center"/>
          </w:tcPr>
          <w:p>
            <w:pPr>
              <w:pStyle w:val="15"/>
            </w:pPr>
            <w:r>
              <w:t>394.97</w:t>
            </w:r>
          </w:p>
        </w:tc>
        <w:tc>
          <w:tcPr>
            <w:tcW w:w="1361" w:type="dxa"/>
            <w:vAlign w:val="center"/>
          </w:tcPr>
          <w:p>
            <w:pPr>
              <w:pStyle w:val="15"/>
            </w:pPr>
            <w:r>
              <w:t>566.89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65.08</w:t>
            </w:r>
          </w:p>
        </w:tc>
        <w:tc>
          <w:tcPr>
            <w:tcW w:w="1361" w:type="dxa"/>
            <w:vAlign w:val="center"/>
          </w:tcPr>
          <w:p>
            <w:pPr>
              <w:pStyle w:val="11"/>
            </w:pPr>
            <w:r>
              <w:t>65.08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65.08</w:t>
            </w:r>
          </w:p>
        </w:tc>
        <w:tc>
          <w:tcPr>
            <w:tcW w:w="1361" w:type="dxa"/>
            <w:vAlign w:val="center"/>
          </w:tcPr>
          <w:p>
            <w:pPr>
              <w:pStyle w:val="11"/>
            </w:pPr>
            <w:r>
              <w:t>65.08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19.31</w:t>
            </w:r>
          </w:p>
        </w:tc>
        <w:tc>
          <w:tcPr>
            <w:tcW w:w="1361" w:type="dxa"/>
            <w:vAlign w:val="center"/>
          </w:tcPr>
          <w:p>
            <w:pPr>
              <w:pStyle w:val="11"/>
            </w:pPr>
            <w:r>
              <w:t>19.31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30.51</w:t>
            </w:r>
          </w:p>
        </w:tc>
        <w:tc>
          <w:tcPr>
            <w:tcW w:w="1361" w:type="dxa"/>
            <w:vAlign w:val="center"/>
          </w:tcPr>
          <w:p>
            <w:pPr>
              <w:pStyle w:val="11"/>
            </w:pPr>
            <w:r>
              <w:t>30.51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15.26</w:t>
            </w:r>
          </w:p>
        </w:tc>
        <w:tc>
          <w:tcPr>
            <w:tcW w:w="1361" w:type="dxa"/>
            <w:vAlign w:val="center"/>
          </w:tcPr>
          <w:p>
            <w:pPr>
              <w:pStyle w:val="11"/>
            </w:pPr>
            <w:r>
              <w:t>15.26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20.64</w:t>
            </w:r>
          </w:p>
        </w:tc>
        <w:tc>
          <w:tcPr>
            <w:tcW w:w="1361" w:type="dxa"/>
            <w:vAlign w:val="center"/>
          </w:tcPr>
          <w:p>
            <w:pPr>
              <w:pStyle w:val="11"/>
            </w:pPr>
            <w:r>
              <w:t>20.64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20.64</w:t>
            </w:r>
          </w:p>
        </w:tc>
        <w:tc>
          <w:tcPr>
            <w:tcW w:w="1361" w:type="dxa"/>
            <w:vAlign w:val="center"/>
          </w:tcPr>
          <w:p>
            <w:pPr>
              <w:pStyle w:val="11"/>
            </w:pPr>
            <w:r>
              <w:t>20.64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20.64</w:t>
            </w:r>
          </w:p>
        </w:tc>
        <w:tc>
          <w:tcPr>
            <w:tcW w:w="1361" w:type="dxa"/>
            <w:vAlign w:val="center"/>
          </w:tcPr>
          <w:p>
            <w:pPr>
              <w:pStyle w:val="11"/>
            </w:pPr>
            <w:r>
              <w:t>20.64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781.04</w:t>
            </w:r>
          </w:p>
        </w:tc>
        <w:tc>
          <w:tcPr>
            <w:tcW w:w="1361" w:type="dxa"/>
            <w:vAlign w:val="center"/>
          </w:tcPr>
          <w:p>
            <w:pPr>
              <w:pStyle w:val="11"/>
            </w:pPr>
            <w:r>
              <w:t>281.04</w:t>
            </w: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281.04</w:t>
            </w:r>
          </w:p>
        </w:tc>
        <w:tc>
          <w:tcPr>
            <w:tcW w:w="1361" w:type="dxa"/>
            <w:vAlign w:val="center"/>
          </w:tcPr>
          <w:p>
            <w:pPr>
              <w:pStyle w:val="11"/>
            </w:pPr>
            <w:r>
              <w:t>281.04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281.04</w:t>
            </w:r>
          </w:p>
        </w:tc>
        <w:tc>
          <w:tcPr>
            <w:tcW w:w="1361" w:type="dxa"/>
            <w:vAlign w:val="center"/>
          </w:tcPr>
          <w:p>
            <w:pPr>
              <w:pStyle w:val="11"/>
            </w:pPr>
            <w:r>
              <w:t>281.04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2120807</w:t>
            </w:r>
          </w:p>
        </w:tc>
        <w:tc>
          <w:tcPr>
            <w:tcW w:w="4535" w:type="dxa"/>
            <w:vAlign w:val="center"/>
          </w:tcPr>
          <w:p>
            <w:pPr>
              <w:pStyle w:val="12"/>
            </w:pPr>
            <w:r>
              <w:t>廉租住房支出</w:t>
            </w: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r>
              <w:t>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95.10</w:t>
            </w:r>
          </w:p>
        </w:tc>
        <w:tc>
          <w:tcPr>
            <w:tcW w:w="1361" w:type="dxa"/>
            <w:vAlign w:val="center"/>
          </w:tcPr>
          <w:p>
            <w:pPr>
              <w:pStyle w:val="11"/>
            </w:pPr>
            <w:r>
              <w:t>28.21</w:t>
            </w:r>
          </w:p>
        </w:tc>
        <w:tc>
          <w:tcPr>
            <w:tcW w:w="1361" w:type="dxa"/>
            <w:vAlign w:val="center"/>
          </w:tcPr>
          <w:p>
            <w:pPr>
              <w:pStyle w:val="11"/>
            </w:pPr>
            <w:r>
              <w:t>66.89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22101</w:t>
            </w:r>
          </w:p>
        </w:tc>
        <w:tc>
          <w:tcPr>
            <w:tcW w:w="4535" w:type="dxa"/>
            <w:vAlign w:val="center"/>
          </w:tcPr>
          <w:p>
            <w:pPr>
              <w:pStyle w:val="12"/>
            </w:pPr>
            <w:r>
              <w:t>保障性安居工程支出</w:t>
            </w:r>
          </w:p>
        </w:tc>
        <w:tc>
          <w:tcPr>
            <w:tcW w:w="1361" w:type="dxa"/>
            <w:vAlign w:val="center"/>
          </w:tcPr>
          <w:p>
            <w:pPr>
              <w:pStyle w:val="11"/>
            </w:pPr>
            <w:r>
              <w:t>66.89</w:t>
            </w:r>
          </w:p>
        </w:tc>
        <w:tc>
          <w:tcPr>
            <w:tcW w:w="1361" w:type="dxa"/>
            <w:vAlign w:val="center"/>
          </w:tcPr>
          <w:p>
            <w:pPr>
              <w:pStyle w:val="11"/>
            </w:pPr>
          </w:p>
        </w:tc>
        <w:tc>
          <w:tcPr>
            <w:tcW w:w="1361" w:type="dxa"/>
            <w:vAlign w:val="center"/>
          </w:tcPr>
          <w:p>
            <w:pPr>
              <w:pStyle w:val="11"/>
            </w:pPr>
            <w:r>
              <w:t>66.89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2210111</w:t>
            </w:r>
          </w:p>
        </w:tc>
        <w:tc>
          <w:tcPr>
            <w:tcW w:w="4535" w:type="dxa"/>
            <w:vAlign w:val="center"/>
          </w:tcPr>
          <w:p>
            <w:pPr>
              <w:pStyle w:val="12"/>
            </w:pPr>
            <w:r>
              <w:t>配租型住房保障</w:t>
            </w:r>
          </w:p>
        </w:tc>
        <w:tc>
          <w:tcPr>
            <w:tcW w:w="1361" w:type="dxa"/>
            <w:vAlign w:val="center"/>
          </w:tcPr>
          <w:p>
            <w:pPr>
              <w:pStyle w:val="11"/>
            </w:pPr>
            <w:r>
              <w:t>66.89</w:t>
            </w:r>
          </w:p>
        </w:tc>
        <w:tc>
          <w:tcPr>
            <w:tcW w:w="1361" w:type="dxa"/>
            <w:vAlign w:val="center"/>
          </w:tcPr>
          <w:p>
            <w:pPr>
              <w:pStyle w:val="11"/>
            </w:pPr>
          </w:p>
        </w:tc>
        <w:tc>
          <w:tcPr>
            <w:tcW w:w="1361" w:type="dxa"/>
            <w:vAlign w:val="center"/>
          </w:tcPr>
          <w:p>
            <w:pPr>
              <w:pStyle w:val="11"/>
            </w:pPr>
            <w:r>
              <w:t>66.89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28.21</w:t>
            </w:r>
          </w:p>
        </w:tc>
        <w:tc>
          <w:tcPr>
            <w:tcW w:w="1361" w:type="dxa"/>
            <w:vAlign w:val="center"/>
          </w:tcPr>
          <w:p>
            <w:pPr>
              <w:pStyle w:val="11"/>
            </w:pPr>
            <w:r>
              <w:t>28.21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28.21</w:t>
            </w:r>
          </w:p>
        </w:tc>
        <w:tc>
          <w:tcPr>
            <w:tcW w:w="1361" w:type="dxa"/>
            <w:vAlign w:val="center"/>
          </w:tcPr>
          <w:p>
            <w:pPr>
              <w:pStyle w:val="11"/>
            </w:pPr>
            <w:r>
              <w:t>28.21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461.86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500.00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65.08</w:t>
            </w:r>
          </w:p>
        </w:tc>
        <w:tc>
          <w:tcPr>
            <w:tcW w:w="1474" w:type="dxa"/>
            <w:vAlign w:val="center"/>
          </w:tcPr>
          <w:p>
            <w:pPr>
              <w:pStyle w:val="11"/>
            </w:pPr>
            <w:r>
              <w:t>65.08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20.64</w:t>
            </w:r>
          </w:p>
        </w:tc>
        <w:tc>
          <w:tcPr>
            <w:tcW w:w="1474" w:type="dxa"/>
            <w:vAlign w:val="center"/>
          </w:tcPr>
          <w:p>
            <w:pPr>
              <w:pStyle w:val="11"/>
            </w:pPr>
            <w:r>
              <w:t>20.64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781.04</w:t>
            </w:r>
          </w:p>
        </w:tc>
        <w:tc>
          <w:tcPr>
            <w:tcW w:w="1474" w:type="dxa"/>
            <w:vAlign w:val="center"/>
          </w:tcPr>
          <w:p>
            <w:pPr>
              <w:pStyle w:val="11"/>
            </w:pPr>
            <w:r>
              <w:t>281.04</w:t>
            </w:r>
          </w:p>
        </w:tc>
        <w:tc>
          <w:tcPr>
            <w:tcW w:w="1474" w:type="dxa"/>
            <w:vAlign w:val="center"/>
          </w:tcPr>
          <w:p>
            <w:pPr>
              <w:pStyle w:val="11"/>
            </w:pPr>
            <w:r>
              <w:t>500.00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95.10</w:t>
            </w:r>
          </w:p>
        </w:tc>
        <w:tc>
          <w:tcPr>
            <w:tcW w:w="1474" w:type="dxa"/>
            <w:vAlign w:val="center"/>
          </w:tcPr>
          <w:p>
            <w:pPr>
              <w:pStyle w:val="11"/>
            </w:pPr>
            <w:r>
              <w:t>95.10</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961.86</w:t>
            </w:r>
          </w:p>
        </w:tc>
        <w:tc>
          <w:tcPr>
            <w:tcW w:w="3402" w:type="dxa"/>
            <w:vAlign w:val="center"/>
          </w:tcPr>
          <w:p>
            <w:pPr>
              <w:pStyle w:val="14"/>
            </w:pPr>
            <w:r>
              <w:t>本年支出合计</w:t>
            </w:r>
          </w:p>
        </w:tc>
        <w:tc>
          <w:tcPr>
            <w:tcW w:w="1474" w:type="dxa"/>
            <w:vAlign w:val="center"/>
          </w:tcPr>
          <w:p>
            <w:pPr>
              <w:pStyle w:val="15"/>
            </w:pPr>
            <w:r>
              <w:t>961.86</w:t>
            </w:r>
          </w:p>
        </w:tc>
        <w:tc>
          <w:tcPr>
            <w:tcW w:w="1474" w:type="dxa"/>
            <w:vAlign w:val="center"/>
          </w:tcPr>
          <w:p>
            <w:pPr>
              <w:pStyle w:val="15"/>
            </w:pPr>
            <w:r>
              <w:t>461.86</w:t>
            </w:r>
          </w:p>
        </w:tc>
        <w:tc>
          <w:tcPr>
            <w:tcW w:w="1474" w:type="dxa"/>
            <w:vAlign w:val="center"/>
          </w:tcPr>
          <w:p>
            <w:pPr>
              <w:pStyle w:val="15"/>
            </w:pPr>
            <w:r>
              <w:t>500.00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961.86</w:t>
            </w:r>
          </w:p>
        </w:tc>
        <w:tc>
          <w:tcPr>
            <w:tcW w:w="3402" w:type="dxa"/>
            <w:vAlign w:val="center"/>
          </w:tcPr>
          <w:p>
            <w:pPr>
              <w:pStyle w:val="14"/>
            </w:pPr>
            <w:r>
              <w:t>支出总计</w:t>
            </w:r>
          </w:p>
        </w:tc>
        <w:tc>
          <w:tcPr>
            <w:tcW w:w="1474" w:type="dxa"/>
            <w:vAlign w:val="center"/>
          </w:tcPr>
          <w:p>
            <w:pPr>
              <w:pStyle w:val="15"/>
            </w:pPr>
            <w:r>
              <w:t>961.86</w:t>
            </w:r>
          </w:p>
        </w:tc>
        <w:tc>
          <w:tcPr>
            <w:tcW w:w="1474" w:type="dxa"/>
            <w:vAlign w:val="center"/>
          </w:tcPr>
          <w:p>
            <w:pPr>
              <w:pStyle w:val="15"/>
            </w:pPr>
            <w:r>
              <w:t>461.86</w:t>
            </w:r>
          </w:p>
        </w:tc>
        <w:tc>
          <w:tcPr>
            <w:tcW w:w="1474" w:type="dxa"/>
            <w:vAlign w:val="center"/>
          </w:tcPr>
          <w:p>
            <w:pPr>
              <w:pStyle w:val="15"/>
            </w:pPr>
            <w:r>
              <w:t>500.00</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461.86</w:t>
            </w:r>
          </w:p>
        </w:tc>
        <w:tc>
          <w:tcPr>
            <w:tcW w:w="2551" w:type="dxa"/>
            <w:vAlign w:val="center"/>
          </w:tcPr>
          <w:p>
            <w:pPr>
              <w:pStyle w:val="15"/>
            </w:pPr>
            <w:r>
              <w:t>394.97</w:t>
            </w:r>
          </w:p>
        </w:tc>
        <w:tc>
          <w:tcPr>
            <w:tcW w:w="2551" w:type="dxa"/>
            <w:vAlign w:val="center"/>
          </w:tcPr>
          <w:p>
            <w:pPr>
              <w:pStyle w:val="15"/>
            </w:pPr>
            <w:r>
              <w:t>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65.08</w:t>
            </w:r>
          </w:p>
        </w:tc>
        <w:tc>
          <w:tcPr>
            <w:tcW w:w="2551" w:type="dxa"/>
            <w:vAlign w:val="center"/>
          </w:tcPr>
          <w:p>
            <w:pPr>
              <w:pStyle w:val="11"/>
            </w:pPr>
            <w:r>
              <w:t>65.08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65.08</w:t>
            </w:r>
          </w:p>
        </w:tc>
        <w:tc>
          <w:tcPr>
            <w:tcW w:w="2551" w:type="dxa"/>
            <w:vAlign w:val="center"/>
          </w:tcPr>
          <w:p>
            <w:pPr>
              <w:pStyle w:val="11"/>
            </w:pPr>
            <w:r>
              <w:t>65.08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19.31</w:t>
            </w:r>
          </w:p>
        </w:tc>
        <w:tc>
          <w:tcPr>
            <w:tcW w:w="2551" w:type="dxa"/>
            <w:vAlign w:val="center"/>
          </w:tcPr>
          <w:p>
            <w:pPr>
              <w:pStyle w:val="11"/>
            </w:pPr>
            <w:r>
              <w:t>19.31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30.51</w:t>
            </w:r>
          </w:p>
        </w:tc>
        <w:tc>
          <w:tcPr>
            <w:tcW w:w="2551" w:type="dxa"/>
            <w:vAlign w:val="center"/>
          </w:tcPr>
          <w:p>
            <w:pPr>
              <w:pStyle w:val="11"/>
            </w:pPr>
            <w:r>
              <w:t>30.51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15.26</w:t>
            </w:r>
          </w:p>
        </w:tc>
        <w:tc>
          <w:tcPr>
            <w:tcW w:w="2551" w:type="dxa"/>
            <w:vAlign w:val="center"/>
          </w:tcPr>
          <w:p>
            <w:pPr>
              <w:pStyle w:val="11"/>
            </w:pPr>
            <w:r>
              <w:t>15.26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20.64</w:t>
            </w:r>
          </w:p>
        </w:tc>
        <w:tc>
          <w:tcPr>
            <w:tcW w:w="2551" w:type="dxa"/>
            <w:vAlign w:val="center"/>
          </w:tcPr>
          <w:p>
            <w:pPr>
              <w:pStyle w:val="11"/>
            </w:pPr>
            <w:r>
              <w:t>20.64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20.64</w:t>
            </w:r>
          </w:p>
        </w:tc>
        <w:tc>
          <w:tcPr>
            <w:tcW w:w="2551" w:type="dxa"/>
            <w:vAlign w:val="center"/>
          </w:tcPr>
          <w:p>
            <w:pPr>
              <w:pStyle w:val="11"/>
            </w:pPr>
            <w:r>
              <w:t>20.64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20.64</w:t>
            </w:r>
          </w:p>
        </w:tc>
        <w:tc>
          <w:tcPr>
            <w:tcW w:w="2551" w:type="dxa"/>
            <w:vAlign w:val="center"/>
          </w:tcPr>
          <w:p>
            <w:pPr>
              <w:pStyle w:val="11"/>
            </w:pPr>
            <w:r>
              <w:t>20.64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281.04</w:t>
            </w:r>
          </w:p>
        </w:tc>
        <w:tc>
          <w:tcPr>
            <w:tcW w:w="2551" w:type="dxa"/>
            <w:vAlign w:val="center"/>
          </w:tcPr>
          <w:p>
            <w:pPr>
              <w:pStyle w:val="11"/>
            </w:pPr>
            <w:r>
              <w:t>281.04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281.04</w:t>
            </w:r>
          </w:p>
        </w:tc>
        <w:tc>
          <w:tcPr>
            <w:tcW w:w="2551" w:type="dxa"/>
            <w:vAlign w:val="center"/>
          </w:tcPr>
          <w:p>
            <w:pPr>
              <w:pStyle w:val="11"/>
            </w:pPr>
            <w:r>
              <w:t>281.04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281.04</w:t>
            </w:r>
          </w:p>
        </w:tc>
        <w:tc>
          <w:tcPr>
            <w:tcW w:w="2551" w:type="dxa"/>
            <w:vAlign w:val="center"/>
          </w:tcPr>
          <w:p>
            <w:pPr>
              <w:pStyle w:val="11"/>
            </w:pPr>
            <w:r>
              <w:t>281.04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95.10</w:t>
            </w:r>
          </w:p>
        </w:tc>
        <w:tc>
          <w:tcPr>
            <w:tcW w:w="2551" w:type="dxa"/>
            <w:vAlign w:val="center"/>
          </w:tcPr>
          <w:p>
            <w:pPr>
              <w:pStyle w:val="11"/>
            </w:pPr>
            <w:r>
              <w:t>28.21</w:t>
            </w:r>
          </w:p>
        </w:tc>
        <w:tc>
          <w:tcPr>
            <w:tcW w:w="2551" w:type="dxa"/>
            <w:vAlign w:val="center"/>
          </w:tcPr>
          <w:p>
            <w:pPr>
              <w:pStyle w:val="11"/>
            </w:pPr>
            <w:r>
              <w:t>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22101</w:t>
            </w:r>
          </w:p>
        </w:tc>
        <w:tc>
          <w:tcPr>
            <w:tcW w:w="4535" w:type="dxa"/>
            <w:vAlign w:val="center"/>
          </w:tcPr>
          <w:p>
            <w:pPr>
              <w:pStyle w:val="12"/>
            </w:pPr>
            <w:r>
              <w:t>保障性安居工程支出</w:t>
            </w:r>
          </w:p>
        </w:tc>
        <w:tc>
          <w:tcPr>
            <w:tcW w:w="2551" w:type="dxa"/>
            <w:vAlign w:val="center"/>
          </w:tcPr>
          <w:p>
            <w:pPr>
              <w:pStyle w:val="11"/>
            </w:pPr>
            <w:r>
              <w:t>66.89</w:t>
            </w:r>
          </w:p>
        </w:tc>
        <w:tc>
          <w:tcPr>
            <w:tcW w:w="2551" w:type="dxa"/>
            <w:vAlign w:val="center"/>
          </w:tcPr>
          <w:p>
            <w:pPr>
              <w:pStyle w:val="11"/>
            </w:pPr>
          </w:p>
        </w:tc>
        <w:tc>
          <w:tcPr>
            <w:tcW w:w="2551" w:type="dxa"/>
            <w:vAlign w:val="center"/>
          </w:tcPr>
          <w:p>
            <w:pPr>
              <w:pStyle w:val="11"/>
            </w:pPr>
            <w:r>
              <w:t>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2210111</w:t>
            </w:r>
          </w:p>
        </w:tc>
        <w:tc>
          <w:tcPr>
            <w:tcW w:w="4535" w:type="dxa"/>
            <w:vAlign w:val="center"/>
          </w:tcPr>
          <w:p>
            <w:pPr>
              <w:pStyle w:val="12"/>
            </w:pPr>
            <w:r>
              <w:t>配租型住房保障</w:t>
            </w:r>
          </w:p>
        </w:tc>
        <w:tc>
          <w:tcPr>
            <w:tcW w:w="2551" w:type="dxa"/>
            <w:vAlign w:val="center"/>
          </w:tcPr>
          <w:p>
            <w:pPr>
              <w:pStyle w:val="11"/>
            </w:pPr>
            <w:r>
              <w:t>66.89</w:t>
            </w:r>
          </w:p>
        </w:tc>
        <w:tc>
          <w:tcPr>
            <w:tcW w:w="2551" w:type="dxa"/>
            <w:vAlign w:val="center"/>
          </w:tcPr>
          <w:p>
            <w:pPr>
              <w:pStyle w:val="11"/>
            </w:pPr>
          </w:p>
        </w:tc>
        <w:tc>
          <w:tcPr>
            <w:tcW w:w="2551" w:type="dxa"/>
            <w:vAlign w:val="center"/>
          </w:tcPr>
          <w:p>
            <w:pPr>
              <w:pStyle w:val="11"/>
            </w:pPr>
            <w:r>
              <w:t>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28.21</w:t>
            </w:r>
          </w:p>
        </w:tc>
        <w:tc>
          <w:tcPr>
            <w:tcW w:w="2551" w:type="dxa"/>
            <w:vAlign w:val="center"/>
          </w:tcPr>
          <w:p>
            <w:pPr>
              <w:pStyle w:val="11"/>
            </w:pPr>
            <w:r>
              <w:t>28.21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28.21</w:t>
            </w:r>
          </w:p>
        </w:tc>
        <w:tc>
          <w:tcPr>
            <w:tcW w:w="2551" w:type="dxa"/>
            <w:vAlign w:val="center"/>
          </w:tcPr>
          <w:p>
            <w:pPr>
              <w:pStyle w:val="11"/>
            </w:pPr>
            <w:r>
              <w:t>28.21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394.97</w:t>
            </w:r>
          </w:p>
        </w:tc>
        <w:tc>
          <w:tcPr>
            <w:tcW w:w="2551" w:type="dxa"/>
            <w:vAlign w:val="center"/>
          </w:tcPr>
          <w:p>
            <w:pPr>
              <w:pStyle w:val="15"/>
            </w:pPr>
            <w:r>
              <w:t>348.94</w:t>
            </w:r>
          </w:p>
        </w:tc>
        <w:tc>
          <w:tcPr>
            <w:tcW w:w="2551" w:type="dxa"/>
            <w:vAlign w:val="center"/>
          </w:tcPr>
          <w:p>
            <w:pPr>
              <w:pStyle w:val="15"/>
            </w:pPr>
            <w:r>
              <w:t>46.03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329.74</w:t>
            </w:r>
          </w:p>
        </w:tc>
        <w:tc>
          <w:tcPr>
            <w:tcW w:w="2551" w:type="dxa"/>
            <w:vAlign w:val="center"/>
          </w:tcPr>
          <w:p>
            <w:pPr>
              <w:pStyle w:val="11"/>
            </w:pPr>
            <w:r>
              <w:t>329.74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87.06</w:t>
            </w:r>
          </w:p>
        </w:tc>
        <w:tc>
          <w:tcPr>
            <w:tcW w:w="2551" w:type="dxa"/>
            <w:vAlign w:val="center"/>
          </w:tcPr>
          <w:p>
            <w:pPr>
              <w:pStyle w:val="11"/>
            </w:pPr>
            <w:r>
              <w:t>87.06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16.21</w:t>
            </w:r>
          </w:p>
        </w:tc>
        <w:tc>
          <w:tcPr>
            <w:tcW w:w="2551" w:type="dxa"/>
            <w:vAlign w:val="center"/>
          </w:tcPr>
          <w:p>
            <w:pPr>
              <w:pStyle w:val="11"/>
            </w:pPr>
            <w:r>
              <w:t>16.21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130.11</w:t>
            </w:r>
          </w:p>
        </w:tc>
        <w:tc>
          <w:tcPr>
            <w:tcW w:w="2551" w:type="dxa"/>
            <w:vAlign w:val="center"/>
          </w:tcPr>
          <w:p>
            <w:pPr>
              <w:pStyle w:val="11"/>
            </w:pPr>
            <w:r>
              <w:t>130.11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30.51</w:t>
            </w:r>
          </w:p>
        </w:tc>
        <w:tc>
          <w:tcPr>
            <w:tcW w:w="2551" w:type="dxa"/>
            <w:vAlign w:val="center"/>
          </w:tcPr>
          <w:p>
            <w:pPr>
              <w:pStyle w:val="11"/>
            </w:pPr>
            <w:r>
              <w:t>30.51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15.26</w:t>
            </w:r>
          </w:p>
        </w:tc>
        <w:tc>
          <w:tcPr>
            <w:tcW w:w="2551" w:type="dxa"/>
            <w:vAlign w:val="center"/>
          </w:tcPr>
          <w:p>
            <w:pPr>
              <w:pStyle w:val="11"/>
            </w:pPr>
            <w:r>
              <w:t>15.26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11.06</w:t>
            </w:r>
          </w:p>
        </w:tc>
        <w:tc>
          <w:tcPr>
            <w:tcW w:w="2551" w:type="dxa"/>
            <w:vAlign w:val="center"/>
          </w:tcPr>
          <w:p>
            <w:pPr>
              <w:pStyle w:val="11"/>
            </w:pPr>
            <w:r>
              <w:t>11.06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9.58</w:t>
            </w:r>
          </w:p>
        </w:tc>
        <w:tc>
          <w:tcPr>
            <w:tcW w:w="2551" w:type="dxa"/>
            <w:vAlign w:val="center"/>
          </w:tcPr>
          <w:p>
            <w:pPr>
              <w:pStyle w:val="11"/>
            </w:pPr>
            <w:r>
              <w:t>9.58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1.75</w:t>
            </w:r>
          </w:p>
        </w:tc>
        <w:tc>
          <w:tcPr>
            <w:tcW w:w="2551" w:type="dxa"/>
            <w:vAlign w:val="center"/>
          </w:tcPr>
          <w:p>
            <w:pPr>
              <w:pStyle w:val="11"/>
            </w:pPr>
            <w:r>
              <w:t>1.75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28.21</w:t>
            </w:r>
          </w:p>
        </w:tc>
        <w:tc>
          <w:tcPr>
            <w:tcW w:w="2551" w:type="dxa"/>
            <w:vAlign w:val="center"/>
          </w:tcPr>
          <w:p>
            <w:pPr>
              <w:pStyle w:val="11"/>
            </w:pPr>
            <w:r>
              <w:t>28.21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46.03</w:t>
            </w:r>
          </w:p>
        </w:tc>
        <w:tc>
          <w:tcPr>
            <w:tcW w:w="2551" w:type="dxa"/>
            <w:vAlign w:val="center"/>
          </w:tcPr>
          <w:p>
            <w:pPr>
              <w:pStyle w:val="11"/>
            </w:pPr>
          </w:p>
        </w:tc>
        <w:tc>
          <w:tcPr>
            <w:tcW w:w="2551" w:type="dxa"/>
            <w:vAlign w:val="center"/>
          </w:tcPr>
          <w:p>
            <w:pPr>
              <w:pStyle w:val="11"/>
            </w:pPr>
            <w:r>
              <w:t>46.03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10.80</w:t>
            </w:r>
          </w:p>
        </w:tc>
        <w:tc>
          <w:tcPr>
            <w:tcW w:w="2551" w:type="dxa"/>
            <w:vAlign w:val="center"/>
          </w:tcPr>
          <w:p>
            <w:pPr>
              <w:pStyle w:val="11"/>
            </w:pPr>
          </w:p>
        </w:tc>
        <w:tc>
          <w:tcPr>
            <w:tcW w:w="2551" w:type="dxa"/>
            <w:vAlign w:val="center"/>
          </w:tcPr>
          <w:p>
            <w:pPr>
              <w:pStyle w:val="11"/>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2.85</w:t>
            </w:r>
          </w:p>
        </w:tc>
        <w:tc>
          <w:tcPr>
            <w:tcW w:w="2551" w:type="dxa"/>
            <w:vAlign w:val="center"/>
          </w:tcPr>
          <w:p>
            <w:pPr>
              <w:pStyle w:val="11"/>
            </w:pPr>
          </w:p>
        </w:tc>
        <w:tc>
          <w:tcPr>
            <w:tcW w:w="2551" w:type="dxa"/>
            <w:vAlign w:val="center"/>
          </w:tcPr>
          <w:p>
            <w:pPr>
              <w:pStyle w:val="11"/>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23.12</w:t>
            </w:r>
          </w:p>
        </w:tc>
        <w:tc>
          <w:tcPr>
            <w:tcW w:w="2551" w:type="dxa"/>
            <w:vAlign w:val="center"/>
          </w:tcPr>
          <w:p>
            <w:pPr>
              <w:pStyle w:val="11"/>
            </w:pPr>
          </w:p>
        </w:tc>
        <w:tc>
          <w:tcPr>
            <w:tcW w:w="2551" w:type="dxa"/>
            <w:vAlign w:val="center"/>
          </w:tcPr>
          <w:p>
            <w:pPr>
              <w:pStyle w:val="11"/>
            </w:pPr>
            <w:r>
              <w:t>23.12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1.74</w:t>
            </w:r>
          </w:p>
        </w:tc>
        <w:tc>
          <w:tcPr>
            <w:tcW w:w="2551" w:type="dxa"/>
            <w:vAlign w:val="center"/>
          </w:tcPr>
          <w:p>
            <w:pPr>
              <w:pStyle w:val="11"/>
            </w:pPr>
          </w:p>
        </w:tc>
        <w:tc>
          <w:tcPr>
            <w:tcW w:w="2551" w:type="dxa"/>
            <w:vAlign w:val="center"/>
          </w:tcPr>
          <w:p>
            <w:pPr>
              <w:pStyle w:val="11"/>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1.98</w:t>
            </w:r>
          </w:p>
        </w:tc>
        <w:tc>
          <w:tcPr>
            <w:tcW w:w="2551" w:type="dxa"/>
            <w:vAlign w:val="center"/>
          </w:tcPr>
          <w:p>
            <w:pPr>
              <w:pStyle w:val="11"/>
            </w:pPr>
          </w:p>
        </w:tc>
        <w:tc>
          <w:tcPr>
            <w:tcW w:w="2551" w:type="dxa"/>
            <w:vAlign w:val="center"/>
          </w:tcPr>
          <w:p>
            <w:pPr>
              <w:pStyle w:val="11"/>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2.84</w:t>
            </w:r>
          </w:p>
        </w:tc>
        <w:tc>
          <w:tcPr>
            <w:tcW w:w="2551" w:type="dxa"/>
            <w:vAlign w:val="center"/>
          </w:tcPr>
          <w:p>
            <w:pPr>
              <w:pStyle w:val="11"/>
            </w:pPr>
          </w:p>
        </w:tc>
        <w:tc>
          <w:tcPr>
            <w:tcW w:w="2551" w:type="dxa"/>
            <w:vAlign w:val="center"/>
          </w:tcPr>
          <w:p>
            <w:pPr>
              <w:pStyle w:val="11"/>
            </w:pPr>
            <w:r>
              <w:t>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19.20</w:t>
            </w:r>
          </w:p>
        </w:tc>
        <w:tc>
          <w:tcPr>
            <w:tcW w:w="2551" w:type="dxa"/>
            <w:vAlign w:val="center"/>
          </w:tcPr>
          <w:p>
            <w:pPr>
              <w:pStyle w:val="11"/>
            </w:pPr>
            <w:r>
              <w:t>19.20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19.20</w:t>
            </w:r>
          </w:p>
        </w:tc>
        <w:tc>
          <w:tcPr>
            <w:tcW w:w="2551" w:type="dxa"/>
            <w:vAlign w:val="center"/>
          </w:tcPr>
          <w:p>
            <w:pPr>
              <w:pStyle w:val="11"/>
            </w:pPr>
            <w:r>
              <w:t>19.20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500.00</w:t>
            </w:r>
          </w:p>
        </w:tc>
        <w:tc>
          <w:tcPr>
            <w:tcW w:w="2551" w:type="dxa"/>
            <w:vAlign w:val="center"/>
          </w:tcPr>
          <w:p>
            <w:pPr>
              <w:pStyle w:val="15"/>
            </w:pPr>
          </w:p>
        </w:tc>
        <w:tc>
          <w:tcPr>
            <w:tcW w:w="2551"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500.00</w:t>
            </w:r>
          </w:p>
        </w:tc>
        <w:tc>
          <w:tcPr>
            <w:tcW w:w="2551" w:type="dxa"/>
            <w:vAlign w:val="center"/>
          </w:tcPr>
          <w:p>
            <w:pPr>
              <w:pStyle w:val="11"/>
            </w:pPr>
          </w:p>
        </w:tc>
        <w:tc>
          <w:tcPr>
            <w:tcW w:w="2551" w:type="dxa"/>
            <w:vAlign w:val="center"/>
          </w:tcPr>
          <w:p>
            <w:pPr>
              <w:pStyle w:val="11"/>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500.00</w:t>
            </w:r>
          </w:p>
        </w:tc>
        <w:tc>
          <w:tcPr>
            <w:tcW w:w="2551" w:type="dxa"/>
            <w:vAlign w:val="center"/>
          </w:tcPr>
          <w:p>
            <w:pPr>
              <w:pStyle w:val="11"/>
            </w:pPr>
          </w:p>
        </w:tc>
        <w:tc>
          <w:tcPr>
            <w:tcW w:w="2551" w:type="dxa"/>
            <w:vAlign w:val="center"/>
          </w:tcPr>
          <w:p>
            <w:pPr>
              <w:pStyle w:val="11"/>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2120807</w:t>
            </w:r>
          </w:p>
        </w:tc>
        <w:tc>
          <w:tcPr>
            <w:tcW w:w="4535" w:type="dxa"/>
            <w:vAlign w:val="center"/>
          </w:tcPr>
          <w:p>
            <w:pPr>
              <w:pStyle w:val="12"/>
            </w:pPr>
            <w:r>
              <w:t>廉租住房支出</w:t>
            </w:r>
          </w:p>
        </w:tc>
        <w:tc>
          <w:tcPr>
            <w:tcW w:w="2551" w:type="dxa"/>
            <w:vAlign w:val="center"/>
          </w:tcPr>
          <w:p>
            <w:pPr>
              <w:pStyle w:val="11"/>
            </w:pPr>
            <w:r>
              <w:t>500.00</w:t>
            </w:r>
          </w:p>
        </w:tc>
        <w:tc>
          <w:tcPr>
            <w:tcW w:w="2551" w:type="dxa"/>
            <w:vAlign w:val="center"/>
          </w:tcPr>
          <w:p>
            <w:pPr>
              <w:pStyle w:val="11"/>
            </w:pPr>
          </w:p>
        </w:tc>
        <w:tc>
          <w:tcPr>
            <w:tcW w:w="2551" w:type="dxa"/>
            <w:vAlign w:val="center"/>
          </w:tcPr>
          <w:p>
            <w:pPr>
              <w:pStyle w:val="11"/>
            </w:pPr>
            <w:r>
              <w:t>500.00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石家庄市鹿泉区廉租住房和经济适用住房管理中心2026年单位预算信息公开情况说明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按照《中华人民共和国预算法》、《地方预决算公开操作规程》和《关于进一步推进预算公开工作的实施意见》规定，现将石家庄市鹿泉区廉租住房和经济适用住房管理中心2026年单位预算公开如下：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根据《石家庄市鹿泉区廉租住房和经济适用住房管理中心职能配置、内设机构和编制规定》，鹿泉区廉租住房和经济适用住房管理中心的主要职责是：</w:t>
      </w:r>
    </w:p>
    <w:p>
      <w:pPr>
        <w:pStyle w:val="17"/>
      </w:pPr>
      <w:r>
        <w:t>廉租住房的购建、维修管理，租赁住房补贴发放，经济适用住房项目前期准备和销售代理等。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石家庄市鹿泉区廉租住房和经济适用住房管理中心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961.86万元，其中：一般公共预算收入461.86万元，基金预算收入500.00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廉租住房和经济适用住房管理中心年度单位预算中支出预算的总体情况。2026年支出预算961.86万元，其中基本支出394.97万元，包括人员经费348.94万元和日常公用经费46.03万元；项目支出566.89万元，主要为公共租赁住房租金返还资金等支出。</w:t>
      </w:r>
    </w:p>
    <w:p>
      <w:pPr>
        <w:pStyle w:val="18"/>
      </w:pPr>
      <w:r>
        <w:t>3、比上年增减情况</w:t>
      </w:r>
    </w:p>
    <w:p>
      <w:pPr>
        <w:pStyle w:val="18"/>
      </w:pPr>
      <w:r>
        <w:t>2026年预算收支安排961.86万元，较2025年预算增加6.87万元，其中：基本支出增加124.98万元，主要为人员经费支出增加项目支出减少118.11万元，主要为减少保障性住房维修项目支出。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与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1、2026保障性住房维修绩效目标表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13011026P00161910002K</w:t>
            </w:r>
          </w:p>
        </w:tc>
        <w:tc>
          <w:tcPr>
            <w:tcW w:w="2835" w:type="dxa"/>
            <w:vAlign w:val="center"/>
          </w:tcPr>
          <w:p>
            <w:pPr>
              <w:pStyle w:val="10"/>
            </w:pPr>
            <w:r>
              <w:t>项目名称</w:t>
            </w:r>
          </w:p>
        </w:tc>
        <w:tc>
          <w:tcPr>
            <w:tcW w:w="6095" w:type="dxa"/>
            <w:gridSpan w:val="3"/>
            <w:vAlign w:val="center"/>
          </w:tcPr>
          <w:p>
            <w:pPr>
              <w:pStyle w:val="12"/>
            </w:pPr>
            <w:r>
              <w:t>2026保障性住房维修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根据冀财综【2008】60号文，为更快建设成为保障房智能化小区，日常维修等费用。  </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1.根据冀财综【2008】60号文，为更快建设成为保障房智能化小区，日常维修等费用。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日常维护维修</w:t>
            </w:r>
          </w:p>
        </w:tc>
        <w:tc>
          <w:tcPr>
            <w:tcW w:w="5386" w:type="dxa"/>
            <w:vAlign w:val="center"/>
          </w:tcPr>
          <w:p>
            <w:pPr>
              <w:pStyle w:val="12"/>
            </w:pPr>
            <w:r>
              <w:t>日常管理维修维护户数</w:t>
            </w:r>
          </w:p>
        </w:tc>
        <w:tc>
          <w:tcPr>
            <w:tcW w:w="2268" w:type="dxa"/>
            <w:vAlign w:val="center"/>
          </w:tcPr>
          <w:p>
            <w:pPr>
              <w:pStyle w:val="12"/>
            </w:pPr>
            <w:r>
              <w:t>349套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维修维护覆盖率</w:t>
            </w:r>
          </w:p>
        </w:tc>
        <w:tc>
          <w:tcPr>
            <w:tcW w:w="5386" w:type="dxa"/>
            <w:vAlign w:val="center"/>
          </w:tcPr>
          <w:p>
            <w:pPr>
              <w:pStyle w:val="12"/>
            </w:pPr>
            <w:r>
              <w:t>维修维护覆盖率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房屋维修维护费</w:t>
            </w:r>
          </w:p>
        </w:tc>
        <w:tc>
          <w:tcPr>
            <w:tcW w:w="5386" w:type="dxa"/>
            <w:vAlign w:val="center"/>
          </w:tcPr>
          <w:p>
            <w:pPr>
              <w:pStyle w:val="12"/>
            </w:pPr>
            <w:r>
              <w:t>房屋维修维护费</w:t>
            </w:r>
          </w:p>
        </w:tc>
        <w:tc>
          <w:tcPr>
            <w:tcW w:w="2268" w:type="dxa"/>
            <w:vAlign w:val="center"/>
          </w:tcPr>
          <w:p>
            <w:pPr>
              <w:pStyle w:val="12"/>
            </w:pPr>
            <w:r>
              <w:t>100万元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受补助人群生活水平提高程度</w:t>
            </w:r>
          </w:p>
        </w:tc>
        <w:tc>
          <w:tcPr>
            <w:tcW w:w="5386" w:type="dxa"/>
            <w:vAlign w:val="center"/>
          </w:tcPr>
          <w:p>
            <w:pPr>
              <w:pStyle w:val="12"/>
            </w:pPr>
            <w:r>
              <w:t>保障户人群生活水平提高程度</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2、2026公共租赁住房租金返还绩效目标表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13011026P00161710016J</w:t>
            </w:r>
          </w:p>
        </w:tc>
        <w:tc>
          <w:tcPr>
            <w:tcW w:w="2835" w:type="dxa"/>
            <w:vAlign w:val="center"/>
          </w:tcPr>
          <w:p>
            <w:pPr>
              <w:pStyle w:val="10"/>
            </w:pPr>
            <w:r>
              <w:t>项目名称</w:t>
            </w:r>
          </w:p>
        </w:tc>
        <w:tc>
          <w:tcPr>
            <w:tcW w:w="6095" w:type="dxa"/>
            <w:gridSpan w:val="3"/>
            <w:vAlign w:val="center"/>
          </w:tcPr>
          <w:p>
            <w:pPr>
              <w:pStyle w:val="12"/>
            </w:pPr>
            <w:r>
              <w:t>2026公共租赁住房租金返还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1168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1.1168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补贴户数</w:t>
            </w:r>
          </w:p>
        </w:tc>
        <w:tc>
          <w:tcPr>
            <w:tcW w:w="5386" w:type="dxa"/>
            <w:vAlign w:val="center"/>
          </w:tcPr>
          <w:p>
            <w:pPr>
              <w:pStyle w:val="12"/>
            </w:pPr>
            <w:r>
              <w:t>发放租金补贴户数</w:t>
            </w:r>
          </w:p>
        </w:tc>
        <w:tc>
          <w:tcPr>
            <w:tcW w:w="2268" w:type="dxa"/>
            <w:vAlign w:val="center"/>
          </w:tcPr>
          <w:p>
            <w:pPr>
              <w:pStyle w:val="12"/>
            </w:pPr>
            <w:r>
              <w:t>≥1168户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补贴发放覆盖率</w:t>
            </w:r>
          </w:p>
        </w:tc>
        <w:tc>
          <w:tcPr>
            <w:tcW w:w="5386" w:type="dxa"/>
            <w:vAlign w:val="center"/>
          </w:tcPr>
          <w:p>
            <w:pPr>
              <w:pStyle w:val="12"/>
            </w:pPr>
            <w:r>
              <w:t>补贴发放覆盖率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廉租住房和公共租赁住房补贴标准</w:t>
            </w:r>
          </w:p>
          <w:p>
            <w:pPr>
              <w:pStyle w:val="12"/>
            </w:pPr>
          </w:p>
        </w:tc>
        <w:tc>
          <w:tcPr>
            <w:tcW w:w="5386" w:type="dxa"/>
            <w:vAlign w:val="center"/>
          </w:tcPr>
          <w:p>
            <w:pPr>
              <w:pStyle w:val="12"/>
            </w:pPr>
            <w:r>
              <w:t>补贴发放标准</w:t>
            </w:r>
          </w:p>
          <w:p>
            <w:pPr>
              <w:pStyle w:val="12"/>
            </w:pPr>
          </w:p>
        </w:tc>
        <w:tc>
          <w:tcPr>
            <w:tcW w:w="2268" w:type="dxa"/>
            <w:vAlign w:val="center"/>
          </w:tcPr>
          <w:p>
            <w:pPr>
              <w:pStyle w:val="12"/>
            </w:pPr>
            <w:r>
              <w:t>廉租补助和公租补助发放标准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补贴发放时间</w:t>
            </w:r>
          </w:p>
        </w:tc>
        <w:tc>
          <w:tcPr>
            <w:tcW w:w="2268" w:type="dxa"/>
            <w:vAlign w:val="center"/>
          </w:tcPr>
          <w:p>
            <w:pPr>
              <w:pStyle w:val="12"/>
            </w:pPr>
            <w:r>
              <w:t>按规定时间及时发放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生活水平提高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补贴人员满意度</w:t>
            </w:r>
          </w:p>
        </w:tc>
        <w:tc>
          <w:tcPr>
            <w:tcW w:w="5386" w:type="dxa"/>
            <w:vAlign w:val="center"/>
          </w:tcPr>
          <w:p>
            <w:pPr>
              <w:pStyle w:val="12"/>
            </w:pPr>
            <w:r>
              <w:t>补贴人员满意程度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3、2026提取廉租房住房保障资金绩效目标表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13011026P00161710015Y</w:t>
            </w:r>
          </w:p>
        </w:tc>
        <w:tc>
          <w:tcPr>
            <w:tcW w:w="2835" w:type="dxa"/>
            <w:vAlign w:val="center"/>
          </w:tcPr>
          <w:p>
            <w:pPr>
              <w:pStyle w:val="10"/>
            </w:pPr>
            <w:r>
              <w:t>项目名称</w:t>
            </w:r>
          </w:p>
        </w:tc>
        <w:tc>
          <w:tcPr>
            <w:tcW w:w="6095" w:type="dxa"/>
            <w:gridSpan w:val="3"/>
            <w:vAlign w:val="center"/>
          </w:tcPr>
          <w:p>
            <w:pPr>
              <w:pStyle w:val="12"/>
            </w:pPr>
            <w:r>
              <w:t>2026提取廉租房住房保障资金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购买保障性租赁住房约126套，未解决新市民和新青年居住问题，减轻新市民及新青年生活负担，提高生活质量。</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1.购买保障性租赁住房约126套，未解决新市民和新青年居住问题，减轻新市民及新青年生活负担，提高生活质量。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房屋达到竣工验收合格</w:t>
            </w:r>
          </w:p>
        </w:tc>
        <w:tc>
          <w:tcPr>
            <w:tcW w:w="5386" w:type="dxa"/>
            <w:vAlign w:val="center"/>
          </w:tcPr>
          <w:p>
            <w:pPr>
              <w:pStyle w:val="12"/>
            </w:pPr>
            <w:r>
              <w:t>房屋达到竣工验收合格</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保障性租赁住房套数</w:t>
            </w:r>
          </w:p>
        </w:tc>
        <w:tc>
          <w:tcPr>
            <w:tcW w:w="5386" w:type="dxa"/>
            <w:vAlign w:val="center"/>
          </w:tcPr>
          <w:p>
            <w:pPr>
              <w:pStyle w:val="12"/>
            </w:pPr>
            <w:r>
              <w:t>保障性租赁住房套数</w:t>
            </w:r>
          </w:p>
        </w:tc>
        <w:tc>
          <w:tcPr>
            <w:tcW w:w="2268" w:type="dxa"/>
            <w:vAlign w:val="center"/>
          </w:tcPr>
          <w:p>
            <w:pPr>
              <w:pStyle w:val="12"/>
            </w:pPr>
            <w:r>
              <w:t>≤126套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购买保障性租赁住房标准</w:t>
            </w:r>
          </w:p>
        </w:tc>
        <w:tc>
          <w:tcPr>
            <w:tcW w:w="5386" w:type="dxa"/>
            <w:vAlign w:val="center"/>
          </w:tcPr>
          <w:p>
            <w:pPr>
              <w:pStyle w:val="12"/>
            </w:pPr>
            <w:r>
              <w:t>购买保障性租赁住房标准</w:t>
            </w:r>
          </w:p>
        </w:tc>
        <w:tc>
          <w:tcPr>
            <w:tcW w:w="2268" w:type="dxa"/>
            <w:vAlign w:val="center"/>
          </w:tcPr>
          <w:p>
            <w:pPr>
              <w:pStyle w:val="12"/>
            </w:pPr>
            <w:r>
              <w:t>≤1000万元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购买时间</w:t>
            </w:r>
          </w:p>
        </w:tc>
        <w:tc>
          <w:tcPr>
            <w:tcW w:w="5386" w:type="dxa"/>
            <w:vAlign w:val="center"/>
          </w:tcPr>
          <w:p>
            <w:pPr>
              <w:pStyle w:val="12"/>
            </w:pPr>
            <w:r>
              <w:t>购买时间</w:t>
            </w:r>
          </w:p>
        </w:tc>
        <w:tc>
          <w:tcPr>
            <w:tcW w:w="2268" w:type="dxa"/>
            <w:vAlign w:val="center"/>
          </w:tcPr>
          <w:p>
            <w:pPr>
              <w:pStyle w:val="12"/>
            </w:pPr>
            <w:r>
              <w:t>准备4月份购买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解决新市民新青年居住问题</w:t>
            </w:r>
          </w:p>
        </w:tc>
        <w:tc>
          <w:tcPr>
            <w:tcW w:w="5386" w:type="dxa"/>
            <w:vAlign w:val="center"/>
          </w:tcPr>
          <w:p>
            <w:pPr>
              <w:pStyle w:val="12"/>
            </w:pPr>
            <w:r>
              <w:t>解决新市民新青年居住问题</w:t>
            </w:r>
          </w:p>
        </w:tc>
        <w:tc>
          <w:tcPr>
            <w:tcW w:w="2268" w:type="dxa"/>
            <w:vAlign w:val="center"/>
          </w:tcPr>
          <w:p>
            <w:pPr>
              <w:pStyle w:val="12"/>
            </w:pPr>
            <w:r>
              <w:t>减轻生活负担，提高生活质量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租户满意度</w:t>
            </w:r>
          </w:p>
        </w:tc>
        <w:tc>
          <w:tcPr>
            <w:tcW w:w="5386" w:type="dxa"/>
            <w:vAlign w:val="center"/>
          </w:tcPr>
          <w:p>
            <w:pPr>
              <w:pStyle w:val="12"/>
            </w:pPr>
            <w:r>
              <w:t>租户对保障性租赁住房满意程度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4、2026悦麓兰庭和翠屏龙苑人才公寓家具家电附属设施绩效目标表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13011026P001617100176</w:t>
            </w:r>
          </w:p>
        </w:tc>
        <w:tc>
          <w:tcPr>
            <w:tcW w:w="2835" w:type="dxa"/>
            <w:vAlign w:val="center"/>
          </w:tcPr>
          <w:p>
            <w:pPr>
              <w:pStyle w:val="10"/>
            </w:pPr>
            <w:r>
              <w:t>项目名称</w:t>
            </w:r>
          </w:p>
        </w:tc>
        <w:tc>
          <w:tcPr>
            <w:tcW w:w="6095" w:type="dxa"/>
            <w:gridSpan w:val="3"/>
            <w:vAlign w:val="center"/>
          </w:tcPr>
          <w:p>
            <w:pPr>
              <w:pStyle w:val="12"/>
            </w:pPr>
            <w:r>
              <w:t>2026悦麓兰庭和翠屏龙苑人才公寓家具家电附属设施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16.89</w:t>
            </w:r>
          </w:p>
        </w:tc>
        <w:tc>
          <w:tcPr>
            <w:tcW w:w="2835" w:type="dxa"/>
            <w:vAlign w:val="center"/>
          </w:tcPr>
          <w:p>
            <w:pPr>
              <w:pStyle w:val="10"/>
            </w:pPr>
            <w:r>
              <w:t>其中：财政    资金</w:t>
            </w:r>
          </w:p>
        </w:tc>
        <w:tc>
          <w:tcPr>
            <w:tcW w:w="2551" w:type="dxa"/>
            <w:vAlign w:val="center"/>
          </w:tcPr>
          <w:p>
            <w:pPr>
              <w:pStyle w:val="12"/>
            </w:pPr>
            <w:r>
              <w:t>16.89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申请241.24万用于装修64套人才公寓家具家电等附属设施，装修完成后分配使用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1.申请241.24万用于装修64套人才公寓家具家电等附属设施，装修完成后分配使用</w:t>
            </w:r>
            <w:bookmarkStart w:id="7" w:name="_GoBack"/>
            <w:bookmarkEnd w:id="7"/>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人才公寓附属设备验收合格率</w:t>
            </w:r>
          </w:p>
        </w:tc>
        <w:tc>
          <w:tcPr>
            <w:tcW w:w="5386" w:type="dxa"/>
            <w:vAlign w:val="center"/>
          </w:tcPr>
          <w:p>
            <w:pPr>
              <w:pStyle w:val="12"/>
            </w:pPr>
            <w:r>
              <w:t>人才公寓内部公共设施装修</w:t>
            </w:r>
          </w:p>
        </w:tc>
        <w:tc>
          <w:tcPr>
            <w:tcW w:w="2268" w:type="dxa"/>
            <w:vAlign w:val="center"/>
          </w:tcPr>
          <w:p>
            <w:pPr>
              <w:pStyle w:val="12"/>
            </w:pPr>
            <w:r>
              <w:t>100%</w:t>
            </w:r>
          </w:p>
        </w:tc>
        <w:tc>
          <w:tcPr>
            <w:tcW w:w="1276"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人才公寓装修数量</w:t>
            </w:r>
          </w:p>
        </w:tc>
        <w:tc>
          <w:tcPr>
            <w:tcW w:w="5386" w:type="dxa"/>
            <w:vAlign w:val="center"/>
          </w:tcPr>
          <w:p>
            <w:pPr>
              <w:pStyle w:val="12"/>
            </w:pPr>
            <w:r>
              <w:t>人才公寓装修数量</w:t>
            </w:r>
          </w:p>
        </w:tc>
        <w:tc>
          <w:tcPr>
            <w:tcW w:w="2268" w:type="dxa"/>
            <w:vAlign w:val="center"/>
          </w:tcPr>
          <w:p>
            <w:pPr>
              <w:pStyle w:val="12"/>
            </w:pPr>
            <w:r>
              <w:t>64套</w:t>
            </w:r>
          </w:p>
        </w:tc>
        <w:tc>
          <w:tcPr>
            <w:tcW w:w="1276"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人才公寓装修成本</w:t>
            </w:r>
          </w:p>
        </w:tc>
        <w:tc>
          <w:tcPr>
            <w:tcW w:w="5386" w:type="dxa"/>
            <w:vAlign w:val="center"/>
          </w:tcPr>
          <w:p>
            <w:pPr>
              <w:pStyle w:val="12"/>
            </w:pPr>
            <w:r>
              <w:t>人才公寓装修成本</w:t>
            </w:r>
          </w:p>
        </w:tc>
        <w:tc>
          <w:tcPr>
            <w:tcW w:w="2268" w:type="dxa"/>
            <w:vAlign w:val="center"/>
          </w:tcPr>
          <w:p>
            <w:pPr>
              <w:pStyle w:val="12"/>
            </w:pPr>
            <w:r>
              <w:t>241.24万元</w:t>
            </w:r>
          </w:p>
        </w:tc>
        <w:tc>
          <w:tcPr>
            <w:tcW w:w="1276"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人才公寓装修完成及时率</w:t>
            </w:r>
          </w:p>
        </w:tc>
        <w:tc>
          <w:tcPr>
            <w:tcW w:w="2268" w:type="dxa"/>
            <w:vAlign w:val="center"/>
          </w:tcPr>
          <w:p>
            <w:pPr>
              <w:pStyle w:val="12"/>
            </w:pPr>
            <w:r>
              <w:t>100%</w:t>
            </w:r>
          </w:p>
        </w:tc>
        <w:tc>
          <w:tcPr>
            <w:tcW w:w="1276"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长期使用性</w:t>
            </w:r>
          </w:p>
        </w:tc>
        <w:tc>
          <w:tcPr>
            <w:tcW w:w="5386" w:type="dxa"/>
            <w:vAlign w:val="center"/>
          </w:tcPr>
          <w:p>
            <w:pPr>
              <w:pStyle w:val="12"/>
            </w:pPr>
            <w:r>
              <w:t>能够长期较好地满足人民群众的需求</w:t>
            </w:r>
          </w:p>
        </w:tc>
        <w:tc>
          <w:tcPr>
            <w:tcW w:w="2268" w:type="dxa"/>
            <w:vAlign w:val="center"/>
          </w:tcPr>
          <w:p>
            <w:pPr>
              <w:pStyle w:val="12"/>
            </w:pPr>
            <w:r>
              <w:t>长期保持</w:t>
            </w:r>
          </w:p>
        </w:tc>
        <w:tc>
          <w:tcPr>
            <w:tcW w:w="1276"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改善公寓住房条件</w:t>
            </w:r>
          </w:p>
        </w:tc>
        <w:tc>
          <w:tcPr>
            <w:tcW w:w="5386" w:type="dxa"/>
            <w:vAlign w:val="center"/>
          </w:tcPr>
          <w:p>
            <w:pPr>
              <w:pStyle w:val="12"/>
            </w:pPr>
            <w:r>
              <w:t>改善住房条件</w:t>
            </w:r>
          </w:p>
        </w:tc>
        <w:tc>
          <w:tcPr>
            <w:tcW w:w="2268" w:type="dxa"/>
            <w:vAlign w:val="center"/>
          </w:tcPr>
          <w:p>
            <w:pPr>
              <w:pStyle w:val="12"/>
            </w:pPr>
            <w:r>
              <w:t>装修设施达到全部完工</w:t>
            </w:r>
          </w:p>
        </w:tc>
        <w:tc>
          <w:tcPr>
            <w:tcW w:w="1276"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群众对各种配套实施设备器材的满意度</w:t>
            </w:r>
          </w:p>
        </w:tc>
        <w:tc>
          <w:tcPr>
            <w:tcW w:w="5386" w:type="dxa"/>
            <w:vAlign w:val="center"/>
          </w:tcPr>
          <w:p>
            <w:pPr>
              <w:pStyle w:val="12"/>
            </w:pPr>
            <w:r>
              <w:t>对附属设施及硬件设施的满意度</w:t>
            </w:r>
          </w:p>
        </w:tc>
        <w:tc>
          <w:tcPr>
            <w:tcW w:w="2268" w:type="dxa"/>
            <w:vAlign w:val="center"/>
          </w:tcPr>
          <w:p>
            <w:pPr>
              <w:pStyle w:val="12"/>
            </w:pPr>
            <w:r>
              <w:t>100%</w:t>
            </w:r>
          </w:p>
        </w:tc>
        <w:tc>
          <w:tcPr>
            <w:tcW w:w="1276" w:type="dxa"/>
            <w:vAlign w:val="center"/>
          </w:tcPr>
          <w:p>
            <w:pPr>
              <w:pStyle w:val="12"/>
            </w:pPr>
            <w:r>
              <w:t>石住建办【2019】54号文</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23.79</w:t>
            </w:r>
          </w:p>
        </w:tc>
        <w:tc>
          <w:tcPr>
            <w:tcW w:w="964" w:type="dxa"/>
            <w:vAlign w:val="center"/>
          </w:tcPr>
          <w:p>
            <w:pPr>
              <w:pStyle w:val="15"/>
            </w:pPr>
            <w:r>
              <w:t>23.79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石家庄市鹿泉区廉租住房和经济适用住房管理中心小计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23.79</w:t>
            </w:r>
          </w:p>
        </w:tc>
        <w:tc>
          <w:tcPr>
            <w:tcW w:w="964" w:type="dxa"/>
            <w:vAlign w:val="center"/>
          </w:tcPr>
          <w:p>
            <w:pPr>
              <w:pStyle w:val="15"/>
            </w:pPr>
            <w:r>
              <w:t>23.79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35.23</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35.23</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1.70</w:t>
            </w:r>
          </w:p>
        </w:tc>
        <w:tc>
          <w:tcPr>
            <w:tcW w:w="964" w:type="dxa"/>
            <w:vAlign w:val="center"/>
          </w:tcPr>
          <w:p>
            <w:pPr>
              <w:pStyle w:val="11"/>
            </w:pPr>
            <w:r>
              <w:t>1.70</w:t>
            </w:r>
          </w:p>
        </w:tc>
        <w:tc>
          <w:tcPr>
            <w:tcW w:w="964" w:type="dxa"/>
            <w:vAlign w:val="center"/>
          </w:tcPr>
          <w:p>
            <w:pPr>
              <w:pStyle w:val="11"/>
            </w:pPr>
            <w:r>
              <w:t>1.70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35.23</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0.70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10.80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w:t>
            </w:r>
          </w:p>
        </w:tc>
        <w:tc>
          <w:tcPr>
            <w:tcW w:w="850" w:type="dxa"/>
            <w:vAlign w:val="center"/>
          </w:tcPr>
          <w:p>
            <w:pPr>
              <w:pStyle w:val="11"/>
            </w:pPr>
            <w:r>
              <w:t>0.20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10.80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1.71</w:t>
            </w:r>
          </w:p>
        </w:tc>
        <w:tc>
          <w:tcPr>
            <w:tcW w:w="964" w:type="dxa"/>
            <w:vAlign w:val="center"/>
          </w:tcPr>
          <w:p>
            <w:pPr>
              <w:pStyle w:val="11"/>
            </w:pPr>
            <w:r>
              <w:t>3.42</w:t>
            </w:r>
          </w:p>
        </w:tc>
        <w:tc>
          <w:tcPr>
            <w:tcW w:w="964" w:type="dxa"/>
            <w:vAlign w:val="center"/>
          </w:tcPr>
          <w:p>
            <w:pPr>
              <w:pStyle w:val="11"/>
            </w:pPr>
            <w:r>
              <w:t>3.42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2026悦麓兰庭和翠屏龙苑人才公寓家具家电附属设施</w:t>
            </w:r>
          </w:p>
        </w:tc>
        <w:tc>
          <w:tcPr>
            <w:tcW w:w="964" w:type="dxa"/>
            <w:vAlign w:val="center"/>
          </w:tcPr>
          <w:p>
            <w:pPr>
              <w:pStyle w:val="11"/>
            </w:pPr>
            <w:r>
              <w:t>16.89</w:t>
            </w:r>
          </w:p>
        </w:tc>
        <w:tc>
          <w:tcPr>
            <w:tcW w:w="1134" w:type="dxa"/>
            <w:vAlign w:val="center"/>
          </w:tcPr>
          <w:p>
            <w:pPr>
              <w:pStyle w:val="12"/>
            </w:pPr>
            <w:r>
              <w:t>普通电视设备（电视机）</w:t>
            </w:r>
          </w:p>
        </w:tc>
        <w:tc>
          <w:tcPr>
            <w:tcW w:w="1134" w:type="dxa"/>
            <w:vAlign w:val="center"/>
          </w:tcPr>
          <w:p>
            <w:pPr>
              <w:pStyle w:val="12"/>
            </w:pPr>
            <w:r>
              <w:t>A02091001</w:t>
            </w:r>
          </w:p>
        </w:tc>
        <w:tc>
          <w:tcPr>
            <w:tcW w:w="709" w:type="dxa"/>
            <w:vAlign w:val="center"/>
          </w:tcPr>
          <w:p>
            <w:pPr>
              <w:pStyle w:val="13"/>
            </w:pPr>
            <w:r>
              <w:t>台</w:t>
            </w:r>
          </w:p>
        </w:tc>
        <w:tc>
          <w:tcPr>
            <w:tcW w:w="850" w:type="dxa"/>
            <w:vAlign w:val="center"/>
          </w:tcPr>
          <w:p>
            <w:pPr>
              <w:pStyle w:val="11"/>
            </w:pPr>
            <w:r>
              <w:t>31</w:t>
            </w:r>
          </w:p>
        </w:tc>
        <w:tc>
          <w:tcPr>
            <w:tcW w:w="850" w:type="dxa"/>
            <w:vAlign w:val="center"/>
          </w:tcPr>
          <w:p>
            <w:pPr>
              <w:pStyle w:val="11"/>
            </w:pPr>
            <w:r>
              <w:t>0.14</w:t>
            </w:r>
          </w:p>
        </w:tc>
        <w:tc>
          <w:tcPr>
            <w:tcW w:w="964" w:type="dxa"/>
            <w:vAlign w:val="center"/>
          </w:tcPr>
          <w:p>
            <w:pPr>
              <w:pStyle w:val="11"/>
            </w:pPr>
            <w:r>
              <w:t>4.34</w:t>
            </w:r>
          </w:p>
        </w:tc>
        <w:tc>
          <w:tcPr>
            <w:tcW w:w="964" w:type="dxa"/>
            <w:vAlign w:val="center"/>
          </w:tcPr>
          <w:p>
            <w:pPr>
              <w:pStyle w:val="11"/>
            </w:pPr>
            <w:r>
              <w:t>4.34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2026悦麓兰庭和翠屏龙苑人才公寓家具家电附属设施</w:t>
            </w:r>
          </w:p>
        </w:tc>
        <w:tc>
          <w:tcPr>
            <w:tcW w:w="964" w:type="dxa"/>
            <w:vAlign w:val="center"/>
          </w:tcPr>
          <w:p>
            <w:pPr>
              <w:pStyle w:val="11"/>
            </w:pPr>
            <w:r>
              <w:t>16.89</w:t>
            </w:r>
          </w:p>
        </w:tc>
        <w:tc>
          <w:tcPr>
            <w:tcW w:w="1134" w:type="dxa"/>
            <w:vAlign w:val="center"/>
          </w:tcPr>
          <w:p>
            <w:pPr>
              <w:pStyle w:val="12"/>
            </w:pPr>
            <w:r>
              <w:t>其他台、桌类</w:t>
            </w:r>
          </w:p>
        </w:tc>
        <w:tc>
          <w:tcPr>
            <w:tcW w:w="1134" w:type="dxa"/>
            <w:vAlign w:val="center"/>
          </w:tcPr>
          <w:p>
            <w:pPr>
              <w:pStyle w:val="12"/>
            </w:pPr>
            <w:r>
              <w:t>A05010299</w:t>
            </w:r>
          </w:p>
        </w:tc>
        <w:tc>
          <w:tcPr>
            <w:tcW w:w="709" w:type="dxa"/>
            <w:vAlign w:val="center"/>
          </w:tcPr>
          <w:p>
            <w:pPr>
              <w:pStyle w:val="13"/>
            </w:pPr>
            <w:r>
              <w:t>件</w:t>
            </w:r>
          </w:p>
        </w:tc>
        <w:tc>
          <w:tcPr>
            <w:tcW w:w="850" w:type="dxa"/>
            <w:vAlign w:val="center"/>
          </w:tcPr>
          <w:p>
            <w:pPr>
              <w:pStyle w:val="11"/>
            </w:pPr>
            <w:r>
              <w:t>10</w:t>
            </w:r>
          </w:p>
        </w:tc>
        <w:tc>
          <w:tcPr>
            <w:tcW w:w="850" w:type="dxa"/>
            <w:vAlign w:val="center"/>
          </w:tcPr>
          <w:p>
            <w:pPr>
              <w:pStyle w:val="11"/>
            </w:pPr>
            <w:r>
              <w:t>0.15</w:t>
            </w:r>
          </w:p>
        </w:tc>
        <w:tc>
          <w:tcPr>
            <w:tcW w:w="964" w:type="dxa"/>
            <w:vAlign w:val="center"/>
          </w:tcPr>
          <w:p>
            <w:pPr>
              <w:pStyle w:val="11"/>
            </w:pPr>
            <w:r>
              <w:t>1.47</w:t>
            </w:r>
          </w:p>
        </w:tc>
        <w:tc>
          <w:tcPr>
            <w:tcW w:w="964" w:type="dxa"/>
            <w:vAlign w:val="center"/>
          </w:tcPr>
          <w:p>
            <w:pPr>
              <w:pStyle w:val="11"/>
            </w:pPr>
            <w:r>
              <w:t>1.47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2026悦麓兰庭和翠屏龙苑人才公寓家具家电附属设施</w:t>
            </w:r>
          </w:p>
        </w:tc>
        <w:tc>
          <w:tcPr>
            <w:tcW w:w="964" w:type="dxa"/>
            <w:vAlign w:val="center"/>
          </w:tcPr>
          <w:p>
            <w:pPr>
              <w:pStyle w:val="11"/>
            </w:pPr>
            <w:r>
              <w:t>16.89</w:t>
            </w:r>
          </w:p>
        </w:tc>
        <w:tc>
          <w:tcPr>
            <w:tcW w:w="1134" w:type="dxa"/>
            <w:vAlign w:val="center"/>
          </w:tcPr>
          <w:p>
            <w:pPr>
              <w:pStyle w:val="12"/>
            </w:pPr>
            <w:r>
              <w:t>其他椅凳类</w:t>
            </w:r>
          </w:p>
        </w:tc>
        <w:tc>
          <w:tcPr>
            <w:tcW w:w="1134" w:type="dxa"/>
            <w:vAlign w:val="center"/>
          </w:tcPr>
          <w:p>
            <w:pPr>
              <w:pStyle w:val="12"/>
            </w:pPr>
            <w:r>
              <w:t>A05010399</w:t>
            </w:r>
          </w:p>
        </w:tc>
        <w:tc>
          <w:tcPr>
            <w:tcW w:w="709" w:type="dxa"/>
            <w:vAlign w:val="center"/>
          </w:tcPr>
          <w:p>
            <w:pPr>
              <w:pStyle w:val="13"/>
            </w:pPr>
            <w:r>
              <w:t>件</w:t>
            </w:r>
          </w:p>
        </w:tc>
        <w:tc>
          <w:tcPr>
            <w:tcW w:w="850" w:type="dxa"/>
            <w:vAlign w:val="center"/>
          </w:tcPr>
          <w:p>
            <w:pPr>
              <w:pStyle w:val="11"/>
            </w:pPr>
            <w:r>
              <w:t>3</w:t>
            </w:r>
          </w:p>
        </w:tc>
        <w:tc>
          <w:tcPr>
            <w:tcW w:w="850" w:type="dxa"/>
            <w:vAlign w:val="center"/>
          </w:tcPr>
          <w:p>
            <w:pPr>
              <w:pStyle w:val="11"/>
            </w:pPr>
            <w:r>
              <w:t>0.06</w:t>
            </w:r>
          </w:p>
        </w:tc>
        <w:tc>
          <w:tcPr>
            <w:tcW w:w="964" w:type="dxa"/>
            <w:vAlign w:val="center"/>
          </w:tcPr>
          <w:p>
            <w:pPr>
              <w:pStyle w:val="11"/>
            </w:pPr>
            <w:r>
              <w:t>0.17</w:t>
            </w:r>
          </w:p>
        </w:tc>
        <w:tc>
          <w:tcPr>
            <w:tcW w:w="964" w:type="dxa"/>
            <w:vAlign w:val="center"/>
          </w:tcPr>
          <w:p>
            <w:pPr>
              <w:pStyle w:val="11"/>
            </w:pPr>
            <w:r>
              <w:t>0.17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2026悦麓兰庭和翠屏龙苑人才公寓家具家电附属设施</w:t>
            </w:r>
          </w:p>
        </w:tc>
        <w:tc>
          <w:tcPr>
            <w:tcW w:w="964" w:type="dxa"/>
            <w:vAlign w:val="center"/>
          </w:tcPr>
          <w:p>
            <w:pPr>
              <w:pStyle w:val="11"/>
            </w:pPr>
            <w:r>
              <w:t>16.89</w:t>
            </w:r>
          </w:p>
        </w:tc>
        <w:tc>
          <w:tcPr>
            <w:tcW w:w="1134" w:type="dxa"/>
            <w:vAlign w:val="center"/>
          </w:tcPr>
          <w:p>
            <w:pPr>
              <w:pStyle w:val="12"/>
            </w:pPr>
            <w:r>
              <w:t>其他沙发类</w:t>
            </w:r>
          </w:p>
        </w:tc>
        <w:tc>
          <w:tcPr>
            <w:tcW w:w="1134" w:type="dxa"/>
            <w:vAlign w:val="center"/>
          </w:tcPr>
          <w:p>
            <w:pPr>
              <w:pStyle w:val="12"/>
            </w:pPr>
            <w:r>
              <w:t>A05010499</w:t>
            </w:r>
          </w:p>
        </w:tc>
        <w:tc>
          <w:tcPr>
            <w:tcW w:w="709" w:type="dxa"/>
            <w:vAlign w:val="center"/>
          </w:tcPr>
          <w:p>
            <w:pPr>
              <w:pStyle w:val="13"/>
            </w:pPr>
            <w:r>
              <w:t>件</w:t>
            </w:r>
          </w:p>
        </w:tc>
        <w:tc>
          <w:tcPr>
            <w:tcW w:w="850" w:type="dxa"/>
            <w:vAlign w:val="center"/>
          </w:tcPr>
          <w:p>
            <w:pPr>
              <w:pStyle w:val="11"/>
            </w:pPr>
            <w:r>
              <w:t>15</w:t>
            </w:r>
          </w:p>
        </w:tc>
        <w:tc>
          <w:tcPr>
            <w:tcW w:w="850" w:type="dxa"/>
            <w:vAlign w:val="center"/>
          </w:tcPr>
          <w:p>
            <w:pPr>
              <w:pStyle w:val="11"/>
            </w:pPr>
            <w:r>
              <w:t>0.43</w:t>
            </w:r>
          </w:p>
        </w:tc>
        <w:tc>
          <w:tcPr>
            <w:tcW w:w="964" w:type="dxa"/>
            <w:vAlign w:val="center"/>
          </w:tcPr>
          <w:p>
            <w:pPr>
              <w:pStyle w:val="11"/>
            </w:pPr>
            <w:r>
              <w:t>6.46</w:t>
            </w:r>
          </w:p>
        </w:tc>
        <w:tc>
          <w:tcPr>
            <w:tcW w:w="964" w:type="dxa"/>
            <w:vAlign w:val="center"/>
          </w:tcPr>
          <w:p>
            <w:pPr>
              <w:pStyle w:val="11"/>
            </w:pPr>
            <w:r>
              <w:t>6.46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2026悦麓兰庭和翠屏龙苑人才公寓家具家电附属设施</w:t>
            </w:r>
          </w:p>
        </w:tc>
        <w:tc>
          <w:tcPr>
            <w:tcW w:w="964" w:type="dxa"/>
            <w:vAlign w:val="center"/>
          </w:tcPr>
          <w:p>
            <w:pPr>
              <w:pStyle w:val="11"/>
            </w:pPr>
            <w:r>
              <w:t>16.89</w:t>
            </w:r>
          </w:p>
        </w:tc>
        <w:tc>
          <w:tcPr>
            <w:tcW w:w="1134" w:type="dxa"/>
            <w:vAlign w:val="center"/>
          </w:tcPr>
          <w:p>
            <w:pPr>
              <w:pStyle w:val="12"/>
            </w:pPr>
            <w:r>
              <w:t>其他屏风类</w:t>
            </w:r>
          </w:p>
        </w:tc>
        <w:tc>
          <w:tcPr>
            <w:tcW w:w="1134" w:type="dxa"/>
            <w:vAlign w:val="center"/>
          </w:tcPr>
          <w:p>
            <w:pPr>
              <w:pStyle w:val="12"/>
            </w:pPr>
            <w:r>
              <w:t>A05010799</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0.02</w:t>
            </w:r>
          </w:p>
        </w:tc>
        <w:tc>
          <w:tcPr>
            <w:tcW w:w="964" w:type="dxa"/>
            <w:vAlign w:val="center"/>
          </w:tcPr>
          <w:p>
            <w:pPr>
              <w:pStyle w:val="11"/>
            </w:pPr>
            <w:r>
              <w:t>0.02</w:t>
            </w:r>
          </w:p>
        </w:tc>
        <w:tc>
          <w:tcPr>
            <w:tcW w:w="964" w:type="dxa"/>
            <w:vAlign w:val="center"/>
          </w:tcPr>
          <w:p>
            <w:pPr>
              <w:pStyle w:val="11"/>
            </w:pPr>
            <w:r>
              <w:t>0.02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2026悦麓兰庭和翠屏龙苑人才公寓家具家电附属设施</w:t>
            </w:r>
          </w:p>
        </w:tc>
        <w:tc>
          <w:tcPr>
            <w:tcW w:w="964" w:type="dxa"/>
            <w:vAlign w:val="center"/>
          </w:tcPr>
          <w:p>
            <w:pPr>
              <w:pStyle w:val="11"/>
            </w:pPr>
            <w:r>
              <w:t>16.89</w:t>
            </w:r>
          </w:p>
        </w:tc>
        <w:tc>
          <w:tcPr>
            <w:tcW w:w="1134" w:type="dxa"/>
            <w:vAlign w:val="center"/>
          </w:tcPr>
          <w:p>
            <w:pPr>
              <w:pStyle w:val="12"/>
            </w:pPr>
            <w:r>
              <w:t>其他屏风类</w:t>
            </w:r>
          </w:p>
        </w:tc>
        <w:tc>
          <w:tcPr>
            <w:tcW w:w="1134" w:type="dxa"/>
            <w:vAlign w:val="center"/>
          </w:tcPr>
          <w:p>
            <w:pPr>
              <w:pStyle w:val="12"/>
            </w:pPr>
            <w:r>
              <w:t>A05010799</w:t>
            </w:r>
          </w:p>
        </w:tc>
        <w:tc>
          <w:tcPr>
            <w:tcW w:w="709" w:type="dxa"/>
            <w:vAlign w:val="center"/>
          </w:tcPr>
          <w:p>
            <w:pPr>
              <w:pStyle w:val="13"/>
            </w:pPr>
            <w:r>
              <w:t>件</w:t>
            </w:r>
          </w:p>
        </w:tc>
        <w:tc>
          <w:tcPr>
            <w:tcW w:w="850" w:type="dxa"/>
            <w:vAlign w:val="center"/>
          </w:tcPr>
          <w:p>
            <w:pPr>
              <w:pStyle w:val="11"/>
            </w:pPr>
            <w:r>
              <w:t>14</w:t>
            </w:r>
          </w:p>
        </w:tc>
        <w:tc>
          <w:tcPr>
            <w:tcW w:w="850" w:type="dxa"/>
            <w:vAlign w:val="center"/>
          </w:tcPr>
          <w:p>
            <w:pPr>
              <w:pStyle w:val="11"/>
            </w:pPr>
            <w:r>
              <w:t>0.02</w:t>
            </w:r>
          </w:p>
        </w:tc>
        <w:tc>
          <w:tcPr>
            <w:tcW w:w="964" w:type="dxa"/>
            <w:vAlign w:val="center"/>
          </w:tcPr>
          <w:p>
            <w:pPr>
              <w:pStyle w:val="11"/>
            </w:pPr>
            <w:r>
              <w:t>0.31</w:t>
            </w:r>
          </w:p>
        </w:tc>
        <w:tc>
          <w:tcPr>
            <w:tcW w:w="964" w:type="dxa"/>
            <w:vAlign w:val="center"/>
          </w:tcPr>
          <w:p>
            <w:pPr>
              <w:pStyle w:val="11"/>
            </w:pPr>
            <w:r>
              <w:t>0.31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2026悦麓兰庭和翠屏龙苑人才公寓家具家电附属设施</w:t>
            </w:r>
          </w:p>
        </w:tc>
        <w:tc>
          <w:tcPr>
            <w:tcW w:w="964" w:type="dxa"/>
            <w:vAlign w:val="center"/>
          </w:tcPr>
          <w:p>
            <w:pPr>
              <w:pStyle w:val="11"/>
            </w:pPr>
            <w:r>
              <w:t>16.89</w:t>
            </w:r>
          </w:p>
        </w:tc>
        <w:tc>
          <w:tcPr>
            <w:tcW w:w="1134" w:type="dxa"/>
            <w:vAlign w:val="center"/>
          </w:tcPr>
          <w:p>
            <w:pPr>
              <w:pStyle w:val="12"/>
            </w:pPr>
            <w:r>
              <w:t>其他室外装具</w:t>
            </w:r>
          </w:p>
        </w:tc>
        <w:tc>
          <w:tcPr>
            <w:tcW w:w="1134" w:type="dxa"/>
            <w:vAlign w:val="center"/>
          </w:tcPr>
          <w:p>
            <w:pPr>
              <w:pStyle w:val="12"/>
            </w:pPr>
            <w:r>
              <w:t>A05030699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0.23</w:t>
            </w:r>
          </w:p>
        </w:tc>
        <w:tc>
          <w:tcPr>
            <w:tcW w:w="964" w:type="dxa"/>
            <w:vAlign w:val="center"/>
          </w:tcPr>
          <w:p>
            <w:pPr>
              <w:pStyle w:val="11"/>
            </w:pPr>
            <w:r>
              <w:t>0.23</w:t>
            </w:r>
          </w:p>
        </w:tc>
        <w:tc>
          <w:tcPr>
            <w:tcW w:w="964" w:type="dxa"/>
            <w:vAlign w:val="center"/>
          </w:tcPr>
          <w:p>
            <w:pPr>
              <w:pStyle w:val="11"/>
            </w:pPr>
            <w:r>
              <w:t>0.23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2026悦麓兰庭和翠屏龙苑人才公寓家具家电附属设施</w:t>
            </w:r>
          </w:p>
        </w:tc>
        <w:tc>
          <w:tcPr>
            <w:tcW w:w="964" w:type="dxa"/>
            <w:vAlign w:val="center"/>
          </w:tcPr>
          <w:p>
            <w:pPr>
              <w:pStyle w:val="11"/>
            </w:pPr>
            <w:r>
              <w:t>16.89</w:t>
            </w:r>
          </w:p>
        </w:tc>
        <w:tc>
          <w:tcPr>
            <w:tcW w:w="1134" w:type="dxa"/>
            <w:vAlign w:val="center"/>
          </w:tcPr>
          <w:p>
            <w:pPr>
              <w:pStyle w:val="12"/>
            </w:pPr>
            <w:r>
              <w:t>其他室外装具</w:t>
            </w:r>
          </w:p>
        </w:tc>
        <w:tc>
          <w:tcPr>
            <w:tcW w:w="1134" w:type="dxa"/>
            <w:vAlign w:val="center"/>
          </w:tcPr>
          <w:p>
            <w:pPr>
              <w:pStyle w:val="12"/>
            </w:pPr>
            <w:r>
              <w:t>A05030699</w:t>
            </w:r>
          </w:p>
        </w:tc>
        <w:tc>
          <w:tcPr>
            <w:tcW w:w="709" w:type="dxa"/>
            <w:vAlign w:val="center"/>
          </w:tcPr>
          <w:p>
            <w:pPr>
              <w:pStyle w:val="13"/>
            </w:pPr>
            <w:r>
              <w:t>套</w:t>
            </w:r>
          </w:p>
        </w:tc>
        <w:tc>
          <w:tcPr>
            <w:tcW w:w="850" w:type="dxa"/>
            <w:vAlign w:val="center"/>
          </w:tcPr>
          <w:p>
            <w:pPr>
              <w:pStyle w:val="11"/>
            </w:pPr>
            <w:r>
              <w:t>25</w:t>
            </w:r>
          </w:p>
        </w:tc>
        <w:tc>
          <w:tcPr>
            <w:tcW w:w="850" w:type="dxa"/>
            <w:vAlign w:val="center"/>
          </w:tcPr>
          <w:p>
            <w:pPr>
              <w:pStyle w:val="11"/>
            </w:pPr>
            <w:r>
              <w:t>0.16</w:t>
            </w:r>
          </w:p>
        </w:tc>
        <w:tc>
          <w:tcPr>
            <w:tcW w:w="964" w:type="dxa"/>
            <w:vAlign w:val="center"/>
          </w:tcPr>
          <w:p>
            <w:pPr>
              <w:pStyle w:val="11"/>
            </w:pPr>
            <w:r>
              <w:t>3.88</w:t>
            </w:r>
          </w:p>
        </w:tc>
        <w:tc>
          <w:tcPr>
            <w:tcW w:w="964" w:type="dxa"/>
            <w:vAlign w:val="center"/>
          </w:tcPr>
          <w:p>
            <w:pPr>
              <w:pStyle w:val="11"/>
            </w:pPr>
            <w:r>
              <w:t>3.88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3.88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石家庄市鹿泉区廉租住房和经济适用住房管理中心上年末固定资产金额为26.59万元（详见下表）。本年度拟购置固定资产总额为0.00万元，已按要求列入政府采购预算，详见政府采购预算表。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64</w:t>
            </w:r>
          </w:p>
        </w:tc>
        <w:tc>
          <w:tcPr>
            <w:tcW w:w="2835" w:type="dxa"/>
            <w:vAlign w:val="center"/>
          </w:tcPr>
          <w:p>
            <w:pPr>
              <w:pStyle w:val="11"/>
            </w:pPr>
            <w:r>
              <w:t>11.18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0DAC52D"/>
    <w:multiLevelType w:val="singleLevel"/>
    <w:tmpl w:val="B0DAC52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D6C62C0"/>
    <w:rsid w:val="24B96AD6"/>
    <w:rsid w:val="6AA34332"/>
    <w:rsid w:val="6EAE3073"/>
    <w:rsid w:val="76A266A2"/>
    <w:rsid w:val="7EF56C2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250</Pages>
  <TotalTime>10</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2026-03-04T17:23:00Z</dcterms:created>
  <dc:creator>Administrator</dc:creator>
  <cp:lastModifiedBy>Administrator</cp:lastModifiedBy>
  <dcterms:modified xsi:type="dcterms:W3CDTF">2026-03-05T02:48:18Z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