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1615.21</w:t>
            </w:r>
          </w:p>
        </w:tc>
        <w:tc>
          <w:tcPr>
            <w:tcW w:w="4535" w:type="dxa"/>
            <w:vAlign w:val="center"/>
          </w:tcPr>
          <w:p>
            <w:pPr>
              <w:pStyle w:val="13"/>
            </w:pPr>
            <w:r>
              <w:t>一、一般公共服务支出</w:t>
            </w:r>
          </w:p>
        </w:tc>
        <w:tc>
          <w:tcPr>
            <w:tcW w:w="2126" w:type="dxa"/>
            <w:vAlign w:val="center"/>
          </w:tcPr>
          <w:p>
            <w:pPr>
              <w:pStyle w:val="12"/>
            </w:pPr>
            <w:r>
              <w:t>1123.08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139.45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1615.21</w:t>
            </w:r>
          </w:p>
        </w:tc>
        <w:tc>
          <w:tcPr>
            <w:tcW w:w="4535" w:type="dxa"/>
            <w:vAlign w:val="center"/>
          </w:tcPr>
          <w:p>
            <w:pPr>
              <w:pStyle w:val="15"/>
            </w:pPr>
            <w:r>
              <w:t>本年支出合计</w:t>
            </w:r>
          </w:p>
        </w:tc>
        <w:tc>
          <w:tcPr>
            <w:tcW w:w="2126" w:type="dxa"/>
            <w:vAlign w:val="center"/>
          </w:tcPr>
          <w:p>
            <w:pPr>
              <w:pStyle w:val="16"/>
            </w:pPr>
            <w:r>
              <w:t>1615.21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1615.21</w:t>
            </w:r>
          </w:p>
        </w:tc>
        <w:tc>
          <w:tcPr>
            <w:tcW w:w="4535" w:type="dxa"/>
            <w:vAlign w:val="center"/>
          </w:tcPr>
          <w:p>
            <w:pPr>
              <w:pStyle w:val="15"/>
            </w:pPr>
            <w:r>
              <w:t>支出总计</w:t>
            </w:r>
          </w:p>
        </w:tc>
        <w:tc>
          <w:tcPr>
            <w:tcW w:w="2126" w:type="dxa"/>
            <w:vAlign w:val="center"/>
          </w:tcPr>
          <w:p>
            <w:pPr>
              <w:pStyle w:val="16"/>
            </w:pPr>
            <w:r>
              <w:t>1615.21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1615.21</w:t>
            </w:r>
          </w:p>
        </w:tc>
        <w:tc>
          <w:tcPr>
            <w:tcW w:w="1134" w:type="dxa"/>
            <w:vAlign w:val="center"/>
          </w:tcPr>
          <w:p>
            <w:pPr>
              <w:pStyle w:val="16"/>
            </w:pPr>
            <w:r>
              <w:t>1615.21</w:t>
            </w:r>
          </w:p>
        </w:tc>
        <w:tc>
          <w:tcPr>
            <w:tcW w:w="1134" w:type="dxa"/>
            <w:vAlign w:val="center"/>
          </w:tcPr>
          <w:p>
            <w:pPr>
              <w:pStyle w:val="16"/>
            </w:pPr>
            <w:r>
              <w:t>1615.21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1123.08</w:t>
            </w:r>
          </w:p>
        </w:tc>
        <w:tc>
          <w:tcPr>
            <w:tcW w:w="1134" w:type="dxa"/>
            <w:vAlign w:val="center"/>
          </w:tcPr>
          <w:p>
            <w:pPr>
              <w:pStyle w:val="12"/>
            </w:pPr>
            <w:r>
              <w:t>1123.08</w:t>
            </w:r>
          </w:p>
        </w:tc>
        <w:tc>
          <w:tcPr>
            <w:tcW w:w="1134" w:type="dxa"/>
            <w:vAlign w:val="center"/>
          </w:tcPr>
          <w:p>
            <w:pPr>
              <w:pStyle w:val="12"/>
            </w:pPr>
            <w:r>
              <w:t>1123.08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1123.08</w:t>
            </w:r>
          </w:p>
        </w:tc>
        <w:tc>
          <w:tcPr>
            <w:tcW w:w="1134" w:type="dxa"/>
            <w:vAlign w:val="center"/>
          </w:tcPr>
          <w:p>
            <w:pPr>
              <w:pStyle w:val="12"/>
            </w:pPr>
            <w:r>
              <w:t>1123.08</w:t>
            </w:r>
          </w:p>
        </w:tc>
        <w:tc>
          <w:tcPr>
            <w:tcW w:w="1134" w:type="dxa"/>
            <w:vAlign w:val="center"/>
          </w:tcPr>
          <w:p>
            <w:pPr>
              <w:pStyle w:val="12"/>
            </w:pPr>
            <w:r>
              <w:t>1123.08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729.28</w:t>
            </w:r>
          </w:p>
        </w:tc>
        <w:tc>
          <w:tcPr>
            <w:tcW w:w="1134" w:type="dxa"/>
            <w:vAlign w:val="center"/>
          </w:tcPr>
          <w:p>
            <w:pPr>
              <w:pStyle w:val="12"/>
            </w:pPr>
            <w:r>
              <w:t>729.28</w:t>
            </w:r>
          </w:p>
        </w:tc>
        <w:tc>
          <w:tcPr>
            <w:tcW w:w="1134" w:type="dxa"/>
            <w:vAlign w:val="center"/>
          </w:tcPr>
          <w:p>
            <w:pPr>
              <w:pStyle w:val="12"/>
            </w:pPr>
            <w:r>
              <w:t>729.28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393.80</w:t>
            </w:r>
          </w:p>
        </w:tc>
        <w:tc>
          <w:tcPr>
            <w:tcW w:w="1134" w:type="dxa"/>
            <w:vAlign w:val="center"/>
          </w:tcPr>
          <w:p>
            <w:pPr>
              <w:pStyle w:val="12"/>
            </w:pPr>
            <w:r>
              <w:t>393.80</w:t>
            </w:r>
          </w:p>
        </w:tc>
        <w:tc>
          <w:tcPr>
            <w:tcW w:w="1134" w:type="dxa"/>
            <w:vAlign w:val="center"/>
          </w:tcPr>
          <w:p>
            <w:pPr>
              <w:pStyle w:val="12"/>
            </w:pPr>
            <w:r>
              <w:t>393.80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2050102</w:t>
            </w:r>
          </w:p>
        </w:tc>
        <w:tc>
          <w:tcPr>
            <w:tcW w:w="1559" w:type="dxa"/>
            <w:vAlign w:val="center"/>
          </w:tcPr>
          <w:p>
            <w:pPr>
              <w:pStyle w:val="13"/>
            </w:pPr>
            <w:r>
              <w:t>一般行政管理事务</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r>
              <w:t>83.35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80.70</w:t>
            </w:r>
          </w:p>
        </w:tc>
        <w:tc>
          <w:tcPr>
            <w:tcW w:w="1134" w:type="dxa"/>
            <w:vAlign w:val="center"/>
          </w:tcPr>
          <w:p>
            <w:pPr>
              <w:pStyle w:val="12"/>
            </w:pPr>
            <w:r>
              <w:t>80.70</w:t>
            </w:r>
          </w:p>
        </w:tc>
        <w:tc>
          <w:tcPr>
            <w:tcW w:w="1134" w:type="dxa"/>
            <w:vAlign w:val="center"/>
          </w:tcPr>
          <w:p>
            <w:pPr>
              <w:pStyle w:val="12"/>
            </w:pPr>
            <w:r>
              <w:t>80.70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74.95</w:t>
            </w:r>
          </w:p>
        </w:tc>
        <w:tc>
          <w:tcPr>
            <w:tcW w:w="1134" w:type="dxa"/>
            <w:vAlign w:val="center"/>
          </w:tcPr>
          <w:p>
            <w:pPr>
              <w:pStyle w:val="12"/>
            </w:pPr>
            <w:r>
              <w:t>74.95</w:t>
            </w:r>
          </w:p>
        </w:tc>
        <w:tc>
          <w:tcPr>
            <w:tcW w:w="1134" w:type="dxa"/>
            <w:vAlign w:val="center"/>
          </w:tcPr>
          <w:p>
            <w:pPr>
              <w:pStyle w:val="12"/>
            </w:pPr>
            <w:r>
              <w:t>74.95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r>
              <w:t>10.32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64.63</w:t>
            </w:r>
          </w:p>
        </w:tc>
        <w:tc>
          <w:tcPr>
            <w:tcW w:w="1134" w:type="dxa"/>
            <w:vAlign w:val="center"/>
          </w:tcPr>
          <w:p>
            <w:pPr>
              <w:pStyle w:val="12"/>
            </w:pPr>
            <w:r>
              <w:t>64.63</w:t>
            </w:r>
          </w:p>
        </w:tc>
        <w:tc>
          <w:tcPr>
            <w:tcW w:w="1134" w:type="dxa"/>
            <w:vAlign w:val="center"/>
          </w:tcPr>
          <w:p>
            <w:pPr>
              <w:pStyle w:val="12"/>
            </w:pPr>
            <w:r>
              <w:t>64.63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21101</w:t>
            </w:r>
          </w:p>
        </w:tc>
        <w:tc>
          <w:tcPr>
            <w:tcW w:w="1559" w:type="dxa"/>
            <w:vAlign w:val="center"/>
          </w:tcPr>
          <w:p>
            <w:pPr>
              <w:pStyle w:val="13"/>
            </w:pPr>
            <w:r>
              <w:t>环境保护管理事务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2110102</w:t>
            </w:r>
          </w:p>
        </w:tc>
        <w:tc>
          <w:tcPr>
            <w:tcW w:w="1559" w:type="dxa"/>
            <w:vAlign w:val="center"/>
          </w:tcPr>
          <w:p>
            <w:pPr>
              <w:pStyle w:val="13"/>
            </w:pPr>
            <w:r>
              <w:t>一般行政管理事务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139.45</w:t>
            </w:r>
          </w:p>
        </w:tc>
        <w:tc>
          <w:tcPr>
            <w:tcW w:w="1134" w:type="dxa"/>
            <w:vAlign w:val="center"/>
          </w:tcPr>
          <w:p>
            <w:pPr>
              <w:pStyle w:val="12"/>
            </w:pPr>
            <w:r>
              <w:t>139.45</w:t>
            </w:r>
          </w:p>
        </w:tc>
        <w:tc>
          <w:tcPr>
            <w:tcW w:w="1134" w:type="dxa"/>
            <w:vAlign w:val="center"/>
          </w:tcPr>
          <w:p>
            <w:pPr>
              <w:pStyle w:val="12"/>
            </w:pPr>
            <w:r>
              <w:t>139.45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26</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47.95</w:t>
            </w:r>
          </w:p>
        </w:tc>
        <w:tc>
          <w:tcPr>
            <w:tcW w:w="1134" w:type="dxa"/>
            <w:vAlign w:val="center"/>
          </w:tcPr>
          <w:p>
            <w:pPr>
              <w:pStyle w:val="12"/>
            </w:pPr>
            <w:r>
              <w:t>47.95</w:t>
            </w:r>
          </w:p>
        </w:tc>
        <w:tc>
          <w:tcPr>
            <w:tcW w:w="1134" w:type="dxa"/>
            <w:vAlign w:val="center"/>
          </w:tcPr>
          <w:p>
            <w:pPr>
              <w:pStyle w:val="12"/>
            </w:pPr>
            <w:r>
              <w:t>47.95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47.95</w:t>
            </w:r>
          </w:p>
        </w:tc>
        <w:tc>
          <w:tcPr>
            <w:tcW w:w="1134" w:type="dxa"/>
            <w:vAlign w:val="center"/>
          </w:tcPr>
          <w:p>
            <w:pPr>
              <w:pStyle w:val="12"/>
            </w:pPr>
            <w:r>
              <w:t>47.95</w:t>
            </w:r>
          </w:p>
        </w:tc>
        <w:tc>
          <w:tcPr>
            <w:tcW w:w="1134" w:type="dxa"/>
            <w:vAlign w:val="center"/>
          </w:tcPr>
          <w:p>
            <w:pPr>
              <w:pStyle w:val="12"/>
            </w:pPr>
            <w:r>
              <w:t>47.95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39.10</w:t>
            </w:r>
          </w:p>
        </w:tc>
        <w:tc>
          <w:tcPr>
            <w:tcW w:w="1134" w:type="dxa"/>
            <w:vAlign w:val="center"/>
          </w:tcPr>
          <w:p>
            <w:pPr>
              <w:pStyle w:val="12"/>
            </w:pPr>
            <w:r>
              <w:t>39.10</w:t>
            </w:r>
          </w:p>
        </w:tc>
        <w:tc>
          <w:tcPr>
            <w:tcW w:w="1134" w:type="dxa"/>
            <w:vAlign w:val="center"/>
          </w:tcPr>
          <w:p>
            <w:pPr>
              <w:pStyle w:val="12"/>
            </w:pPr>
            <w:r>
              <w:t>39.10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2130202</w:t>
            </w:r>
          </w:p>
        </w:tc>
        <w:tc>
          <w:tcPr>
            <w:tcW w:w="1559" w:type="dxa"/>
            <w:vAlign w:val="center"/>
          </w:tcPr>
          <w:p>
            <w:pPr>
              <w:pStyle w:val="13"/>
            </w:pPr>
            <w:r>
              <w:t>一般行政管理事务</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27.76</w:t>
            </w:r>
          </w:p>
        </w:tc>
        <w:tc>
          <w:tcPr>
            <w:tcW w:w="1134" w:type="dxa"/>
            <w:vAlign w:val="center"/>
          </w:tcPr>
          <w:p>
            <w:pPr>
              <w:pStyle w:val="12"/>
            </w:pPr>
            <w:r>
              <w:t>27.76</w:t>
            </w:r>
          </w:p>
        </w:tc>
        <w:tc>
          <w:tcPr>
            <w:tcW w:w="1134" w:type="dxa"/>
            <w:vAlign w:val="center"/>
          </w:tcPr>
          <w:p>
            <w:pPr>
              <w:pStyle w:val="12"/>
            </w:pPr>
            <w:r>
              <w:t>27.76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2130314</w:t>
            </w:r>
          </w:p>
        </w:tc>
        <w:tc>
          <w:tcPr>
            <w:tcW w:w="1559" w:type="dxa"/>
            <w:vAlign w:val="center"/>
          </w:tcPr>
          <w:p>
            <w:pPr>
              <w:pStyle w:val="13"/>
            </w:pPr>
            <w:r>
              <w:t>防汛</w:t>
            </w:r>
          </w:p>
        </w:tc>
        <w:tc>
          <w:tcPr>
            <w:tcW w:w="1134" w:type="dxa"/>
            <w:vAlign w:val="center"/>
          </w:tcPr>
          <w:p>
            <w:pPr>
              <w:pStyle w:val="12"/>
            </w:pPr>
            <w:r>
              <w:t>27.76</w:t>
            </w:r>
          </w:p>
        </w:tc>
        <w:tc>
          <w:tcPr>
            <w:tcW w:w="1134" w:type="dxa"/>
            <w:vAlign w:val="center"/>
          </w:tcPr>
          <w:p>
            <w:pPr>
              <w:pStyle w:val="12"/>
            </w:pPr>
            <w:r>
              <w:t>27.76</w:t>
            </w:r>
          </w:p>
        </w:tc>
        <w:tc>
          <w:tcPr>
            <w:tcW w:w="1134" w:type="dxa"/>
            <w:vAlign w:val="center"/>
          </w:tcPr>
          <w:p>
            <w:pPr>
              <w:pStyle w:val="12"/>
            </w:pPr>
            <w:r>
              <w:t>27.76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38</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39</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r>
              <w:t>65.41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1615.21</w:t>
            </w:r>
          </w:p>
        </w:tc>
        <w:tc>
          <w:tcPr>
            <w:tcW w:w="1361" w:type="dxa"/>
            <w:vAlign w:val="center"/>
          </w:tcPr>
          <w:p>
            <w:pPr>
              <w:pStyle w:val="16"/>
            </w:pPr>
            <w:r>
              <w:t>912.77</w:t>
            </w:r>
          </w:p>
        </w:tc>
        <w:tc>
          <w:tcPr>
            <w:tcW w:w="1361" w:type="dxa"/>
            <w:vAlign w:val="center"/>
          </w:tcPr>
          <w:p>
            <w:pPr>
              <w:pStyle w:val="16"/>
            </w:pPr>
            <w:r>
              <w:t>702.44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1123.08</w:t>
            </w:r>
          </w:p>
        </w:tc>
        <w:tc>
          <w:tcPr>
            <w:tcW w:w="1361" w:type="dxa"/>
            <w:vAlign w:val="center"/>
          </w:tcPr>
          <w:p>
            <w:pPr>
              <w:pStyle w:val="12"/>
            </w:pPr>
            <w:r>
              <w:t>729.28</w:t>
            </w:r>
          </w:p>
        </w:tc>
        <w:tc>
          <w:tcPr>
            <w:tcW w:w="1361" w:type="dxa"/>
            <w:vAlign w:val="center"/>
          </w:tcPr>
          <w:p>
            <w:pPr>
              <w:pStyle w:val="12"/>
            </w:pPr>
            <w:r>
              <w:t>393.80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1123.08</w:t>
            </w:r>
          </w:p>
        </w:tc>
        <w:tc>
          <w:tcPr>
            <w:tcW w:w="1361" w:type="dxa"/>
            <w:vAlign w:val="center"/>
          </w:tcPr>
          <w:p>
            <w:pPr>
              <w:pStyle w:val="12"/>
            </w:pPr>
            <w:r>
              <w:t>729.28</w:t>
            </w:r>
          </w:p>
        </w:tc>
        <w:tc>
          <w:tcPr>
            <w:tcW w:w="1361" w:type="dxa"/>
            <w:vAlign w:val="center"/>
          </w:tcPr>
          <w:p>
            <w:pPr>
              <w:pStyle w:val="12"/>
            </w:pPr>
            <w:r>
              <w:t>393.80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729.28</w:t>
            </w:r>
          </w:p>
        </w:tc>
        <w:tc>
          <w:tcPr>
            <w:tcW w:w="1361" w:type="dxa"/>
            <w:vAlign w:val="center"/>
          </w:tcPr>
          <w:p>
            <w:pPr>
              <w:pStyle w:val="12"/>
            </w:pPr>
            <w:r>
              <w:t>729.28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393.80</w:t>
            </w:r>
          </w:p>
        </w:tc>
        <w:tc>
          <w:tcPr>
            <w:tcW w:w="1361" w:type="dxa"/>
            <w:vAlign w:val="center"/>
          </w:tcPr>
          <w:p>
            <w:pPr>
              <w:pStyle w:val="12"/>
            </w:pPr>
          </w:p>
        </w:tc>
        <w:tc>
          <w:tcPr>
            <w:tcW w:w="1361" w:type="dxa"/>
            <w:vAlign w:val="center"/>
          </w:tcPr>
          <w:p>
            <w:pPr>
              <w:pStyle w:val="12"/>
            </w:pPr>
            <w:r>
              <w:t>393.80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2050102</w:t>
            </w:r>
          </w:p>
        </w:tc>
        <w:tc>
          <w:tcPr>
            <w:tcW w:w="4535" w:type="dxa"/>
            <w:vAlign w:val="center"/>
          </w:tcPr>
          <w:p>
            <w:pPr>
              <w:pStyle w:val="13"/>
            </w:pPr>
            <w:r>
              <w:t>一般行政管理事务</w:t>
            </w: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r>
              <w:t>83.35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80.70</w:t>
            </w:r>
          </w:p>
        </w:tc>
        <w:tc>
          <w:tcPr>
            <w:tcW w:w="1361" w:type="dxa"/>
            <w:vAlign w:val="center"/>
          </w:tcPr>
          <w:p>
            <w:pPr>
              <w:pStyle w:val="12"/>
            </w:pPr>
            <w:r>
              <w:t>74.95</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74.95</w:t>
            </w:r>
          </w:p>
        </w:tc>
        <w:tc>
          <w:tcPr>
            <w:tcW w:w="1361" w:type="dxa"/>
            <w:vAlign w:val="center"/>
          </w:tcPr>
          <w:p>
            <w:pPr>
              <w:pStyle w:val="12"/>
            </w:pPr>
            <w:r>
              <w:t>74.95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10.32</w:t>
            </w:r>
          </w:p>
        </w:tc>
        <w:tc>
          <w:tcPr>
            <w:tcW w:w="1361" w:type="dxa"/>
            <w:vAlign w:val="center"/>
          </w:tcPr>
          <w:p>
            <w:pPr>
              <w:pStyle w:val="12"/>
            </w:pPr>
            <w:r>
              <w:t>10.32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64.63</w:t>
            </w:r>
          </w:p>
        </w:tc>
        <w:tc>
          <w:tcPr>
            <w:tcW w:w="1361" w:type="dxa"/>
            <w:vAlign w:val="center"/>
          </w:tcPr>
          <w:p>
            <w:pPr>
              <w:pStyle w:val="12"/>
            </w:pPr>
            <w:r>
              <w:t>64.63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43.13</w:t>
            </w:r>
          </w:p>
        </w:tc>
        <w:tc>
          <w:tcPr>
            <w:tcW w:w="1361" w:type="dxa"/>
            <w:vAlign w:val="center"/>
          </w:tcPr>
          <w:p>
            <w:pPr>
              <w:pStyle w:val="12"/>
            </w:pPr>
            <w:r>
              <w:t>43.13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43.13</w:t>
            </w:r>
          </w:p>
        </w:tc>
        <w:tc>
          <w:tcPr>
            <w:tcW w:w="1361" w:type="dxa"/>
            <w:vAlign w:val="center"/>
          </w:tcPr>
          <w:p>
            <w:pPr>
              <w:pStyle w:val="12"/>
            </w:pPr>
            <w:r>
              <w:t>43.13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43.13</w:t>
            </w:r>
          </w:p>
        </w:tc>
        <w:tc>
          <w:tcPr>
            <w:tcW w:w="1361" w:type="dxa"/>
            <w:vAlign w:val="center"/>
          </w:tcPr>
          <w:p>
            <w:pPr>
              <w:pStyle w:val="12"/>
            </w:pPr>
            <w:r>
              <w:t>43.13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21101</w:t>
            </w:r>
          </w:p>
        </w:tc>
        <w:tc>
          <w:tcPr>
            <w:tcW w:w="4535" w:type="dxa"/>
            <w:vAlign w:val="center"/>
          </w:tcPr>
          <w:p>
            <w:pPr>
              <w:pStyle w:val="13"/>
            </w:pPr>
            <w:r>
              <w:t>环境保护管理事务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2110102</w:t>
            </w:r>
          </w:p>
        </w:tc>
        <w:tc>
          <w:tcPr>
            <w:tcW w:w="4535" w:type="dxa"/>
            <w:vAlign w:val="center"/>
          </w:tcPr>
          <w:p>
            <w:pPr>
              <w:pStyle w:val="13"/>
            </w:pPr>
            <w:r>
              <w:t>一般行政管理事务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139.45</w:t>
            </w:r>
          </w:p>
        </w:tc>
        <w:tc>
          <w:tcPr>
            <w:tcW w:w="1361" w:type="dxa"/>
            <w:vAlign w:val="center"/>
          </w:tcPr>
          <w:p>
            <w:pPr>
              <w:pStyle w:val="12"/>
            </w:pPr>
          </w:p>
        </w:tc>
        <w:tc>
          <w:tcPr>
            <w:tcW w:w="1361" w:type="dxa"/>
            <w:vAlign w:val="center"/>
          </w:tcPr>
          <w:p>
            <w:pPr>
              <w:pStyle w:val="12"/>
            </w:pPr>
            <w:r>
              <w:t>139.45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21202</w:t>
            </w:r>
          </w:p>
        </w:tc>
        <w:tc>
          <w:tcPr>
            <w:tcW w:w="4535" w:type="dxa"/>
            <w:vAlign w:val="center"/>
          </w:tcPr>
          <w:p>
            <w:pPr>
              <w:pStyle w:val="13"/>
            </w:pPr>
            <w:r>
              <w:t>城乡社区规划与管理</w:t>
            </w:r>
          </w:p>
        </w:tc>
        <w:tc>
          <w:tcPr>
            <w:tcW w:w="1361" w:type="dxa"/>
            <w:vAlign w:val="center"/>
          </w:tcPr>
          <w:p>
            <w:pPr>
              <w:pStyle w:val="12"/>
            </w:pPr>
            <w:r>
              <w:t>47.95</w:t>
            </w:r>
          </w:p>
        </w:tc>
        <w:tc>
          <w:tcPr>
            <w:tcW w:w="1361" w:type="dxa"/>
            <w:vAlign w:val="center"/>
          </w:tcPr>
          <w:p>
            <w:pPr>
              <w:pStyle w:val="12"/>
            </w:pPr>
          </w:p>
        </w:tc>
        <w:tc>
          <w:tcPr>
            <w:tcW w:w="1361" w:type="dxa"/>
            <w:vAlign w:val="center"/>
          </w:tcPr>
          <w:p>
            <w:pPr>
              <w:pStyle w:val="12"/>
            </w:pPr>
            <w:r>
              <w:t>47.95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2120201</w:t>
            </w:r>
          </w:p>
        </w:tc>
        <w:tc>
          <w:tcPr>
            <w:tcW w:w="4535" w:type="dxa"/>
            <w:vAlign w:val="center"/>
          </w:tcPr>
          <w:p>
            <w:pPr>
              <w:pStyle w:val="13"/>
            </w:pPr>
            <w:r>
              <w:t>城乡社区规划与管理</w:t>
            </w:r>
          </w:p>
        </w:tc>
        <w:tc>
          <w:tcPr>
            <w:tcW w:w="1361" w:type="dxa"/>
            <w:vAlign w:val="center"/>
          </w:tcPr>
          <w:p>
            <w:pPr>
              <w:pStyle w:val="12"/>
            </w:pPr>
            <w:r>
              <w:t>47.95</w:t>
            </w:r>
          </w:p>
        </w:tc>
        <w:tc>
          <w:tcPr>
            <w:tcW w:w="1361" w:type="dxa"/>
            <w:vAlign w:val="center"/>
          </w:tcPr>
          <w:p>
            <w:pPr>
              <w:pStyle w:val="12"/>
            </w:pPr>
          </w:p>
        </w:tc>
        <w:tc>
          <w:tcPr>
            <w:tcW w:w="1361" w:type="dxa"/>
            <w:vAlign w:val="center"/>
          </w:tcPr>
          <w:p>
            <w:pPr>
              <w:pStyle w:val="12"/>
            </w:pPr>
            <w:r>
              <w:t>47.95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39.10</w:t>
            </w:r>
          </w:p>
        </w:tc>
        <w:tc>
          <w:tcPr>
            <w:tcW w:w="1361" w:type="dxa"/>
            <w:vAlign w:val="center"/>
          </w:tcPr>
          <w:p>
            <w:pPr>
              <w:pStyle w:val="12"/>
            </w:pPr>
          </w:p>
        </w:tc>
        <w:tc>
          <w:tcPr>
            <w:tcW w:w="1361" w:type="dxa"/>
            <w:vAlign w:val="center"/>
          </w:tcPr>
          <w:p>
            <w:pPr>
              <w:pStyle w:val="12"/>
            </w:pPr>
            <w:r>
              <w:t>39.10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2130202</w:t>
            </w:r>
          </w:p>
        </w:tc>
        <w:tc>
          <w:tcPr>
            <w:tcW w:w="4535" w:type="dxa"/>
            <w:vAlign w:val="center"/>
          </w:tcPr>
          <w:p>
            <w:pPr>
              <w:pStyle w:val="13"/>
            </w:pPr>
            <w:r>
              <w:t>一般行政管理事务</w:t>
            </w: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27.76</w:t>
            </w:r>
          </w:p>
        </w:tc>
        <w:tc>
          <w:tcPr>
            <w:tcW w:w="1361" w:type="dxa"/>
            <w:vAlign w:val="center"/>
          </w:tcPr>
          <w:p>
            <w:pPr>
              <w:pStyle w:val="12"/>
            </w:pPr>
          </w:p>
        </w:tc>
        <w:tc>
          <w:tcPr>
            <w:tcW w:w="1361" w:type="dxa"/>
            <w:vAlign w:val="center"/>
          </w:tcPr>
          <w:p>
            <w:pPr>
              <w:pStyle w:val="12"/>
            </w:pPr>
            <w:r>
              <w:t>27.76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2130314</w:t>
            </w:r>
          </w:p>
        </w:tc>
        <w:tc>
          <w:tcPr>
            <w:tcW w:w="4535" w:type="dxa"/>
            <w:vAlign w:val="center"/>
          </w:tcPr>
          <w:p>
            <w:pPr>
              <w:pStyle w:val="13"/>
            </w:pPr>
            <w:r>
              <w:t>防汛</w:t>
            </w:r>
          </w:p>
        </w:tc>
        <w:tc>
          <w:tcPr>
            <w:tcW w:w="1361" w:type="dxa"/>
            <w:vAlign w:val="center"/>
          </w:tcPr>
          <w:p>
            <w:pPr>
              <w:pStyle w:val="12"/>
            </w:pPr>
            <w:r>
              <w:t>27.76</w:t>
            </w:r>
          </w:p>
        </w:tc>
        <w:tc>
          <w:tcPr>
            <w:tcW w:w="1361" w:type="dxa"/>
            <w:vAlign w:val="center"/>
          </w:tcPr>
          <w:p>
            <w:pPr>
              <w:pStyle w:val="12"/>
            </w:pPr>
          </w:p>
        </w:tc>
        <w:tc>
          <w:tcPr>
            <w:tcW w:w="1361" w:type="dxa"/>
            <w:vAlign w:val="center"/>
          </w:tcPr>
          <w:p>
            <w:pPr>
              <w:pStyle w:val="12"/>
            </w:pPr>
            <w:r>
              <w:t>27.76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65.41</w:t>
            </w:r>
          </w:p>
        </w:tc>
        <w:tc>
          <w:tcPr>
            <w:tcW w:w="1361" w:type="dxa"/>
            <w:vAlign w:val="center"/>
          </w:tcPr>
          <w:p>
            <w:pPr>
              <w:pStyle w:val="12"/>
            </w:pPr>
            <w:r>
              <w:t>65.41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65.41</w:t>
            </w:r>
          </w:p>
        </w:tc>
        <w:tc>
          <w:tcPr>
            <w:tcW w:w="1361" w:type="dxa"/>
            <w:vAlign w:val="center"/>
          </w:tcPr>
          <w:p>
            <w:pPr>
              <w:pStyle w:val="12"/>
            </w:pPr>
            <w:r>
              <w:t>65.41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65.41</w:t>
            </w:r>
          </w:p>
        </w:tc>
        <w:tc>
          <w:tcPr>
            <w:tcW w:w="1361" w:type="dxa"/>
            <w:vAlign w:val="center"/>
          </w:tcPr>
          <w:p>
            <w:pPr>
              <w:pStyle w:val="12"/>
            </w:pPr>
            <w:r>
              <w:t>65.41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1615.21</w:t>
            </w:r>
          </w:p>
        </w:tc>
        <w:tc>
          <w:tcPr>
            <w:tcW w:w="3402" w:type="dxa"/>
            <w:vAlign w:val="center"/>
          </w:tcPr>
          <w:p>
            <w:pPr>
              <w:pStyle w:val="13"/>
            </w:pPr>
            <w:r>
              <w:t>一、一般公共服务支出</w:t>
            </w:r>
          </w:p>
        </w:tc>
        <w:tc>
          <w:tcPr>
            <w:tcW w:w="1474" w:type="dxa"/>
            <w:vAlign w:val="center"/>
          </w:tcPr>
          <w:p>
            <w:pPr>
              <w:pStyle w:val="12"/>
            </w:pPr>
            <w:r>
              <w:t>1123.08</w:t>
            </w:r>
          </w:p>
        </w:tc>
        <w:tc>
          <w:tcPr>
            <w:tcW w:w="1474" w:type="dxa"/>
            <w:vAlign w:val="center"/>
          </w:tcPr>
          <w:p>
            <w:pPr>
              <w:pStyle w:val="12"/>
            </w:pPr>
            <w:r>
              <w:t>1123.08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83.35</w:t>
            </w:r>
          </w:p>
        </w:tc>
        <w:tc>
          <w:tcPr>
            <w:tcW w:w="1474" w:type="dxa"/>
            <w:vAlign w:val="center"/>
          </w:tcPr>
          <w:p>
            <w:pPr>
              <w:pStyle w:val="12"/>
            </w:pPr>
            <w:r>
              <w:t>83.35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1.00</w:t>
            </w:r>
          </w:p>
        </w:tc>
        <w:tc>
          <w:tcPr>
            <w:tcW w:w="1474" w:type="dxa"/>
            <w:vAlign w:val="center"/>
          </w:tcPr>
          <w:p>
            <w:pPr>
              <w:pStyle w:val="12"/>
            </w:pPr>
            <w:r>
              <w:t>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80.70</w:t>
            </w:r>
          </w:p>
        </w:tc>
        <w:tc>
          <w:tcPr>
            <w:tcW w:w="1474" w:type="dxa"/>
            <w:vAlign w:val="center"/>
          </w:tcPr>
          <w:p>
            <w:pPr>
              <w:pStyle w:val="12"/>
            </w:pPr>
            <w:r>
              <w:t>80.70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43.13</w:t>
            </w:r>
          </w:p>
        </w:tc>
        <w:tc>
          <w:tcPr>
            <w:tcW w:w="1474" w:type="dxa"/>
            <w:vAlign w:val="center"/>
          </w:tcPr>
          <w:p>
            <w:pPr>
              <w:pStyle w:val="12"/>
            </w:pPr>
            <w:r>
              <w:t>43.13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139.45</w:t>
            </w:r>
          </w:p>
        </w:tc>
        <w:tc>
          <w:tcPr>
            <w:tcW w:w="1474" w:type="dxa"/>
            <w:vAlign w:val="center"/>
          </w:tcPr>
          <w:p>
            <w:pPr>
              <w:pStyle w:val="12"/>
            </w:pPr>
            <w:r>
              <w:t>139.45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39.10</w:t>
            </w:r>
          </w:p>
        </w:tc>
        <w:tc>
          <w:tcPr>
            <w:tcW w:w="1474" w:type="dxa"/>
            <w:vAlign w:val="center"/>
          </w:tcPr>
          <w:p>
            <w:pPr>
              <w:pStyle w:val="12"/>
            </w:pPr>
            <w:r>
              <w:t>39.10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65.41</w:t>
            </w:r>
          </w:p>
        </w:tc>
        <w:tc>
          <w:tcPr>
            <w:tcW w:w="1474" w:type="dxa"/>
            <w:vAlign w:val="center"/>
          </w:tcPr>
          <w:p>
            <w:pPr>
              <w:pStyle w:val="12"/>
            </w:pPr>
            <w:r>
              <w:t>65.41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1615.21</w:t>
            </w:r>
          </w:p>
        </w:tc>
        <w:tc>
          <w:tcPr>
            <w:tcW w:w="3402" w:type="dxa"/>
            <w:vAlign w:val="center"/>
          </w:tcPr>
          <w:p>
            <w:pPr>
              <w:pStyle w:val="15"/>
            </w:pPr>
            <w:r>
              <w:t>本年支出合计</w:t>
            </w:r>
          </w:p>
        </w:tc>
        <w:tc>
          <w:tcPr>
            <w:tcW w:w="1474" w:type="dxa"/>
            <w:vAlign w:val="center"/>
          </w:tcPr>
          <w:p>
            <w:pPr>
              <w:pStyle w:val="16"/>
            </w:pPr>
            <w:r>
              <w:t>1615.21</w:t>
            </w:r>
          </w:p>
        </w:tc>
        <w:tc>
          <w:tcPr>
            <w:tcW w:w="1474" w:type="dxa"/>
            <w:vAlign w:val="center"/>
          </w:tcPr>
          <w:p>
            <w:pPr>
              <w:pStyle w:val="16"/>
            </w:pPr>
            <w:r>
              <w:t>1615.21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1615.21</w:t>
            </w:r>
          </w:p>
        </w:tc>
        <w:tc>
          <w:tcPr>
            <w:tcW w:w="3402" w:type="dxa"/>
            <w:vAlign w:val="center"/>
          </w:tcPr>
          <w:p>
            <w:pPr>
              <w:pStyle w:val="15"/>
            </w:pPr>
            <w:r>
              <w:t>支出总计</w:t>
            </w:r>
          </w:p>
        </w:tc>
        <w:tc>
          <w:tcPr>
            <w:tcW w:w="1474" w:type="dxa"/>
            <w:vAlign w:val="center"/>
          </w:tcPr>
          <w:p>
            <w:pPr>
              <w:pStyle w:val="16"/>
            </w:pPr>
            <w:r>
              <w:t>1615.21</w:t>
            </w:r>
          </w:p>
        </w:tc>
        <w:tc>
          <w:tcPr>
            <w:tcW w:w="1474" w:type="dxa"/>
            <w:vAlign w:val="center"/>
          </w:tcPr>
          <w:p>
            <w:pPr>
              <w:pStyle w:val="16"/>
            </w:pPr>
            <w:r>
              <w:t>1615.21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1615.21</w:t>
            </w:r>
          </w:p>
        </w:tc>
        <w:tc>
          <w:tcPr>
            <w:tcW w:w="2551" w:type="dxa"/>
            <w:vAlign w:val="center"/>
          </w:tcPr>
          <w:p>
            <w:pPr>
              <w:pStyle w:val="16"/>
            </w:pPr>
            <w:r>
              <w:t>912.77</w:t>
            </w:r>
          </w:p>
        </w:tc>
        <w:tc>
          <w:tcPr>
            <w:tcW w:w="2551" w:type="dxa"/>
            <w:vAlign w:val="center"/>
          </w:tcPr>
          <w:p>
            <w:pPr>
              <w:pStyle w:val="16"/>
            </w:pPr>
            <w:r>
              <w:t>702.44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1123.08</w:t>
            </w:r>
          </w:p>
        </w:tc>
        <w:tc>
          <w:tcPr>
            <w:tcW w:w="2551" w:type="dxa"/>
            <w:vAlign w:val="center"/>
          </w:tcPr>
          <w:p>
            <w:pPr>
              <w:pStyle w:val="12"/>
            </w:pPr>
            <w:r>
              <w:t>729.28</w:t>
            </w:r>
          </w:p>
        </w:tc>
        <w:tc>
          <w:tcPr>
            <w:tcW w:w="2551" w:type="dxa"/>
            <w:vAlign w:val="center"/>
          </w:tcPr>
          <w:p>
            <w:pPr>
              <w:pStyle w:val="12"/>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1123.08</w:t>
            </w:r>
          </w:p>
        </w:tc>
        <w:tc>
          <w:tcPr>
            <w:tcW w:w="2551" w:type="dxa"/>
            <w:vAlign w:val="center"/>
          </w:tcPr>
          <w:p>
            <w:pPr>
              <w:pStyle w:val="12"/>
            </w:pPr>
            <w:r>
              <w:t>729.28</w:t>
            </w:r>
          </w:p>
        </w:tc>
        <w:tc>
          <w:tcPr>
            <w:tcW w:w="2551" w:type="dxa"/>
            <w:vAlign w:val="center"/>
          </w:tcPr>
          <w:p>
            <w:pPr>
              <w:pStyle w:val="12"/>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729.28</w:t>
            </w:r>
          </w:p>
        </w:tc>
        <w:tc>
          <w:tcPr>
            <w:tcW w:w="2551" w:type="dxa"/>
            <w:vAlign w:val="center"/>
          </w:tcPr>
          <w:p>
            <w:pPr>
              <w:pStyle w:val="12"/>
            </w:pPr>
            <w:r>
              <w:t>729.28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393.80</w:t>
            </w:r>
          </w:p>
        </w:tc>
        <w:tc>
          <w:tcPr>
            <w:tcW w:w="2551" w:type="dxa"/>
            <w:vAlign w:val="center"/>
          </w:tcPr>
          <w:p>
            <w:pPr>
              <w:pStyle w:val="12"/>
            </w:pPr>
          </w:p>
        </w:tc>
        <w:tc>
          <w:tcPr>
            <w:tcW w:w="2551" w:type="dxa"/>
            <w:vAlign w:val="center"/>
          </w:tcPr>
          <w:p>
            <w:pPr>
              <w:pStyle w:val="12"/>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83.35</w:t>
            </w:r>
          </w:p>
        </w:tc>
        <w:tc>
          <w:tcPr>
            <w:tcW w:w="2551" w:type="dxa"/>
            <w:vAlign w:val="center"/>
          </w:tcPr>
          <w:p>
            <w:pPr>
              <w:pStyle w:val="12"/>
            </w:pPr>
          </w:p>
        </w:tc>
        <w:tc>
          <w:tcPr>
            <w:tcW w:w="2551" w:type="dxa"/>
            <w:vAlign w:val="center"/>
          </w:tcPr>
          <w:p>
            <w:pPr>
              <w:pStyle w:val="12"/>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83.35</w:t>
            </w:r>
          </w:p>
        </w:tc>
        <w:tc>
          <w:tcPr>
            <w:tcW w:w="2551" w:type="dxa"/>
            <w:vAlign w:val="center"/>
          </w:tcPr>
          <w:p>
            <w:pPr>
              <w:pStyle w:val="12"/>
            </w:pPr>
          </w:p>
        </w:tc>
        <w:tc>
          <w:tcPr>
            <w:tcW w:w="2551" w:type="dxa"/>
            <w:vAlign w:val="center"/>
          </w:tcPr>
          <w:p>
            <w:pPr>
              <w:pStyle w:val="12"/>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2050102</w:t>
            </w:r>
          </w:p>
        </w:tc>
        <w:tc>
          <w:tcPr>
            <w:tcW w:w="4535" w:type="dxa"/>
            <w:vAlign w:val="center"/>
          </w:tcPr>
          <w:p>
            <w:pPr>
              <w:pStyle w:val="13"/>
            </w:pPr>
            <w:r>
              <w:t>一般行政管理事务</w:t>
            </w:r>
          </w:p>
        </w:tc>
        <w:tc>
          <w:tcPr>
            <w:tcW w:w="2551" w:type="dxa"/>
            <w:vAlign w:val="center"/>
          </w:tcPr>
          <w:p>
            <w:pPr>
              <w:pStyle w:val="12"/>
            </w:pPr>
            <w:r>
              <w:t>83.35</w:t>
            </w:r>
          </w:p>
        </w:tc>
        <w:tc>
          <w:tcPr>
            <w:tcW w:w="2551" w:type="dxa"/>
            <w:vAlign w:val="center"/>
          </w:tcPr>
          <w:p>
            <w:pPr>
              <w:pStyle w:val="12"/>
            </w:pPr>
          </w:p>
        </w:tc>
        <w:tc>
          <w:tcPr>
            <w:tcW w:w="2551" w:type="dxa"/>
            <w:vAlign w:val="center"/>
          </w:tcPr>
          <w:p>
            <w:pPr>
              <w:pStyle w:val="12"/>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80.70</w:t>
            </w:r>
          </w:p>
        </w:tc>
        <w:tc>
          <w:tcPr>
            <w:tcW w:w="2551" w:type="dxa"/>
            <w:vAlign w:val="center"/>
          </w:tcPr>
          <w:p>
            <w:pPr>
              <w:pStyle w:val="12"/>
            </w:pPr>
            <w:r>
              <w:t>74.95</w:t>
            </w: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74.95</w:t>
            </w:r>
          </w:p>
        </w:tc>
        <w:tc>
          <w:tcPr>
            <w:tcW w:w="2551" w:type="dxa"/>
            <w:vAlign w:val="center"/>
          </w:tcPr>
          <w:p>
            <w:pPr>
              <w:pStyle w:val="12"/>
            </w:pPr>
            <w:r>
              <w:t>74.95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10.32</w:t>
            </w:r>
          </w:p>
        </w:tc>
        <w:tc>
          <w:tcPr>
            <w:tcW w:w="2551" w:type="dxa"/>
            <w:vAlign w:val="center"/>
          </w:tcPr>
          <w:p>
            <w:pPr>
              <w:pStyle w:val="12"/>
            </w:pPr>
            <w:r>
              <w:t>10.32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64.63</w:t>
            </w:r>
          </w:p>
        </w:tc>
        <w:tc>
          <w:tcPr>
            <w:tcW w:w="2551" w:type="dxa"/>
            <w:vAlign w:val="center"/>
          </w:tcPr>
          <w:p>
            <w:pPr>
              <w:pStyle w:val="12"/>
            </w:pPr>
            <w:r>
              <w:t>64.63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21101</w:t>
            </w:r>
          </w:p>
        </w:tc>
        <w:tc>
          <w:tcPr>
            <w:tcW w:w="4535" w:type="dxa"/>
            <w:vAlign w:val="center"/>
          </w:tcPr>
          <w:p>
            <w:pPr>
              <w:pStyle w:val="13"/>
            </w:pPr>
            <w:r>
              <w:t>环境保护管理事务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2110102</w:t>
            </w:r>
          </w:p>
        </w:tc>
        <w:tc>
          <w:tcPr>
            <w:tcW w:w="4535" w:type="dxa"/>
            <w:vAlign w:val="center"/>
          </w:tcPr>
          <w:p>
            <w:pPr>
              <w:pStyle w:val="13"/>
            </w:pPr>
            <w:r>
              <w:t>一般行政管理事务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139.45</w:t>
            </w:r>
          </w:p>
        </w:tc>
        <w:tc>
          <w:tcPr>
            <w:tcW w:w="2551" w:type="dxa"/>
            <w:vAlign w:val="center"/>
          </w:tcPr>
          <w:p>
            <w:pPr>
              <w:pStyle w:val="12"/>
            </w:pPr>
          </w:p>
        </w:tc>
        <w:tc>
          <w:tcPr>
            <w:tcW w:w="2551" w:type="dxa"/>
            <w:vAlign w:val="center"/>
          </w:tcPr>
          <w:p>
            <w:pPr>
              <w:pStyle w:val="12"/>
            </w:pPr>
            <w:r>
              <w:t>139.45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47.95</w:t>
            </w:r>
          </w:p>
        </w:tc>
        <w:tc>
          <w:tcPr>
            <w:tcW w:w="2551" w:type="dxa"/>
            <w:vAlign w:val="center"/>
          </w:tcPr>
          <w:p>
            <w:pPr>
              <w:pStyle w:val="12"/>
            </w:pPr>
          </w:p>
        </w:tc>
        <w:tc>
          <w:tcPr>
            <w:tcW w:w="2551" w:type="dxa"/>
            <w:vAlign w:val="center"/>
          </w:tcPr>
          <w:p>
            <w:pPr>
              <w:pStyle w:val="12"/>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47.95</w:t>
            </w:r>
          </w:p>
        </w:tc>
        <w:tc>
          <w:tcPr>
            <w:tcW w:w="2551" w:type="dxa"/>
            <w:vAlign w:val="center"/>
          </w:tcPr>
          <w:p>
            <w:pPr>
              <w:pStyle w:val="12"/>
            </w:pPr>
          </w:p>
        </w:tc>
        <w:tc>
          <w:tcPr>
            <w:tcW w:w="2551" w:type="dxa"/>
            <w:vAlign w:val="center"/>
          </w:tcPr>
          <w:p>
            <w:pPr>
              <w:pStyle w:val="12"/>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72.50</w:t>
            </w:r>
          </w:p>
        </w:tc>
        <w:tc>
          <w:tcPr>
            <w:tcW w:w="2551" w:type="dxa"/>
            <w:vAlign w:val="center"/>
          </w:tcPr>
          <w:p>
            <w:pPr>
              <w:pStyle w:val="12"/>
            </w:pPr>
          </w:p>
        </w:tc>
        <w:tc>
          <w:tcPr>
            <w:tcW w:w="2551" w:type="dxa"/>
            <w:vAlign w:val="center"/>
          </w:tcPr>
          <w:p>
            <w:pPr>
              <w:pStyle w:val="12"/>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72.50</w:t>
            </w:r>
          </w:p>
        </w:tc>
        <w:tc>
          <w:tcPr>
            <w:tcW w:w="2551" w:type="dxa"/>
            <w:vAlign w:val="center"/>
          </w:tcPr>
          <w:p>
            <w:pPr>
              <w:pStyle w:val="12"/>
            </w:pPr>
          </w:p>
        </w:tc>
        <w:tc>
          <w:tcPr>
            <w:tcW w:w="2551" w:type="dxa"/>
            <w:vAlign w:val="center"/>
          </w:tcPr>
          <w:p>
            <w:pPr>
              <w:pStyle w:val="12"/>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39.10</w:t>
            </w:r>
          </w:p>
        </w:tc>
        <w:tc>
          <w:tcPr>
            <w:tcW w:w="2551" w:type="dxa"/>
            <w:vAlign w:val="center"/>
          </w:tcPr>
          <w:p>
            <w:pPr>
              <w:pStyle w:val="12"/>
            </w:pPr>
          </w:p>
        </w:tc>
        <w:tc>
          <w:tcPr>
            <w:tcW w:w="2551" w:type="dxa"/>
            <w:vAlign w:val="center"/>
          </w:tcPr>
          <w:p>
            <w:pPr>
              <w:pStyle w:val="12"/>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11.34</w:t>
            </w:r>
          </w:p>
        </w:tc>
        <w:tc>
          <w:tcPr>
            <w:tcW w:w="2551" w:type="dxa"/>
            <w:vAlign w:val="center"/>
          </w:tcPr>
          <w:p>
            <w:pPr>
              <w:pStyle w:val="12"/>
            </w:pPr>
          </w:p>
        </w:tc>
        <w:tc>
          <w:tcPr>
            <w:tcW w:w="2551" w:type="dxa"/>
            <w:vAlign w:val="center"/>
          </w:tcPr>
          <w:p>
            <w:pPr>
              <w:pStyle w:val="12"/>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2130202</w:t>
            </w:r>
          </w:p>
        </w:tc>
        <w:tc>
          <w:tcPr>
            <w:tcW w:w="4535" w:type="dxa"/>
            <w:vAlign w:val="center"/>
          </w:tcPr>
          <w:p>
            <w:pPr>
              <w:pStyle w:val="13"/>
            </w:pPr>
            <w:r>
              <w:t>一般行政管理事务</w:t>
            </w:r>
          </w:p>
        </w:tc>
        <w:tc>
          <w:tcPr>
            <w:tcW w:w="2551" w:type="dxa"/>
            <w:vAlign w:val="center"/>
          </w:tcPr>
          <w:p>
            <w:pPr>
              <w:pStyle w:val="12"/>
            </w:pPr>
            <w:r>
              <w:t>11.34</w:t>
            </w:r>
          </w:p>
        </w:tc>
        <w:tc>
          <w:tcPr>
            <w:tcW w:w="2551" w:type="dxa"/>
            <w:vAlign w:val="center"/>
          </w:tcPr>
          <w:p>
            <w:pPr>
              <w:pStyle w:val="12"/>
            </w:pPr>
          </w:p>
        </w:tc>
        <w:tc>
          <w:tcPr>
            <w:tcW w:w="2551" w:type="dxa"/>
            <w:vAlign w:val="center"/>
          </w:tcPr>
          <w:p>
            <w:pPr>
              <w:pStyle w:val="12"/>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27.76</w:t>
            </w:r>
          </w:p>
        </w:tc>
        <w:tc>
          <w:tcPr>
            <w:tcW w:w="2551" w:type="dxa"/>
            <w:vAlign w:val="center"/>
          </w:tcPr>
          <w:p>
            <w:pPr>
              <w:pStyle w:val="12"/>
            </w:pPr>
          </w:p>
        </w:tc>
        <w:tc>
          <w:tcPr>
            <w:tcW w:w="2551" w:type="dxa"/>
            <w:vAlign w:val="center"/>
          </w:tcPr>
          <w:p>
            <w:pPr>
              <w:pStyle w:val="12"/>
            </w:pPr>
            <w: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2130314</w:t>
            </w:r>
          </w:p>
        </w:tc>
        <w:tc>
          <w:tcPr>
            <w:tcW w:w="4535" w:type="dxa"/>
            <w:vAlign w:val="center"/>
          </w:tcPr>
          <w:p>
            <w:pPr>
              <w:pStyle w:val="13"/>
            </w:pPr>
            <w:r>
              <w:t>防汛</w:t>
            </w:r>
          </w:p>
        </w:tc>
        <w:tc>
          <w:tcPr>
            <w:tcW w:w="2551" w:type="dxa"/>
            <w:vAlign w:val="center"/>
          </w:tcPr>
          <w:p>
            <w:pPr>
              <w:pStyle w:val="12"/>
            </w:pPr>
            <w:r>
              <w:t>27.76</w:t>
            </w:r>
          </w:p>
        </w:tc>
        <w:tc>
          <w:tcPr>
            <w:tcW w:w="2551" w:type="dxa"/>
            <w:vAlign w:val="center"/>
          </w:tcPr>
          <w:p>
            <w:pPr>
              <w:pStyle w:val="12"/>
            </w:pPr>
          </w:p>
        </w:tc>
        <w:tc>
          <w:tcPr>
            <w:tcW w:w="2551" w:type="dxa"/>
            <w:vAlign w:val="center"/>
          </w:tcPr>
          <w:p>
            <w:pPr>
              <w:pStyle w:val="12"/>
            </w:pPr>
            <w: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65.41</w:t>
            </w:r>
          </w:p>
        </w:tc>
        <w:tc>
          <w:tcPr>
            <w:tcW w:w="2551" w:type="dxa"/>
            <w:vAlign w:val="center"/>
          </w:tcPr>
          <w:p>
            <w:pPr>
              <w:pStyle w:val="12"/>
            </w:pPr>
            <w:r>
              <w:t>65.41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65.41</w:t>
            </w:r>
          </w:p>
        </w:tc>
        <w:tc>
          <w:tcPr>
            <w:tcW w:w="2551" w:type="dxa"/>
            <w:vAlign w:val="center"/>
          </w:tcPr>
          <w:p>
            <w:pPr>
              <w:pStyle w:val="12"/>
            </w:pPr>
            <w:r>
              <w:t>65.41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65.41</w:t>
            </w:r>
          </w:p>
        </w:tc>
        <w:tc>
          <w:tcPr>
            <w:tcW w:w="2551" w:type="dxa"/>
            <w:vAlign w:val="center"/>
          </w:tcPr>
          <w:p>
            <w:pPr>
              <w:pStyle w:val="12"/>
            </w:pPr>
            <w:r>
              <w:t>65.41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912.77</w:t>
            </w:r>
          </w:p>
        </w:tc>
        <w:tc>
          <w:tcPr>
            <w:tcW w:w="2551" w:type="dxa"/>
            <w:vAlign w:val="center"/>
          </w:tcPr>
          <w:p>
            <w:pPr>
              <w:pStyle w:val="16"/>
            </w:pPr>
            <w:r>
              <w:t>732.16</w:t>
            </w:r>
          </w:p>
        </w:tc>
        <w:tc>
          <w:tcPr>
            <w:tcW w:w="2551" w:type="dxa"/>
            <w:vAlign w:val="center"/>
          </w:tcPr>
          <w:p>
            <w:pPr>
              <w:pStyle w:val="16"/>
            </w:pPr>
            <w:r>
              <w:t>180.61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721.97</w:t>
            </w:r>
          </w:p>
        </w:tc>
        <w:tc>
          <w:tcPr>
            <w:tcW w:w="2551" w:type="dxa"/>
            <w:vAlign w:val="center"/>
          </w:tcPr>
          <w:p>
            <w:pPr>
              <w:pStyle w:val="12"/>
            </w:pPr>
            <w:r>
              <w:t>721.97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167.60</w:t>
            </w:r>
          </w:p>
        </w:tc>
        <w:tc>
          <w:tcPr>
            <w:tcW w:w="2551" w:type="dxa"/>
            <w:vAlign w:val="center"/>
          </w:tcPr>
          <w:p>
            <w:pPr>
              <w:pStyle w:val="12"/>
            </w:pPr>
            <w:r>
              <w:t>167.60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121.55</w:t>
            </w:r>
          </w:p>
        </w:tc>
        <w:tc>
          <w:tcPr>
            <w:tcW w:w="2551" w:type="dxa"/>
            <w:vAlign w:val="center"/>
          </w:tcPr>
          <w:p>
            <w:pPr>
              <w:pStyle w:val="12"/>
            </w:pPr>
            <w:r>
              <w:t>121.55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85.53</w:t>
            </w:r>
          </w:p>
        </w:tc>
        <w:tc>
          <w:tcPr>
            <w:tcW w:w="2551" w:type="dxa"/>
            <w:vAlign w:val="center"/>
          </w:tcPr>
          <w:p>
            <w:pPr>
              <w:pStyle w:val="12"/>
            </w:pPr>
            <w:r>
              <w:t>85.53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171.47</w:t>
            </w:r>
          </w:p>
        </w:tc>
        <w:tc>
          <w:tcPr>
            <w:tcW w:w="2551" w:type="dxa"/>
            <w:vAlign w:val="center"/>
          </w:tcPr>
          <w:p>
            <w:pPr>
              <w:pStyle w:val="12"/>
            </w:pPr>
            <w:r>
              <w:t>171.47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64.63</w:t>
            </w:r>
          </w:p>
        </w:tc>
        <w:tc>
          <w:tcPr>
            <w:tcW w:w="2551" w:type="dxa"/>
            <w:vAlign w:val="center"/>
          </w:tcPr>
          <w:p>
            <w:pPr>
              <w:pStyle w:val="12"/>
            </w:pPr>
            <w:r>
              <w:t>64.63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22.21</w:t>
            </w:r>
          </w:p>
        </w:tc>
        <w:tc>
          <w:tcPr>
            <w:tcW w:w="2551" w:type="dxa"/>
            <w:vAlign w:val="center"/>
          </w:tcPr>
          <w:p>
            <w:pPr>
              <w:pStyle w:val="12"/>
            </w:pPr>
            <w:r>
              <w:t>22.21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20.92</w:t>
            </w:r>
          </w:p>
        </w:tc>
        <w:tc>
          <w:tcPr>
            <w:tcW w:w="2551" w:type="dxa"/>
            <w:vAlign w:val="center"/>
          </w:tcPr>
          <w:p>
            <w:pPr>
              <w:pStyle w:val="12"/>
            </w:pPr>
            <w:r>
              <w:t>20.92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2.65</w:t>
            </w:r>
          </w:p>
        </w:tc>
        <w:tc>
          <w:tcPr>
            <w:tcW w:w="2551" w:type="dxa"/>
            <w:vAlign w:val="center"/>
          </w:tcPr>
          <w:p>
            <w:pPr>
              <w:pStyle w:val="12"/>
            </w:pPr>
            <w:r>
              <w:t>2.65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65.41</w:t>
            </w:r>
          </w:p>
        </w:tc>
        <w:tc>
          <w:tcPr>
            <w:tcW w:w="2551" w:type="dxa"/>
            <w:vAlign w:val="center"/>
          </w:tcPr>
          <w:p>
            <w:pPr>
              <w:pStyle w:val="12"/>
            </w:pPr>
            <w:r>
              <w:t>65.41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180.61</w:t>
            </w:r>
          </w:p>
        </w:tc>
        <w:tc>
          <w:tcPr>
            <w:tcW w:w="2551" w:type="dxa"/>
            <w:vAlign w:val="center"/>
          </w:tcPr>
          <w:p>
            <w:pPr>
              <w:pStyle w:val="12"/>
            </w:pPr>
          </w:p>
        </w:tc>
        <w:tc>
          <w:tcPr>
            <w:tcW w:w="2551" w:type="dxa"/>
            <w:vAlign w:val="center"/>
          </w:tcPr>
          <w:p>
            <w:pPr>
              <w:pStyle w:val="12"/>
            </w:pPr>
            <w:r>
              <w:t>180.61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25.30</w:t>
            </w:r>
          </w:p>
        </w:tc>
        <w:tc>
          <w:tcPr>
            <w:tcW w:w="2551" w:type="dxa"/>
            <w:vAlign w:val="center"/>
          </w:tcPr>
          <w:p>
            <w:pPr>
              <w:pStyle w:val="12"/>
            </w:pPr>
          </w:p>
        </w:tc>
        <w:tc>
          <w:tcPr>
            <w:tcW w:w="2551" w:type="dxa"/>
            <w:vAlign w:val="center"/>
          </w:tcPr>
          <w:p>
            <w:pPr>
              <w:pStyle w:val="12"/>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10.08</w:t>
            </w:r>
          </w:p>
        </w:tc>
        <w:tc>
          <w:tcPr>
            <w:tcW w:w="2551" w:type="dxa"/>
            <w:vAlign w:val="center"/>
          </w:tcPr>
          <w:p>
            <w:pPr>
              <w:pStyle w:val="12"/>
            </w:pPr>
          </w:p>
        </w:tc>
        <w:tc>
          <w:tcPr>
            <w:tcW w:w="2551" w:type="dxa"/>
            <w:vAlign w:val="center"/>
          </w:tcPr>
          <w:p>
            <w:pPr>
              <w:pStyle w:val="12"/>
            </w:pPr>
            <w:r>
              <w:t>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7.74</w:t>
            </w:r>
          </w:p>
        </w:tc>
        <w:tc>
          <w:tcPr>
            <w:tcW w:w="2551" w:type="dxa"/>
            <w:vAlign w:val="center"/>
          </w:tcPr>
          <w:p>
            <w:pPr>
              <w:pStyle w:val="12"/>
            </w:pPr>
          </w:p>
        </w:tc>
        <w:tc>
          <w:tcPr>
            <w:tcW w:w="2551" w:type="dxa"/>
            <w:vAlign w:val="center"/>
          </w:tcPr>
          <w:p>
            <w:pPr>
              <w:pStyle w:val="12"/>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101.74</w:t>
            </w:r>
          </w:p>
        </w:tc>
        <w:tc>
          <w:tcPr>
            <w:tcW w:w="2551" w:type="dxa"/>
            <w:vAlign w:val="center"/>
          </w:tcPr>
          <w:p>
            <w:pPr>
              <w:pStyle w:val="12"/>
            </w:pPr>
          </w:p>
        </w:tc>
        <w:tc>
          <w:tcPr>
            <w:tcW w:w="2551" w:type="dxa"/>
            <w:vAlign w:val="center"/>
          </w:tcPr>
          <w:p>
            <w:pPr>
              <w:pStyle w:val="12"/>
            </w:pPr>
            <w:r>
              <w:t>101.74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3.62</w:t>
            </w:r>
          </w:p>
        </w:tc>
        <w:tc>
          <w:tcPr>
            <w:tcW w:w="2551" w:type="dxa"/>
            <w:vAlign w:val="center"/>
          </w:tcPr>
          <w:p>
            <w:pPr>
              <w:pStyle w:val="12"/>
            </w:pPr>
          </w:p>
        </w:tc>
        <w:tc>
          <w:tcPr>
            <w:tcW w:w="2551" w:type="dxa"/>
            <w:vAlign w:val="center"/>
          </w:tcPr>
          <w:p>
            <w:pPr>
              <w:pStyle w:val="12"/>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23.58</w:t>
            </w:r>
          </w:p>
        </w:tc>
        <w:tc>
          <w:tcPr>
            <w:tcW w:w="2551" w:type="dxa"/>
            <w:vAlign w:val="center"/>
          </w:tcPr>
          <w:p>
            <w:pPr>
              <w:pStyle w:val="12"/>
            </w:pPr>
          </w:p>
        </w:tc>
        <w:tc>
          <w:tcPr>
            <w:tcW w:w="2551" w:type="dxa"/>
            <w:vAlign w:val="center"/>
          </w:tcPr>
          <w:p>
            <w:pPr>
              <w:pStyle w:val="12"/>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5.35</w:t>
            </w:r>
          </w:p>
        </w:tc>
        <w:tc>
          <w:tcPr>
            <w:tcW w:w="2551" w:type="dxa"/>
            <w:vAlign w:val="center"/>
          </w:tcPr>
          <w:p>
            <w:pPr>
              <w:pStyle w:val="12"/>
            </w:pPr>
          </w:p>
        </w:tc>
        <w:tc>
          <w:tcPr>
            <w:tcW w:w="2551" w:type="dxa"/>
            <w:vAlign w:val="center"/>
          </w:tcPr>
          <w:p>
            <w:pPr>
              <w:pStyle w:val="12"/>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10.19</w:t>
            </w:r>
          </w:p>
        </w:tc>
        <w:tc>
          <w:tcPr>
            <w:tcW w:w="2551" w:type="dxa"/>
            <w:vAlign w:val="center"/>
          </w:tcPr>
          <w:p>
            <w:pPr>
              <w:pStyle w:val="12"/>
            </w:pPr>
            <w:r>
              <w:t>10.19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10.19</w:t>
            </w:r>
          </w:p>
        </w:tc>
        <w:tc>
          <w:tcPr>
            <w:tcW w:w="2551" w:type="dxa"/>
            <w:vAlign w:val="center"/>
          </w:tcPr>
          <w:p>
            <w:pPr>
              <w:pStyle w:val="12"/>
            </w:pPr>
            <w:r>
              <w:t>10.19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3.20</w:t>
            </w:r>
          </w:p>
        </w:tc>
        <w:tc>
          <w:tcPr>
            <w:tcW w:w="2381" w:type="dxa"/>
            <w:vAlign w:val="center"/>
          </w:tcPr>
          <w:p>
            <w:pPr>
              <w:pStyle w:val="16"/>
            </w:pPr>
            <w:r>
              <w:t>3.20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石家庄市鹿泉区上寨乡人民政府2026年部门预算信息公开情况说明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石家庄市鹿泉区上寨乡人民政府2026年部门预算信息公开情况说明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按照《中华人民共和国预算法》、《地方预决算公开操作规程》和《关于进一步推进预算公开工作的实施意见》规定，现将石家庄市鹿泉区上寨乡人民政府2026年部门预算公开如下：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根据《石家庄市鹿泉区上寨乡人民政府职能配置、内设机构和人员编制规定》， 石家庄市鹿泉区上寨乡人民政府的主要职责是：</w:t>
      </w:r>
    </w:p>
    <w:p>
      <w:pPr>
        <w:pStyle w:val="18"/>
      </w:pPr>
      <w:r>
        <w:t>1、宣传、贯彻、执行党的路线方针政策和国家的法律、法规，执行本级人民代表大会的决议和上级经国家行政机关的决定和命令。</w:t>
      </w:r>
    </w:p>
    <w:p>
      <w:pPr>
        <w:pStyle w:val="18"/>
      </w:pPr>
      <w:r>
        <w:t>2、促进经济发展</w:t>
      </w:r>
    </w:p>
    <w:p>
      <w:pPr>
        <w:pStyle w:val="18"/>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部门，培育和发展农村经济合作组织（各种协会及中介组织）；配合农业技术区域站做好农业技术推广和服务工作。</w:t>
      </w:r>
    </w:p>
    <w:p>
      <w:pPr>
        <w:pStyle w:val="18"/>
      </w:pPr>
      <w:r>
        <w:t>3、加强社会管理</w:t>
      </w:r>
    </w:p>
    <w:p>
      <w:pPr>
        <w:pStyle w:val="18"/>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部门做好乡村建设规划、保护耕地工资。配合安全生产监督管理部门做好安全生产监督管理工作。配合武装部做好征兵工作及民兵工作。配合环保部门做好保护环境，改善生态环境工资，提高资源利用率。</w:t>
      </w:r>
    </w:p>
    <w:p>
      <w:pPr>
        <w:pStyle w:val="18"/>
      </w:pPr>
      <w:r>
        <w:t>4、提供公共服务</w:t>
      </w:r>
    </w:p>
    <w:p>
      <w:pPr>
        <w:pStyle w:val="18"/>
      </w:pPr>
      <w:r>
        <w:t>主要包括：量力组织乡村公共基础设施建设。配合教育、科技、文体、卫生等部门搞好九年义务教育，普及推广科学技术，丰富农村文化生活，开展全民健身运动，推行和完善新型合作医疗制度，提高参保率。配合农口部门（农、林、牧、水）做好农业技术服务和技术推广工作，动物防疫工作。配合广播电视、电力、电信等部门，做好普及有线电视、电网改造工作，扩大通讯网络在农村的覆盖面。配合民政、残联部门做好农村扶贫和低保工作以及特困户和残疾人服务工作。配合劳动部门做好农村劳动力职业培训、劳动就业和社会保障工作。</w:t>
      </w:r>
    </w:p>
    <w:p>
      <w:pPr>
        <w:pStyle w:val="18"/>
      </w:pPr>
      <w:r>
        <w:t>5、维护农村稳定</w:t>
      </w:r>
    </w:p>
    <w:p>
      <w:pPr>
        <w:pStyle w:val="18"/>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按照预算管理有关规定，目前部门预算的编制实行综合预算管理，即全部收入和支出都反映在预算中。石家庄市鹿泉区上寨乡人民政府机关及所属事业单位的收支包含在部门预算中。</w:t>
      </w:r>
    </w:p>
    <w:p>
      <w:pPr>
        <w:pStyle w:val="19"/>
      </w:pPr>
      <w:r>
        <w:t>1、收入说明</w:t>
      </w:r>
    </w:p>
    <w:p>
      <w:pPr>
        <w:pStyle w:val="19"/>
      </w:pPr>
      <w:r>
        <w:t>反映本部门当年全部收入。2026年预算收入1615.21万元，其中：一般公共预算收入1615.21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上寨乡人民政府年度部门预算中支出预算的总体情况。2026年支出预算1615.21万元，其中基本支出912.77万元，包括人员经费732.16万元和日常公用经费180.61万元；项目支出702.44万元，主要为2026年区级上寨乡办公场所配套改造项目、2026年区级上寨乡农村生活垃圾清扫费用、2026年区级衡井线北寨段两侧绿化、环乡路南寨及梁庄绿化、山前大道南延两侧绿化占地租金、2026年区级上寨乡办公场所配套改造等项目；预计下年使用的单位资金结余0.00万元。委托业务费共计安排0.00万元。</w:t>
      </w:r>
    </w:p>
    <w:p>
      <w:pPr>
        <w:pStyle w:val="19"/>
      </w:pPr>
      <w:r>
        <w:t>3、比上年增减情况</w:t>
      </w:r>
    </w:p>
    <w:p>
      <w:pPr>
        <w:pStyle w:val="19"/>
      </w:pPr>
      <w:r>
        <w:t>2026年预算收支安排1615.21万元，较2025年预算减少843.13万元，其中：基本支出增加9.25万元，主要为人员增加。项目支出减少852.38万元，主要为2026年项目预算安排减少。预计下年使用的单位资金结余增加0.00万元。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r>
        <w:t>202</w:t>
      </w:r>
      <w:r>
        <w:rPr>
          <w:rFonts w:hint="eastAsia"/>
          <w:lang w:val="en-US" w:eastAsia="zh-CN"/>
        </w:rPr>
        <w:t>6</w:t>
      </w:r>
      <w:r>
        <w:t>年，我部门机关运行经费共计安排18</w:t>
      </w:r>
      <w:r>
        <w:rPr>
          <w:rFonts w:hint="eastAsia"/>
          <w:lang w:val="en-US" w:eastAsia="zh-CN"/>
        </w:rPr>
        <w:t>0</w:t>
      </w:r>
      <w:r>
        <w:t>.</w:t>
      </w:r>
      <w:r>
        <w:rPr>
          <w:rFonts w:hint="eastAsia"/>
          <w:lang w:val="en-US" w:eastAsia="zh-CN"/>
        </w:rPr>
        <w:t>61</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减少2.70万元，增减变化的主要原因是2025年下半年我部门报废公务用车2辆，同时划拨入公务用车1辆，较上一年预算安排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当前，发展仍是解决一切问题的基础和关键，我们必须正确认识和把握新时代新阶段的“时”与“势”，牢牢抓住产业发展、乡村振兴这一难得机遇，在抢抓机遇中扬长避短、取长补短、以长克短，围绕加快建设花果山乡、魅力上寨、生态宜居宜业宜游的农业观光园目标，撸起袖子加油干，风雨无阻向前行，不断开创高质量发展新局面！</w:t>
      </w:r>
    </w:p>
    <w:p>
      <w:pPr>
        <w:pStyle w:val="22"/>
      </w:pPr>
      <w:r>
        <w:t>今年工作的总基调是：综合经济实力显著增强、社会文明程度显著提升、生态文明建设显著进步、人民生活品质显著改善、社会治理能力显著加强。为实现上述发展目标，我们必须坚持党的全面领导、坚持以人民为中心、坚持新发展理念、坚持深化改革开放、坚持系统观念，必须准确把握我乡所处的发展阶段和历史方位，保持战略定力，树立底线思维，准确识变、科学应变、创新求变，奋力谱写上寨乡跨越发展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牢牢抓住产业发展、乡村振兴这一牛鼻子，进一步补足基础设施短板，壮大乡村振兴产业，抓牢发展和安全，实现经济发展、集体增收、群众致富，为全区发展做出上寨贡献。</w:t>
      </w:r>
    </w:p>
    <w:p>
      <w:pPr>
        <w:pStyle w:val="23"/>
      </w:pPr>
      <w:r>
        <w:t>1.项目做“实”，助力经济发展。积极争取遗留问题实现突破性进展，紧紧抓住省会西部山前规划战略机遇，盘活中以农科、石门院子、紫藤庄园、水悦龙庭等4个项目，解决多年来制约上寨乡经济发展瓶颈。加强与上级部门的沟通协调，根据项目现状建设情况，以保姆式服务，急企业之所急，解企业之所忧，提高办事效率，确保项目快速推进，为全区经济发展注入强劲动力。</w:t>
      </w:r>
    </w:p>
    <w:p>
      <w:pPr>
        <w:pStyle w:val="23"/>
      </w:pPr>
      <w:r>
        <w:t>2.环境做“美”，塑造和美乡村。营造和谐美丽的人居环境不仅能提升百姓的幸福指数，更是为发展乡村旅游产业奠定基础。要一如既往的进行整治提升，而且要从“一时美”转变为“持久美”，以制度创新为突破、以模式创新为引领，“一村一策”制定长效管护机制，充分调动村民参与人居环境整治的积极性和主动性，持续巩固提升整治成果，推动人居环境面貌持续向好。</w:t>
      </w:r>
    </w:p>
    <w:p>
      <w:pPr>
        <w:pStyle w:val="23"/>
      </w:pPr>
      <w:r>
        <w:t>3.基础做“牢”，增进民生福祉。通过积极争取各项惠民政策和项目资金、债券资金等，重点推进农村基础设施建设，完善道路、水利、电力等公共服务设施，加快实施西北寨沟项目、南寨森林公园路面硬化项目，谋划梁庄村温室大棚项目、上寨村农作物高效利用项目，不断提升村民生活品质。</w:t>
      </w:r>
    </w:p>
    <w:p>
      <w:pPr>
        <w:pStyle w:val="23"/>
      </w:pPr>
      <w:r>
        <w:t>4.产业做“优”，推动文旅融合发展。充分利用上寨乡丰富的自然资源和便利的交通条件，打造集休闲观光、农业体验、文化传承于一体的农文旅融合发展模式。整合现有资源，将常馨谷、紫藤庄园、溪山棠草莓基地、山货市场、森林秘境串珠成链，形成“上寨”特色旅游集群。此外围绕特色种植业求突破，通过拓展农业产业功能，挖掘乡村多元价值，构建起农业产业发展新业态，带动一二三产业融合发展。</w:t>
      </w:r>
    </w:p>
    <w:p>
      <w:pPr>
        <w:pStyle w:val="23"/>
      </w:pPr>
      <w:r>
        <w:t>5.治理做“活”，构建和谐社会。深入推进矛盾纠纷排查化解工作，从源头上预防和减少矛盾纠纷问题的发生，力求做到早发现、早控制、早解决，防患于未然，切实把各类不稳定因素解决在萌芽状态。进一步引导全乡干群参与平安建设的积极性、主动性和创造性，努力营造群防群治、齐抓共管的平安氛围，着力提升平安建设水平和社会治理能力，全面构建共建共治共享的基层社会治理新格局。</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旗帜鲜明讲政治。始终坚定正确的政治方向，深学细悟笃行习近平新时代中国特色社会主义思想，深刻领悟“两个确立”的决定性意义，进一步增强“四个意识”、坚定“四个自信”、做到“两个维护”，不断提高政治判断力、政治领悟力、政治执行力，坚定不移、不折不扣落实中央、省市区和乡党委各项决策部署。</w:t>
      </w:r>
    </w:p>
    <w:p>
      <w:pPr>
        <w:pStyle w:val="24"/>
      </w:pPr>
      <w:r>
        <w:t>2.依法行政履职责。坚持以习近平法治思想为引领，进一步强化法治思维，规范重大行政决策程序，严格公正文明执法，发挥政府法律顾问作用，不断提升依法行政工作水平，推动法治政府建设示范创建。主动接受人大法律监督、纪检审计监督、群众社会监督，高质量办理人大代表议案建议、政协委员提案，高标准答复群众反映问题。深化政务公开，增强群众知晓度、公众参与度、政府透明度，让权力始终在阳光下运行。</w:t>
      </w:r>
    </w:p>
    <w:p>
      <w:pPr>
        <w:pStyle w:val="24"/>
      </w:pPr>
      <w:r>
        <w:t>3.创新实干抓落实。加强能力建设，主动适应新形势、新要求，善学习、强本领、勇创新，始终保持敢为人先、敢闯敢试的干事激情和昂扬锐气。提升效能意识，大力提倡只争朝夕、雷厉风行、马上就办，确保政府系统高效运转。强化担当精神，在急难险重任务面前，敢于负责、敢于碰硬、敢于攻坚，以重点问题突破带动全局工作开展。弘扬实干作风，脚踏实地干、心无旁骛干，一以贯之、一抓到底，以钉钉子精神抓好工作落实，确保干一件成一件。</w:t>
      </w:r>
    </w:p>
    <w:p>
      <w:pPr>
        <w:pStyle w:val="24"/>
        <w:sectPr>
          <w:pgSz w:w="16840" w:h="11900" w:orient="landscape"/>
          <w:pgMar w:top="1361" w:right="1020" w:bottom="1361" w:left="1020" w:header="720" w:footer="720" w:gutter="0"/>
          <w:cols w:space="720" w:num="1"/>
        </w:sectPr>
      </w:pPr>
      <w:r>
        <w:t>4.严明纪律树形象。不断加强政府系统党风廉政建设和意识形态工作，切实履行“一岗双责”，推动全面从严治党向纵深推进。树牢过“紧日子”思想，从严控制“三公”经费，强化审计监督，加强土地利用、项目招投标、工程建设等重点领域廉政风险管控。深入贯彻落实中央八项规定及其实施细则，驰而不息纠正“四风”，坚决整治群众身边不正之风和腐败问题，持续营造风清气正的政治生态。</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1、2026年区级北寨引岗渠塌方抢险绩效目标表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13011026P00158810018A</w:t>
            </w:r>
          </w:p>
        </w:tc>
        <w:tc>
          <w:tcPr>
            <w:tcW w:w="2835" w:type="dxa"/>
            <w:vAlign w:val="center"/>
          </w:tcPr>
          <w:p>
            <w:pPr>
              <w:pStyle w:val="11"/>
            </w:pPr>
            <w:r>
              <w:t>项目名称</w:t>
            </w:r>
          </w:p>
        </w:tc>
        <w:tc>
          <w:tcPr>
            <w:tcW w:w="6095" w:type="dxa"/>
            <w:gridSpan w:val="3"/>
            <w:vAlign w:val="center"/>
          </w:tcPr>
          <w:p>
            <w:pPr>
              <w:pStyle w:val="13"/>
            </w:pPr>
            <w:r>
              <w:t>2026年区级北寨引岗渠塌方抢险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8.58</w:t>
            </w:r>
          </w:p>
        </w:tc>
        <w:tc>
          <w:tcPr>
            <w:tcW w:w="2835" w:type="dxa"/>
            <w:vAlign w:val="center"/>
          </w:tcPr>
          <w:p>
            <w:pPr>
              <w:pStyle w:val="11"/>
            </w:pPr>
            <w:r>
              <w:t>其中：财政    资金</w:t>
            </w:r>
          </w:p>
        </w:tc>
        <w:tc>
          <w:tcPr>
            <w:tcW w:w="2551" w:type="dxa"/>
            <w:vAlign w:val="center"/>
          </w:tcPr>
          <w:p>
            <w:pPr>
              <w:pStyle w:val="13"/>
            </w:pPr>
            <w:r>
              <w:t>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"对引岗渠坍塌堵塞100余米进行疏通，保证汛期人民生命财产安全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1."对引岗渠坍塌堵塞100余米进行疏通，保证汛期人民生命财产安全</w:t>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清理引岗渠坍塌量</w:t>
            </w:r>
          </w:p>
        </w:tc>
        <w:tc>
          <w:tcPr>
            <w:tcW w:w="5386" w:type="dxa"/>
            <w:vAlign w:val="center"/>
          </w:tcPr>
          <w:p>
            <w:pPr>
              <w:pStyle w:val="13"/>
            </w:pPr>
            <w:r>
              <w:t>清理引岗渠北寨段坍塌量</w:t>
            </w:r>
          </w:p>
        </w:tc>
        <w:tc>
          <w:tcPr>
            <w:tcW w:w="2268" w:type="dxa"/>
            <w:vAlign w:val="center"/>
          </w:tcPr>
          <w:p>
            <w:pPr>
              <w:pStyle w:val="13"/>
            </w:pPr>
            <w:r>
              <w:t>100米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清理渣土、垃圾量</w:t>
            </w:r>
          </w:p>
        </w:tc>
        <w:tc>
          <w:tcPr>
            <w:tcW w:w="5386" w:type="dxa"/>
            <w:vAlign w:val="center"/>
          </w:tcPr>
          <w:p>
            <w:pPr>
              <w:pStyle w:val="13"/>
            </w:pPr>
            <w:r>
              <w:t>清理渣土、垃圾量</w:t>
            </w:r>
          </w:p>
        </w:tc>
        <w:tc>
          <w:tcPr>
            <w:tcW w:w="2268" w:type="dxa"/>
            <w:vAlign w:val="center"/>
          </w:tcPr>
          <w:p>
            <w:pPr>
              <w:pStyle w:val="13"/>
            </w:pPr>
            <w:r>
              <w:t>24000立方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路边及房屋挡土墙加固数量</w:t>
            </w:r>
          </w:p>
        </w:tc>
        <w:tc>
          <w:tcPr>
            <w:tcW w:w="5386" w:type="dxa"/>
            <w:vAlign w:val="center"/>
          </w:tcPr>
          <w:p>
            <w:pPr>
              <w:pStyle w:val="13"/>
            </w:pPr>
            <w:r>
              <w:t>路边及房屋挡土墙加固数量</w:t>
            </w:r>
          </w:p>
        </w:tc>
        <w:tc>
          <w:tcPr>
            <w:tcW w:w="2268" w:type="dxa"/>
            <w:vAlign w:val="center"/>
          </w:tcPr>
          <w:p>
            <w:pPr>
              <w:pStyle w:val="13"/>
            </w:pPr>
            <w:r>
              <w:t>386立方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恢复损坏民房数</w:t>
            </w:r>
          </w:p>
        </w:tc>
        <w:tc>
          <w:tcPr>
            <w:tcW w:w="5386" w:type="dxa"/>
            <w:vAlign w:val="center"/>
          </w:tcPr>
          <w:p>
            <w:pPr>
              <w:pStyle w:val="13"/>
            </w:pPr>
            <w:r>
              <w:t>恢复损坏民房数</w:t>
            </w:r>
          </w:p>
        </w:tc>
        <w:tc>
          <w:tcPr>
            <w:tcW w:w="2268" w:type="dxa"/>
            <w:vAlign w:val="center"/>
          </w:tcPr>
          <w:p>
            <w:pPr>
              <w:pStyle w:val="13"/>
            </w:pPr>
            <w:r>
              <w:t>6处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恢复自来水管网数</w:t>
            </w:r>
          </w:p>
        </w:tc>
        <w:tc>
          <w:tcPr>
            <w:tcW w:w="5386" w:type="dxa"/>
            <w:vAlign w:val="center"/>
          </w:tcPr>
          <w:p>
            <w:pPr>
              <w:pStyle w:val="13"/>
            </w:pPr>
            <w:r>
              <w:t>恢复自来水管网数</w:t>
            </w:r>
          </w:p>
        </w:tc>
        <w:tc>
          <w:tcPr>
            <w:tcW w:w="2268" w:type="dxa"/>
            <w:vAlign w:val="center"/>
          </w:tcPr>
          <w:p>
            <w:pPr>
              <w:pStyle w:val="13"/>
            </w:pPr>
            <w:r>
              <w:t>150米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恢复硬化路面数</w:t>
            </w:r>
          </w:p>
        </w:tc>
        <w:tc>
          <w:tcPr>
            <w:tcW w:w="5386" w:type="dxa"/>
            <w:vAlign w:val="center"/>
          </w:tcPr>
          <w:p>
            <w:pPr>
              <w:pStyle w:val="13"/>
            </w:pPr>
            <w:r>
              <w:t>恢复硬化路面数</w:t>
            </w:r>
          </w:p>
        </w:tc>
        <w:tc>
          <w:tcPr>
            <w:tcW w:w="2268" w:type="dxa"/>
            <w:vAlign w:val="center"/>
          </w:tcPr>
          <w:p>
            <w:pPr>
              <w:pStyle w:val="13"/>
            </w:pPr>
            <w:r>
              <w:t>500平方米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引岗渠北寨段塌方修复率</w:t>
            </w:r>
          </w:p>
        </w:tc>
        <w:tc>
          <w:tcPr>
            <w:tcW w:w="5386" w:type="dxa"/>
            <w:vAlign w:val="center"/>
          </w:tcPr>
          <w:p>
            <w:pPr>
              <w:pStyle w:val="13"/>
            </w:pPr>
            <w:r>
              <w:t>引岗渠北寨段塌方修复率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工程完工成本控制</w:t>
            </w:r>
          </w:p>
        </w:tc>
        <w:tc>
          <w:tcPr>
            <w:tcW w:w="5386" w:type="dxa"/>
            <w:vAlign w:val="center"/>
          </w:tcPr>
          <w:p>
            <w:pPr>
              <w:pStyle w:val="13"/>
            </w:pPr>
            <w:r>
              <w:t>工程完工成本控制</w:t>
            </w:r>
          </w:p>
        </w:tc>
        <w:tc>
          <w:tcPr>
            <w:tcW w:w="2268" w:type="dxa"/>
            <w:vAlign w:val="center"/>
          </w:tcPr>
          <w:p>
            <w:pPr>
              <w:pStyle w:val="13"/>
            </w:pPr>
            <w:r>
              <w:t>176.8万元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2026年支付工程款</w:t>
            </w:r>
          </w:p>
        </w:tc>
        <w:tc>
          <w:tcPr>
            <w:tcW w:w="5386" w:type="dxa"/>
            <w:vAlign w:val="center"/>
          </w:tcPr>
          <w:p>
            <w:pPr>
              <w:pStyle w:val="13"/>
            </w:pPr>
            <w:r>
              <w:t>2026年支付工程款</w:t>
            </w:r>
          </w:p>
        </w:tc>
        <w:tc>
          <w:tcPr>
            <w:tcW w:w="2268" w:type="dxa"/>
            <w:vAlign w:val="center"/>
          </w:tcPr>
          <w:p>
            <w:pPr>
              <w:pStyle w:val="13"/>
            </w:pPr>
            <w:r>
              <w:t>≤8.58万元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引岗渠北寨段塌方修复完工及时率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保障人民生命财产安全</w:t>
            </w:r>
          </w:p>
        </w:tc>
        <w:tc>
          <w:tcPr>
            <w:tcW w:w="5386" w:type="dxa"/>
            <w:vAlign w:val="center"/>
          </w:tcPr>
          <w:p>
            <w:pPr>
              <w:pStyle w:val="13"/>
            </w:pPr>
            <w:r>
              <w:t>保障人民生命财产安全</w:t>
            </w:r>
          </w:p>
        </w:tc>
        <w:tc>
          <w:tcPr>
            <w:tcW w:w="2268" w:type="dxa"/>
            <w:vAlign w:val="center"/>
          </w:tcPr>
          <w:p>
            <w:pPr>
              <w:pStyle w:val="13"/>
            </w:pPr>
            <w:r>
              <w:t>防治渠水外溢，保障人民生命财产安全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推动防汛事业长远发展</w:t>
            </w:r>
          </w:p>
        </w:tc>
        <w:tc>
          <w:tcPr>
            <w:tcW w:w="5386" w:type="dxa"/>
            <w:vAlign w:val="center"/>
          </w:tcPr>
          <w:p>
            <w:pPr>
              <w:pStyle w:val="13"/>
            </w:pPr>
            <w:r>
              <w:t>推动防汛事业长远发展</w:t>
            </w:r>
          </w:p>
        </w:tc>
        <w:tc>
          <w:tcPr>
            <w:tcW w:w="2268" w:type="dxa"/>
            <w:vAlign w:val="center"/>
          </w:tcPr>
          <w:p>
            <w:pPr>
              <w:pStyle w:val="13"/>
            </w:pPr>
            <w:r>
              <w:t>防治渠水外溢，保障人民生命财产安全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满意群众占接受调查总人数的比例</w:t>
            </w:r>
          </w:p>
        </w:tc>
        <w:tc>
          <w:tcPr>
            <w:tcW w:w="2268" w:type="dxa"/>
            <w:vAlign w:val="center"/>
          </w:tcPr>
          <w:p>
            <w:pPr>
              <w:pStyle w:val="13"/>
            </w:pPr>
            <w:r>
              <w:t>≥85%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2、2026年区级北寨自来水改造绩效目标表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13011026P001563100045</w:t>
            </w:r>
          </w:p>
        </w:tc>
        <w:tc>
          <w:tcPr>
            <w:tcW w:w="2835" w:type="dxa"/>
            <w:vAlign w:val="center"/>
          </w:tcPr>
          <w:p>
            <w:pPr>
              <w:pStyle w:val="11"/>
            </w:pPr>
            <w:r>
              <w:t>项目名称</w:t>
            </w:r>
          </w:p>
        </w:tc>
        <w:tc>
          <w:tcPr>
            <w:tcW w:w="6095" w:type="dxa"/>
            <w:gridSpan w:val="3"/>
            <w:vAlign w:val="center"/>
          </w:tcPr>
          <w:p>
            <w:pPr>
              <w:pStyle w:val="13"/>
            </w:pPr>
            <w:r>
              <w:t>2026年区级北寨自来水改造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"""改造北寨村自来水管网7公里，保证村民饮水安全，提高村民生活质量。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1."""改造北寨村自来水管网7公里，保证村民饮水安全，提高村民生活质量。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改造自来水管网村庄数</w:t>
            </w:r>
          </w:p>
        </w:tc>
        <w:tc>
          <w:tcPr>
            <w:tcW w:w="5386" w:type="dxa"/>
            <w:vAlign w:val="center"/>
          </w:tcPr>
          <w:p>
            <w:pPr>
              <w:pStyle w:val="13"/>
            </w:pPr>
            <w:r>
              <w:t>改造自来水管网村庄数</w:t>
            </w:r>
          </w:p>
        </w:tc>
        <w:tc>
          <w:tcPr>
            <w:tcW w:w="2268" w:type="dxa"/>
            <w:vAlign w:val="center"/>
          </w:tcPr>
          <w:p>
            <w:pPr>
              <w:pStyle w:val="13"/>
            </w:pPr>
            <w:r>
              <w:t>1个</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新建给水管网长度</w:t>
            </w:r>
          </w:p>
        </w:tc>
        <w:tc>
          <w:tcPr>
            <w:tcW w:w="5386" w:type="dxa"/>
            <w:vAlign w:val="center"/>
          </w:tcPr>
          <w:p>
            <w:pPr>
              <w:pStyle w:val="13"/>
            </w:pPr>
            <w:r>
              <w:t>新建给水管网长度</w:t>
            </w:r>
          </w:p>
        </w:tc>
        <w:tc>
          <w:tcPr>
            <w:tcW w:w="2268" w:type="dxa"/>
            <w:vAlign w:val="center"/>
          </w:tcPr>
          <w:p>
            <w:pPr>
              <w:pStyle w:val="13"/>
            </w:pPr>
            <w:r>
              <w:t>7公里</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自来水管网管径范围</w:t>
            </w:r>
          </w:p>
        </w:tc>
        <w:tc>
          <w:tcPr>
            <w:tcW w:w="5386" w:type="dxa"/>
            <w:vAlign w:val="center"/>
          </w:tcPr>
          <w:p>
            <w:pPr>
              <w:pStyle w:val="13"/>
            </w:pPr>
            <w:r>
              <w:t>自来水管网管径范围</w:t>
            </w:r>
          </w:p>
        </w:tc>
        <w:tc>
          <w:tcPr>
            <w:tcW w:w="2268" w:type="dxa"/>
            <w:vAlign w:val="center"/>
          </w:tcPr>
          <w:p>
            <w:pPr>
              <w:pStyle w:val="13"/>
            </w:pPr>
            <w:r>
              <w:t>de20—de160</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安装机械入户水表数量</w:t>
            </w:r>
          </w:p>
        </w:tc>
        <w:tc>
          <w:tcPr>
            <w:tcW w:w="5386" w:type="dxa"/>
            <w:vAlign w:val="center"/>
          </w:tcPr>
          <w:p>
            <w:pPr>
              <w:pStyle w:val="13"/>
            </w:pPr>
            <w:r>
              <w:t>安装机械入户水表数量</w:t>
            </w:r>
          </w:p>
        </w:tc>
        <w:tc>
          <w:tcPr>
            <w:tcW w:w="2268" w:type="dxa"/>
            <w:vAlign w:val="center"/>
          </w:tcPr>
          <w:p>
            <w:pPr>
              <w:pStyle w:val="13"/>
            </w:pPr>
            <w:r>
              <w:t>500个</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安装自来水管网受益户数</w:t>
            </w:r>
          </w:p>
        </w:tc>
        <w:tc>
          <w:tcPr>
            <w:tcW w:w="5386" w:type="dxa"/>
            <w:vAlign w:val="center"/>
          </w:tcPr>
          <w:p>
            <w:pPr>
              <w:pStyle w:val="13"/>
            </w:pPr>
            <w:r>
              <w:t>安装自来水管网受益户数</w:t>
            </w:r>
          </w:p>
        </w:tc>
        <w:tc>
          <w:tcPr>
            <w:tcW w:w="2268" w:type="dxa"/>
            <w:vAlign w:val="center"/>
          </w:tcPr>
          <w:p>
            <w:pPr>
              <w:pStyle w:val="13"/>
            </w:pPr>
            <w:r>
              <w:t>225户</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工程验收合格占总工程的比重</w:t>
            </w:r>
          </w:p>
        </w:tc>
        <w:tc>
          <w:tcPr>
            <w:tcW w:w="2268" w:type="dxa"/>
            <w:vAlign w:val="center"/>
          </w:tcPr>
          <w:p>
            <w:pPr>
              <w:pStyle w:val="13"/>
            </w:pPr>
            <w:r>
              <w:t>100%</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完成新建管网时限</w:t>
            </w:r>
          </w:p>
        </w:tc>
        <w:tc>
          <w:tcPr>
            <w:tcW w:w="5386" w:type="dxa"/>
            <w:vAlign w:val="center"/>
          </w:tcPr>
          <w:p>
            <w:pPr>
              <w:pStyle w:val="13"/>
            </w:pPr>
            <w:r>
              <w:t>完成新建管网时限</w:t>
            </w:r>
          </w:p>
        </w:tc>
        <w:tc>
          <w:tcPr>
            <w:tcW w:w="2268" w:type="dxa"/>
            <w:vAlign w:val="center"/>
          </w:tcPr>
          <w:p>
            <w:pPr>
              <w:pStyle w:val="13"/>
            </w:pPr>
            <w:r>
              <w:t>已完成</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本年度支付工程金额</w:t>
            </w:r>
          </w:p>
        </w:tc>
        <w:tc>
          <w:tcPr>
            <w:tcW w:w="5386" w:type="dxa"/>
            <w:vAlign w:val="center"/>
          </w:tcPr>
          <w:p>
            <w:pPr>
              <w:pStyle w:val="13"/>
            </w:pPr>
            <w:r>
              <w:t>本年度支付工程金额</w:t>
            </w:r>
          </w:p>
        </w:tc>
        <w:tc>
          <w:tcPr>
            <w:tcW w:w="2268" w:type="dxa"/>
            <w:vAlign w:val="center"/>
          </w:tcPr>
          <w:p>
            <w:pPr>
              <w:pStyle w:val="13"/>
            </w:pPr>
            <w:r>
              <w:t>≤10万元</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工程总成本控制</w:t>
            </w:r>
          </w:p>
        </w:tc>
        <w:tc>
          <w:tcPr>
            <w:tcW w:w="5386" w:type="dxa"/>
            <w:vAlign w:val="center"/>
          </w:tcPr>
          <w:p>
            <w:pPr>
              <w:pStyle w:val="13"/>
            </w:pPr>
            <w:r>
              <w:t>工程总成本控制</w:t>
            </w:r>
          </w:p>
        </w:tc>
        <w:tc>
          <w:tcPr>
            <w:tcW w:w="2268" w:type="dxa"/>
            <w:vAlign w:val="center"/>
          </w:tcPr>
          <w:p>
            <w:pPr>
              <w:pStyle w:val="13"/>
            </w:pPr>
            <w:r>
              <w:t>182.73万元</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完成自来水管网建造受益人数</w:t>
            </w:r>
          </w:p>
        </w:tc>
        <w:tc>
          <w:tcPr>
            <w:tcW w:w="2268" w:type="dxa"/>
            <w:vAlign w:val="center"/>
          </w:tcPr>
          <w:p>
            <w:pPr>
              <w:pStyle w:val="13"/>
            </w:pPr>
            <w:r>
              <w:t>3500人</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修建自来水管网影响</w:t>
            </w:r>
          </w:p>
        </w:tc>
        <w:tc>
          <w:tcPr>
            <w:tcW w:w="5386" w:type="dxa"/>
            <w:vAlign w:val="center"/>
          </w:tcPr>
          <w:p>
            <w:pPr>
              <w:pStyle w:val="13"/>
            </w:pPr>
            <w:r>
              <w:t>修建自来水管网影响</w:t>
            </w:r>
          </w:p>
        </w:tc>
        <w:tc>
          <w:tcPr>
            <w:tcW w:w="2268" w:type="dxa"/>
            <w:vAlign w:val="center"/>
          </w:tcPr>
          <w:p>
            <w:pPr>
              <w:pStyle w:val="13"/>
            </w:pPr>
            <w:r>
              <w:t>保证村民饮水安全，提高村民生活质量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3、2026年区级村庄规划编制绩效目标表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13011026P001512101321</w:t>
            </w:r>
          </w:p>
        </w:tc>
        <w:tc>
          <w:tcPr>
            <w:tcW w:w="2835" w:type="dxa"/>
            <w:vAlign w:val="center"/>
          </w:tcPr>
          <w:p>
            <w:pPr>
              <w:pStyle w:val="11"/>
            </w:pPr>
            <w:r>
              <w:t>项目名称</w:t>
            </w:r>
          </w:p>
        </w:tc>
        <w:tc>
          <w:tcPr>
            <w:tcW w:w="6095" w:type="dxa"/>
            <w:gridSpan w:val="3"/>
            <w:vAlign w:val="center"/>
          </w:tcPr>
          <w:p>
            <w:pPr>
              <w:pStyle w:val="13"/>
            </w:pPr>
            <w:r>
              <w:t>2026年区级村庄规划编制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开展村庄发展定位，编制上寨乡五个村的“多规合一”村庄规划，促进上寨乡发展和规划。</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1.开展村庄发展定位，编制上寨乡五个村的“多规合一”村庄规划，促进上寨乡发展和规划。</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编制规划村庄数</w:t>
            </w:r>
          </w:p>
        </w:tc>
        <w:tc>
          <w:tcPr>
            <w:tcW w:w="5386" w:type="dxa"/>
            <w:vAlign w:val="center"/>
          </w:tcPr>
          <w:p>
            <w:pPr>
              <w:pStyle w:val="13"/>
            </w:pPr>
            <w:r>
              <w:t>编制规划村庄数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村庄编制规划效果</w:t>
            </w:r>
          </w:p>
        </w:tc>
        <w:tc>
          <w:tcPr>
            <w:tcW w:w="5386" w:type="dxa"/>
            <w:vAlign w:val="center"/>
          </w:tcPr>
          <w:p>
            <w:pPr>
              <w:pStyle w:val="13"/>
            </w:pPr>
            <w:r>
              <w:t>村庄编制规划效果</w:t>
            </w:r>
          </w:p>
        </w:tc>
        <w:tc>
          <w:tcPr>
            <w:tcW w:w="2268" w:type="dxa"/>
            <w:vAlign w:val="center"/>
          </w:tcPr>
          <w:p>
            <w:pPr>
              <w:pStyle w:val="13"/>
            </w:pPr>
            <w:r>
              <w:t>确定村庄发展定位与目标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村庄编制规划完成及时率</w:t>
            </w:r>
          </w:p>
        </w:tc>
        <w:tc>
          <w:tcPr>
            <w:tcW w:w="5386" w:type="dxa"/>
            <w:vAlign w:val="center"/>
          </w:tcPr>
          <w:p>
            <w:pPr>
              <w:pStyle w:val="13"/>
            </w:pPr>
            <w:r>
              <w:t>村庄编制规划完成及时率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编制村庄规划成本控制</w:t>
            </w:r>
          </w:p>
        </w:tc>
        <w:tc>
          <w:tcPr>
            <w:tcW w:w="5386" w:type="dxa"/>
            <w:vAlign w:val="center"/>
          </w:tcPr>
          <w:p>
            <w:pPr>
              <w:pStyle w:val="13"/>
            </w:pPr>
            <w:r>
              <w:t>编制村庄规划成本控制</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村庄规划编制影响</w:t>
            </w:r>
          </w:p>
        </w:tc>
        <w:tc>
          <w:tcPr>
            <w:tcW w:w="5386" w:type="dxa"/>
            <w:vAlign w:val="center"/>
          </w:tcPr>
          <w:p>
            <w:pPr>
              <w:pStyle w:val="13"/>
            </w:pPr>
            <w:r>
              <w:t>村庄规划编制影响</w:t>
            </w:r>
          </w:p>
        </w:tc>
        <w:tc>
          <w:tcPr>
            <w:tcW w:w="2268" w:type="dxa"/>
            <w:vAlign w:val="center"/>
          </w:tcPr>
          <w:p>
            <w:pPr>
              <w:pStyle w:val="13"/>
            </w:pPr>
            <w:r>
              <w:t>促进村庄发展和规划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满意群众占受调查总人数比例</w:t>
            </w:r>
          </w:p>
        </w:tc>
        <w:tc>
          <w:tcPr>
            <w:tcW w:w="2268" w:type="dxa"/>
            <w:vAlign w:val="center"/>
          </w:tcPr>
          <w:p>
            <w:pPr>
              <w:pStyle w:val="13"/>
            </w:pPr>
            <w:r>
              <w:t>%</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4、2026年区级衡井线北寨段两侧绿化、环乡路南寨及梁庄绿化、山前大道南延两侧绿化占地租金绩效目标表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13011026P000006100370</w:t>
            </w:r>
          </w:p>
        </w:tc>
        <w:tc>
          <w:tcPr>
            <w:tcW w:w="2835" w:type="dxa"/>
            <w:vAlign w:val="center"/>
          </w:tcPr>
          <w:p>
            <w:pPr>
              <w:pStyle w:val="11"/>
            </w:pPr>
            <w:r>
              <w:t>项目名称</w:t>
            </w:r>
          </w:p>
        </w:tc>
        <w:tc>
          <w:tcPr>
            <w:tcW w:w="6095" w:type="dxa"/>
            <w:gridSpan w:val="3"/>
            <w:vAlign w:val="center"/>
          </w:tcPr>
          <w:p>
            <w:pPr>
              <w:pStyle w:val="13"/>
            </w:pPr>
            <w:r>
              <w:t>2026年区级衡井线北寨段两侧绿化、环乡路南寨及梁庄绿化、山前大道南延两侧绿化占地租金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16.95</w:t>
            </w:r>
          </w:p>
        </w:tc>
        <w:tc>
          <w:tcPr>
            <w:tcW w:w="2835" w:type="dxa"/>
            <w:vAlign w:val="center"/>
          </w:tcPr>
          <w:p>
            <w:pPr>
              <w:pStyle w:val="11"/>
            </w:pPr>
            <w:r>
              <w:t>其中：财政    资金</w:t>
            </w:r>
          </w:p>
        </w:tc>
        <w:tc>
          <w:tcPr>
            <w:tcW w:w="2551" w:type="dxa"/>
            <w:vAlign w:val="center"/>
          </w:tcPr>
          <w:p>
            <w:pPr>
              <w:pStyle w:val="13"/>
            </w:pPr>
            <w:r>
              <w:t>16.95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对衡井线北寨段、山前大道南延（北寨至上寨段）、村村通环乡路两侧进行绿化，涉及农户共437户，土地共计235.73645亩，共计339460元给予农户补偿。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1."""对衡井线北寨段、山前大道南延（北寨至上寨段）、村村通环乡路两侧进行绿化，涉及农户共437户，土地共计235.73645亩，共计339460元给予农户补偿。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绿化工程数量</w:t>
            </w:r>
          </w:p>
        </w:tc>
        <w:tc>
          <w:tcPr>
            <w:tcW w:w="5386" w:type="dxa"/>
            <w:vAlign w:val="center"/>
          </w:tcPr>
          <w:p>
            <w:pPr>
              <w:pStyle w:val="13"/>
            </w:pPr>
            <w:r>
              <w:t>我乡涉及补偿的道路绿化工程数量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道路绿化涉及村庄数量</w:t>
            </w:r>
          </w:p>
        </w:tc>
        <w:tc>
          <w:tcPr>
            <w:tcW w:w="5386" w:type="dxa"/>
            <w:vAlign w:val="center"/>
          </w:tcPr>
          <w:p>
            <w:pPr>
              <w:pStyle w:val="13"/>
            </w:pPr>
            <w:r>
              <w:t>道路绿化涉及村庄数量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道路绿化涉及农户数量</w:t>
            </w:r>
          </w:p>
        </w:tc>
        <w:tc>
          <w:tcPr>
            <w:tcW w:w="5386" w:type="dxa"/>
            <w:vAlign w:val="center"/>
          </w:tcPr>
          <w:p>
            <w:pPr>
              <w:pStyle w:val="13"/>
            </w:pPr>
            <w:r>
              <w:t>道路绿化涉及农户数量</w:t>
            </w:r>
          </w:p>
        </w:tc>
        <w:tc>
          <w:tcPr>
            <w:tcW w:w="2268" w:type="dxa"/>
            <w:vAlign w:val="center"/>
          </w:tcPr>
          <w:p>
            <w:pPr>
              <w:pStyle w:val="13"/>
            </w:pPr>
            <w:r>
              <w:t>437户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道路绿化涉及土地数量</w:t>
            </w:r>
          </w:p>
        </w:tc>
        <w:tc>
          <w:tcPr>
            <w:tcW w:w="5386" w:type="dxa"/>
            <w:vAlign w:val="center"/>
          </w:tcPr>
          <w:p>
            <w:pPr>
              <w:pStyle w:val="13"/>
            </w:pPr>
            <w:r>
              <w:t>道路绿化涉及土地数量</w:t>
            </w:r>
          </w:p>
        </w:tc>
        <w:tc>
          <w:tcPr>
            <w:tcW w:w="2268" w:type="dxa"/>
            <w:vAlign w:val="center"/>
          </w:tcPr>
          <w:p>
            <w:pPr>
              <w:pStyle w:val="13"/>
            </w:pPr>
            <w:r>
              <w:t>235.73亩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道路绿化补偿标准</w:t>
            </w:r>
          </w:p>
        </w:tc>
        <w:tc>
          <w:tcPr>
            <w:tcW w:w="5386" w:type="dxa"/>
            <w:vAlign w:val="center"/>
          </w:tcPr>
          <w:p>
            <w:pPr>
              <w:pStyle w:val="13"/>
            </w:pPr>
            <w:r>
              <w:t>道路绿化补偿标准</w:t>
            </w:r>
          </w:p>
        </w:tc>
        <w:tc>
          <w:tcPr>
            <w:tcW w:w="2268" w:type="dxa"/>
            <w:vAlign w:val="center"/>
          </w:tcPr>
          <w:p>
            <w:pPr>
              <w:pStyle w:val="13"/>
            </w:pPr>
            <w:r>
              <w:t>1440元/亩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补偿发放时限</w:t>
            </w:r>
          </w:p>
        </w:tc>
        <w:tc>
          <w:tcPr>
            <w:tcW w:w="5386" w:type="dxa"/>
            <w:vAlign w:val="center"/>
          </w:tcPr>
          <w:p>
            <w:pPr>
              <w:pStyle w:val="13"/>
            </w:pPr>
            <w:r>
              <w:t>补偿发放时限</w:t>
            </w:r>
          </w:p>
        </w:tc>
        <w:tc>
          <w:tcPr>
            <w:tcW w:w="2268" w:type="dxa"/>
            <w:vAlign w:val="center"/>
          </w:tcPr>
          <w:p>
            <w:pPr>
              <w:pStyle w:val="13"/>
            </w:pPr>
            <w:r>
              <w:t>2026年底前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一年道路绿化补偿金额</w:t>
            </w:r>
          </w:p>
        </w:tc>
        <w:tc>
          <w:tcPr>
            <w:tcW w:w="5386" w:type="dxa"/>
            <w:vAlign w:val="center"/>
          </w:tcPr>
          <w:p>
            <w:pPr>
              <w:pStyle w:val="13"/>
            </w:pPr>
            <w:r>
              <w:t>一年道路绿化补偿金额</w:t>
            </w:r>
          </w:p>
        </w:tc>
        <w:tc>
          <w:tcPr>
            <w:tcW w:w="2268" w:type="dxa"/>
            <w:vAlign w:val="center"/>
          </w:tcPr>
          <w:p>
            <w:pPr>
              <w:pStyle w:val="13"/>
            </w:pPr>
            <w:r>
              <w:t>169500元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道路绿化补偿影响</w:t>
            </w:r>
          </w:p>
        </w:tc>
        <w:tc>
          <w:tcPr>
            <w:tcW w:w="5386" w:type="dxa"/>
            <w:vAlign w:val="center"/>
          </w:tcPr>
          <w:p>
            <w:pPr>
              <w:pStyle w:val="13"/>
            </w:pPr>
            <w:r>
              <w:t>道路绿化补偿影响</w:t>
            </w:r>
          </w:p>
        </w:tc>
        <w:tc>
          <w:tcPr>
            <w:tcW w:w="2268" w:type="dxa"/>
            <w:vAlign w:val="center"/>
          </w:tcPr>
          <w:p>
            <w:pPr>
              <w:pStyle w:val="13"/>
            </w:pPr>
            <w:r>
              <w:t>提高群众生活水平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5、2026年区级上寨村村通环乡路南寨段（二标段）质保金绩效目标表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13011026P00160810077U</w:t>
            </w:r>
          </w:p>
        </w:tc>
        <w:tc>
          <w:tcPr>
            <w:tcW w:w="2835" w:type="dxa"/>
            <w:vAlign w:val="center"/>
          </w:tcPr>
          <w:p>
            <w:pPr>
              <w:pStyle w:val="11"/>
            </w:pPr>
            <w:r>
              <w:t>项目名称</w:t>
            </w:r>
          </w:p>
        </w:tc>
        <w:tc>
          <w:tcPr>
            <w:tcW w:w="6095" w:type="dxa"/>
            <w:gridSpan w:val="3"/>
            <w:vAlign w:val="center"/>
          </w:tcPr>
          <w:p>
            <w:pPr>
              <w:pStyle w:val="13"/>
            </w:pPr>
            <w:r>
              <w:t>2026年区级上寨村村通环乡路南寨段（二标段）质保金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建设长度1.1公里道路，方便村民出行，提升辖区内旅游业发展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1.建设长度1.1公里道路，方便村民出行，提升辖区内旅游业发展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修建道路长度</w:t>
            </w:r>
          </w:p>
        </w:tc>
        <w:tc>
          <w:tcPr>
            <w:tcW w:w="5386" w:type="dxa"/>
            <w:vAlign w:val="center"/>
          </w:tcPr>
          <w:p>
            <w:pPr>
              <w:pStyle w:val="13"/>
            </w:pPr>
            <w:r>
              <w:t>修建道路长度</w:t>
            </w:r>
          </w:p>
        </w:tc>
        <w:tc>
          <w:tcPr>
            <w:tcW w:w="2268" w:type="dxa"/>
            <w:vAlign w:val="center"/>
          </w:tcPr>
          <w:p>
            <w:pPr>
              <w:pStyle w:val="13"/>
            </w:pPr>
            <w:r>
              <w:t>1.1公里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修建道路宽度</w:t>
            </w:r>
          </w:p>
        </w:tc>
        <w:tc>
          <w:tcPr>
            <w:tcW w:w="5386" w:type="dxa"/>
            <w:vAlign w:val="center"/>
          </w:tcPr>
          <w:p>
            <w:pPr>
              <w:pStyle w:val="13"/>
            </w:pPr>
            <w:r>
              <w:t>修建道路宽度</w:t>
            </w:r>
          </w:p>
        </w:tc>
        <w:tc>
          <w:tcPr>
            <w:tcW w:w="2268" w:type="dxa"/>
            <w:vAlign w:val="center"/>
          </w:tcPr>
          <w:p>
            <w:pPr>
              <w:pStyle w:val="13"/>
            </w:pPr>
            <w:r>
              <w:t>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两侧绿化带宽度</w:t>
            </w:r>
          </w:p>
        </w:tc>
        <w:tc>
          <w:tcPr>
            <w:tcW w:w="5386" w:type="dxa"/>
            <w:vAlign w:val="center"/>
          </w:tcPr>
          <w:p>
            <w:pPr>
              <w:pStyle w:val="13"/>
            </w:pPr>
            <w:r>
              <w:t>两侧绿化带宽度</w:t>
            </w:r>
          </w:p>
        </w:tc>
        <w:tc>
          <w:tcPr>
            <w:tcW w:w="2268" w:type="dxa"/>
            <w:vAlign w:val="center"/>
          </w:tcPr>
          <w:p>
            <w:pPr>
              <w:pStyle w:val="13"/>
            </w:pPr>
            <w:r>
              <w:t>1米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规定时间内工程完工率</w:t>
            </w:r>
          </w:p>
        </w:tc>
        <w:tc>
          <w:tcPr>
            <w:tcW w:w="5386" w:type="dxa"/>
            <w:vAlign w:val="center"/>
          </w:tcPr>
          <w:p>
            <w:pPr>
              <w:pStyle w:val="13"/>
            </w:pPr>
            <w:r>
              <w:t>规定时间内工程完工率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2026年支付质保金金额</w:t>
            </w:r>
          </w:p>
        </w:tc>
        <w:tc>
          <w:tcPr>
            <w:tcW w:w="5386" w:type="dxa"/>
            <w:vAlign w:val="center"/>
          </w:tcPr>
          <w:p>
            <w:pPr>
              <w:pStyle w:val="13"/>
            </w:pPr>
            <w:r>
              <w:t>2026年支付质保金金额</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工程对村民影响</w:t>
            </w:r>
          </w:p>
        </w:tc>
        <w:tc>
          <w:tcPr>
            <w:tcW w:w="5386" w:type="dxa"/>
            <w:vAlign w:val="center"/>
          </w:tcPr>
          <w:p>
            <w:pPr>
              <w:pStyle w:val="13"/>
            </w:pPr>
            <w:r>
              <w:t>工程对村民影响</w:t>
            </w:r>
          </w:p>
        </w:tc>
        <w:tc>
          <w:tcPr>
            <w:tcW w:w="2268" w:type="dxa"/>
            <w:vAlign w:val="center"/>
          </w:tcPr>
          <w:p>
            <w:pPr>
              <w:pStyle w:val="13"/>
            </w:pPr>
            <w:r>
              <w:t>提高村民出行安全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6、2026年区级上寨乡洨河支流河道及村内道路水毁抢险修复绩效目标表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13011026P001577100552</w:t>
            </w:r>
          </w:p>
        </w:tc>
        <w:tc>
          <w:tcPr>
            <w:tcW w:w="2835" w:type="dxa"/>
            <w:vAlign w:val="center"/>
          </w:tcPr>
          <w:p>
            <w:pPr>
              <w:pStyle w:val="11"/>
            </w:pPr>
            <w:r>
              <w:t>项目名称</w:t>
            </w:r>
          </w:p>
        </w:tc>
        <w:tc>
          <w:tcPr>
            <w:tcW w:w="6095" w:type="dxa"/>
            <w:gridSpan w:val="3"/>
            <w:vAlign w:val="center"/>
          </w:tcPr>
          <w:p>
            <w:pPr>
              <w:pStyle w:val="13"/>
            </w:pPr>
            <w:r>
              <w:t>2026年区级上寨乡洨河支流河道及村内道路水毁抢险修复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修复洨河支流水毁道路，期中清淤1750立方米，浆砌片石挡墙1425立方米，增加水泥盖板185米，保障居民生产生活安全。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1.修复洨河支流水毁道路，期中清淤1750立方米，浆砌片石挡墙1425立方米，增加水泥盖板185米，保障居民生产生活安全。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清淤数量</w:t>
            </w:r>
          </w:p>
        </w:tc>
        <w:tc>
          <w:tcPr>
            <w:tcW w:w="5386" w:type="dxa"/>
            <w:vAlign w:val="center"/>
          </w:tcPr>
          <w:p>
            <w:pPr>
              <w:pStyle w:val="13"/>
            </w:pPr>
            <w:r>
              <w:t>清淤数量</w:t>
            </w:r>
          </w:p>
        </w:tc>
        <w:tc>
          <w:tcPr>
            <w:tcW w:w="2268" w:type="dxa"/>
            <w:vAlign w:val="center"/>
          </w:tcPr>
          <w:p>
            <w:pPr>
              <w:pStyle w:val="13"/>
            </w:pPr>
            <w:r>
              <w:t>1750立方米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浆砌片石挡墙数量</w:t>
            </w:r>
          </w:p>
        </w:tc>
        <w:tc>
          <w:tcPr>
            <w:tcW w:w="5386" w:type="dxa"/>
            <w:vAlign w:val="center"/>
          </w:tcPr>
          <w:p>
            <w:pPr>
              <w:pStyle w:val="13"/>
            </w:pPr>
            <w:r>
              <w:t>浆砌片石挡墙数量</w:t>
            </w:r>
          </w:p>
        </w:tc>
        <w:tc>
          <w:tcPr>
            <w:tcW w:w="2268" w:type="dxa"/>
            <w:vAlign w:val="center"/>
          </w:tcPr>
          <w:p>
            <w:pPr>
              <w:pStyle w:val="13"/>
            </w:pPr>
            <w:r>
              <w:t>1425立方米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水泥盖板数量</w:t>
            </w:r>
          </w:p>
        </w:tc>
        <w:tc>
          <w:tcPr>
            <w:tcW w:w="5386" w:type="dxa"/>
            <w:vAlign w:val="center"/>
          </w:tcPr>
          <w:p>
            <w:pPr>
              <w:pStyle w:val="13"/>
            </w:pPr>
            <w:r>
              <w:t>水泥盖板数量</w:t>
            </w:r>
          </w:p>
        </w:tc>
        <w:tc>
          <w:tcPr>
            <w:tcW w:w="2268" w:type="dxa"/>
            <w:vAlign w:val="center"/>
          </w:tcPr>
          <w:p>
            <w:pPr>
              <w:pStyle w:val="13"/>
            </w:pPr>
            <w:r>
              <w:t>185米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修复水毁道路时限</w:t>
            </w:r>
          </w:p>
        </w:tc>
        <w:tc>
          <w:tcPr>
            <w:tcW w:w="5386" w:type="dxa"/>
            <w:vAlign w:val="center"/>
          </w:tcPr>
          <w:p>
            <w:pPr>
              <w:pStyle w:val="13"/>
            </w:pPr>
            <w:r>
              <w:t>修复水毁道路时限</w:t>
            </w:r>
          </w:p>
        </w:tc>
        <w:tc>
          <w:tcPr>
            <w:tcW w:w="2268" w:type="dxa"/>
            <w:vAlign w:val="center"/>
          </w:tcPr>
          <w:p>
            <w:pPr>
              <w:pStyle w:val="13"/>
            </w:pPr>
            <w:r>
              <w:t>12月底之前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修复水毁道路金额</w:t>
            </w:r>
          </w:p>
        </w:tc>
        <w:tc>
          <w:tcPr>
            <w:tcW w:w="5386" w:type="dxa"/>
            <w:vAlign w:val="center"/>
          </w:tcPr>
          <w:p>
            <w:pPr>
              <w:pStyle w:val="13"/>
            </w:pPr>
            <w:r>
              <w:t>2026年支付修复水毁道路金额</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修复水毁道路比例</w:t>
            </w:r>
          </w:p>
        </w:tc>
        <w:tc>
          <w:tcPr>
            <w:tcW w:w="5386" w:type="dxa"/>
            <w:vAlign w:val="center"/>
          </w:tcPr>
          <w:p>
            <w:pPr>
              <w:pStyle w:val="13"/>
            </w:pPr>
            <w:r>
              <w:t>修复洨河支流水毁道路比例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修复道路影响</w:t>
            </w:r>
          </w:p>
        </w:tc>
        <w:tc>
          <w:tcPr>
            <w:tcW w:w="5386" w:type="dxa"/>
            <w:vAlign w:val="center"/>
          </w:tcPr>
          <w:p>
            <w:pPr>
              <w:pStyle w:val="13"/>
            </w:pPr>
            <w:r>
              <w:t>修复水毁道路对群众影响</w:t>
            </w:r>
          </w:p>
        </w:tc>
        <w:tc>
          <w:tcPr>
            <w:tcW w:w="2268" w:type="dxa"/>
            <w:vAlign w:val="center"/>
          </w:tcPr>
          <w:p>
            <w:pPr>
              <w:pStyle w:val="13"/>
            </w:pPr>
            <w:r>
              <w:t>保障群众生命生产安全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满意群众占受调查群众比例</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7、2026年区级上寨乡办公场所配套改造项目绩效目标表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13011026P001556101582</w:t>
            </w:r>
          </w:p>
        </w:tc>
        <w:tc>
          <w:tcPr>
            <w:tcW w:w="2835" w:type="dxa"/>
            <w:vAlign w:val="center"/>
          </w:tcPr>
          <w:p>
            <w:pPr>
              <w:pStyle w:val="11"/>
            </w:pPr>
            <w:r>
              <w:t>项目名称</w:t>
            </w:r>
          </w:p>
        </w:tc>
        <w:tc>
          <w:tcPr>
            <w:tcW w:w="6095" w:type="dxa"/>
            <w:gridSpan w:val="3"/>
            <w:vAlign w:val="center"/>
          </w:tcPr>
          <w:p>
            <w:pPr>
              <w:pStyle w:val="13"/>
            </w:pPr>
            <w:r>
              <w:t>2026年区级上寨乡办公场所配套改造项目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完成办公场所配套设施建设，保障办公顺利进。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1.完成办公场所配套设施建设，保障办公顺利进。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建造消防设施数量</w:t>
            </w:r>
          </w:p>
        </w:tc>
        <w:tc>
          <w:tcPr>
            <w:tcW w:w="5386" w:type="dxa"/>
            <w:vAlign w:val="center"/>
          </w:tcPr>
          <w:p>
            <w:pPr>
              <w:pStyle w:val="13"/>
            </w:pPr>
            <w:r>
              <w:t>建造消防设施数量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工程建造合格率</w:t>
            </w:r>
          </w:p>
        </w:tc>
        <w:tc>
          <w:tcPr>
            <w:tcW w:w="5386" w:type="dxa"/>
            <w:vAlign w:val="center"/>
          </w:tcPr>
          <w:p>
            <w:pPr>
              <w:pStyle w:val="13"/>
            </w:pPr>
            <w:r>
              <w:t>工程建造合格率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工程完工时限</w:t>
            </w:r>
          </w:p>
        </w:tc>
        <w:tc>
          <w:tcPr>
            <w:tcW w:w="5386" w:type="dxa"/>
            <w:vAlign w:val="center"/>
          </w:tcPr>
          <w:p>
            <w:pPr>
              <w:pStyle w:val="13"/>
            </w:pPr>
            <w:r>
              <w:t>工程完工时限</w:t>
            </w:r>
          </w:p>
        </w:tc>
        <w:tc>
          <w:tcPr>
            <w:tcW w:w="2268" w:type="dxa"/>
            <w:vAlign w:val="center"/>
          </w:tcPr>
          <w:p>
            <w:pPr>
              <w:pStyle w:val="13"/>
            </w:pPr>
            <w:r>
              <w:t>2026年年底之前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工程所需成本</w:t>
            </w:r>
          </w:p>
        </w:tc>
        <w:tc>
          <w:tcPr>
            <w:tcW w:w="5386" w:type="dxa"/>
            <w:vAlign w:val="center"/>
          </w:tcPr>
          <w:p>
            <w:pPr>
              <w:pStyle w:val="13"/>
            </w:pPr>
            <w:r>
              <w:t>工程所需成本</w:t>
            </w:r>
          </w:p>
        </w:tc>
        <w:tc>
          <w:tcPr>
            <w:tcW w:w="2268" w:type="dxa"/>
            <w:vAlign w:val="center"/>
          </w:tcPr>
          <w:p>
            <w:pPr>
              <w:pStyle w:val="13"/>
            </w:pPr>
            <w:r>
              <w:t>≤95万元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工程完工影响</w:t>
            </w:r>
          </w:p>
        </w:tc>
        <w:tc>
          <w:tcPr>
            <w:tcW w:w="5386" w:type="dxa"/>
            <w:vAlign w:val="center"/>
          </w:tcPr>
          <w:p>
            <w:pPr>
              <w:pStyle w:val="13"/>
            </w:pPr>
            <w:r>
              <w:t>工程完工影响</w:t>
            </w:r>
          </w:p>
        </w:tc>
        <w:tc>
          <w:tcPr>
            <w:tcW w:w="2268" w:type="dxa"/>
            <w:vAlign w:val="center"/>
          </w:tcPr>
          <w:p>
            <w:pPr>
              <w:pStyle w:val="13"/>
            </w:pPr>
            <w:r>
              <w:t>保障办公顺利进行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工程满意度</w:t>
            </w:r>
          </w:p>
        </w:tc>
        <w:tc>
          <w:tcPr>
            <w:tcW w:w="5386" w:type="dxa"/>
            <w:vAlign w:val="center"/>
          </w:tcPr>
          <w:p>
            <w:pPr>
              <w:pStyle w:val="13"/>
            </w:pPr>
            <w:r>
              <w:t>工程满意度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8、2026年区级上寨乡办公楼加固修缮绩效目标表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13011026P00320311016X</w:t>
            </w:r>
          </w:p>
        </w:tc>
        <w:tc>
          <w:tcPr>
            <w:tcW w:w="2835" w:type="dxa"/>
            <w:vAlign w:val="center"/>
          </w:tcPr>
          <w:p>
            <w:pPr>
              <w:pStyle w:val="11"/>
            </w:pPr>
            <w:r>
              <w:t>项目名称</w:t>
            </w:r>
          </w:p>
        </w:tc>
        <w:tc>
          <w:tcPr>
            <w:tcW w:w="6095" w:type="dxa"/>
            <w:gridSpan w:val="3"/>
            <w:vAlign w:val="center"/>
          </w:tcPr>
          <w:p>
            <w:pPr>
              <w:pStyle w:val="13"/>
            </w:pPr>
            <w:r>
              <w:t>2026年区级上寨乡办公楼加固修缮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155.00</w:t>
            </w:r>
          </w:p>
        </w:tc>
        <w:tc>
          <w:tcPr>
            <w:tcW w:w="2835" w:type="dxa"/>
            <w:vAlign w:val="center"/>
          </w:tcPr>
          <w:p>
            <w:pPr>
              <w:pStyle w:val="11"/>
            </w:pPr>
            <w:r>
              <w:t>其中：财政    资金</w:t>
            </w:r>
          </w:p>
        </w:tc>
        <w:tc>
          <w:tcPr>
            <w:tcW w:w="2551" w:type="dxa"/>
            <w:vAlign w:val="center"/>
          </w:tcPr>
          <w:p>
            <w:pPr>
              <w:pStyle w:val="13"/>
            </w:pPr>
            <w:r>
              <w:t>155.00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"修缮上寨乡办公楼，保障人民群众生命及财产安全.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1."修缮上寨乡办公楼，保障人民群众生命及财产安全.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维修面积</w:t>
            </w:r>
          </w:p>
        </w:tc>
        <w:tc>
          <w:tcPr>
            <w:tcW w:w="5386" w:type="dxa"/>
            <w:vAlign w:val="center"/>
          </w:tcPr>
          <w:p>
            <w:pPr>
              <w:pStyle w:val="13"/>
            </w:pPr>
            <w:r>
              <w:t>维修面积</w:t>
            </w:r>
          </w:p>
        </w:tc>
        <w:tc>
          <w:tcPr>
            <w:tcW w:w="2268" w:type="dxa"/>
            <w:vAlign w:val="center"/>
          </w:tcPr>
          <w:p>
            <w:pPr>
              <w:pStyle w:val="13"/>
            </w:pPr>
            <w:r>
              <w:t>2418平方米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维修达标率</w:t>
            </w:r>
          </w:p>
        </w:tc>
        <w:tc>
          <w:tcPr>
            <w:tcW w:w="5386" w:type="dxa"/>
            <w:vAlign w:val="center"/>
          </w:tcPr>
          <w:p>
            <w:pPr>
              <w:pStyle w:val="13"/>
            </w:pPr>
            <w:r>
              <w:t>维修达标率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维修完成时限</w:t>
            </w:r>
          </w:p>
        </w:tc>
        <w:tc>
          <w:tcPr>
            <w:tcW w:w="5386" w:type="dxa"/>
            <w:vAlign w:val="center"/>
          </w:tcPr>
          <w:p>
            <w:pPr>
              <w:pStyle w:val="13"/>
            </w:pPr>
            <w:r>
              <w:t>维修完成时限</w:t>
            </w:r>
          </w:p>
        </w:tc>
        <w:tc>
          <w:tcPr>
            <w:tcW w:w="2268" w:type="dxa"/>
            <w:vAlign w:val="center"/>
          </w:tcPr>
          <w:p>
            <w:pPr>
              <w:pStyle w:val="13"/>
            </w:pPr>
            <w:r>
              <w:t>按照合同规定时限完成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工程总成本</w:t>
            </w:r>
          </w:p>
        </w:tc>
        <w:tc>
          <w:tcPr>
            <w:tcW w:w="2268" w:type="dxa"/>
            <w:vAlign w:val="center"/>
          </w:tcPr>
          <w:p>
            <w:pPr>
              <w:pStyle w:val="13"/>
            </w:pPr>
            <w:r>
              <w:t>≤771.73万元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2026年申请金额</w:t>
            </w:r>
          </w:p>
        </w:tc>
        <w:tc>
          <w:tcPr>
            <w:tcW w:w="5386" w:type="dxa"/>
            <w:vAlign w:val="center"/>
          </w:tcPr>
          <w:p>
            <w:pPr>
              <w:pStyle w:val="13"/>
            </w:pPr>
            <w:r>
              <w:t>2026年支付金额</w:t>
            </w:r>
          </w:p>
        </w:tc>
        <w:tc>
          <w:tcPr>
            <w:tcW w:w="2268" w:type="dxa"/>
            <w:vAlign w:val="center"/>
          </w:tcPr>
          <w:p>
            <w:pPr>
              <w:pStyle w:val="13"/>
            </w:pPr>
            <w:r>
              <w:t>≤155万元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办公楼加固修缮后影响</w:t>
            </w:r>
          </w:p>
        </w:tc>
        <w:tc>
          <w:tcPr>
            <w:tcW w:w="5386" w:type="dxa"/>
            <w:vAlign w:val="center"/>
          </w:tcPr>
          <w:p>
            <w:pPr>
              <w:pStyle w:val="13"/>
            </w:pPr>
            <w:r>
              <w:t>办公楼加固修缮后影响</w:t>
            </w:r>
          </w:p>
        </w:tc>
        <w:tc>
          <w:tcPr>
            <w:tcW w:w="2268" w:type="dxa"/>
            <w:vAlign w:val="center"/>
          </w:tcPr>
          <w:p>
            <w:pPr>
              <w:pStyle w:val="13"/>
            </w:pPr>
            <w:r>
              <w:t>保障工作人员及群众生命、财产安全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满意群众占受调查群众比例</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9、2026年区级上寨乡村村通环乡路梁庄段（一标段）质保金绩效目标表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13011026P001608100768</w:t>
            </w:r>
          </w:p>
        </w:tc>
        <w:tc>
          <w:tcPr>
            <w:tcW w:w="2835" w:type="dxa"/>
            <w:vAlign w:val="center"/>
          </w:tcPr>
          <w:p>
            <w:pPr>
              <w:pStyle w:val="11"/>
            </w:pPr>
            <w:r>
              <w:t>项目名称</w:t>
            </w:r>
          </w:p>
        </w:tc>
        <w:tc>
          <w:tcPr>
            <w:tcW w:w="6095" w:type="dxa"/>
            <w:gridSpan w:val="3"/>
            <w:vAlign w:val="center"/>
          </w:tcPr>
          <w:p>
            <w:pPr>
              <w:pStyle w:val="13"/>
            </w:pPr>
            <w:r>
              <w:t>2026年区级上寨乡村村通环乡路梁庄段（一标段）质保金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"修建道路2公里，方便村民出行，促进旅游业发展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1."修建道路2公里，方便村民出行，促进旅游业发展</w:t>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修建道路长度</w:t>
            </w:r>
          </w:p>
        </w:tc>
        <w:tc>
          <w:tcPr>
            <w:tcW w:w="5386" w:type="dxa"/>
            <w:vAlign w:val="center"/>
          </w:tcPr>
          <w:p>
            <w:pPr>
              <w:pStyle w:val="13"/>
            </w:pPr>
            <w:r>
              <w:t>修建道路长度</w:t>
            </w:r>
          </w:p>
        </w:tc>
        <w:tc>
          <w:tcPr>
            <w:tcW w:w="2268" w:type="dxa"/>
            <w:vAlign w:val="center"/>
          </w:tcPr>
          <w:p>
            <w:pPr>
              <w:pStyle w:val="13"/>
            </w:pPr>
            <w:r>
              <w:t>2公里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修建道路宽度</w:t>
            </w:r>
          </w:p>
        </w:tc>
        <w:tc>
          <w:tcPr>
            <w:tcW w:w="5386" w:type="dxa"/>
            <w:vAlign w:val="center"/>
          </w:tcPr>
          <w:p>
            <w:pPr>
              <w:pStyle w:val="13"/>
            </w:pPr>
            <w:r>
              <w:t>修建道路宽度</w:t>
            </w:r>
          </w:p>
        </w:tc>
        <w:tc>
          <w:tcPr>
            <w:tcW w:w="2268" w:type="dxa"/>
            <w:vAlign w:val="center"/>
          </w:tcPr>
          <w:p>
            <w:pPr>
              <w:pStyle w:val="13"/>
            </w:pPr>
            <w:r>
              <w:t>6米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两侧绿化带宽度</w:t>
            </w:r>
          </w:p>
        </w:tc>
        <w:tc>
          <w:tcPr>
            <w:tcW w:w="5386" w:type="dxa"/>
            <w:vAlign w:val="center"/>
          </w:tcPr>
          <w:p>
            <w:pPr>
              <w:pStyle w:val="13"/>
            </w:pPr>
            <w:r>
              <w:t>两侧绿化带宽度</w:t>
            </w:r>
          </w:p>
        </w:tc>
        <w:tc>
          <w:tcPr>
            <w:tcW w:w="2268" w:type="dxa"/>
            <w:vAlign w:val="center"/>
          </w:tcPr>
          <w:p>
            <w:pPr>
              <w:pStyle w:val="13"/>
            </w:pPr>
            <w:r>
              <w:t>2米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按时完成工程占总工程比例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2026年支付工程款</w:t>
            </w:r>
          </w:p>
        </w:tc>
        <w:tc>
          <w:tcPr>
            <w:tcW w:w="5386" w:type="dxa"/>
            <w:vAlign w:val="center"/>
          </w:tcPr>
          <w:p>
            <w:pPr>
              <w:pStyle w:val="13"/>
            </w:pPr>
            <w:r>
              <w:t>2026年支付工程款</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道路修建对村民影响</w:t>
            </w:r>
          </w:p>
        </w:tc>
        <w:tc>
          <w:tcPr>
            <w:tcW w:w="5386" w:type="dxa"/>
            <w:vAlign w:val="center"/>
          </w:tcPr>
          <w:p>
            <w:pPr>
              <w:pStyle w:val="13"/>
            </w:pPr>
            <w:r>
              <w:t>道路修建对村民影响</w:t>
            </w:r>
          </w:p>
        </w:tc>
        <w:tc>
          <w:tcPr>
            <w:tcW w:w="2268" w:type="dxa"/>
            <w:vAlign w:val="center"/>
          </w:tcPr>
          <w:p>
            <w:pPr>
              <w:pStyle w:val="13"/>
            </w:pPr>
            <w:r>
              <w:t>方便出行，促进旅游业发展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满意村民占村民总数比例</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10、2026年区级上寨乡衡井线两侧环境整治资金绩效目标表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13011026P00155110038L</w:t>
            </w:r>
          </w:p>
        </w:tc>
        <w:tc>
          <w:tcPr>
            <w:tcW w:w="2835" w:type="dxa"/>
            <w:vAlign w:val="center"/>
          </w:tcPr>
          <w:p>
            <w:pPr>
              <w:pStyle w:val="11"/>
            </w:pPr>
            <w:r>
              <w:t>项目名称</w:t>
            </w:r>
          </w:p>
        </w:tc>
        <w:tc>
          <w:tcPr>
            <w:tcW w:w="6095" w:type="dxa"/>
            <w:gridSpan w:val="3"/>
            <w:vAlign w:val="center"/>
          </w:tcPr>
          <w:p>
            <w:pPr>
              <w:pStyle w:val="13"/>
            </w:pPr>
            <w:r>
              <w:t>2026年区级上寨乡衡井线两侧环境整治资金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"对衡井线两侧进行了整治提升和绿化，整修市场1350平方米；墙体修补、粉刷3760平方米；照明165米；绿化285平方米；清淤108立方米为广大群众营造一个良好的生活环境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1."对衡井线两侧进行了整治提升和绿化，整修市场1350平方米；墙体修补、粉刷3760平方米；照明165米；绿化285平方米；清淤108立方米为广大群众营造一个良好的生活环境</w:t>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修补墙体数量</w:t>
            </w:r>
          </w:p>
        </w:tc>
        <w:tc>
          <w:tcPr>
            <w:tcW w:w="5386" w:type="dxa"/>
            <w:vAlign w:val="center"/>
          </w:tcPr>
          <w:p>
            <w:pPr>
              <w:pStyle w:val="13"/>
            </w:pPr>
            <w:r>
              <w:t>修补墙体数量</w:t>
            </w:r>
          </w:p>
        </w:tc>
        <w:tc>
          <w:tcPr>
            <w:tcW w:w="2268" w:type="dxa"/>
            <w:vAlign w:val="center"/>
          </w:tcPr>
          <w:p>
            <w:pPr>
              <w:pStyle w:val="13"/>
            </w:pPr>
            <w:r>
              <w:t>3760平方米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衡井线两侧绿化率</w:t>
            </w:r>
          </w:p>
        </w:tc>
        <w:tc>
          <w:tcPr>
            <w:tcW w:w="5386" w:type="dxa"/>
            <w:vAlign w:val="center"/>
          </w:tcPr>
          <w:p>
            <w:pPr>
              <w:pStyle w:val="13"/>
            </w:pPr>
            <w:r>
              <w:t>衡井线两侧绿化率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安装照明数量</w:t>
            </w:r>
          </w:p>
        </w:tc>
        <w:tc>
          <w:tcPr>
            <w:tcW w:w="5386" w:type="dxa"/>
            <w:vAlign w:val="center"/>
          </w:tcPr>
          <w:p>
            <w:pPr>
              <w:pStyle w:val="13"/>
            </w:pPr>
            <w:r>
              <w:t>安装照明数量</w:t>
            </w:r>
          </w:p>
        </w:tc>
        <w:tc>
          <w:tcPr>
            <w:tcW w:w="2268" w:type="dxa"/>
            <w:vAlign w:val="center"/>
          </w:tcPr>
          <w:p>
            <w:pPr>
              <w:pStyle w:val="13"/>
            </w:pPr>
            <w:r>
              <w:t>165米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绿化面积</w:t>
            </w:r>
          </w:p>
        </w:tc>
        <w:tc>
          <w:tcPr>
            <w:tcW w:w="2268" w:type="dxa"/>
            <w:vAlign w:val="center"/>
          </w:tcPr>
          <w:p>
            <w:pPr>
              <w:pStyle w:val="13"/>
            </w:pPr>
            <w:r>
              <w:t>285平方米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清淤数量</w:t>
            </w:r>
          </w:p>
        </w:tc>
        <w:tc>
          <w:tcPr>
            <w:tcW w:w="5386" w:type="dxa"/>
            <w:vAlign w:val="center"/>
          </w:tcPr>
          <w:p>
            <w:pPr>
              <w:pStyle w:val="13"/>
            </w:pPr>
            <w:r>
              <w:t>清淤数量</w:t>
            </w:r>
          </w:p>
        </w:tc>
        <w:tc>
          <w:tcPr>
            <w:tcW w:w="2268" w:type="dxa"/>
            <w:vAlign w:val="center"/>
          </w:tcPr>
          <w:p>
            <w:pPr>
              <w:pStyle w:val="13"/>
            </w:pPr>
            <w:r>
              <w:t>108立方米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工程完工时限</w:t>
            </w:r>
          </w:p>
        </w:tc>
        <w:tc>
          <w:tcPr>
            <w:tcW w:w="5386" w:type="dxa"/>
            <w:vAlign w:val="center"/>
          </w:tcPr>
          <w:p>
            <w:pPr>
              <w:pStyle w:val="13"/>
            </w:pPr>
            <w:r>
              <w:t>工程完工时限</w:t>
            </w:r>
          </w:p>
        </w:tc>
        <w:tc>
          <w:tcPr>
            <w:tcW w:w="2268" w:type="dxa"/>
            <w:vAlign w:val="center"/>
          </w:tcPr>
          <w:p>
            <w:pPr>
              <w:pStyle w:val="13"/>
            </w:pPr>
            <w:r>
              <w:t>2022年12月底前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本次申请支出金额</w:t>
            </w:r>
          </w:p>
        </w:tc>
        <w:tc>
          <w:tcPr>
            <w:tcW w:w="5386" w:type="dxa"/>
            <w:vAlign w:val="center"/>
          </w:tcPr>
          <w:p>
            <w:pPr>
              <w:pStyle w:val="13"/>
            </w:pPr>
            <w:r>
              <w:t>2026年预算支出金额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工程影响</w:t>
            </w:r>
          </w:p>
        </w:tc>
        <w:tc>
          <w:tcPr>
            <w:tcW w:w="5386" w:type="dxa"/>
            <w:vAlign w:val="center"/>
          </w:tcPr>
          <w:p>
            <w:pPr>
              <w:pStyle w:val="13"/>
            </w:pPr>
            <w:r>
              <w:t>衡井线两侧提升影响</w:t>
            </w:r>
          </w:p>
        </w:tc>
        <w:tc>
          <w:tcPr>
            <w:tcW w:w="2268" w:type="dxa"/>
            <w:vAlign w:val="center"/>
          </w:tcPr>
          <w:p>
            <w:pPr>
              <w:pStyle w:val="13"/>
            </w:pPr>
            <w:r>
              <w:t>为广大群众营造一个良好的生活环境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满意群众占受调查群众比例</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11、2026年区级上寨乡荒山荒坡承包项目资金绩效目标表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13011026P00158310017A</w:t>
            </w:r>
          </w:p>
        </w:tc>
        <w:tc>
          <w:tcPr>
            <w:tcW w:w="2835" w:type="dxa"/>
            <w:vAlign w:val="center"/>
          </w:tcPr>
          <w:p>
            <w:pPr>
              <w:pStyle w:val="11"/>
            </w:pPr>
            <w:r>
              <w:t>项目名称</w:t>
            </w:r>
          </w:p>
        </w:tc>
        <w:tc>
          <w:tcPr>
            <w:tcW w:w="6095" w:type="dxa"/>
            <w:gridSpan w:val="3"/>
            <w:vAlign w:val="center"/>
          </w:tcPr>
          <w:p>
            <w:pPr>
              <w:pStyle w:val="13"/>
            </w:pPr>
            <w:r>
              <w:t>2026年区级上寨乡荒山荒坡承包项目资金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11.34</w:t>
            </w:r>
          </w:p>
        </w:tc>
        <w:tc>
          <w:tcPr>
            <w:tcW w:w="2835" w:type="dxa"/>
            <w:vAlign w:val="center"/>
          </w:tcPr>
          <w:p>
            <w:pPr>
              <w:pStyle w:val="11"/>
            </w:pPr>
            <w:r>
              <w:t>其中：财政    资金</w:t>
            </w:r>
          </w:p>
        </w:tc>
        <w:tc>
          <w:tcPr>
            <w:tcW w:w="2551" w:type="dxa"/>
            <w:vAlign w:val="center"/>
          </w:tcPr>
          <w:p>
            <w:pPr>
              <w:pStyle w:val="13"/>
            </w:pPr>
            <w:r>
              <w:t>11.34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提高土地利用程度，实现土地的规模化经营，增加群众经济收入。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1.提高土地利用程度，实现土地的规模化经营，增加群众经济收入。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承包面积</w:t>
            </w:r>
          </w:p>
        </w:tc>
        <w:tc>
          <w:tcPr>
            <w:tcW w:w="5386" w:type="dxa"/>
            <w:vAlign w:val="center"/>
          </w:tcPr>
          <w:p>
            <w:pPr>
              <w:pStyle w:val="13"/>
            </w:pPr>
            <w:r>
              <w:t>荒山荒坡承包面积</w:t>
            </w:r>
          </w:p>
        </w:tc>
        <w:tc>
          <w:tcPr>
            <w:tcW w:w="2268" w:type="dxa"/>
            <w:vAlign w:val="center"/>
          </w:tcPr>
          <w:p>
            <w:pPr>
              <w:pStyle w:val="13"/>
            </w:pPr>
            <w:r>
              <w:t>3778.47亩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土地利用率</w:t>
            </w:r>
          </w:p>
        </w:tc>
        <w:tc>
          <w:tcPr>
            <w:tcW w:w="5386" w:type="dxa"/>
            <w:vAlign w:val="center"/>
          </w:tcPr>
          <w:p>
            <w:pPr>
              <w:pStyle w:val="13"/>
            </w:pPr>
            <w:r>
              <w:t>对于荒山荒坡开发、经营的土地利用程度</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承包时间</w:t>
            </w:r>
          </w:p>
        </w:tc>
        <w:tc>
          <w:tcPr>
            <w:tcW w:w="5386" w:type="dxa"/>
            <w:vAlign w:val="center"/>
          </w:tcPr>
          <w:p>
            <w:pPr>
              <w:pStyle w:val="13"/>
            </w:pPr>
            <w:r>
              <w:t>项目申请资金所用于承包的时间年限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承包费用</w:t>
            </w:r>
          </w:p>
        </w:tc>
        <w:tc>
          <w:tcPr>
            <w:tcW w:w="5386" w:type="dxa"/>
            <w:vAlign w:val="center"/>
          </w:tcPr>
          <w:p>
            <w:pPr>
              <w:pStyle w:val="13"/>
            </w:pPr>
            <w:r>
              <w:t>项目申请资金约定价格</w:t>
            </w:r>
          </w:p>
        </w:tc>
        <w:tc>
          <w:tcPr>
            <w:tcW w:w="2268" w:type="dxa"/>
            <w:vAlign w:val="center"/>
          </w:tcPr>
          <w:p>
            <w:pPr>
              <w:pStyle w:val="13"/>
            </w:pPr>
            <w:r>
              <w:t>15元/亩</w:t>
            </w:r>
          </w:p>
        </w:tc>
        <w:tc>
          <w:tcPr>
            <w:tcW w:w="1276"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承包费用</w:t>
            </w:r>
          </w:p>
        </w:tc>
        <w:tc>
          <w:tcPr>
            <w:tcW w:w="5386" w:type="dxa"/>
            <w:vAlign w:val="center"/>
          </w:tcPr>
          <w:p>
            <w:pPr>
              <w:pStyle w:val="13"/>
            </w:pPr>
            <w:r>
              <w:t>项目年度总费用</w:t>
            </w:r>
          </w:p>
        </w:tc>
        <w:tc>
          <w:tcPr>
            <w:tcW w:w="2268" w:type="dxa"/>
            <w:vAlign w:val="center"/>
          </w:tcPr>
          <w:p>
            <w:pPr>
              <w:pStyle w:val="13"/>
            </w:pPr>
            <w:r>
              <w:t>11.34万元</w:t>
            </w:r>
          </w:p>
        </w:tc>
        <w:tc>
          <w:tcPr>
            <w:tcW w:w="1276" w:type="dxa"/>
            <w:vAlign w:val="center"/>
          </w:tcPr>
          <w:p>
            <w:pPr>
              <w:pStyle w:val="13"/>
            </w:pPr>
            <w:r>
              <w:t>承包面积及约定价格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荒山荒坡承包带来的效益</w:t>
            </w:r>
          </w:p>
        </w:tc>
        <w:tc>
          <w:tcPr>
            <w:tcW w:w="5386" w:type="dxa"/>
            <w:vAlign w:val="center"/>
          </w:tcPr>
          <w:p>
            <w:pPr>
              <w:pStyle w:val="13"/>
            </w:pPr>
            <w:r>
              <w:t>荒山荒坡承包带来的效益</w:t>
            </w:r>
          </w:p>
        </w:tc>
        <w:tc>
          <w:tcPr>
            <w:tcW w:w="2268" w:type="dxa"/>
            <w:vAlign w:val="center"/>
          </w:tcPr>
          <w:p>
            <w:pPr>
              <w:pStyle w:val="13"/>
            </w:pPr>
            <w:r>
              <w:t>提高土地利用程度，增加群众经济收入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周边群众对荒山荒坡开发经营的满意度</w:t>
            </w:r>
          </w:p>
        </w:tc>
        <w:tc>
          <w:tcPr>
            <w:tcW w:w="5386" w:type="dxa"/>
            <w:vAlign w:val="center"/>
          </w:tcPr>
          <w:p>
            <w:pPr>
              <w:pStyle w:val="13"/>
            </w:pPr>
            <w:r>
              <w:t>周边群众对荒山荒坡开发经营的满意度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12、2026年区级上寨乡梁庄村梁常路周边环境整治提升绩效目标表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13011026P001551100398</w:t>
            </w:r>
          </w:p>
        </w:tc>
        <w:tc>
          <w:tcPr>
            <w:tcW w:w="2835" w:type="dxa"/>
            <w:vAlign w:val="center"/>
          </w:tcPr>
          <w:p>
            <w:pPr>
              <w:pStyle w:val="11"/>
            </w:pPr>
            <w:r>
              <w:t>项目名称</w:t>
            </w:r>
          </w:p>
        </w:tc>
        <w:tc>
          <w:tcPr>
            <w:tcW w:w="6095" w:type="dxa"/>
            <w:gridSpan w:val="3"/>
            <w:vAlign w:val="center"/>
          </w:tcPr>
          <w:p>
            <w:pPr>
              <w:pStyle w:val="13"/>
            </w:pPr>
            <w:r>
              <w:t>2026年区级上寨乡梁庄村梁常路周边环境整治提升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"铺设便道砖1480平方米，浆砌护坡285立方米，违建清拆1480平方米并对梁常路两倒进行清理、绿化，对冲毁的护坡进行修复，保障群众安全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1."铺设便道砖1480平方米，浆砌护坡285立方米，违建清拆1480平方米并对梁常路两倒进行清理、绿化，对冲毁的护坡进行修复，保障群众安全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修复护坡数量</w:t>
            </w:r>
          </w:p>
        </w:tc>
        <w:tc>
          <w:tcPr>
            <w:tcW w:w="5386" w:type="dxa"/>
            <w:vAlign w:val="center"/>
          </w:tcPr>
          <w:p>
            <w:pPr>
              <w:pStyle w:val="13"/>
            </w:pPr>
            <w:r>
              <w:t>浆砌修复护坡数量</w:t>
            </w:r>
          </w:p>
        </w:tc>
        <w:tc>
          <w:tcPr>
            <w:tcW w:w="2268" w:type="dxa"/>
            <w:vAlign w:val="center"/>
          </w:tcPr>
          <w:p>
            <w:pPr>
              <w:pStyle w:val="13"/>
            </w:pPr>
            <w:r>
              <w:t>285立方米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铺设便道砖数量</w:t>
            </w:r>
          </w:p>
        </w:tc>
        <w:tc>
          <w:tcPr>
            <w:tcW w:w="5386" w:type="dxa"/>
            <w:vAlign w:val="center"/>
          </w:tcPr>
          <w:p>
            <w:pPr>
              <w:pStyle w:val="13"/>
            </w:pPr>
            <w:r>
              <w:t>铺设便道砖数量</w:t>
            </w:r>
          </w:p>
        </w:tc>
        <w:tc>
          <w:tcPr>
            <w:tcW w:w="2268" w:type="dxa"/>
            <w:vAlign w:val="center"/>
          </w:tcPr>
          <w:p>
            <w:pPr>
              <w:pStyle w:val="13"/>
            </w:pPr>
            <w:r>
              <w:t>1480平方米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清拆违建数量</w:t>
            </w:r>
          </w:p>
        </w:tc>
        <w:tc>
          <w:tcPr>
            <w:tcW w:w="5386" w:type="dxa"/>
            <w:vAlign w:val="center"/>
          </w:tcPr>
          <w:p>
            <w:pPr>
              <w:pStyle w:val="13"/>
            </w:pPr>
            <w:r>
              <w:t>清拆违建数量</w:t>
            </w:r>
          </w:p>
        </w:tc>
        <w:tc>
          <w:tcPr>
            <w:tcW w:w="2268" w:type="dxa"/>
            <w:vAlign w:val="center"/>
          </w:tcPr>
          <w:p>
            <w:pPr>
              <w:pStyle w:val="13"/>
            </w:pPr>
            <w:r>
              <w:t>1480平方米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修复护坡比例</w:t>
            </w:r>
          </w:p>
        </w:tc>
        <w:tc>
          <w:tcPr>
            <w:tcW w:w="5386" w:type="dxa"/>
            <w:vAlign w:val="center"/>
          </w:tcPr>
          <w:p>
            <w:pPr>
              <w:pStyle w:val="13"/>
            </w:pPr>
            <w:r>
              <w:t>修复损毁护坡比例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工程完工时限</w:t>
            </w:r>
          </w:p>
        </w:tc>
        <w:tc>
          <w:tcPr>
            <w:tcW w:w="5386" w:type="dxa"/>
            <w:vAlign w:val="center"/>
          </w:tcPr>
          <w:p>
            <w:pPr>
              <w:pStyle w:val="13"/>
            </w:pPr>
            <w:r>
              <w:t>工程完工时限</w:t>
            </w:r>
          </w:p>
        </w:tc>
        <w:tc>
          <w:tcPr>
            <w:tcW w:w="2268" w:type="dxa"/>
            <w:vAlign w:val="center"/>
          </w:tcPr>
          <w:p>
            <w:pPr>
              <w:pStyle w:val="13"/>
            </w:pPr>
            <w:r>
              <w:t>2023年7月底前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本次申请资金金额</w:t>
            </w:r>
          </w:p>
        </w:tc>
        <w:tc>
          <w:tcPr>
            <w:tcW w:w="5386" w:type="dxa"/>
            <w:vAlign w:val="center"/>
          </w:tcPr>
          <w:p>
            <w:pPr>
              <w:pStyle w:val="13"/>
            </w:pPr>
            <w:r>
              <w:t>本次支付资金金额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该工程对群众影响</w:t>
            </w:r>
          </w:p>
        </w:tc>
        <w:tc>
          <w:tcPr>
            <w:tcW w:w="5386" w:type="dxa"/>
            <w:vAlign w:val="center"/>
          </w:tcPr>
          <w:p>
            <w:pPr>
              <w:pStyle w:val="13"/>
            </w:pPr>
            <w:r>
              <w:t>该工程对群众影响</w:t>
            </w:r>
          </w:p>
        </w:tc>
        <w:tc>
          <w:tcPr>
            <w:tcW w:w="2268" w:type="dxa"/>
            <w:vAlign w:val="center"/>
          </w:tcPr>
          <w:p>
            <w:pPr>
              <w:pStyle w:val="13"/>
            </w:pPr>
            <w:r>
              <w:t>保护群众出行安全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群众对该工程实施满意度</w:t>
            </w:r>
          </w:p>
        </w:tc>
        <w:tc>
          <w:tcPr>
            <w:tcW w:w="5386" w:type="dxa"/>
            <w:vAlign w:val="center"/>
          </w:tcPr>
          <w:p>
            <w:pPr>
              <w:pStyle w:val="13"/>
            </w:pPr>
            <w:r>
              <w:t>满意群众占受调查总人数的比例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13、2026年区级上寨乡农村生活垃圾清扫费用绩效目标表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13011026P00320311017H</w:t>
            </w:r>
          </w:p>
        </w:tc>
        <w:tc>
          <w:tcPr>
            <w:tcW w:w="2835" w:type="dxa"/>
            <w:vAlign w:val="center"/>
          </w:tcPr>
          <w:p>
            <w:pPr>
              <w:pStyle w:val="11"/>
            </w:pPr>
            <w:r>
              <w:t>项目名称</w:t>
            </w:r>
          </w:p>
        </w:tc>
        <w:tc>
          <w:tcPr>
            <w:tcW w:w="6095" w:type="dxa"/>
            <w:gridSpan w:val="3"/>
            <w:vAlign w:val="center"/>
          </w:tcPr>
          <w:p>
            <w:pPr>
              <w:pStyle w:val="13"/>
            </w:pPr>
            <w:r>
              <w:t>2026年区级上寨乡农村生活垃圾清扫费用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72.50</w:t>
            </w:r>
          </w:p>
        </w:tc>
        <w:tc>
          <w:tcPr>
            <w:tcW w:w="2835" w:type="dxa"/>
            <w:vAlign w:val="center"/>
          </w:tcPr>
          <w:p>
            <w:pPr>
              <w:pStyle w:val="11"/>
            </w:pPr>
            <w:r>
              <w:t>其中：财政    资金</w:t>
            </w:r>
          </w:p>
        </w:tc>
        <w:tc>
          <w:tcPr>
            <w:tcW w:w="2551" w:type="dxa"/>
            <w:vAlign w:val="center"/>
          </w:tcPr>
          <w:p>
            <w:pPr>
              <w:pStyle w:val="13"/>
            </w:pPr>
            <w:r>
              <w:t>72.50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保障上寨乡保洁人员工资及洗扫车加油、维修等相关费用，保障上寨乡环境卫生清扫保洁工作有序开展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1.保障上寨乡保洁人员工资及洗扫车加油、维修等相关费用，保障上寨乡环境卫生清扫保洁工作有序开展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保障保洁工资人数</w:t>
            </w:r>
          </w:p>
        </w:tc>
        <w:tc>
          <w:tcPr>
            <w:tcW w:w="5386" w:type="dxa"/>
            <w:vAlign w:val="center"/>
          </w:tcPr>
          <w:p>
            <w:pPr>
              <w:pStyle w:val="13"/>
            </w:pPr>
            <w:r>
              <w:t>保障保洁工资人数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卫生清扫保洁合格率</w:t>
            </w:r>
          </w:p>
        </w:tc>
        <w:tc>
          <w:tcPr>
            <w:tcW w:w="5386" w:type="dxa"/>
            <w:vAlign w:val="center"/>
          </w:tcPr>
          <w:p>
            <w:pPr>
              <w:pStyle w:val="13"/>
            </w:pPr>
            <w:r>
              <w:t>卫生清扫保洁合格率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卫生保洁时效性</w:t>
            </w:r>
          </w:p>
        </w:tc>
        <w:tc>
          <w:tcPr>
            <w:tcW w:w="5386" w:type="dxa"/>
            <w:vAlign w:val="center"/>
          </w:tcPr>
          <w:p>
            <w:pPr>
              <w:pStyle w:val="13"/>
            </w:pPr>
            <w:r>
              <w:t>及时完成卫生保洁率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人工清扫、机械清扫费用</w:t>
            </w:r>
          </w:p>
        </w:tc>
        <w:tc>
          <w:tcPr>
            <w:tcW w:w="5386" w:type="dxa"/>
            <w:vAlign w:val="center"/>
          </w:tcPr>
          <w:p>
            <w:pPr>
              <w:pStyle w:val="13"/>
            </w:pPr>
            <w:r>
              <w:t>人工清扫、机械清扫费用</w:t>
            </w:r>
          </w:p>
        </w:tc>
        <w:tc>
          <w:tcPr>
            <w:tcW w:w="2268" w:type="dxa"/>
            <w:vAlign w:val="center"/>
          </w:tcPr>
          <w:p>
            <w:pPr>
              <w:pStyle w:val="13"/>
            </w:pPr>
            <w:r>
              <w:t>≤724960元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资金支出对保洁工作影响</w:t>
            </w:r>
          </w:p>
        </w:tc>
        <w:tc>
          <w:tcPr>
            <w:tcW w:w="5386" w:type="dxa"/>
            <w:vAlign w:val="center"/>
          </w:tcPr>
          <w:p>
            <w:pPr>
              <w:pStyle w:val="13"/>
            </w:pPr>
            <w:r>
              <w:t>资金支出对保洁工作影响</w:t>
            </w:r>
          </w:p>
        </w:tc>
        <w:tc>
          <w:tcPr>
            <w:tcW w:w="2268" w:type="dxa"/>
            <w:vAlign w:val="center"/>
          </w:tcPr>
          <w:p>
            <w:pPr>
              <w:pStyle w:val="13"/>
            </w:pPr>
            <w:r>
              <w:t>保障上寨乡环境卫生清扫保洁工作有序开展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群众对保洁工作满意度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14、2026年区级上寨乡室外公厕建设绩效目标表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13011026P00155610157E</w:t>
            </w:r>
          </w:p>
        </w:tc>
        <w:tc>
          <w:tcPr>
            <w:tcW w:w="2835" w:type="dxa"/>
            <w:vAlign w:val="center"/>
          </w:tcPr>
          <w:p>
            <w:pPr>
              <w:pStyle w:val="11"/>
            </w:pPr>
            <w:r>
              <w:t>项目名称</w:t>
            </w:r>
          </w:p>
        </w:tc>
        <w:tc>
          <w:tcPr>
            <w:tcW w:w="6095" w:type="dxa"/>
            <w:gridSpan w:val="3"/>
            <w:vAlign w:val="center"/>
          </w:tcPr>
          <w:p>
            <w:pPr>
              <w:pStyle w:val="13"/>
            </w:pPr>
            <w:r>
              <w:t>2026年区级上寨乡室外公厕建设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于上寨村和小学建造室外公厕两座，丰富上寨乡辖区配套设施建设。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1.于上寨村和小学建造室外公厕两座，丰富上寨乡辖区配套设施建设。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建造公厕数量</w:t>
            </w:r>
          </w:p>
        </w:tc>
        <w:tc>
          <w:tcPr>
            <w:tcW w:w="5386" w:type="dxa"/>
            <w:vAlign w:val="center"/>
          </w:tcPr>
          <w:p>
            <w:pPr>
              <w:pStyle w:val="13"/>
            </w:pPr>
            <w:r>
              <w:t>建造公厕数量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建造公厕质量达标率</w:t>
            </w:r>
          </w:p>
        </w:tc>
        <w:tc>
          <w:tcPr>
            <w:tcW w:w="5386" w:type="dxa"/>
            <w:vAlign w:val="center"/>
          </w:tcPr>
          <w:p>
            <w:pPr>
              <w:pStyle w:val="13"/>
            </w:pPr>
            <w:r>
              <w:t>建造公厕质量达标率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完成公厕建造时间</w:t>
            </w:r>
          </w:p>
        </w:tc>
        <w:tc>
          <w:tcPr>
            <w:tcW w:w="5386" w:type="dxa"/>
            <w:vAlign w:val="center"/>
          </w:tcPr>
          <w:p>
            <w:pPr>
              <w:pStyle w:val="13"/>
            </w:pPr>
            <w:r>
              <w:t>完成公厕建造时间</w:t>
            </w:r>
          </w:p>
        </w:tc>
        <w:tc>
          <w:tcPr>
            <w:tcW w:w="2268" w:type="dxa"/>
            <w:vAlign w:val="center"/>
          </w:tcPr>
          <w:p>
            <w:pPr>
              <w:pStyle w:val="13"/>
            </w:pPr>
            <w:r>
              <w:t>2024年12月底之前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2026年支付公厕工程款</w:t>
            </w:r>
          </w:p>
        </w:tc>
        <w:tc>
          <w:tcPr>
            <w:tcW w:w="5386" w:type="dxa"/>
            <w:vAlign w:val="center"/>
          </w:tcPr>
          <w:p>
            <w:pPr>
              <w:pStyle w:val="13"/>
            </w:pPr>
            <w:r>
              <w:t>2026年支付公厕工程款</w:t>
            </w:r>
          </w:p>
        </w:tc>
        <w:tc>
          <w:tcPr>
            <w:tcW w:w="2268" w:type="dxa"/>
            <w:vAlign w:val="center"/>
          </w:tcPr>
          <w:p>
            <w:pPr>
              <w:pStyle w:val="13"/>
            </w:pPr>
            <w:r>
              <w:t>≤9万元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建造室外公厕影响</w:t>
            </w:r>
          </w:p>
        </w:tc>
        <w:tc>
          <w:tcPr>
            <w:tcW w:w="5386" w:type="dxa"/>
            <w:vAlign w:val="center"/>
          </w:tcPr>
          <w:p>
            <w:pPr>
              <w:pStyle w:val="13"/>
            </w:pPr>
            <w:r>
              <w:t>建造室外公厕影响</w:t>
            </w:r>
          </w:p>
        </w:tc>
        <w:tc>
          <w:tcPr>
            <w:tcW w:w="2268" w:type="dxa"/>
            <w:vAlign w:val="center"/>
          </w:tcPr>
          <w:p>
            <w:pPr>
              <w:pStyle w:val="13"/>
            </w:pPr>
            <w:r>
              <w:t>丰富上寨乡辖区配套设施建设。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该项目实施满意度</w:t>
            </w:r>
          </w:p>
        </w:tc>
        <w:tc>
          <w:tcPr>
            <w:tcW w:w="5386" w:type="dxa"/>
            <w:vAlign w:val="center"/>
          </w:tcPr>
          <w:p>
            <w:pPr>
              <w:pStyle w:val="13"/>
            </w:pPr>
            <w:r>
              <w:t>满意群众占受调查群众比例</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15、2026年区级上寨乡修缮衡井线中间河道河堤、护坡绩效目标表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13011026P00157710054E</w:t>
            </w:r>
          </w:p>
        </w:tc>
        <w:tc>
          <w:tcPr>
            <w:tcW w:w="2835" w:type="dxa"/>
            <w:vAlign w:val="center"/>
          </w:tcPr>
          <w:p>
            <w:pPr>
              <w:pStyle w:val="11"/>
            </w:pPr>
            <w:r>
              <w:t>项目名称</w:t>
            </w:r>
          </w:p>
        </w:tc>
        <w:tc>
          <w:tcPr>
            <w:tcW w:w="6095" w:type="dxa"/>
            <w:gridSpan w:val="3"/>
            <w:vAlign w:val="center"/>
          </w:tcPr>
          <w:p>
            <w:pPr>
              <w:pStyle w:val="13"/>
            </w:pPr>
            <w:r>
              <w:t>2026年区级上寨乡修缮衡井线中间河道河堤、护坡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7.18</w:t>
            </w:r>
          </w:p>
        </w:tc>
        <w:tc>
          <w:tcPr>
            <w:tcW w:w="2835" w:type="dxa"/>
            <w:vAlign w:val="center"/>
          </w:tcPr>
          <w:p>
            <w:pPr>
              <w:pStyle w:val="11"/>
            </w:pPr>
            <w:r>
              <w:t>其中：财政    资金</w:t>
            </w:r>
          </w:p>
        </w:tc>
        <w:tc>
          <w:tcPr>
            <w:tcW w:w="2551" w:type="dxa"/>
            <w:vAlign w:val="center"/>
          </w:tcPr>
          <w:p>
            <w:pPr>
              <w:pStyle w:val="13"/>
            </w:pPr>
            <w:r>
              <w:t>7.18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对多处塌陷的河堤、护坡进行了修缮，其中浆砌护坡107米，铺设六角砖374.5平方米，散水110米，保障人民群众生命财产安全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1.对多处塌陷的河堤、护坡进行了修缮，其中浆砌护坡107米，铺设六角砖374.5平方米，散水110米，保障人民群众生命财产安全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浆砌护坡长度</w:t>
            </w:r>
          </w:p>
        </w:tc>
        <w:tc>
          <w:tcPr>
            <w:tcW w:w="5386" w:type="dxa"/>
            <w:vAlign w:val="center"/>
          </w:tcPr>
          <w:p>
            <w:pPr>
              <w:pStyle w:val="13"/>
            </w:pPr>
            <w:r>
              <w:t>浆砌护坡长度</w:t>
            </w:r>
          </w:p>
        </w:tc>
        <w:tc>
          <w:tcPr>
            <w:tcW w:w="2268" w:type="dxa"/>
            <w:vAlign w:val="center"/>
          </w:tcPr>
          <w:p>
            <w:pPr>
              <w:pStyle w:val="13"/>
            </w:pPr>
            <w:r>
              <w:t>107米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铺设六角砖面积</w:t>
            </w:r>
          </w:p>
        </w:tc>
        <w:tc>
          <w:tcPr>
            <w:tcW w:w="5386" w:type="dxa"/>
            <w:vAlign w:val="center"/>
          </w:tcPr>
          <w:p>
            <w:pPr>
              <w:pStyle w:val="13"/>
            </w:pPr>
            <w:r>
              <w:t>铺设六角砖面积</w:t>
            </w:r>
          </w:p>
        </w:tc>
        <w:tc>
          <w:tcPr>
            <w:tcW w:w="2268" w:type="dxa"/>
            <w:vAlign w:val="center"/>
          </w:tcPr>
          <w:p>
            <w:pPr>
              <w:pStyle w:val="13"/>
            </w:pPr>
            <w:r>
              <w:t>374.5平方米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散水长度</w:t>
            </w:r>
          </w:p>
        </w:tc>
        <w:tc>
          <w:tcPr>
            <w:tcW w:w="5386" w:type="dxa"/>
            <w:vAlign w:val="center"/>
          </w:tcPr>
          <w:p>
            <w:pPr>
              <w:pStyle w:val="13"/>
            </w:pPr>
            <w:r>
              <w:t>散水长度</w:t>
            </w:r>
          </w:p>
        </w:tc>
        <w:tc>
          <w:tcPr>
            <w:tcW w:w="2268" w:type="dxa"/>
            <w:vAlign w:val="center"/>
          </w:tcPr>
          <w:p>
            <w:pPr>
              <w:pStyle w:val="13"/>
            </w:pPr>
            <w:r>
              <w:t>110米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修缮河堤、护坡比例</w:t>
            </w:r>
          </w:p>
        </w:tc>
        <w:tc>
          <w:tcPr>
            <w:tcW w:w="5386" w:type="dxa"/>
            <w:vAlign w:val="center"/>
          </w:tcPr>
          <w:p>
            <w:pPr>
              <w:pStyle w:val="13"/>
            </w:pPr>
            <w:r>
              <w:t>修缮河堤、护坡比例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修缮河堤、护坡时间</w:t>
            </w:r>
          </w:p>
        </w:tc>
        <w:tc>
          <w:tcPr>
            <w:tcW w:w="5386" w:type="dxa"/>
            <w:vAlign w:val="center"/>
          </w:tcPr>
          <w:p>
            <w:pPr>
              <w:pStyle w:val="13"/>
            </w:pPr>
            <w:r>
              <w:t>项目竣工时间</w:t>
            </w:r>
          </w:p>
        </w:tc>
        <w:tc>
          <w:tcPr>
            <w:tcW w:w="2268" w:type="dxa"/>
            <w:vAlign w:val="center"/>
          </w:tcPr>
          <w:p>
            <w:pPr>
              <w:pStyle w:val="13"/>
            </w:pPr>
            <w:r>
              <w:t>2022年3月已完工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修缮河堤、护坡金额</w:t>
            </w:r>
          </w:p>
        </w:tc>
        <w:tc>
          <w:tcPr>
            <w:tcW w:w="5386" w:type="dxa"/>
            <w:vAlign w:val="center"/>
          </w:tcPr>
          <w:p>
            <w:pPr>
              <w:pStyle w:val="13"/>
            </w:pPr>
            <w:r>
              <w:t>2026年支付修缮河堤、护坡金额</w:t>
            </w:r>
          </w:p>
        </w:tc>
        <w:tc>
          <w:tcPr>
            <w:tcW w:w="2268" w:type="dxa"/>
            <w:vAlign w:val="center"/>
          </w:tcPr>
          <w:p>
            <w:pPr>
              <w:pStyle w:val="13"/>
            </w:pPr>
            <w:r>
              <w:t>≤7.18万元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修缮河堤、护坡影响</w:t>
            </w:r>
          </w:p>
        </w:tc>
        <w:tc>
          <w:tcPr>
            <w:tcW w:w="5386" w:type="dxa"/>
            <w:vAlign w:val="center"/>
          </w:tcPr>
          <w:p>
            <w:pPr>
              <w:pStyle w:val="13"/>
            </w:pPr>
            <w:r>
              <w:t>修缮河堤、护坡影响</w:t>
            </w:r>
          </w:p>
        </w:tc>
        <w:tc>
          <w:tcPr>
            <w:tcW w:w="2268" w:type="dxa"/>
            <w:vAlign w:val="center"/>
          </w:tcPr>
          <w:p>
            <w:pPr>
              <w:pStyle w:val="13"/>
            </w:pPr>
            <w:r>
              <w:t>保障人民群众生命财产安全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满意群众占受调查群众比例</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16、2026年区级水悦龙庭违建拆除绩效目标表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13011026P003203110089</w:t>
            </w:r>
          </w:p>
        </w:tc>
        <w:tc>
          <w:tcPr>
            <w:tcW w:w="2835" w:type="dxa"/>
            <w:vAlign w:val="center"/>
          </w:tcPr>
          <w:p>
            <w:pPr>
              <w:pStyle w:val="11"/>
            </w:pPr>
            <w:r>
              <w:t>项目名称</w:t>
            </w:r>
          </w:p>
        </w:tc>
        <w:tc>
          <w:tcPr>
            <w:tcW w:w="6095" w:type="dxa"/>
            <w:gridSpan w:val="3"/>
            <w:vAlign w:val="center"/>
          </w:tcPr>
          <w:p>
            <w:pPr>
              <w:pStyle w:val="13"/>
            </w:pPr>
            <w:r>
              <w:t>2026年区级水悦龙庭违建拆除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拆除水悦龙庭别墅22栋55套，对依法没收别墅进行拆除、回填、围挡，保证违建拆除完毕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1."""拆除水悦龙庭别墅22栋55套，对依法没收别墅进行拆除、回填、围挡，保证违建拆除完毕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拆除别墅数量</w:t>
            </w:r>
          </w:p>
        </w:tc>
        <w:tc>
          <w:tcPr>
            <w:tcW w:w="5386" w:type="dxa"/>
            <w:vAlign w:val="center"/>
          </w:tcPr>
          <w:p>
            <w:pPr>
              <w:pStyle w:val="13"/>
            </w:pPr>
            <w:r>
              <w:t>依法拆除违建别墅数量</w:t>
            </w:r>
          </w:p>
        </w:tc>
        <w:tc>
          <w:tcPr>
            <w:tcW w:w="2268" w:type="dxa"/>
            <w:vAlign w:val="center"/>
          </w:tcPr>
          <w:p>
            <w:pPr>
              <w:pStyle w:val="13"/>
            </w:pPr>
            <w:r>
              <w:t>22栋55套</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拆除别墅比例</w:t>
            </w:r>
          </w:p>
        </w:tc>
        <w:tc>
          <w:tcPr>
            <w:tcW w:w="5386" w:type="dxa"/>
            <w:vAlign w:val="center"/>
          </w:tcPr>
          <w:p>
            <w:pPr>
              <w:pStyle w:val="13"/>
            </w:pPr>
            <w:r>
              <w:t>拆除违建别墅占违建别墅的比例</w:t>
            </w:r>
          </w:p>
        </w:tc>
        <w:tc>
          <w:tcPr>
            <w:tcW w:w="2268" w:type="dxa"/>
            <w:vAlign w:val="center"/>
          </w:tcPr>
          <w:p>
            <w:pPr>
              <w:pStyle w:val="13"/>
            </w:pPr>
            <w:r>
              <w:t>100%</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拆除别墅成本</w:t>
            </w:r>
          </w:p>
        </w:tc>
        <w:tc>
          <w:tcPr>
            <w:tcW w:w="5386" w:type="dxa"/>
            <w:vAlign w:val="center"/>
          </w:tcPr>
          <w:p>
            <w:pPr>
              <w:pStyle w:val="13"/>
            </w:pPr>
            <w:r>
              <w:t>拆除别墅成本</w:t>
            </w:r>
          </w:p>
        </w:tc>
        <w:tc>
          <w:tcPr>
            <w:tcW w:w="2268" w:type="dxa"/>
            <w:vAlign w:val="center"/>
          </w:tcPr>
          <w:p>
            <w:pPr>
              <w:pStyle w:val="13"/>
            </w:pPr>
            <w:r>
              <w:t>745720元</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2026年支付资金</w:t>
            </w:r>
          </w:p>
        </w:tc>
        <w:tc>
          <w:tcPr>
            <w:tcW w:w="5386" w:type="dxa"/>
            <w:vAlign w:val="center"/>
          </w:tcPr>
          <w:p>
            <w:pPr>
              <w:pStyle w:val="13"/>
            </w:pPr>
            <w:r>
              <w:t>2026年支付资金</w:t>
            </w:r>
          </w:p>
        </w:tc>
        <w:tc>
          <w:tcPr>
            <w:tcW w:w="2268" w:type="dxa"/>
            <w:vAlign w:val="center"/>
          </w:tcPr>
          <w:p>
            <w:pPr>
              <w:pStyle w:val="13"/>
            </w:pPr>
            <w:r>
              <w:t>≤11万元</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规定时间内工程完工比例</w:t>
            </w:r>
          </w:p>
        </w:tc>
        <w:tc>
          <w:tcPr>
            <w:tcW w:w="2268" w:type="dxa"/>
            <w:vAlign w:val="center"/>
          </w:tcPr>
          <w:p>
            <w:pPr>
              <w:pStyle w:val="13"/>
            </w:pPr>
            <w:r>
              <w:t>100%</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拆除效果</w:t>
            </w:r>
          </w:p>
        </w:tc>
        <w:tc>
          <w:tcPr>
            <w:tcW w:w="5386" w:type="dxa"/>
            <w:vAlign w:val="center"/>
          </w:tcPr>
          <w:p>
            <w:pPr>
              <w:pStyle w:val="13"/>
            </w:pPr>
            <w:r>
              <w:t>拆除效果是否达到预期目标</w:t>
            </w:r>
          </w:p>
        </w:tc>
        <w:tc>
          <w:tcPr>
            <w:tcW w:w="2268" w:type="dxa"/>
            <w:vAlign w:val="center"/>
          </w:tcPr>
          <w:p>
            <w:pPr>
              <w:pStyle w:val="13"/>
            </w:pPr>
            <w:r>
              <w:t>拆除工作全部完成</w:t>
            </w:r>
          </w:p>
        </w:tc>
        <w:tc>
          <w:tcPr>
            <w:tcW w:w="1276"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社会满意度指标</w:t>
            </w:r>
          </w:p>
        </w:tc>
        <w:tc>
          <w:tcPr>
            <w:tcW w:w="5386" w:type="dxa"/>
            <w:vAlign w:val="center"/>
          </w:tcPr>
          <w:p>
            <w:pPr>
              <w:pStyle w:val="13"/>
            </w:pPr>
            <w:r>
              <w:t>对拆除效果满意人数占乡人口总数满意度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17、2026年区级中以农科违建拆除绩效目标表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13011026P00002110057R</w:t>
            </w:r>
          </w:p>
        </w:tc>
        <w:tc>
          <w:tcPr>
            <w:tcW w:w="2835" w:type="dxa"/>
            <w:vAlign w:val="center"/>
          </w:tcPr>
          <w:p>
            <w:pPr>
              <w:pStyle w:val="11"/>
            </w:pPr>
            <w:r>
              <w:t>项目名称</w:t>
            </w:r>
          </w:p>
        </w:tc>
        <w:tc>
          <w:tcPr>
            <w:tcW w:w="6095" w:type="dxa"/>
            <w:gridSpan w:val="3"/>
            <w:vAlign w:val="center"/>
          </w:tcPr>
          <w:p>
            <w:pPr>
              <w:pStyle w:val="13"/>
            </w:pPr>
            <w:r>
              <w:t>2026年区级中以农科违建拆除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""拆除并清理中以农科违建大门，顺利完成拆除清理工作，减少辖区内违建数量。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1."""拆除并清理中以农科违建大门，顺利完成拆除清理工作，减少辖区内违建数量。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拆除违建数量</w:t>
            </w:r>
          </w:p>
        </w:tc>
        <w:tc>
          <w:tcPr>
            <w:tcW w:w="5386" w:type="dxa"/>
            <w:vAlign w:val="center"/>
          </w:tcPr>
          <w:p>
            <w:pPr>
              <w:pStyle w:val="13"/>
            </w:pPr>
            <w:r>
              <w:t>拆除违建数量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清理违建比例</w:t>
            </w:r>
          </w:p>
        </w:tc>
        <w:tc>
          <w:tcPr>
            <w:tcW w:w="5386" w:type="dxa"/>
            <w:vAlign w:val="center"/>
          </w:tcPr>
          <w:p>
            <w:pPr>
              <w:pStyle w:val="13"/>
            </w:pPr>
            <w:r>
              <w:t>清理中以农科违建占其总违建比例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拆除清理工作总成本</w:t>
            </w:r>
          </w:p>
        </w:tc>
        <w:tc>
          <w:tcPr>
            <w:tcW w:w="5386" w:type="dxa"/>
            <w:vAlign w:val="center"/>
          </w:tcPr>
          <w:p>
            <w:pPr>
              <w:pStyle w:val="13"/>
            </w:pPr>
            <w:r>
              <w:t>拆除清理工作总成本</w:t>
            </w:r>
          </w:p>
        </w:tc>
        <w:tc>
          <w:tcPr>
            <w:tcW w:w="2268" w:type="dxa"/>
            <w:vAlign w:val="center"/>
          </w:tcPr>
          <w:p>
            <w:pPr>
              <w:pStyle w:val="13"/>
            </w:pPr>
            <w:r>
              <w:t>54.54万元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2026年支付资金预算金额</w:t>
            </w:r>
          </w:p>
        </w:tc>
        <w:tc>
          <w:tcPr>
            <w:tcW w:w="5386" w:type="dxa"/>
            <w:vAlign w:val="center"/>
          </w:tcPr>
          <w:p>
            <w:pPr>
              <w:pStyle w:val="13"/>
            </w:pPr>
            <w:r>
              <w:t>2026年支付资金预算金额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完成中以农科违建拆除清理工作时限</w:t>
            </w:r>
          </w:p>
        </w:tc>
        <w:tc>
          <w:tcPr>
            <w:tcW w:w="5386" w:type="dxa"/>
            <w:vAlign w:val="center"/>
          </w:tcPr>
          <w:p>
            <w:pPr>
              <w:pStyle w:val="13"/>
            </w:pPr>
            <w:r>
              <w:t>完成中以农科违建拆除清理工作时限</w:t>
            </w:r>
          </w:p>
        </w:tc>
        <w:tc>
          <w:tcPr>
            <w:tcW w:w="2268" w:type="dxa"/>
            <w:vAlign w:val="center"/>
          </w:tcPr>
          <w:p>
            <w:pPr>
              <w:pStyle w:val="13"/>
            </w:pPr>
            <w:r>
              <w:t>2019年4月3日之前完成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拆除效果</w:t>
            </w:r>
          </w:p>
        </w:tc>
        <w:tc>
          <w:tcPr>
            <w:tcW w:w="5386" w:type="dxa"/>
            <w:vAlign w:val="center"/>
          </w:tcPr>
          <w:p>
            <w:pPr>
              <w:pStyle w:val="13"/>
            </w:pPr>
            <w:r>
              <w:t>拆除违建是否达到预期效果</w:t>
            </w:r>
          </w:p>
        </w:tc>
        <w:tc>
          <w:tcPr>
            <w:tcW w:w="2268" w:type="dxa"/>
            <w:vAlign w:val="center"/>
          </w:tcPr>
          <w:p>
            <w:pPr>
              <w:pStyle w:val="13"/>
            </w:pPr>
            <w:r>
              <w:t>拆除清理工作顺利全部完成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满意群众占受调查总人数的比例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18、2026年上寨乡镇级代课教师工资绩效目标表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13011026P00319510089D</w:t>
            </w:r>
          </w:p>
        </w:tc>
        <w:tc>
          <w:tcPr>
            <w:tcW w:w="2835" w:type="dxa"/>
            <w:vAlign w:val="center"/>
          </w:tcPr>
          <w:p>
            <w:pPr>
              <w:pStyle w:val="11"/>
            </w:pPr>
            <w:r>
              <w:t>项目名称</w:t>
            </w:r>
          </w:p>
        </w:tc>
        <w:tc>
          <w:tcPr>
            <w:tcW w:w="6095" w:type="dxa"/>
            <w:gridSpan w:val="3"/>
            <w:vAlign w:val="center"/>
          </w:tcPr>
          <w:p>
            <w:pPr>
              <w:pStyle w:val="13"/>
            </w:pPr>
            <w:r>
              <w:t>2026年上寨乡镇级代课教师工资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83.35</w:t>
            </w:r>
          </w:p>
        </w:tc>
        <w:tc>
          <w:tcPr>
            <w:tcW w:w="2835" w:type="dxa"/>
            <w:vAlign w:val="center"/>
          </w:tcPr>
          <w:p>
            <w:pPr>
              <w:pStyle w:val="11"/>
            </w:pPr>
            <w:r>
              <w:t>其中：财政    资金</w:t>
            </w:r>
          </w:p>
        </w:tc>
        <w:tc>
          <w:tcPr>
            <w:tcW w:w="2551" w:type="dxa"/>
            <w:vAlign w:val="center"/>
          </w:tcPr>
          <w:p>
            <w:pPr>
              <w:pStyle w:val="13"/>
            </w:pPr>
            <w:r>
              <w:t>83.35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"预算支出83.346万元，用于上寨乡29名代课教师工资，以保障教育工作顺利开展。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1."预算支出83.346万元，用于上寨乡29名代课教师工资，以保障教育工作顺利开展。</w:t>
            </w:r>
            <w:r>
              <w:tab/>
            </w:r>
            <w:r>
              <w:tab/>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保障学校正常运转数量</w:t>
            </w:r>
          </w:p>
        </w:tc>
        <w:tc>
          <w:tcPr>
            <w:tcW w:w="5386" w:type="dxa"/>
            <w:vAlign w:val="center"/>
          </w:tcPr>
          <w:p>
            <w:pPr>
              <w:pStyle w:val="13"/>
            </w:pPr>
            <w:r>
              <w:t>保障学校正常运转数量</w:t>
            </w:r>
          </w:p>
        </w:tc>
        <w:tc>
          <w:tcPr>
            <w:tcW w:w="2268" w:type="dxa"/>
            <w:vAlign w:val="center"/>
          </w:tcPr>
          <w:p>
            <w:pPr>
              <w:pStyle w:val="13"/>
            </w:pPr>
            <w:r>
              <w:t>7所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保障代课教师工资人数</w:t>
            </w:r>
          </w:p>
        </w:tc>
        <w:tc>
          <w:tcPr>
            <w:tcW w:w="5386" w:type="dxa"/>
            <w:vAlign w:val="center"/>
          </w:tcPr>
          <w:p>
            <w:pPr>
              <w:pStyle w:val="13"/>
            </w:pPr>
            <w:r>
              <w:t>保障代课教师工资人数</w:t>
            </w:r>
          </w:p>
        </w:tc>
        <w:tc>
          <w:tcPr>
            <w:tcW w:w="2268" w:type="dxa"/>
            <w:vAlign w:val="center"/>
          </w:tcPr>
          <w:p>
            <w:pPr>
              <w:pStyle w:val="13"/>
            </w:pPr>
            <w:r>
              <w:t>29人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保障教学质量完成率</w:t>
            </w:r>
          </w:p>
        </w:tc>
        <w:tc>
          <w:tcPr>
            <w:tcW w:w="5386" w:type="dxa"/>
            <w:vAlign w:val="center"/>
          </w:tcPr>
          <w:p>
            <w:pPr>
              <w:pStyle w:val="13"/>
            </w:pPr>
            <w:r>
              <w:t>保障教学质量完成率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代课教师工资发放时限</w:t>
            </w:r>
          </w:p>
        </w:tc>
        <w:tc>
          <w:tcPr>
            <w:tcW w:w="5386" w:type="dxa"/>
            <w:vAlign w:val="center"/>
          </w:tcPr>
          <w:p>
            <w:pPr>
              <w:pStyle w:val="13"/>
            </w:pPr>
            <w:r>
              <w:t>代课教师工资发放时限</w:t>
            </w:r>
          </w:p>
        </w:tc>
        <w:tc>
          <w:tcPr>
            <w:tcW w:w="2268" w:type="dxa"/>
            <w:vAlign w:val="center"/>
          </w:tcPr>
          <w:p>
            <w:pPr>
              <w:pStyle w:val="13"/>
            </w:pPr>
            <w:r>
              <w:t>按月进行发放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代课教师工资支出金额</w:t>
            </w:r>
          </w:p>
        </w:tc>
        <w:tc>
          <w:tcPr>
            <w:tcW w:w="5386" w:type="dxa"/>
            <w:vAlign w:val="center"/>
          </w:tcPr>
          <w:p>
            <w:pPr>
              <w:pStyle w:val="13"/>
            </w:pPr>
            <w:r>
              <w:t>代课教师工资支出金额</w:t>
            </w:r>
          </w:p>
        </w:tc>
        <w:tc>
          <w:tcPr>
            <w:tcW w:w="2268" w:type="dxa"/>
            <w:vAlign w:val="center"/>
          </w:tcPr>
          <w:p>
            <w:pPr>
              <w:pStyle w:val="13"/>
            </w:pPr>
            <w:r>
              <w:t>833460元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代课教师工资发放的影响</w:t>
            </w:r>
          </w:p>
        </w:tc>
        <w:tc>
          <w:tcPr>
            <w:tcW w:w="5386" w:type="dxa"/>
            <w:vAlign w:val="center"/>
          </w:tcPr>
          <w:p>
            <w:pPr>
              <w:pStyle w:val="13"/>
            </w:pPr>
            <w:r>
              <w:t>代课教师工资发放的影响</w:t>
            </w:r>
          </w:p>
        </w:tc>
        <w:tc>
          <w:tcPr>
            <w:tcW w:w="2268" w:type="dxa"/>
            <w:vAlign w:val="center"/>
          </w:tcPr>
          <w:p>
            <w:pPr>
              <w:pStyle w:val="13"/>
            </w:pPr>
            <w:r>
              <w:t>保障教学顺利进行，保障义务教育顺利开展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代课教师对工资发放的满意度</w:t>
            </w:r>
          </w:p>
        </w:tc>
        <w:tc>
          <w:tcPr>
            <w:tcW w:w="5386" w:type="dxa"/>
            <w:vAlign w:val="center"/>
          </w:tcPr>
          <w:p>
            <w:pPr>
              <w:pStyle w:val="13"/>
            </w:pPr>
            <w:r>
              <w:t>满意人数占受调查总人数的比例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13011026P003250100546</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w:t>
            </w:r>
          </w:p>
        </w:tc>
        <w:tc>
          <w:tcPr>
            <w:tcW w:w="2835" w:type="dxa"/>
            <w:vAlign w:val="center"/>
          </w:tcPr>
          <w:p>
            <w:pPr>
              <w:pStyle w:val="11"/>
            </w:pPr>
            <w:r>
              <w:t>其中：财政    资金</w:t>
            </w:r>
          </w:p>
        </w:tc>
        <w:tc>
          <w:tcPr>
            <w:tcW w:w="2551" w:type="dxa"/>
            <w:vAlign w:val="center"/>
          </w:tcPr>
          <w:p>
            <w:pPr>
              <w:pStyle w:val="13"/>
            </w:pPr>
            <w:r>
              <w:t>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安排我乡1名退役军人就业，支付工资及保险，保障退役军人生活水平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1.安排我乡1名退役军人就业，支付工资及保险，保障退役军人生活水平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安排退役军人劳务派遣岗位人数</w:t>
            </w:r>
          </w:p>
        </w:tc>
        <w:tc>
          <w:tcPr>
            <w:tcW w:w="5386" w:type="dxa"/>
            <w:vAlign w:val="center"/>
          </w:tcPr>
          <w:p>
            <w:pPr>
              <w:pStyle w:val="13"/>
            </w:pPr>
            <w:r>
              <w:t>安排退役军人劳务派遣岗位人数</w:t>
            </w:r>
          </w:p>
          <w:p>
            <w:pPr>
              <w:pStyle w:val="13"/>
            </w:pPr>
          </w:p>
        </w:tc>
        <w:tc>
          <w:tcPr>
            <w:tcW w:w="2268" w:type="dxa"/>
            <w:vAlign w:val="center"/>
          </w:tcPr>
          <w:p>
            <w:pPr>
              <w:pStyle w:val="13"/>
            </w:pPr>
            <w:r>
              <w:t>1人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取暖补贴金额</w:t>
            </w:r>
          </w:p>
        </w:tc>
        <w:tc>
          <w:tcPr>
            <w:tcW w:w="5386" w:type="dxa"/>
            <w:vAlign w:val="center"/>
          </w:tcPr>
          <w:p>
            <w:pPr>
              <w:pStyle w:val="13"/>
            </w:pPr>
            <w:r>
              <w:t>每年每名退役军人劳务派遣取暖补贴标准</w:t>
            </w:r>
          </w:p>
        </w:tc>
        <w:tc>
          <w:tcPr>
            <w:tcW w:w="2268" w:type="dxa"/>
            <w:vAlign w:val="center"/>
          </w:tcPr>
          <w:p>
            <w:pPr>
              <w:pStyle w:val="13"/>
            </w:pPr>
            <w:r>
              <w:t>2200元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帮扶符合就业安置退役军人率</w:t>
            </w:r>
          </w:p>
        </w:tc>
        <w:tc>
          <w:tcPr>
            <w:tcW w:w="5386" w:type="dxa"/>
            <w:vAlign w:val="center"/>
          </w:tcPr>
          <w:p>
            <w:pPr>
              <w:pStyle w:val="13"/>
            </w:pPr>
            <w:r>
              <w:t>帮扶退役军人量占我乡符合就业安置退役军人总数比率</w:t>
            </w:r>
          </w:p>
        </w:tc>
        <w:tc>
          <w:tcPr>
            <w:tcW w:w="2268" w:type="dxa"/>
            <w:vAlign w:val="center"/>
          </w:tcPr>
          <w:p>
            <w:pPr>
              <w:pStyle w:val="13"/>
            </w:pPr>
            <w:r>
              <w:t>100%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工资及保险及时发放次数占总发放次数比率</w:t>
            </w:r>
          </w:p>
        </w:tc>
        <w:tc>
          <w:tcPr>
            <w:tcW w:w="2268" w:type="dxa"/>
            <w:vAlign w:val="center"/>
          </w:tcPr>
          <w:p>
            <w:pPr>
              <w:pStyle w:val="13"/>
            </w:pPr>
            <w:r>
              <w:t>100%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发放退役军人劳务派遣工资及保险金额</w:t>
            </w:r>
          </w:p>
        </w:tc>
        <w:tc>
          <w:tcPr>
            <w:tcW w:w="5386" w:type="dxa"/>
            <w:vAlign w:val="center"/>
          </w:tcPr>
          <w:p>
            <w:pPr>
              <w:pStyle w:val="13"/>
            </w:pPr>
            <w:r>
              <w:t>2026年发放退役军人劳务派遣工资及保险金额</w:t>
            </w:r>
          </w:p>
        </w:tc>
        <w:tc>
          <w:tcPr>
            <w:tcW w:w="2268" w:type="dxa"/>
            <w:vAlign w:val="center"/>
          </w:tcPr>
          <w:p>
            <w:pPr>
              <w:pStyle w:val="13"/>
            </w:pPr>
            <w:r>
              <w:t>57446.68元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解决就业岗位人数</w:t>
            </w:r>
          </w:p>
        </w:tc>
        <w:tc>
          <w:tcPr>
            <w:tcW w:w="5386" w:type="dxa"/>
            <w:vAlign w:val="center"/>
          </w:tcPr>
          <w:p>
            <w:pPr>
              <w:pStyle w:val="13"/>
            </w:pPr>
            <w:r>
              <w:t>解决符合条件就业岗位人数</w:t>
            </w:r>
          </w:p>
        </w:tc>
        <w:tc>
          <w:tcPr>
            <w:tcW w:w="2268" w:type="dxa"/>
            <w:vAlign w:val="center"/>
          </w:tcPr>
          <w:p>
            <w:pPr>
              <w:pStyle w:val="13"/>
            </w:pPr>
            <w:r>
              <w:t>1个</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缓解退役军人就业率</w:t>
            </w:r>
          </w:p>
        </w:tc>
        <w:tc>
          <w:tcPr>
            <w:tcW w:w="5386" w:type="dxa"/>
            <w:vAlign w:val="center"/>
          </w:tcPr>
          <w:p>
            <w:pPr>
              <w:pStyle w:val="13"/>
            </w:pPr>
            <w:r>
              <w:t>就业人数占符合安置退役军人总数的比率</w:t>
            </w:r>
          </w:p>
        </w:tc>
        <w:tc>
          <w:tcPr>
            <w:tcW w:w="2268" w:type="dxa"/>
            <w:vAlign w:val="center"/>
          </w:tcPr>
          <w:p>
            <w:pPr>
              <w:pStyle w:val="13"/>
            </w:pPr>
            <w:r>
              <w:t>100%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退役军人劳务派遣满意度</w:t>
            </w:r>
          </w:p>
        </w:tc>
        <w:tc>
          <w:tcPr>
            <w:tcW w:w="5386" w:type="dxa"/>
            <w:vAlign w:val="center"/>
          </w:tcPr>
          <w:p>
            <w:pPr>
              <w:pStyle w:val="13"/>
            </w:pPr>
            <w:r>
              <w:t>退役安置人员满意人数占安置总人数的比例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20、2026年镇级三馆一站免费开放补助绩效目标表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13011026P000014100393</w:t>
            </w:r>
          </w:p>
        </w:tc>
        <w:tc>
          <w:tcPr>
            <w:tcW w:w="2835" w:type="dxa"/>
            <w:vAlign w:val="center"/>
          </w:tcPr>
          <w:p>
            <w:pPr>
              <w:pStyle w:val="11"/>
            </w:pPr>
            <w:r>
              <w:t>项目名称</w:t>
            </w:r>
          </w:p>
        </w:tc>
        <w:tc>
          <w:tcPr>
            <w:tcW w:w="6095" w:type="dxa"/>
            <w:gridSpan w:val="3"/>
            <w:vAlign w:val="center"/>
          </w:tcPr>
          <w:p>
            <w:pPr>
              <w:pStyle w:val="13"/>
            </w:pPr>
            <w:r>
              <w:t>2026年镇级三馆一站免费开放补助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丰富居民文化生活，满足群众日益增长的精神需求。</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1.丰富居民文化生活，满足群众日益增长的精神需求。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文化活动场次</w:t>
            </w:r>
          </w:p>
        </w:tc>
        <w:tc>
          <w:tcPr>
            <w:tcW w:w="5386" w:type="dxa"/>
            <w:vAlign w:val="center"/>
          </w:tcPr>
          <w:p>
            <w:pPr>
              <w:pStyle w:val="13"/>
            </w:pPr>
            <w:r>
              <w:t>免费开放开展各类文化活动</w:t>
            </w:r>
          </w:p>
        </w:tc>
        <w:tc>
          <w:tcPr>
            <w:tcW w:w="2268" w:type="dxa"/>
            <w:vAlign w:val="center"/>
          </w:tcPr>
          <w:p>
            <w:pPr>
              <w:pStyle w:val="13"/>
            </w:pPr>
            <w:r>
              <w:t>按照明年具体工作计划确定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活动合格率</w:t>
            </w:r>
          </w:p>
        </w:tc>
        <w:tc>
          <w:tcPr>
            <w:tcW w:w="5386" w:type="dxa"/>
            <w:vAlign w:val="center"/>
          </w:tcPr>
          <w:p>
            <w:pPr>
              <w:pStyle w:val="13"/>
            </w:pPr>
            <w:r>
              <w:t>高质量完成各项文化活动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按计划完成各类文化活动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本年度所需资金</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资金投入回报</w:t>
            </w:r>
          </w:p>
        </w:tc>
        <w:tc>
          <w:tcPr>
            <w:tcW w:w="5386" w:type="dxa"/>
            <w:vAlign w:val="center"/>
          </w:tcPr>
          <w:p>
            <w:pPr>
              <w:pStyle w:val="13"/>
            </w:pPr>
            <w:r>
              <w:t>该笔资金投入所带来的效益</w:t>
            </w:r>
          </w:p>
        </w:tc>
        <w:tc>
          <w:tcPr>
            <w:tcW w:w="2268" w:type="dxa"/>
            <w:vAlign w:val="center"/>
          </w:tcPr>
          <w:p>
            <w:pPr>
              <w:pStyle w:val="13"/>
            </w:pPr>
            <w:r>
              <w:t>满足群众精神文化需求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最大程度达到群众满意</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21、2026年镇级专项公用经费绩效目标表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13011026P00172U10012L</w:t>
            </w:r>
          </w:p>
        </w:tc>
        <w:tc>
          <w:tcPr>
            <w:tcW w:w="2835" w:type="dxa"/>
            <w:vAlign w:val="center"/>
          </w:tcPr>
          <w:p>
            <w:pPr>
              <w:pStyle w:val="11"/>
            </w:pPr>
            <w:r>
              <w:t>项目名称</w:t>
            </w:r>
          </w:p>
        </w:tc>
        <w:tc>
          <w:tcPr>
            <w:tcW w:w="6095" w:type="dxa"/>
            <w:gridSpan w:val="3"/>
            <w:vAlign w:val="center"/>
          </w:tcPr>
          <w:p>
            <w:pPr>
              <w:pStyle w:val="13"/>
            </w:pPr>
            <w:r>
              <w:t>2026年镇级专项公用经费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109.94</w:t>
            </w:r>
          </w:p>
        </w:tc>
        <w:tc>
          <w:tcPr>
            <w:tcW w:w="2835" w:type="dxa"/>
            <w:vAlign w:val="center"/>
          </w:tcPr>
          <w:p>
            <w:pPr>
              <w:pStyle w:val="11"/>
            </w:pPr>
            <w:r>
              <w:t>其中：财政    资金</w:t>
            </w:r>
          </w:p>
        </w:tc>
        <w:tc>
          <w:tcPr>
            <w:tcW w:w="2551" w:type="dxa"/>
            <w:vAlign w:val="center"/>
          </w:tcPr>
          <w:p>
            <w:pPr>
              <w:pStyle w:val="13"/>
            </w:pPr>
            <w:r>
              <w:t>109.94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"""预算支出109.936万元，用于上寨乡在职44人专项公用经费，保障各个部门正常开展工作。"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1."""预算支出109.936万元，用于上寨乡在职44人专项公用经费，保障各个部门正常开展工作。"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保障在职人员办公人数</w:t>
            </w:r>
          </w:p>
        </w:tc>
        <w:tc>
          <w:tcPr>
            <w:tcW w:w="5386" w:type="dxa"/>
            <w:vAlign w:val="center"/>
          </w:tcPr>
          <w:p>
            <w:pPr>
              <w:pStyle w:val="13"/>
            </w:pPr>
            <w:r>
              <w:t>保障在职人员办公人数</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保障各项工作完成率</w:t>
            </w:r>
          </w:p>
        </w:tc>
        <w:tc>
          <w:tcPr>
            <w:tcW w:w="5386" w:type="dxa"/>
            <w:vAlign w:val="center"/>
          </w:tcPr>
          <w:p>
            <w:pPr>
              <w:pStyle w:val="13"/>
            </w:pPr>
            <w:r>
              <w:t>保障各项工作完成率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2025年底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专项办公经费支出金额</w:t>
            </w:r>
          </w:p>
        </w:tc>
        <w:tc>
          <w:tcPr>
            <w:tcW w:w="5386" w:type="dxa"/>
            <w:vAlign w:val="center"/>
          </w:tcPr>
          <w:p>
            <w:pPr>
              <w:pStyle w:val="13"/>
            </w:pPr>
            <w:r>
              <w:t>专项办公经费支出金额</w:t>
            </w:r>
          </w:p>
        </w:tc>
        <w:tc>
          <w:tcPr>
            <w:tcW w:w="2268" w:type="dxa"/>
            <w:vAlign w:val="center"/>
          </w:tcPr>
          <w:p>
            <w:pPr>
              <w:pStyle w:val="13"/>
            </w:pPr>
            <w:r>
              <w:t>≤1099360元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专项办公经费支出的效果及影响</w:t>
            </w:r>
          </w:p>
        </w:tc>
        <w:tc>
          <w:tcPr>
            <w:tcW w:w="5386" w:type="dxa"/>
            <w:vAlign w:val="center"/>
          </w:tcPr>
          <w:p>
            <w:pPr>
              <w:pStyle w:val="13"/>
            </w:pPr>
            <w:r>
              <w:t>专项办公经费支出的效果及影响</w:t>
            </w:r>
          </w:p>
        </w:tc>
        <w:tc>
          <w:tcPr>
            <w:tcW w:w="2268" w:type="dxa"/>
            <w:vAlign w:val="center"/>
          </w:tcPr>
          <w:p>
            <w:pPr>
              <w:pStyle w:val="13"/>
            </w:pPr>
            <w:r>
              <w:t>保障各个部门正常开展工作，各项工作小婚礼完成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员工对专项办公经费支出的满意度</w:t>
            </w:r>
          </w:p>
        </w:tc>
        <w:tc>
          <w:tcPr>
            <w:tcW w:w="5386" w:type="dxa"/>
            <w:vAlign w:val="center"/>
          </w:tcPr>
          <w:p>
            <w:pPr>
              <w:pStyle w:val="13"/>
            </w:pPr>
            <w:r>
              <w:t>满意人数占总人数比例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22、2026年镇级专项公用经费（人员）绩效目标表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13011026P003203110300</w:t>
            </w:r>
          </w:p>
        </w:tc>
        <w:tc>
          <w:tcPr>
            <w:tcW w:w="2835" w:type="dxa"/>
            <w:vAlign w:val="center"/>
          </w:tcPr>
          <w:p>
            <w:pPr>
              <w:pStyle w:val="11"/>
            </w:pPr>
            <w:r>
              <w:t>项目名称</w:t>
            </w:r>
          </w:p>
        </w:tc>
        <w:tc>
          <w:tcPr>
            <w:tcW w:w="6095" w:type="dxa"/>
            <w:gridSpan w:val="3"/>
            <w:vAlign w:val="center"/>
          </w:tcPr>
          <w:p>
            <w:pPr>
              <w:pStyle w:val="13"/>
            </w:pPr>
            <w:r>
              <w:t>2026年镇级专项公用经费（人员）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33.86</w:t>
            </w:r>
          </w:p>
        </w:tc>
        <w:tc>
          <w:tcPr>
            <w:tcW w:w="2835" w:type="dxa"/>
            <w:vAlign w:val="center"/>
          </w:tcPr>
          <w:p>
            <w:pPr>
              <w:pStyle w:val="11"/>
            </w:pPr>
            <w:r>
              <w:t>其中：财政    资金</w:t>
            </w:r>
          </w:p>
        </w:tc>
        <w:tc>
          <w:tcPr>
            <w:tcW w:w="2551" w:type="dxa"/>
            <w:vAlign w:val="center"/>
          </w:tcPr>
          <w:p>
            <w:pPr>
              <w:pStyle w:val="13"/>
            </w:pPr>
            <w:r>
              <w:t>33.86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保障12名工勤人员工资，保障日常工作顺利进行。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1.保障12名工勤人员工资，保障日常工作顺利进行。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保障工勤工资人数</w:t>
            </w:r>
          </w:p>
        </w:tc>
        <w:tc>
          <w:tcPr>
            <w:tcW w:w="5386" w:type="dxa"/>
            <w:vAlign w:val="center"/>
          </w:tcPr>
          <w:p>
            <w:pPr>
              <w:pStyle w:val="13"/>
            </w:pPr>
            <w:r>
              <w:t>保障工勤工资人数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日常工作完成率</w:t>
            </w:r>
          </w:p>
        </w:tc>
        <w:tc>
          <w:tcPr>
            <w:tcW w:w="5386" w:type="dxa"/>
            <w:vAlign w:val="center"/>
          </w:tcPr>
          <w:p>
            <w:pPr>
              <w:pStyle w:val="13"/>
            </w:pPr>
            <w:r>
              <w:t>日常工作完成率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工资发放时限</w:t>
            </w:r>
          </w:p>
        </w:tc>
        <w:tc>
          <w:tcPr>
            <w:tcW w:w="5386" w:type="dxa"/>
            <w:vAlign w:val="center"/>
          </w:tcPr>
          <w:p>
            <w:pPr>
              <w:pStyle w:val="13"/>
            </w:pPr>
            <w:r>
              <w:t>工资发放时限</w:t>
            </w:r>
          </w:p>
        </w:tc>
        <w:tc>
          <w:tcPr>
            <w:tcW w:w="2268" w:type="dxa"/>
            <w:vAlign w:val="center"/>
          </w:tcPr>
          <w:p>
            <w:pPr>
              <w:pStyle w:val="13"/>
            </w:pPr>
            <w:r>
              <w:t>按月进行发放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工资发放数额</w:t>
            </w:r>
          </w:p>
        </w:tc>
        <w:tc>
          <w:tcPr>
            <w:tcW w:w="5386" w:type="dxa"/>
            <w:vAlign w:val="center"/>
          </w:tcPr>
          <w:p>
            <w:pPr>
              <w:pStyle w:val="13"/>
            </w:pPr>
            <w:r>
              <w:t>工资发放数额</w:t>
            </w:r>
          </w:p>
        </w:tc>
        <w:tc>
          <w:tcPr>
            <w:tcW w:w="2268" w:type="dxa"/>
            <w:vAlign w:val="center"/>
          </w:tcPr>
          <w:p>
            <w:pPr>
              <w:pStyle w:val="13"/>
            </w:pPr>
            <w:r>
              <w:t>≤338640元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工资发放影响</w:t>
            </w:r>
          </w:p>
        </w:tc>
        <w:tc>
          <w:tcPr>
            <w:tcW w:w="5386" w:type="dxa"/>
            <w:vAlign w:val="center"/>
          </w:tcPr>
          <w:p>
            <w:pPr>
              <w:pStyle w:val="13"/>
            </w:pPr>
            <w:r>
              <w:t>工资发放影响</w:t>
            </w:r>
          </w:p>
        </w:tc>
        <w:tc>
          <w:tcPr>
            <w:tcW w:w="2268" w:type="dxa"/>
            <w:vAlign w:val="center"/>
          </w:tcPr>
          <w:p>
            <w:pPr>
              <w:pStyle w:val="13"/>
            </w:pPr>
            <w:r>
              <w:t>保障日常工作顺利进行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工资发放满意度</w:t>
            </w:r>
          </w:p>
        </w:tc>
        <w:tc>
          <w:tcPr>
            <w:tcW w:w="5386" w:type="dxa"/>
            <w:vAlign w:val="center"/>
          </w:tcPr>
          <w:p>
            <w:pPr>
              <w:pStyle w:val="13"/>
            </w:pPr>
            <w:r>
              <w:t>工资发放满意度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266.63</w:t>
            </w:r>
          </w:p>
        </w:tc>
        <w:tc>
          <w:tcPr>
            <w:tcW w:w="964" w:type="dxa"/>
            <w:vAlign w:val="center"/>
          </w:tcPr>
          <w:p>
            <w:pPr>
              <w:pStyle w:val="16"/>
            </w:pPr>
            <w:r>
              <w:t>266.63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石家庄市鹿泉区上寨乡人民政府本级小计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266.63</w:t>
            </w:r>
          </w:p>
        </w:tc>
        <w:tc>
          <w:tcPr>
            <w:tcW w:w="964" w:type="dxa"/>
            <w:vAlign w:val="center"/>
          </w:tcPr>
          <w:p>
            <w:pPr>
              <w:pStyle w:val="16"/>
            </w:pPr>
            <w:r>
              <w:t>266.63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155.31</w:t>
            </w:r>
          </w:p>
        </w:tc>
        <w:tc>
          <w:tcPr>
            <w:tcW w:w="1134" w:type="dxa"/>
            <w:vAlign w:val="center"/>
          </w:tcPr>
          <w:p>
            <w:pPr>
              <w:pStyle w:val="13"/>
            </w:pPr>
            <w:r>
              <w:t>其他商业保险服务</w:t>
            </w:r>
          </w:p>
        </w:tc>
        <w:tc>
          <w:tcPr>
            <w:tcW w:w="1134" w:type="dxa"/>
            <w:vAlign w:val="center"/>
          </w:tcPr>
          <w:p>
            <w:pPr>
              <w:pStyle w:val="13"/>
            </w:pPr>
            <w:r>
              <w:t>C18040199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155.31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155.31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1.70</w:t>
            </w:r>
          </w:p>
        </w:tc>
        <w:tc>
          <w:tcPr>
            <w:tcW w:w="964" w:type="dxa"/>
            <w:vAlign w:val="center"/>
          </w:tcPr>
          <w:p>
            <w:pPr>
              <w:pStyle w:val="12"/>
            </w:pPr>
            <w:r>
              <w:t>1.70</w:t>
            </w:r>
          </w:p>
        </w:tc>
        <w:tc>
          <w:tcPr>
            <w:tcW w:w="964" w:type="dxa"/>
            <w:vAlign w:val="center"/>
          </w:tcPr>
          <w:p>
            <w:pPr>
              <w:pStyle w:val="12"/>
            </w:pPr>
            <w:r>
              <w:t>1.70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25.30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33</w:t>
            </w:r>
          </w:p>
        </w:tc>
        <w:tc>
          <w:tcPr>
            <w:tcW w:w="850" w:type="dxa"/>
            <w:vAlign w:val="center"/>
          </w:tcPr>
          <w:p>
            <w:pPr>
              <w:pStyle w:val="12"/>
            </w:pPr>
            <w:r>
              <w:t>0.02</w:t>
            </w:r>
          </w:p>
        </w:tc>
        <w:tc>
          <w:tcPr>
            <w:tcW w:w="964" w:type="dxa"/>
            <w:vAlign w:val="center"/>
          </w:tcPr>
          <w:p>
            <w:pPr>
              <w:pStyle w:val="12"/>
            </w:pPr>
            <w:r>
              <w:t>0.61</w:t>
            </w:r>
          </w:p>
        </w:tc>
        <w:tc>
          <w:tcPr>
            <w:tcW w:w="964" w:type="dxa"/>
            <w:vAlign w:val="center"/>
          </w:tcPr>
          <w:p>
            <w:pPr>
              <w:pStyle w:val="12"/>
            </w:pPr>
            <w:r>
              <w:t>0.61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25.30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4</w:t>
            </w:r>
          </w:p>
        </w:tc>
        <w:tc>
          <w:tcPr>
            <w:tcW w:w="850" w:type="dxa"/>
            <w:vAlign w:val="center"/>
          </w:tcPr>
          <w:p>
            <w:pPr>
              <w:pStyle w:val="12"/>
            </w:pPr>
            <w:r>
              <w:t>2.13</w:t>
            </w:r>
          </w:p>
        </w:tc>
        <w:tc>
          <w:tcPr>
            <w:tcW w:w="964" w:type="dxa"/>
            <w:vAlign w:val="center"/>
          </w:tcPr>
          <w:p>
            <w:pPr>
              <w:pStyle w:val="12"/>
            </w:pPr>
            <w:r>
              <w:t>8.50</w:t>
            </w:r>
          </w:p>
        </w:tc>
        <w:tc>
          <w:tcPr>
            <w:tcW w:w="964" w:type="dxa"/>
            <w:vAlign w:val="center"/>
          </w:tcPr>
          <w:p>
            <w:pPr>
              <w:pStyle w:val="12"/>
            </w:pPr>
            <w:r>
              <w:t>8.50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2026年区级上寨乡办公场所配套改造项目</w:t>
            </w:r>
          </w:p>
        </w:tc>
        <w:tc>
          <w:tcPr>
            <w:tcW w:w="964" w:type="dxa"/>
            <w:vAlign w:val="center"/>
          </w:tcPr>
          <w:p>
            <w:pPr>
              <w:pStyle w:val="12"/>
            </w:pPr>
            <w:r>
              <w:t>95.00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95.00</w:t>
            </w:r>
          </w:p>
        </w:tc>
        <w:tc>
          <w:tcPr>
            <w:tcW w:w="964" w:type="dxa"/>
            <w:vAlign w:val="center"/>
          </w:tcPr>
          <w:p>
            <w:pPr>
              <w:pStyle w:val="12"/>
            </w:pPr>
            <w:r>
              <w:t>95.00</w:t>
            </w:r>
          </w:p>
        </w:tc>
        <w:tc>
          <w:tcPr>
            <w:tcW w:w="964" w:type="dxa"/>
            <w:vAlign w:val="center"/>
          </w:tcPr>
          <w:p>
            <w:pPr>
              <w:pStyle w:val="12"/>
            </w:pPr>
            <w:r>
              <w:t>95.00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2026年区级上寨乡办公楼加固修缮</w:t>
            </w:r>
          </w:p>
        </w:tc>
        <w:tc>
          <w:tcPr>
            <w:tcW w:w="964" w:type="dxa"/>
            <w:vAlign w:val="center"/>
          </w:tcPr>
          <w:p>
            <w:pPr>
              <w:pStyle w:val="12"/>
            </w:pPr>
            <w:r>
              <w:t>155.00</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155.00</w:t>
            </w:r>
          </w:p>
        </w:tc>
        <w:tc>
          <w:tcPr>
            <w:tcW w:w="964" w:type="dxa"/>
            <w:vAlign w:val="center"/>
          </w:tcPr>
          <w:p>
            <w:pPr>
              <w:pStyle w:val="12"/>
            </w:pPr>
            <w:r>
              <w:t>155.00</w:t>
            </w:r>
          </w:p>
        </w:tc>
        <w:tc>
          <w:tcPr>
            <w:tcW w:w="964" w:type="dxa"/>
            <w:vAlign w:val="center"/>
          </w:tcPr>
          <w:p>
            <w:pPr>
              <w:pStyle w:val="12"/>
            </w:pPr>
            <w:r>
              <w:t>155.00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2026年镇级专项公用经费</w:t>
            </w:r>
          </w:p>
        </w:tc>
        <w:tc>
          <w:tcPr>
            <w:tcW w:w="964" w:type="dxa"/>
            <w:vAlign w:val="center"/>
          </w:tcPr>
          <w:p>
            <w:pPr>
              <w:pStyle w:val="12"/>
            </w:pPr>
            <w:r>
              <w:t>109.94</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2026年镇级专项公用经费</w:t>
            </w:r>
          </w:p>
        </w:tc>
        <w:tc>
          <w:tcPr>
            <w:tcW w:w="964" w:type="dxa"/>
            <w:vAlign w:val="center"/>
          </w:tcPr>
          <w:p>
            <w:pPr>
              <w:pStyle w:val="12"/>
            </w:pPr>
            <w:r>
              <w:t>109.94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15</w:t>
            </w:r>
          </w:p>
        </w:tc>
        <w:tc>
          <w:tcPr>
            <w:tcW w:w="850" w:type="dxa"/>
            <w:vAlign w:val="center"/>
          </w:tcPr>
          <w:p>
            <w:pPr>
              <w:pStyle w:val="12"/>
            </w:pPr>
            <w:r>
              <w:t>0.08</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2026年镇级专项公用经费</w:t>
            </w:r>
          </w:p>
        </w:tc>
        <w:tc>
          <w:tcPr>
            <w:tcW w:w="964" w:type="dxa"/>
            <w:vAlign w:val="center"/>
          </w:tcPr>
          <w:p>
            <w:pPr>
              <w:pStyle w:val="12"/>
            </w:pPr>
            <w:r>
              <w:t>109.94</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套</w:t>
            </w:r>
          </w:p>
        </w:tc>
        <w:tc>
          <w:tcPr>
            <w:tcW w:w="850" w:type="dxa"/>
            <w:vAlign w:val="center"/>
          </w:tcPr>
          <w:p>
            <w:pPr>
              <w:pStyle w:val="12"/>
            </w:pPr>
            <w:r>
              <w:t>50</w:t>
            </w:r>
          </w:p>
        </w:tc>
        <w:tc>
          <w:tcPr>
            <w:tcW w:w="850" w:type="dxa"/>
            <w:vAlign w:val="center"/>
          </w:tcPr>
          <w:p>
            <w:pPr>
              <w:pStyle w:val="12"/>
            </w:pPr>
            <w:r>
              <w:t>0.05</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2026年镇级专项公用经费</w:t>
            </w:r>
          </w:p>
        </w:tc>
        <w:tc>
          <w:tcPr>
            <w:tcW w:w="964" w:type="dxa"/>
            <w:vAlign w:val="center"/>
          </w:tcPr>
          <w:p>
            <w:pPr>
              <w:pStyle w:val="12"/>
            </w:pPr>
            <w:r>
              <w:t>109.94</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2026年镇级专项公用经费</w:t>
            </w:r>
          </w:p>
        </w:tc>
        <w:tc>
          <w:tcPr>
            <w:tcW w:w="964" w:type="dxa"/>
            <w:vAlign w:val="center"/>
          </w:tcPr>
          <w:p>
            <w:pPr>
              <w:pStyle w:val="12"/>
            </w:pPr>
            <w:r>
              <w:t>109.94</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把</w:t>
            </w:r>
          </w:p>
        </w:tc>
        <w:tc>
          <w:tcPr>
            <w:tcW w:w="850" w:type="dxa"/>
            <w:vAlign w:val="center"/>
          </w:tcPr>
          <w:p>
            <w:pPr>
              <w:pStyle w:val="12"/>
            </w:pPr>
            <w:r>
              <w:t>16</w:t>
            </w:r>
          </w:p>
        </w:tc>
        <w:tc>
          <w:tcPr>
            <w:tcW w:w="850" w:type="dxa"/>
            <w:vAlign w:val="center"/>
          </w:tcPr>
          <w:p>
            <w:pPr>
              <w:pStyle w:val="12"/>
            </w:pPr>
            <w:r>
              <w:t>0.02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石家庄市鹿泉区上寨乡人民政府（含所属单位）上年末固定资产金额为</w:t>
      </w:r>
      <w:r>
        <w:rPr>
          <w:rFonts w:hint="eastAsia"/>
          <w:lang w:val="en-US" w:eastAsia="zh-CN"/>
        </w:rPr>
        <w:t>344.33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4.82</w:t>
      </w:r>
      <w:r>
        <w:rPr>
          <w:rFonts w:ascii="Times New Roman" w:hAnsi="Times New Roman" w:eastAsia="方正仿宋_GBK" w:cs="Times New Roman"/>
          <w:b w:val="0"/>
          <w:color w:val="000000"/>
          <w:sz w:val="28"/>
        </w:rPr>
        <w:t>万元，已按要求列入政府采购预算，详见政府采购预算表。</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rPr>
              <w:t>3172.5</w:t>
            </w:r>
            <w:r>
              <w:rPr>
                <w:rFonts w:hint="eastAsia"/>
                <w:lang w:val="en-US" w:eastAsia="zh-CN"/>
              </w:rPr>
              <w:t>0</w:t>
            </w: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120.98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rPr>
              <w:t>286.01</w:t>
            </w: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rP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733</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207.08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6909596-E45D-4D0C-952F-D7119ED8559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8C6AC2C-819E-431B-9A22-C609F0B457F3}"/>
  </w:font>
  <w:font w:name="方正小标宋_GBK">
    <w:panose1 w:val="02000000000000000000"/>
    <w:charset w:val="86"/>
    <w:family w:val="auto"/>
    <w:pitch w:val="default"/>
    <w:sig w:usb0="A00002BF" w:usb1="38CF7CFA" w:usb2="00082016" w:usb3="00000000" w:csb0="00040001" w:csb1="00000000"/>
    <w:embedRegular r:id="rId3" w:fontKey="{262205AC-C897-4703-A271-71EBB2B5ABA3}"/>
  </w:font>
  <w:font w:name="方正书宋_GBK">
    <w:panose1 w:val="02000000000000000000"/>
    <w:charset w:val="86"/>
    <w:family w:val="auto"/>
    <w:pitch w:val="default"/>
    <w:sig w:usb0="A00002BF" w:usb1="38CF7CFA" w:usb2="00082016" w:usb3="00000000" w:csb0="00040001" w:csb1="00000000"/>
    <w:embedRegular r:id="rId4" w:fontKey="{E2BBEE2A-4D22-49FA-9E9B-36D715116ECC}"/>
  </w:font>
  <w:font w:name="方正仿宋_GBK">
    <w:panose1 w:val="02000000000000000000"/>
    <w:charset w:val="86"/>
    <w:family w:val="auto"/>
    <w:pitch w:val="default"/>
    <w:sig w:usb0="A00002BF" w:usb1="38CF7CFA" w:usb2="00082016" w:usb3="00000000" w:csb0="00040001" w:csb1="00000000"/>
    <w:embedRegular r:id="rId5" w:fontKey="{FF869630-CF9F-4361-A36E-B91258E16621}"/>
  </w:font>
  <w:font w:name="方正楷体_GBK">
    <w:panose1 w:val="02000000000000000000"/>
    <w:charset w:val="86"/>
    <w:family w:val="auto"/>
    <w:pitch w:val="default"/>
    <w:sig w:usb0="A00002BF" w:usb1="38CF7CFA" w:usb2="00082016" w:usb3="00000000" w:csb0="00040001" w:csb1="00000000"/>
    <w:embedRegular r:id="rId6" w:fontKey="{BF261E47-26C7-4FE5-B7E4-B7165FB8910B}"/>
  </w:font>
  <w:font w:name="Arial">
    <w:panose1 w:val="020B0604020202020204"/>
    <w:charset w:val="00"/>
    <w:family w:val="auto"/>
    <w:pitch w:val="default"/>
    <w:sig w:usb0="E0002EFF" w:usb1="C000785B" w:usb2="00000009" w:usb3="00000000" w:csb0="400001FF" w:csb1="FFFF0000"/>
    <w:embedRegular r:id="rId7" w:fontKey="{15E73780-A340-4D22-9BC3-91F503B8911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EB995D"/>
    <w:multiLevelType w:val="singleLevel"/>
    <w:tmpl w:val="0BEB995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4BD4C3D"/>
    <w:rsid w:val="4C614074"/>
    <w:rsid w:val="4E3427EC"/>
    <w:rsid w:val="6002613C"/>
    <w:rsid w:val="691147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TotalTime>1</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2026-03-13T10:50:00Z</dcterms:created>
  <dc:creator>DELL</dc:creator>
  <cp:lastModifiedBy>DELL</cp:lastModifiedBy>
  <dcterms:modified xsi:type="dcterms:W3CDTF">2026-03-13T03:13:02Z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9BB41A538C8941108D00549F8EDD1686</vt:lpwstr>
  </property>
</Properties>
</file>