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5</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6</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9</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10</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11</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12</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13</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14</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16</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17</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17</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19</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20</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24</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24</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25</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26</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321石家庄市鹿泉区投资促进局</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577.28</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471.13</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40.58</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26.70</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38.86</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577.28</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577.28</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577.28</w:t>
            </w:r>
          </w:p>
        </w:tc>
        <w:tc>
          <w:tcPr>
            <w:tcW w:w="4535" w:type="dxa"/>
            <w:vAlign w:val="center"/>
          </w:tcPr>
          <w:p>
            <w:pPr>
              <w:pStyle w:val="单元格样式6"/>
            </w:pPr>
            <w:r>
              <w:t xml:space="preserve">支出总计</w:t>
            </w:r>
          </w:p>
        </w:tc>
        <w:tc>
          <w:tcPr>
            <w:tcW w:w="2126" w:type="dxa"/>
            <w:vAlign w:val="center"/>
          </w:tcPr>
          <w:p>
            <w:pPr>
              <w:pStyle w:val="单元格样式7"/>
            </w:pPr>
            <w:r>
              <w:t xml:space="preserve">577.28</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321石家庄市鹿泉区投资促进局</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577.28</w:t>
            </w:r>
          </w:p>
        </w:tc>
        <w:tc>
          <w:tcPr>
            <w:tcW w:w="1134" w:type="dxa"/>
            <w:vAlign w:val="center"/>
          </w:tcPr>
          <w:p>
            <w:pPr>
              <w:pStyle w:val="单元格样式7"/>
            </w:pPr>
            <w:r>
              <w:t xml:space="preserve">577.28</w:t>
            </w:r>
          </w:p>
        </w:tc>
        <w:tc>
          <w:tcPr>
            <w:tcW w:w="1134" w:type="dxa"/>
            <w:vAlign w:val="center"/>
          </w:tcPr>
          <w:p>
            <w:pPr>
              <w:pStyle w:val="单元格样式7"/>
            </w:pPr>
            <w:r>
              <w:t xml:space="preserve">577.28</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471.13</w:t>
            </w:r>
          </w:p>
        </w:tc>
        <w:tc>
          <w:tcPr>
            <w:tcW w:w="1134" w:type="dxa"/>
            <w:vAlign w:val="center"/>
          </w:tcPr>
          <w:p>
            <w:pPr>
              <w:pStyle w:val="单元格样式4"/>
            </w:pPr>
            <w:r>
              <w:t xml:space="preserve">471.13</w:t>
            </w:r>
          </w:p>
        </w:tc>
        <w:tc>
          <w:tcPr>
            <w:tcW w:w="1134" w:type="dxa"/>
            <w:vAlign w:val="center"/>
          </w:tcPr>
          <w:p>
            <w:pPr>
              <w:pStyle w:val="单元格样式4"/>
            </w:pPr>
            <w:r>
              <w:t xml:space="preserve">471.13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20113</w:t>
            </w:r>
          </w:p>
        </w:tc>
        <w:tc>
          <w:tcPr>
            <w:tcW w:w="1559" w:type="dxa"/>
            <w:vAlign w:val="center"/>
          </w:tcPr>
          <w:p>
            <w:pPr>
              <w:pStyle w:val="单元格样式2"/>
            </w:pPr>
            <w:r>
              <w:t xml:space="preserve">商贸事务</w:t>
            </w:r>
          </w:p>
        </w:tc>
        <w:tc>
          <w:tcPr>
            <w:tcW w:w="1134" w:type="dxa"/>
            <w:vAlign w:val="center"/>
          </w:tcPr>
          <w:p>
            <w:pPr>
              <w:pStyle w:val="单元格样式4"/>
            </w:pPr>
            <w:r>
              <w:t xml:space="preserve">471.13</w:t>
            </w:r>
          </w:p>
        </w:tc>
        <w:tc>
          <w:tcPr>
            <w:tcW w:w="1134" w:type="dxa"/>
            <w:vAlign w:val="center"/>
          </w:tcPr>
          <w:p>
            <w:pPr>
              <w:pStyle w:val="单元格样式4"/>
            </w:pPr>
            <w:r>
              <w:t xml:space="preserve">471.13</w:t>
            </w:r>
          </w:p>
        </w:tc>
        <w:tc>
          <w:tcPr>
            <w:tcW w:w="1134" w:type="dxa"/>
            <w:vAlign w:val="center"/>
          </w:tcPr>
          <w:p>
            <w:pPr>
              <w:pStyle w:val="单元格样式4"/>
            </w:pPr>
            <w:r>
              <w:t xml:space="preserve">471.13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2011301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379.93</w:t>
            </w:r>
          </w:p>
        </w:tc>
        <w:tc>
          <w:tcPr>
            <w:tcW w:w="1134" w:type="dxa"/>
            <w:vAlign w:val="center"/>
          </w:tcPr>
          <w:p>
            <w:pPr>
              <w:pStyle w:val="单元格样式4"/>
            </w:pPr>
            <w:r>
              <w:t xml:space="preserve">379.93</w:t>
            </w:r>
          </w:p>
        </w:tc>
        <w:tc>
          <w:tcPr>
            <w:tcW w:w="1134" w:type="dxa"/>
            <w:vAlign w:val="center"/>
          </w:tcPr>
          <w:p>
            <w:pPr>
              <w:pStyle w:val="单元格样式4"/>
            </w:pPr>
            <w:r>
              <w:t xml:space="preserve">379.93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2011302</w:t>
            </w:r>
          </w:p>
        </w:tc>
        <w:tc>
          <w:tcPr>
            <w:tcW w:w="1559" w:type="dxa"/>
            <w:vAlign w:val="center"/>
          </w:tcPr>
          <w:p>
            <w:pPr>
              <w:pStyle w:val="单元格样式2"/>
            </w:pPr>
            <w:r>
              <w:t xml:space="preserve">一般行政管理事务</w:t>
            </w:r>
          </w:p>
        </w:tc>
        <w:tc>
          <w:tcPr>
            <w:tcW w:w="1134" w:type="dxa"/>
            <w:vAlign w:val="center"/>
          </w:tcPr>
          <w:p>
            <w:pPr>
              <w:pStyle w:val="单元格样式4"/>
            </w:pPr>
            <w:r>
              <w:t xml:space="preserve">23.20</w:t>
            </w:r>
          </w:p>
        </w:tc>
        <w:tc>
          <w:tcPr>
            <w:tcW w:w="1134" w:type="dxa"/>
            <w:vAlign w:val="center"/>
          </w:tcPr>
          <w:p>
            <w:pPr>
              <w:pStyle w:val="单元格样式4"/>
            </w:pPr>
            <w:r>
              <w:t xml:space="preserve">23.20</w:t>
            </w:r>
          </w:p>
        </w:tc>
        <w:tc>
          <w:tcPr>
            <w:tcW w:w="1134" w:type="dxa"/>
            <w:vAlign w:val="center"/>
          </w:tcPr>
          <w:p>
            <w:pPr>
              <w:pStyle w:val="单元格样式4"/>
            </w:pPr>
            <w:r>
              <w:t xml:space="preserve">23.20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2011308</w:t>
            </w:r>
          </w:p>
        </w:tc>
        <w:tc>
          <w:tcPr>
            <w:tcW w:w="1559" w:type="dxa"/>
            <w:vAlign w:val="center"/>
          </w:tcPr>
          <w:p>
            <w:pPr>
              <w:pStyle w:val="单元格样式2"/>
            </w:pPr>
            <w:r>
              <w:t xml:space="preserve">招商引资</w:t>
            </w:r>
          </w:p>
        </w:tc>
        <w:tc>
          <w:tcPr>
            <w:tcW w:w="1134" w:type="dxa"/>
            <w:vAlign w:val="center"/>
          </w:tcPr>
          <w:p>
            <w:pPr>
              <w:pStyle w:val="单元格样式4"/>
            </w:pPr>
            <w:r>
              <w:t xml:space="preserve">68.00</w:t>
            </w:r>
          </w:p>
        </w:tc>
        <w:tc>
          <w:tcPr>
            <w:tcW w:w="1134" w:type="dxa"/>
            <w:vAlign w:val="center"/>
          </w:tcPr>
          <w:p>
            <w:pPr>
              <w:pStyle w:val="单元格样式4"/>
            </w:pPr>
            <w:r>
              <w:t xml:space="preserve">68.00</w:t>
            </w:r>
          </w:p>
        </w:tc>
        <w:tc>
          <w:tcPr>
            <w:tcW w:w="1134" w:type="dxa"/>
            <w:vAlign w:val="center"/>
          </w:tcPr>
          <w:p>
            <w:pPr>
              <w:pStyle w:val="单元格样式4"/>
            </w:pPr>
            <w:r>
              <w:t xml:space="preserve">68.00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40.58</w:t>
            </w:r>
          </w:p>
        </w:tc>
        <w:tc>
          <w:tcPr>
            <w:tcW w:w="1134" w:type="dxa"/>
            <w:vAlign w:val="center"/>
          </w:tcPr>
          <w:p>
            <w:pPr>
              <w:pStyle w:val="单元格样式4"/>
            </w:pPr>
            <w:r>
              <w:t xml:space="preserve">40.58</w:t>
            </w:r>
          </w:p>
        </w:tc>
        <w:tc>
          <w:tcPr>
            <w:tcW w:w="1134" w:type="dxa"/>
            <w:vAlign w:val="center"/>
          </w:tcPr>
          <w:p>
            <w:pPr>
              <w:pStyle w:val="单元格样式4"/>
            </w:pPr>
            <w:r>
              <w:t xml:space="preserve">40.58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40.58</w:t>
            </w:r>
          </w:p>
        </w:tc>
        <w:tc>
          <w:tcPr>
            <w:tcW w:w="1134" w:type="dxa"/>
            <w:vAlign w:val="center"/>
          </w:tcPr>
          <w:p>
            <w:pPr>
              <w:pStyle w:val="单元格样式4"/>
            </w:pPr>
            <w:r>
              <w:t xml:space="preserve">40.58</w:t>
            </w:r>
          </w:p>
        </w:tc>
        <w:tc>
          <w:tcPr>
            <w:tcW w:w="1134" w:type="dxa"/>
            <w:vAlign w:val="center"/>
          </w:tcPr>
          <w:p>
            <w:pPr>
              <w:pStyle w:val="单元格样式4"/>
            </w:pPr>
            <w:r>
              <w:t xml:space="preserve">40.58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40.58</w:t>
            </w:r>
          </w:p>
        </w:tc>
        <w:tc>
          <w:tcPr>
            <w:tcW w:w="1134" w:type="dxa"/>
            <w:vAlign w:val="center"/>
          </w:tcPr>
          <w:p>
            <w:pPr>
              <w:pStyle w:val="单元格样式4"/>
            </w:pPr>
            <w:r>
              <w:t xml:space="preserve">40.58</w:t>
            </w:r>
          </w:p>
        </w:tc>
        <w:tc>
          <w:tcPr>
            <w:tcW w:w="1134" w:type="dxa"/>
            <w:vAlign w:val="center"/>
          </w:tcPr>
          <w:p>
            <w:pPr>
              <w:pStyle w:val="单元格样式4"/>
            </w:pPr>
            <w:r>
              <w:t xml:space="preserve">40.58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26.70</w:t>
            </w:r>
          </w:p>
        </w:tc>
        <w:tc>
          <w:tcPr>
            <w:tcW w:w="1134" w:type="dxa"/>
            <w:vAlign w:val="center"/>
          </w:tcPr>
          <w:p>
            <w:pPr>
              <w:pStyle w:val="单元格样式4"/>
            </w:pPr>
            <w:r>
              <w:t xml:space="preserve">26.70</w:t>
            </w:r>
          </w:p>
        </w:tc>
        <w:tc>
          <w:tcPr>
            <w:tcW w:w="1134" w:type="dxa"/>
            <w:vAlign w:val="center"/>
          </w:tcPr>
          <w:p>
            <w:pPr>
              <w:pStyle w:val="单元格样式4"/>
            </w:pPr>
            <w:r>
              <w:t xml:space="preserve">26.70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26.70</w:t>
            </w:r>
          </w:p>
        </w:tc>
        <w:tc>
          <w:tcPr>
            <w:tcW w:w="1134" w:type="dxa"/>
            <w:vAlign w:val="center"/>
          </w:tcPr>
          <w:p>
            <w:pPr>
              <w:pStyle w:val="单元格样式4"/>
            </w:pPr>
            <w:r>
              <w:t xml:space="preserve">26.70</w:t>
            </w:r>
          </w:p>
        </w:tc>
        <w:tc>
          <w:tcPr>
            <w:tcW w:w="1134" w:type="dxa"/>
            <w:vAlign w:val="center"/>
          </w:tcPr>
          <w:p>
            <w:pPr>
              <w:pStyle w:val="单元格样式4"/>
            </w:pPr>
            <w:r>
              <w:t xml:space="preserve">26.70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26.70</w:t>
            </w:r>
          </w:p>
        </w:tc>
        <w:tc>
          <w:tcPr>
            <w:tcW w:w="1134" w:type="dxa"/>
            <w:vAlign w:val="center"/>
          </w:tcPr>
          <w:p>
            <w:pPr>
              <w:pStyle w:val="单元格样式4"/>
            </w:pPr>
            <w:r>
              <w:t xml:space="preserve">26.70</w:t>
            </w:r>
          </w:p>
        </w:tc>
        <w:tc>
          <w:tcPr>
            <w:tcW w:w="1134" w:type="dxa"/>
            <w:vAlign w:val="center"/>
          </w:tcPr>
          <w:p>
            <w:pPr>
              <w:pStyle w:val="单元格样式4"/>
            </w:pPr>
            <w:r>
              <w:t xml:space="preserve">26.70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38.86</w:t>
            </w:r>
          </w:p>
        </w:tc>
        <w:tc>
          <w:tcPr>
            <w:tcW w:w="1134" w:type="dxa"/>
            <w:vAlign w:val="center"/>
          </w:tcPr>
          <w:p>
            <w:pPr>
              <w:pStyle w:val="单元格样式4"/>
            </w:pPr>
            <w:r>
              <w:t xml:space="preserve">38.86</w:t>
            </w:r>
          </w:p>
        </w:tc>
        <w:tc>
          <w:tcPr>
            <w:tcW w:w="1134" w:type="dxa"/>
            <w:vAlign w:val="center"/>
          </w:tcPr>
          <w:p>
            <w:pPr>
              <w:pStyle w:val="单元格样式4"/>
            </w:pPr>
            <w:r>
              <w:t xml:space="preserve">38.86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38.86</w:t>
            </w:r>
          </w:p>
        </w:tc>
        <w:tc>
          <w:tcPr>
            <w:tcW w:w="1134" w:type="dxa"/>
            <w:vAlign w:val="center"/>
          </w:tcPr>
          <w:p>
            <w:pPr>
              <w:pStyle w:val="单元格样式4"/>
            </w:pPr>
            <w:r>
              <w:t xml:space="preserve">38.86</w:t>
            </w:r>
          </w:p>
        </w:tc>
        <w:tc>
          <w:tcPr>
            <w:tcW w:w="1134" w:type="dxa"/>
            <w:vAlign w:val="center"/>
          </w:tcPr>
          <w:p>
            <w:pPr>
              <w:pStyle w:val="单元格样式4"/>
            </w:pPr>
            <w:r>
              <w:t xml:space="preserve">38.86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38.86</w:t>
            </w:r>
          </w:p>
        </w:tc>
        <w:tc>
          <w:tcPr>
            <w:tcW w:w="1134" w:type="dxa"/>
            <w:vAlign w:val="center"/>
          </w:tcPr>
          <w:p>
            <w:pPr>
              <w:pStyle w:val="单元格样式4"/>
            </w:pPr>
            <w:r>
              <w:t xml:space="preserve">38.86</w:t>
            </w:r>
          </w:p>
        </w:tc>
        <w:tc>
          <w:tcPr>
            <w:tcW w:w="1134" w:type="dxa"/>
            <w:vAlign w:val="center"/>
          </w:tcPr>
          <w:p>
            <w:pPr>
              <w:pStyle w:val="单元格样式4"/>
            </w:pPr>
            <w:r>
              <w:t xml:space="preserve">38.86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321石家庄市鹿泉区投资促进局</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577.28</w:t>
            </w:r>
          </w:p>
        </w:tc>
        <w:tc>
          <w:tcPr>
            <w:tcW w:w="1361" w:type="dxa"/>
            <w:vAlign w:val="center"/>
          </w:tcPr>
          <w:p>
            <w:pPr>
              <w:pStyle w:val="单元格样式7"/>
            </w:pPr>
            <w:r>
              <w:t xml:space="preserve">486.08</w:t>
            </w:r>
          </w:p>
        </w:tc>
        <w:tc>
          <w:tcPr>
            <w:tcW w:w="1361" w:type="dxa"/>
            <w:vAlign w:val="center"/>
          </w:tcPr>
          <w:p>
            <w:pPr>
              <w:pStyle w:val="单元格样式7"/>
            </w:pPr>
            <w:r>
              <w:t xml:space="preserve">91.20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471.13</w:t>
            </w:r>
          </w:p>
        </w:tc>
        <w:tc>
          <w:tcPr>
            <w:tcW w:w="1361" w:type="dxa"/>
            <w:vAlign w:val="center"/>
          </w:tcPr>
          <w:p>
            <w:pPr>
              <w:pStyle w:val="单元格样式4"/>
            </w:pPr>
            <w:r>
              <w:t xml:space="preserve">379.93</w:t>
            </w:r>
          </w:p>
        </w:tc>
        <w:tc>
          <w:tcPr>
            <w:tcW w:w="1361" w:type="dxa"/>
            <w:vAlign w:val="center"/>
          </w:tcPr>
          <w:p>
            <w:pPr>
              <w:pStyle w:val="单元格样式4"/>
            </w:pPr>
            <w:r>
              <w:t xml:space="preserve">91.20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20113</w:t>
            </w:r>
          </w:p>
        </w:tc>
        <w:tc>
          <w:tcPr>
            <w:tcW w:w="4535" w:type="dxa"/>
            <w:vAlign w:val="center"/>
          </w:tcPr>
          <w:p>
            <w:pPr>
              <w:pStyle w:val="单元格样式2"/>
            </w:pPr>
            <w:r>
              <w:t xml:space="preserve">商贸事务</w:t>
            </w:r>
          </w:p>
        </w:tc>
        <w:tc>
          <w:tcPr>
            <w:tcW w:w="1361" w:type="dxa"/>
            <w:vAlign w:val="center"/>
          </w:tcPr>
          <w:p>
            <w:pPr>
              <w:pStyle w:val="单元格样式4"/>
            </w:pPr>
            <w:r>
              <w:t xml:space="preserve">471.13</w:t>
            </w:r>
          </w:p>
        </w:tc>
        <w:tc>
          <w:tcPr>
            <w:tcW w:w="1361" w:type="dxa"/>
            <w:vAlign w:val="center"/>
          </w:tcPr>
          <w:p>
            <w:pPr>
              <w:pStyle w:val="单元格样式4"/>
            </w:pPr>
            <w:r>
              <w:t xml:space="preserve">379.93</w:t>
            </w:r>
          </w:p>
        </w:tc>
        <w:tc>
          <w:tcPr>
            <w:tcW w:w="1361" w:type="dxa"/>
            <w:vAlign w:val="center"/>
          </w:tcPr>
          <w:p>
            <w:pPr>
              <w:pStyle w:val="单元格样式4"/>
            </w:pPr>
            <w:r>
              <w:t xml:space="preserve">91.20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2011301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379.93</w:t>
            </w:r>
          </w:p>
        </w:tc>
        <w:tc>
          <w:tcPr>
            <w:tcW w:w="1361" w:type="dxa"/>
            <w:vAlign w:val="center"/>
          </w:tcPr>
          <w:p>
            <w:pPr>
              <w:pStyle w:val="单元格样式4"/>
            </w:pPr>
            <w:r>
              <w:t xml:space="preserve">379.93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2011302</w:t>
            </w:r>
          </w:p>
        </w:tc>
        <w:tc>
          <w:tcPr>
            <w:tcW w:w="4535" w:type="dxa"/>
            <w:vAlign w:val="center"/>
          </w:tcPr>
          <w:p>
            <w:pPr>
              <w:pStyle w:val="单元格样式2"/>
            </w:pPr>
            <w:r>
              <w:t xml:space="preserve">一般行政管理事务</w:t>
            </w:r>
          </w:p>
        </w:tc>
        <w:tc>
          <w:tcPr>
            <w:tcW w:w="1361" w:type="dxa"/>
            <w:vAlign w:val="center"/>
          </w:tcPr>
          <w:p>
            <w:pPr>
              <w:pStyle w:val="单元格样式4"/>
            </w:pPr>
            <w:r>
              <w:t xml:space="preserve">23.20</w:t>
            </w:r>
          </w:p>
        </w:tc>
        <w:tc>
          <w:tcPr>
            <w:tcW w:w="1361" w:type="dxa"/>
            <w:vAlign w:val="center"/>
          </w:tcPr>
          <w:p>
            <w:pPr>
              <w:pStyle w:val="单元格样式4"/>
            </w:pPr>
          </w:p>
        </w:tc>
        <w:tc>
          <w:tcPr>
            <w:tcW w:w="1361" w:type="dxa"/>
            <w:vAlign w:val="center"/>
          </w:tcPr>
          <w:p>
            <w:pPr>
              <w:pStyle w:val="单元格样式4"/>
            </w:pPr>
            <w:r>
              <w:t xml:space="preserve">23.20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2011308</w:t>
            </w:r>
          </w:p>
        </w:tc>
        <w:tc>
          <w:tcPr>
            <w:tcW w:w="4535" w:type="dxa"/>
            <w:vAlign w:val="center"/>
          </w:tcPr>
          <w:p>
            <w:pPr>
              <w:pStyle w:val="单元格样式2"/>
            </w:pPr>
            <w:r>
              <w:t xml:space="preserve">招商引资</w:t>
            </w:r>
          </w:p>
        </w:tc>
        <w:tc>
          <w:tcPr>
            <w:tcW w:w="1361" w:type="dxa"/>
            <w:vAlign w:val="center"/>
          </w:tcPr>
          <w:p>
            <w:pPr>
              <w:pStyle w:val="单元格样式4"/>
            </w:pPr>
            <w:r>
              <w:t xml:space="preserve">68.00</w:t>
            </w:r>
          </w:p>
        </w:tc>
        <w:tc>
          <w:tcPr>
            <w:tcW w:w="1361" w:type="dxa"/>
            <w:vAlign w:val="center"/>
          </w:tcPr>
          <w:p>
            <w:pPr>
              <w:pStyle w:val="单元格样式4"/>
            </w:pPr>
          </w:p>
        </w:tc>
        <w:tc>
          <w:tcPr>
            <w:tcW w:w="1361" w:type="dxa"/>
            <w:vAlign w:val="center"/>
          </w:tcPr>
          <w:p>
            <w:pPr>
              <w:pStyle w:val="单元格样式4"/>
            </w:pPr>
            <w:r>
              <w:t xml:space="preserve">68.00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40.58</w:t>
            </w:r>
          </w:p>
        </w:tc>
        <w:tc>
          <w:tcPr>
            <w:tcW w:w="1361" w:type="dxa"/>
            <w:vAlign w:val="center"/>
          </w:tcPr>
          <w:p>
            <w:pPr>
              <w:pStyle w:val="单元格样式4"/>
            </w:pPr>
            <w:r>
              <w:t xml:space="preserve">40.58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40.58</w:t>
            </w:r>
          </w:p>
        </w:tc>
        <w:tc>
          <w:tcPr>
            <w:tcW w:w="1361" w:type="dxa"/>
            <w:vAlign w:val="center"/>
          </w:tcPr>
          <w:p>
            <w:pPr>
              <w:pStyle w:val="单元格样式4"/>
            </w:pPr>
            <w:r>
              <w:t xml:space="preserve">40.58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40.58</w:t>
            </w:r>
          </w:p>
        </w:tc>
        <w:tc>
          <w:tcPr>
            <w:tcW w:w="1361" w:type="dxa"/>
            <w:vAlign w:val="center"/>
          </w:tcPr>
          <w:p>
            <w:pPr>
              <w:pStyle w:val="单元格样式4"/>
            </w:pPr>
            <w:r>
              <w:t xml:space="preserve">40.58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26.70</w:t>
            </w:r>
          </w:p>
        </w:tc>
        <w:tc>
          <w:tcPr>
            <w:tcW w:w="1361" w:type="dxa"/>
            <w:vAlign w:val="center"/>
          </w:tcPr>
          <w:p>
            <w:pPr>
              <w:pStyle w:val="单元格样式4"/>
            </w:pPr>
            <w:r>
              <w:t xml:space="preserve">26.70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26.70</w:t>
            </w:r>
          </w:p>
        </w:tc>
        <w:tc>
          <w:tcPr>
            <w:tcW w:w="1361" w:type="dxa"/>
            <w:vAlign w:val="center"/>
          </w:tcPr>
          <w:p>
            <w:pPr>
              <w:pStyle w:val="单元格样式4"/>
            </w:pPr>
            <w:r>
              <w:t xml:space="preserve">26.70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26.70</w:t>
            </w:r>
          </w:p>
        </w:tc>
        <w:tc>
          <w:tcPr>
            <w:tcW w:w="1361" w:type="dxa"/>
            <w:vAlign w:val="center"/>
          </w:tcPr>
          <w:p>
            <w:pPr>
              <w:pStyle w:val="单元格样式4"/>
            </w:pPr>
            <w:r>
              <w:t xml:space="preserve">26.70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38.86</w:t>
            </w:r>
          </w:p>
        </w:tc>
        <w:tc>
          <w:tcPr>
            <w:tcW w:w="1361" w:type="dxa"/>
            <w:vAlign w:val="center"/>
          </w:tcPr>
          <w:p>
            <w:pPr>
              <w:pStyle w:val="单元格样式4"/>
            </w:pPr>
            <w:r>
              <w:t xml:space="preserve">38.86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38.86</w:t>
            </w:r>
          </w:p>
        </w:tc>
        <w:tc>
          <w:tcPr>
            <w:tcW w:w="1361" w:type="dxa"/>
            <w:vAlign w:val="center"/>
          </w:tcPr>
          <w:p>
            <w:pPr>
              <w:pStyle w:val="单元格样式4"/>
            </w:pPr>
            <w:r>
              <w:t xml:space="preserve">38.86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38.86</w:t>
            </w:r>
          </w:p>
        </w:tc>
        <w:tc>
          <w:tcPr>
            <w:tcW w:w="1361" w:type="dxa"/>
            <w:vAlign w:val="center"/>
          </w:tcPr>
          <w:p>
            <w:pPr>
              <w:pStyle w:val="单元格样式4"/>
            </w:pPr>
            <w:r>
              <w:t xml:space="preserve">38.86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321石家庄市鹿泉区投资促进局</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577.28</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471.13</w:t>
            </w:r>
          </w:p>
        </w:tc>
        <w:tc>
          <w:tcPr>
            <w:tcW w:w="1474" w:type="dxa"/>
            <w:vAlign w:val="center"/>
          </w:tcPr>
          <w:p>
            <w:pPr>
              <w:pStyle w:val="单元格样式4"/>
            </w:pPr>
            <w:r>
              <w:t xml:space="preserve">471.13</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40.58</w:t>
            </w:r>
          </w:p>
        </w:tc>
        <w:tc>
          <w:tcPr>
            <w:tcW w:w="1474" w:type="dxa"/>
            <w:vAlign w:val="center"/>
          </w:tcPr>
          <w:p>
            <w:pPr>
              <w:pStyle w:val="单元格样式4"/>
            </w:pPr>
            <w:r>
              <w:t xml:space="preserve">40.58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26.70</w:t>
            </w:r>
          </w:p>
        </w:tc>
        <w:tc>
          <w:tcPr>
            <w:tcW w:w="1474" w:type="dxa"/>
            <w:vAlign w:val="center"/>
          </w:tcPr>
          <w:p>
            <w:pPr>
              <w:pStyle w:val="单元格样式4"/>
            </w:pPr>
            <w:r>
              <w:t xml:space="preserve">26.70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38.86</w:t>
            </w:r>
          </w:p>
        </w:tc>
        <w:tc>
          <w:tcPr>
            <w:tcW w:w="1474" w:type="dxa"/>
            <w:vAlign w:val="center"/>
          </w:tcPr>
          <w:p>
            <w:pPr>
              <w:pStyle w:val="单元格样式4"/>
            </w:pPr>
            <w:r>
              <w:t xml:space="preserve">38.86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577.28</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577.28</w:t>
            </w:r>
          </w:p>
        </w:tc>
        <w:tc>
          <w:tcPr>
            <w:tcW w:w="1474" w:type="dxa"/>
            <w:vAlign w:val="center"/>
          </w:tcPr>
          <w:p>
            <w:pPr>
              <w:pStyle w:val="单元格样式7"/>
            </w:pPr>
            <w:r>
              <w:t xml:space="preserve">577.28</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577.28</w:t>
            </w:r>
          </w:p>
        </w:tc>
        <w:tc>
          <w:tcPr>
            <w:tcW w:w="3402" w:type="dxa"/>
            <w:vAlign w:val="center"/>
          </w:tcPr>
          <w:p>
            <w:pPr>
              <w:pStyle w:val="单元格样式6"/>
            </w:pPr>
            <w:r>
              <w:t xml:space="preserve">支出总计</w:t>
            </w:r>
          </w:p>
        </w:tc>
        <w:tc>
          <w:tcPr>
            <w:tcW w:w="1474" w:type="dxa"/>
            <w:vAlign w:val="center"/>
          </w:tcPr>
          <w:p>
            <w:pPr>
              <w:pStyle w:val="单元格样式7"/>
            </w:pPr>
            <w:r>
              <w:t xml:space="preserve">577.28</w:t>
            </w:r>
          </w:p>
        </w:tc>
        <w:tc>
          <w:tcPr>
            <w:tcW w:w="1474" w:type="dxa"/>
            <w:vAlign w:val="center"/>
          </w:tcPr>
          <w:p>
            <w:pPr>
              <w:pStyle w:val="单元格样式7"/>
            </w:pPr>
            <w:r>
              <w:t xml:space="preserve">577.28</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321石家庄市鹿泉区投资促进局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577.28</w:t>
            </w:r>
          </w:p>
        </w:tc>
        <w:tc>
          <w:tcPr>
            <w:tcW w:w="2551" w:type="dxa"/>
            <w:vAlign w:val="center"/>
          </w:tcPr>
          <w:p>
            <w:pPr>
              <w:pStyle w:val="单元格样式7"/>
            </w:pPr>
            <w:r>
              <w:t xml:space="preserve">486.08</w:t>
            </w:r>
          </w:p>
        </w:tc>
        <w:tc>
          <w:tcPr>
            <w:tcW w:w="2551" w:type="dxa"/>
            <w:vAlign w:val="center"/>
          </w:tcPr>
          <w:p>
            <w:pPr>
              <w:pStyle w:val="单元格样式7"/>
            </w:pPr>
            <w:r>
              <w:t xml:space="preserve">91.20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471.13</w:t>
            </w:r>
          </w:p>
        </w:tc>
        <w:tc>
          <w:tcPr>
            <w:tcW w:w="2551" w:type="dxa"/>
            <w:vAlign w:val="center"/>
          </w:tcPr>
          <w:p>
            <w:pPr>
              <w:pStyle w:val="单元格样式4"/>
            </w:pPr>
            <w:r>
              <w:t xml:space="preserve">379.93</w:t>
            </w:r>
          </w:p>
        </w:tc>
        <w:tc>
          <w:tcPr>
            <w:tcW w:w="2551" w:type="dxa"/>
            <w:vAlign w:val="center"/>
          </w:tcPr>
          <w:p>
            <w:pPr>
              <w:pStyle w:val="单元格样式4"/>
            </w:pPr>
            <w:r>
              <w:t xml:space="preserve">91.20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20113</w:t>
            </w:r>
          </w:p>
        </w:tc>
        <w:tc>
          <w:tcPr>
            <w:tcW w:w="4535" w:type="dxa"/>
            <w:vAlign w:val="center"/>
          </w:tcPr>
          <w:p>
            <w:pPr>
              <w:pStyle w:val="单元格样式2"/>
            </w:pPr>
            <w:r>
              <w:t xml:space="preserve">商贸事务</w:t>
            </w:r>
          </w:p>
        </w:tc>
        <w:tc>
          <w:tcPr>
            <w:tcW w:w="2551" w:type="dxa"/>
            <w:vAlign w:val="center"/>
          </w:tcPr>
          <w:p>
            <w:pPr>
              <w:pStyle w:val="单元格样式4"/>
            </w:pPr>
            <w:r>
              <w:t xml:space="preserve">471.13</w:t>
            </w:r>
          </w:p>
        </w:tc>
        <w:tc>
          <w:tcPr>
            <w:tcW w:w="2551" w:type="dxa"/>
            <w:vAlign w:val="center"/>
          </w:tcPr>
          <w:p>
            <w:pPr>
              <w:pStyle w:val="单元格样式4"/>
            </w:pPr>
            <w:r>
              <w:t xml:space="preserve">379.93</w:t>
            </w:r>
          </w:p>
        </w:tc>
        <w:tc>
          <w:tcPr>
            <w:tcW w:w="2551" w:type="dxa"/>
            <w:vAlign w:val="center"/>
          </w:tcPr>
          <w:p>
            <w:pPr>
              <w:pStyle w:val="单元格样式4"/>
            </w:pPr>
            <w:r>
              <w:t xml:space="preserve">91.20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2011301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379.93</w:t>
            </w:r>
          </w:p>
        </w:tc>
        <w:tc>
          <w:tcPr>
            <w:tcW w:w="2551" w:type="dxa"/>
            <w:vAlign w:val="center"/>
          </w:tcPr>
          <w:p>
            <w:pPr>
              <w:pStyle w:val="单元格样式4"/>
            </w:pPr>
            <w:r>
              <w:t xml:space="preserve">379.93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2011302</w:t>
            </w:r>
          </w:p>
        </w:tc>
        <w:tc>
          <w:tcPr>
            <w:tcW w:w="4535" w:type="dxa"/>
            <w:vAlign w:val="center"/>
          </w:tcPr>
          <w:p>
            <w:pPr>
              <w:pStyle w:val="单元格样式2"/>
            </w:pPr>
            <w:r>
              <w:t xml:space="preserve">一般行政管理事务</w:t>
            </w:r>
          </w:p>
        </w:tc>
        <w:tc>
          <w:tcPr>
            <w:tcW w:w="2551" w:type="dxa"/>
            <w:vAlign w:val="center"/>
          </w:tcPr>
          <w:p>
            <w:pPr>
              <w:pStyle w:val="单元格样式4"/>
            </w:pPr>
            <w:r>
              <w:t xml:space="preserve">23.20</w:t>
            </w:r>
          </w:p>
        </w:tc>
        <w:tc>
          <w:tcPr>
            <w:tcW w:w="2551" w:type="dxa"/>
            <w:vAlign w:val="center"/>
          </w:tcPr>
          <w:p>
            <w:pPr>
              <w:pStyle w:val="单元格样式4"/>
            </w:pPr>
          </w:p>
        </w:tc>
        <w:tc>
          <w:tcPr>
            <w:tcW w:w="2551" w:type="dxa"/>
            <w:vAlign w:val="center"/>
          </w:tcPr>
          <w:p>
            <w:pPr>
              <w:pStyle w:val="单元格样式4"/>
            </w:pPr>
            <w:r>
              <w:t xml:space="preserve">23.20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2011308</w:t>
            </w:r>
          </w:p>
        </w:tc>
        <w:tc>
          <w:tcPr>
            <w:tcW w:w="4535" w:type="dxa"/>
            <w:vAlign w:val="center"/>
          </w:tcPr>
          <w:p>
            <w:pPr>
              <w:pStyle w:val="单元格样式2"/>
            </w:pPr>
            <w:r>
              <w:t xml:space="preserve">招商引资</w:t>
            </w:r>
          </w:p>
        </w:tc>
        <w:tc>
          <w:tcPr>
            <w:tcW w:w="2551" w:type="dxa"/>
            <w:vAlign w:val="center"/>
          </w:tcPr>
          <w:p>
            <w:pPr>
              <w:pStyle w:val="单元格样式4"/>
            </w:pPr>
            <w:r>
              <w:t xml:space="preserve">68.00</w:t>
            </w:r>
          </w:p>
        </w:tc>
        <w:tc>
          <w:tcPr>
            <w:tcW w:w="2551" w:type="dxa"/>
            <w:vAlign w:val="center"/>
          </w:tcPr>
          <w:p>
            <w:pPr>
              <w:pStyle w:val="单元格样式4"/>
            </w:pPr>
          </w:p>
        </w:tc>
        <w:tc>
          <w:tcPr>
            <w:tcW w:w="2551" w:type="dxa"/>
            <w:vAlign w:val="center"/>
          </w:tcPr>
          <w:p>
            <w:pPr>
              <w:pStyle w:val="单元格样式4"/>
            </w:pPr>
            <w:r>
              <w:t xml:space="preserve">68.00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40.58</w:t>
            </w:r>
          </w:p>
        </w:tc>
        <w:tc>
          <w:tcPr>
            <w:tcW w:w="2551" w:type="dxa"/>
            <w:vAlign w:val="center"/>
          </w:tcPr>
          <w:p>
            <w:pPr>
              <w:pStyle w:val="单元格样式4"/>
            </w:pPr>
            <w:r>
              <w:t xml:space="preserve">40.58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40.58</w:t>
            </w:r>
          </w:p>
        </w:tc>
        <w:tc>
          <w:tcPr>
            <w:tcW w:w="2551" w:type="dxa"/>
            <w:vAlign w:val="center"/>
          </w:tcPr>
          <w:p>
            <w:pPr>
              <w:pStyle w:val="单元格样式4"/>
            </w:pPr>
            <w:r>
              <w:t xml:space="preserve">40.58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40.58</w:t>
            </w:r>
          </w:p>
        </w:tc>
        <w:tc>
          <w:tcPr>
            <w:tcW w:w="2551" w:type="dxa"/>
            <w:vAlign w:val="center"/>
          </w:tcPr>
          <w:p>
            <w:pPr>
              <w:pStyle w:val="单元格样式4"/>
            </w:pPr>
            <w:r>
              <w:t xml:space="preserve">40.58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26.70</w:t>
            </w:r>
          </w:p>
        </w:tc>
        <w:tc>
          <w:tcPr>
            <w:tcW w:w="2551" w:type="dxa"/>
            <w:vAlign w:val="center"/>
          </w:tcPr>
          <w:p>
            <w:pPr>
              <w:pStyle w:val="单元格样式4"/>
            </w:pPr>
            <w:r>
              <w:t xml:space="preserve">26.70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26.70</w:t>
            </w:r>
          </w:p>
        </w:tc>
        <w:tc>
          <w:tcPr>
            <w:tcW w:w="2551" w:type="dxa"/>
            <w:vAlign w:val="center"/>
          </w:tcPr>
          <w:p>
            <w:pPr>
              <w:pStyle w:val="单元格样式4"/>
            </w:pPr>
            <w:r>
              <w:t xml:space="preserve">26.70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26.70</w:t>
            </w:r>
          </w:p>
        </w:tc>
        <w:tc>
          <w:tcPr>
            <w:tcW w:w="2551" w:type="dxa"/>
            <w:vAlign w:val="center"/>
          </w:tcPr>
          <w:p>
            <w:pPr>
              <w:pStyle w:val="单元格样式4"/>
            </w:pPr>
            <w:r>
              <w:t xml:space="preserve">26.70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38.86</w:t>
            </w:r>
          </w:p>
        </w:tc>
        <w:tc>
          <w:tcPr>
            <w:tcW w:w="2551" w:type="dxa"/>
            <w:vAlign w:val="center"/>
          </w:tcPr>
          <w:p>
            <w:pPr>
              <w:pStyle w:val="单元格样式4"/>
            </w:pPr>
            <w:r>
              <w:t xml:space="preserve">38.86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38.86</w:t>
            </w:r>
          </w:p>
        </w:tc>
        <w:tc>
          <w:tcPr>
            <w:tcW w:w="2551" w:type="dxa"/>
            <w:vAlign w:val="center"/>
          </w:tcPr>
          <w:p>
            <w:pPr>
              <w:pStyle w:val="单元格样式4"/>
            </w:pPr>
            <w:r>
              <w:t xml:space="preserve">38.86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38.86</w:t>
            </w:r>
          </w:p>
        </w:tc>
        <w:tc>
          <w:tcPr>
            <w:tcW w:w="2551" w:type="dxa"/>
            <w:vAlign w:val="center"/>
          </w:tcPr>
          <w:p>
            <w:pPr>
              <w:pStyle w:val="单元格样式4"/>
            </w:pPr>
            <w:r>
              <w:t xml:space="preserve">38.86</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321石家庄市鹿泉区投资促进局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486.08</w:t>
            </w:r>
          </w:p>
        </w:tc>
        <w:tc>
          <w:tcPr>
            <w:tcW w:w="2551" w:type="dxa"/>
            <w:vAlign w:val="center"/>
          </w:tcPr>
          <w:p>
            <w:pPr>
              <w:pStyle w:val="单元格样式7"/>
            </w:pPr>
            <w:r>
              <w:t xml:space="preserve">420.63</w:t>
            </w:r>
          </w:p>
        </w:tc>
        <w:tc>
          <w:tcPr>
            <w:tcW w:w="2551" w:type="dxa"/>
            <w:vAlign w:val="center"/>
          </w:tcPr>
          <w:p>
            <w:pPr>
              <w:pStyle w:val="单元格样式7"/>
            </w:pPr>
            <w:r>
              <w:t xml:space="preserve">65.45</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420.63</w:t>
            </w:r>
          </w:p>
        </w:tc>
        <w:tc>
          <w:tcPr>
            <w:tcW w:w="2551" w:type="dxa"/>
            <w:vAlign w:val="center"/>
          </w:tcPr>
          <w:p>
            <w:pPr>
              <w:pStyle w:val="单元格样式4"/>
            </w:pPr>
            <w:r>
              <w:t xml:space="preserve">420.63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106.58</w:t>
            </w:r>
          </w:p>
        </w:tc>
        <w:tc>
          <w:tcPr>
            <w:tcW w:w="2551" w:type="dxa"/>
            <w:vAlign w:val="center"/>
          </w:tcPr>
          <w:p>
            <w:pPr>
              <w:pStyle w:val="单元格样式4"/>
            </w:pPr>
            <w:r>
              <w:t xml:space="preserve">106.58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42.08</w:t>
            </w:r>
          </w:p>
        </w:tc>
        <w:tc>
          <w:tcPr>
            <w:tcW w:w="2551" w:type="dxa"/>
            <w:vAlign w:val="center"/>
          </w:tcPr>
          <w:p>
            <w:pPr>
              <w:pStyle w:val="单元格样式4"/>
            </w:pPr>
            <w:r>
              <w:t xml:space="preserve">42.08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30.11</w:t>
            </w:r>
          </w:p>
        </w:tc>
        <w:tc>
          <w:tcPr>
            <w:tcW w:w="2551" w:type="dxa"/>
            <w:vAlign w:val="center"/>
          </w:tcPr>
          <w:p>
            <w:pPr>
              <w:pStyle w:val="单元格样式4"/>
            </w:pPr>
            <w:r>
              <w:t xml:space="preserve">30.11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133.80</w:t>
            </w:r>
          </w:p>
        </w:tc>
        <w:tc>
          <w:tcPr>
            <w:tcW w:w="2551" w:type="dxa"/>
            <w:vAlign w:val="center"/>
          </w:tcPr>
          <w:p>
            <w:pPr>
              <w:pStyle w:val="单元格样式4"/>
            </w:pPr>
            <w:r>
              <w:t xml:space="preserve">133.80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40.58</w:t>
            </w:r>
          </w:p>
        </w:tc>
        <w:tc>
          <w:tcPr>
            <w:tcW w:w="2551" w:type="dxa"/>
            <w:vAlign w:val="center"/>
          </w:tcPr>
          <w:p>
            <w:pPr>
              <w:pStyle w:val="单元格样式4"/>
            </w:pPr>
            <w:r>
              <w:t xml:space="preserve">40.58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13.75</w:t>
            </w:r>
          </w:p>
        </w:tc>
        <w:tc>
          <w:tcPr>
            <w:tcW w:w="2551" w:type="dxa"/>
            <w:vAlign w:val="center"/>
          </w:tcPr>
          <w:p>
            <w:pPr>
              <w:pStyle w:val="单元格样式4"/>
            </w:pPr>
            <w:r>
              <w:t xml:space="preserve">13.75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12.95</w:t>
            </w:r>
          </w:p>
        </w:tc>
        <w:tc>
          <w:tcPr>
            <w:tcW w:w="2551" w:type="dxa"/>
            <w:vAlign w:val="center"/>
          </w:tcPr>
          <w:p>
            <w:pPr>
              <w:pStyle w:val="单元格样式4"/>
            </w:pPr>
            <w:r>
              <w:t xml:space="preserve">12.95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1.91</w:t>
            </w:r>
          </w:p>
        </w:tc>
        <w:tc>
          <w:tcPr>
            <w:tcW w:w="2551" w:type="dxa"/>
            <w:vAlign w:val="center"/>
          </w:tcPr>
          <w:p>
            <w:pPr>
              <w:pStyle w:val="单元格样式4"/>
            </w:pPr>
            <w:r>
              <w:t xml:space="preserve">1.91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38.86</w:t>
            </w:r>
          </w:p>
        </w:tc>
        <w:tc>
          <w:tcPr>
            <w:tcW w:w="2551" w:type="dxa"/>
            <w:vAlign w:val="center"/>
          </w:tcPr>
          <w:p>
            <w:pPr>
              <w:pStyle w:val="单元格样式4"/>
            </w:pPr>
            <w:r>
              <w:t xml:space="preserve">38.86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65.45</w:t>
            </w:r>
          </w:p>
        </w:tc>
        <w:tc>
          <w:tcPr>
            <w:tcW w:w="2551" w:type="dxa"/>
            <w:vAlign w:val="center"/>
          </w:tcPr>
          <w:p>
            <w:pPr>
              <w:pStyle w:val="单元格样式4"/>
            </w:pPr>
          </w:p>
        </w:tc>
        <w:tc>
          <w:tcPr>
            <w:tcW w:w="2551" w:type="dxa"/>
            <w:vAlign w:val="center"/>
          </w:tcPr>
          <w:p>
            <w:pPr>
              <w:pStyle w:val="单元格样式4"/>
            </w:pPr>
            <w:r>
              <w:t xml:space="preserve">65.45</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15.60</w:t>
            </w:r>
          </w:p>
        </w:tc>
        <w:tc>
          <w:tcPr>
            <w:tcW w:w="2551" w:type="dxa"/>
            <w:vAlign w:val="center"/>
          </w:tcPr>
          <w:p>
            <w:pPr>
              <w:pStyle w:val="单元格样式4"/>
            </w:pPr>
          </w:p>
        </w:tc>
        <w:tc>
          <w:tcPr>
            <w:tcW w:w="2551" w:type="dxa"/>
            <w:vAlign w:val="center"/>
          </w:tcPr>
          <w:p>
            <w:pPr>
              <w:pStyle w:val="单元格样式4"/>
            </w:pPr>
            <w:r>
              <w:t xml:space="preserve">15.60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3.90</w:t>
            </w:r>
          </w:p>
        </w:tc>
        <w:tc>
          <w:tcPr>
            <w:tcW w:w="2551" w:type="dxa"/>
            <w:vAlign w:val="center"/>
          </w:tcPr>
          <w:p>
            <w:pPr>
              <w:pStyle w:val="单元格样式4"/>
            </w:pPr>
          </w:p>
        </w:tc>
        <w:tc>
          <w:tcPr>
            <w:tcW w:w="2551" w:type="dxa"/>
            <w:vAlign w:val="center"/>
          </w:tcPr>
          <w:p>
            <w:pPr>
              <w:pStyle w:val="单元格样式4"/>
            </w:pPr>
            <w:r>
              <w:t xml:space="preserve">3.90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30208</w:t>
            </w:r>
          </w:p>
        </w:tc>
        <w:tc>
          <w:tcPr>
            <w:tcW w:w="4535" w:type="dxa"/>
            <w:vAlign w:val="center"/>
          </w:tcPr>
          <w:p>
            <w:pPr>
              <w:pStyle w:val="单元格样式2"/>
            </w:pPr>
            <w:r>
              <w:t xml:space="preserve">取暖费</w:t>
            </w:r>
          </w:p>
        </w:tc>
        <w:tc>
          <w:tcPr>
            <w:tcW w:w="2551" w:type="dxa"/>
            <w:vAlign w:val="center"/>
          </w:tcPr>
          <w:p>
            <w:pPr>
              <w:pStyle w:val="单元格样式4"/>
            </w:pPr>
            <w:r>
              <w:t xml:space="preserve">1.80</w:t>
            </w:r>
          </w:p>
        </w:tc>
        <w:tc>
          <w:tcPr>
            <w:tcW w:w="2551" w:type="dxa"/>
            <w:vAlign w:val="center"/>
          </w:tcPr>
          <w:p>
            <w:pPr>
              <w:pStyle w:val="单元格样式4"/>
            </w:pPr>
          </w:p>
        </w:tc>
        <w:tc>
          <w:tcPr>
            <w:tcW w:w="2551" w:type="dxa"/>
            <w:vAlign w:val="center"/>
          </w:tcPr>
          <w:p>
            <w:pPr>
              <w:pStyle w:val="单元格样式4"/>
            </w:pPr>
            <w:r>
              <w:t xml:space="preserve">1.80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30226</w:t>
            </w:r>
          </w:p>
        </w:tc>
        <w:tc>
          <w:tcPr>
            <w:tcW w:w="4535" w:type="dxa"/>
            <w:vAlign w:val="center"/>
          </w:tcPr>
          <w:p>
            <w:pPr>
              <w:pStyle w:val="单元格样式2"/>
            </w:pPr>
            <w:r>
              <w:t xml:space="preserve">劳务费</w:t>
            </w:r>
          </w:p>
        </w:tc>
        <w:tc>
          <w:tcPr>
            <w:tcW w:w="2551" w:type="dxa"/>
            <w:vAlign w:val="center"/>
          </w:tcPr>
          <w:p>
            <w:pPr>
              <w:pStyle w:val="单元格样式4"/>
            </w:pPr>
            <w:r>
              <w:t xml:space="preserve">30.81</w:t>
            </w:r>
          </w:p>
        </w:tc>
        <w:tc>
          <w:tcPr>
            <w:tcW w:w="2551" w:type="dxa"/>
            <w:vAlign w:val="center"/>
          </w:tcPr>
          <w:p>
            <w:pPr>
              <w:pStyle w:val="单元格样式4"/>
            </w:pPr>
          </w:p>
        </w:tc>
        <w:tc>
          <w:tcPr>
            <w:tcW w:w="2551" w:type="dxa"/>
            <w:vAlign w:val="center"/>
          </w:tcPr>
          <w:p>
            <w:pPr>
              <w:pStyle w:val="单元格样式4"/>
            </w:pPr>
            <w:r>
              <w:t xml:space="preserve">30.81</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2.26</w:t>
            </w:r>
          </w:p>
        </w:tc>
        <w:tc>
          <w:tcPr>
            <w:tcW w:w="2551" w:type="dxa"/>
            <w:vAlign w:val="center"/>
          </w:tcPr>
          <w:p>
            <w:pPr>
              <w:pStyle w:val="单元格样式4"/>
            </w:pPr>
          </w:p>
        </w:tc>
        <w:tc>
          <w:tcPr>
            <w:tcW w:w="2551" w:type="dxa"/>
            <w:vAlign w:val="center"/>
          </w:tcPr>
          <w:p>
            <w:pPr>
              <w:pStyle w:val="单元格样式4"/>
            </w:pPr>
            <w:r>
              <w:t xml:space="preserve">2.26</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7.92</w:t>
            </w:r>
          </w:p>
        </w:tc>
        <w:tc>
          <w:tcPr>
            <w:tcW w:w="2551" w:type="dxa"/>
            <w:vAlign w:val="center"/>
          </w:tcPr>
          <w:p>
            <w:pPr>
              <w:pStyle w:val="单元格样式4"/>
            </w:pPr>
          </w:p>
        </w:tc>
        <w:tc>
          <w:tcPr>
            <w:tcW w:w="2551" w:type="dxa"/>
            <w:vAlign w:val="center"/>
          </w:tcPr>
          <w:p>
            <w:pPr>
              <w:pStyle w:val="单元格样式4"/>
            </w:pPr>
            <w:r>
              <w:t xml:space="preserve">7.92</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3.16</w:t>
            </w:r>
          </w:p>
        </w:tc>
        <w:tc>
          <w:tcPr>
            <w:tcW w:w="2551" w:type="dxa"/>
            <w:vAlign w:val="center"/>
          </w:tcPr>
          <w:p>
            <w:pPr>
              <w:pStyle w:val="单元格样式4"/>
            </w:pPr>
          </w:p>
        </w:tc>
        <w:tc>
          <w:tcPr>
            <w:tcW w:w="2551" w:type="dxa"/>
            <w:vAlign w:val="center"/>
          </w:tcPr>
          <w:p>
            <w:pPr>
              <w:pStyle w:val="单元格样式4"/>
            </w:pPr>
            <w:r>
              <w:t xml:space="preserve">3.16</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321石家庄市鹿泉区投资促进局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321石家庄市鹿泉区投资促进局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321石家庄市鹿泉区投资促进局</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石家庄市鹿泉区投资促进局2026年部门预算信息公开情况说明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石家庄市鹿泉区投资促进局2026年部门预算信息公开情况说明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按照《中华人民共和国预算法》、《地方预决算公开操作规程》和《关于进一步推进预算公开工作的实施意见》规定，现将石家庄市鹿泉区投资促进局2026年部门预算公开如下：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根据《石家庄市鹿泉区投资促进局职能配置、内设机构和人员编制规定》，</w:t>
      </w:r>
    </w:p>
    <w:p>
      <w:pPr>
        <w:pStyle w:val="插入文本样式-插入预算公开部门职责文件"/>
      </w:pPr>
      <w:r>
        <w:t xml:space="preserve">石家庄市鹿泉区投资促进局的主要职责是：</w:t>
      </w:r>
    </w:p>
    <w:p>
      <w:pPr>
        <w:pStyle w:val="插入文本样式-插入预算公开部门职责文件"/>
      </w:pPr>
      <w:r>
        <w:t xml:space="preserve">1.负责拟定招商引资、利用外资、区域协作、开发区管理中长期发展规划、</w:t>
      </w:r>
    </w:p>
    <w:p>
      <w:pPr>
        <w:pStyle w:val="插入文本样式-插入预算公开部门职责文件"/>
      </w:pPr>
      <w:r>
        <w:t xml:space="preserve">年度计划并组织实施；贯彻落实投资促进方面地方性法规、政府规章，研究拟定</w:t>
      </w:r>
    </w:p>
    <w:p>
      <w:pPr>
        <w:pStyle w:val="插入文本样式-插入预算公开部门职责文件"/>
      </w:pPr>
      <w:r>
        <w:t xml:space="preserve">投资促进政策。</w:t>
      </w:r>
    </w:p>
    <w:p>
      <w:pPr>
        <w:pStyle w:val="插入文本样式-插入预算公开部门职责文件"/>
      </w:pPr>
      <w:r>
        <w:t xml:space="preserve">2.负责建立投资促进工作体系、工作机制，对利用国内外资金和经济技术合</w:t>
      </w:r>
    </w:p>
    <w:p>
      <w:pPr>
        <w:pStyle w:val="插入文本样式-插入预算公开部门职责文件"/>
      </w:pPr>
      <w:r>
        <w:t xml:space="preserve">作、开发区发展情况进行统计、汇总、分析。</w:t>
      </w:r>
    </w:p>
    <w:p>
      <w:pPr>
        <w:pStyle w:val="插入文本样式-插入预算公开部门职责文件"/>
      </w:pPr>
      <w:r>
        <w:t xml:space="preserve">3.负责促进资金、技术、人才、项目引进和产业对接，争取招商引资相关政</w:t>
      </w:r>
    </w:p>
    <w:p>
      <w:pPr>
        <w:pStyle w:val="插入文本样式-插入预算公开部门职责文件"/>
      </w:pPr>
      <w:r>
        <w:t xml:space="preserve">策、资金和项目支持。</w:t>
      </w:r>
    </w:p>
    <w:p>
      <w:pPr>
        <w:pStyle w:val="插入文本样式-插入预算公开部门职责文件"/>
      </w:pPr>
      <w:r>
        <w:t xml:space="preserve">4.负责投资环境营销和宣传推广，负责重点区域、重点产业、重大招商引资</w:t>
      </w:r>
    </w:p>
    <w:p>
      <w:pPr>
        <w:pStyle w:val="插入文本样式-插入预算公开部门职责文件"/>
      </w:pPr>
      <w:r>
        <w:t xml:space="preserve">项目谋划、包装、推介；负责国内外投资项目信息的收集、筛选工作，建立投资</w:t>
      </w:r>
    </w:p>
    <w:p>
      <w:pPr>
        <w:pStyle w:val="插入文本样式-插入预算公开部门职责文件"/>
      </w:pPr>
      <w:r>
        <w:t xml:space="preserve">促进工作平台和信息网络；负责对国（境）内外重要招商项目的谋划、包装、发</w:t>
      </w:r>
    </w:p>
    <w:p>
      <w:pPr>
        <w:pStyle w:val="插入文本样式-插入预算公开部门职责文件"/>
      </w:pPr>
      <w:r>
        <w:t xml:space="preserve">布、推介工作，建立项目库。</w:t>
      </w:r>
    </w:p>
    <w:p>
      <w:pPr>
        <w:pStyle w:val="插入文本样式-插入预算公开部门职责文件"/>
      </w:pPr>
      <w:r>
        <w:t xml:space="preserve">5.负责国（境）内外重大投资促进活动的谋划、方案制定和组织实施；牵头</w:t>
      </w:r>
    </w:p>
    <w:p>
      <w:pPr>
        <w:pStyle w:val="插入文本样式-插入预算公开部门职责文件"/>
      </w:pPr>
      <w:r>
        <w:t xml:space="preserve">组织专业型、行业性投资促进活动；复制到协调各乡镇和开发区（园区）开展招</w:t>
      </w:r>
    </w:p>
    <w:p>
      <w:pPr>
        <w:pStyle w:val="插入文本样式-插入预算公开部门职责文件"/>
      </w:pPr>
      <w:r>
        <w:t xml:space="preserve">商活动。</w:t>
      </w:r>
    </w:p>
    <w:p>
      <w:pPr>
        <w:pStyle w:val="插入文本样式-插入预算公开部门职责文件"/>
      </w:pPr>
      <w:r>
        <w:t xml:space="preserve">6.负责与国（境）内外大集团、大企业合作及引进重大招商引资项目洽谈、</w:t>
      </w:r>
    </w:p>
    <w:p>
      <w:pPr>
        <w:pStyle w:val="插入文本样式-插入预算公开部门职责文件"/>
      </w:pPr>
      <w:r>
        <w:t xml:space="preserve">签约、选址、流转的统筹和协调，规范招商引资产业布局和秩序，协调处理有关</w:t>
      </w:r>
    </w:p>
    <w:p>
      <w:pPr>
        <w:pStyle w:val="插入文本样式-插入预算公开部门职责文件"/>
      </w:pPr>
      <w:r>
        <w:t xml:space="preserve">问题；负责利用国内外资金项目洽谈、签约工作的组织、指导、协调、调度，负</w:t>
      </w:r>
    </w:p>
    <w:p>
      <w:pPr>
        <w:pStyle w:val="插入文本样式-插入预算公开部门职责文件"/>
      </w:pPr>
      <w:r>
        <w:t xml:space="preserve">责签约项目的履约落实。</w:t>
      </w:r>
    </w:p>
    <w:p>
      <w:pPr>
        <w:pStyle w:val="插入文本样式-插入预算公开部门职责文件"/>
      </w:pPr>
      <w:r>
        <w:t xml:space="preserve">2</w:t>
      </w:r>
    </w:p>
    <w:p>
      <w:pPr>
        <w:pStyle w:val="插入文本样式-插入预算公开部门职责文件"/>
      </w:pPr>
      <w:r>
        <w:t xml:space="preserve">7.负责对国（境）内外重要客户的联络拓展、重要团组和客户来访考察、洽</w:t>
      </w:r>
    </w:p>
    <w:p>
      <w:pPr>
        <w:pStyle w:val="插入文本样式-插入预算公开部门职责文件"/>
      </w:pPr>
      <w:r>
        <w:t xml:space="preserve">谈的组织。</w:t>
      </w:r>
    </w:p>
    <w:p>
      <w:pPr>
        <w:pStyle w:val="插入文本样式-插入预算公开部门职责文件"/>
      </w:pPr>
      <w:r>
        <w:t xml:space="preserve">8.组织和促进委托招商、代理招商、中介招商、专业招商、网上招商等多种</w:t>
      </w:r>
    </w:p>
    <w:p>
      <w:pPr>
        <w:pStyle w:val="插入文本样式-插入预算公开部门职责文件"/>
      </w:pPr>
      <w:r>
        <w:t xml:space="preserve">形式的招商活动，制定并落实奖励政策；加强招商引资专业人才队伍建设。</w:t>
      </w:r>
    </w:p>
    <w:p>
      <w:pPr>
        <w:pStyle w:val="插入文本样式-插入预算公开部门职责文件"/>
      </w:pPr>
      <w:r>
        <w:t xml:space="preserve">9.负责引进央企资金、项目及各项合作，促进合作项目的建设，负责为央企</w:t>
      </w:r>
    </w:p>
    <w:p>
      <w:pPr>
        <w:pStyle w:val="插入文本样式-插入预算公开部门职责文件"/>
      </w:pPr>
      <w:r>
        <w:t xml:space="preserve">服务工作；负责外商投资项目建设的跟踪、协调和服务工作，负责引进资金到位</w:t>
      </w:r>
    </w:p>
    <w:p>
      <w:pPr>
        <w:pStyle w:val="插入文本样式-插入预算公开部门职责文件"/>
      </w:pPr>
      <w:r>
        <w:t xml:space="preserve">统计工作。</w:t>
      </w:r>
    </w:p>
    <w:p>
      <w:pPr>
        <w:pStyle w:val="插入文本样式-插入预算公开部门职责文件"/>
      </w:pPr>
      <w:r>
        <w:t xml:space="preserve">10.负责指导全区经济技术交流与区域经济技术合作工作；负责区域间资</w:t>
      </w:r>
    </w:p>
    <w:p>
      <w:pPr>
        <w:pStyle w:val="插入文本样式-插入预算公开部门职责文件"/>
      </w:pPr>
      <w:r>
        <w:t xml:space="preserve">金、项目、人才、科研成果及产业合作工作，开展与省外重点大专院校、科研院</w:t>
      </w:r>
    </w:p>
    <w:p>
      <w:pPr>
        <w:pStyle w:val="插入文本样式-插入预算公开部门职责文件"/>
      </w:pPr>
      <w:r>
        <w:t xml:space="preserve">所合作；负责区所、区校科研合作开发资金的监督管理工作。</w:t>
      </w:r>
    </w:p>
    <w:p>
      <w:pPr>
        <w:pStyle w:val="插入文本样式-插入预算公开部门职责文件"/>
      </w:pPr>
      <w:r>
        <w:t xml:space="preserve">11.负责经济开发区（园区）管理工作，负责经济开发区（园区）建立、升</w:t>
      </w:r>
    </w:p>
    <w:p>
      <w:pPr>
        <w:pStyle w:val="插入文本样式-插入预算公开部门职责文件"/>
      </w:pPr>
      <w:r>
        <w:t xml:space="preserve">级、扩区工作，指导经济开发区（园区）建设、招商引资和体制、机制创新，负</w:t>
      </w:r>
    </w:p>
    <w:p>
      <w:pPr>
        <w:pStyle w:val="插入文本样式-插入预算公开部门职责文件"/>
      </w:pPr>
      <w:r>
        <w:t xml:space="preserve">责对经济开发区（园区）招商引资工作的调度，协助做好经济开发区（园区）绩</w:t>
      </w:r>
    </w:p>
    <w:p>
      <w:pPr>
        <w:pStyle w:val="插入文本样式-插入预算公开部门职责文件"/>
      </w:pPr>
      <w:r>
        <w:t xml:space="preserve">效评估、考核认定工作。</w:t>
      </w:r>
    </w:p>
    <w:p>
      <w:pPr>
        <w:pStyle w:val="插入文本样式-插入预算公开部门职责文件"/>
      </w:pPr>
      <w:r>
        <w:t xml:space="preserve">12.完成区委、区政府交办的其他任务。</w:t>
      </w:r>
    </w:p>
    <w:p>
      <w:pPr>
        <w:pStyle w:val="插入文本样式-插入预算公开部门职责文件"/>
      </w:pPr>
      <w:r>
        <w:t xml:space="preserve">13.有关职责分工。与区市场监督管理局的有关职责分工。区投资促进局负</w:t>
      </w:r>
    </w:p>
    <w:p>
      <w:pPr>
        <w:pStyle w:val="插入文本样式-插入预算公开部门职责文件"/>
      </w:pPr>
      <w:r>
        <w:t xml:space="preserve">责指导外商投资项目核准和备案工作，指导、监督、监察外商投资企业设立及变</w:t>
      </w:r>
    </w:p>
    <w:p>
      <w:pPr>
        <w:pStyle w:val="插入文本样式-插入预算公开部门职责文件"/>
      </w:pPr>
      <w:r>
        <w:t xml:space="preserve">更的备案工作。区市场监督管理局根据上级要求，配合做好外商投资企业监督管</w:t>
      </w:r>
    </w:p>
    <w:p>
      <w:pPr>
        <w:pStyle w:val="插入文本样式-插入预算公开部门职责文件"/>
      </w:pPr>
      <w:r>
        <w:t xml:space="preserve">理工作。</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石家庄市鹿泉区投资促进局本级</w:t>
            </w:r>
            <w:r>
              <w:tab/>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按照预算管理有关规定，目前部门预算的编制实行综合预算管理，即全部收入和支出都反映在预算中。石家庄市鹿泉区投资促进局机关及所属事业单位的收支包含在部门预算中。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2026年预算收入577.28万元，其中：一般公共预算收入577.28万元，基金预算收入0.00万元，国有资本经营预算收入0.00万元，财政专户核拨收入0.00万元，单位资金收入0.00万元，上年结转结余0.00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石家庄市鹿泉区投资促进局年度部门预算中支出预算的总体情况。2026年支出预算577.28万元，其中基本支出486.08万元，包括人员经费420.63万元和日常公用经费65.45万元；项目支出91.20万元，主要为专项公用经费15万元；招商引资28万元；科瀛房地产房租和法院案件受理费40万元；公务车辆租赁8.2万元；预计下年使用的单位资金结余0.00万元。委托业务费共计安排0.00万元，主要用于因技术原因确需对外委托的辅助性工作和确有必要对外委托开展咨询、评审、规划等工作。</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2026年预算收支安排577.28万元，较2025年预算减少917.03万元，其中：基本支出增加21.77万元，主要为较上年人员增加一人，基本支出随之增加项目支出减少938.80万元，主要为主要为较上年减少了中关村项目支出。预计下年使用的单位资金结余增加0.00万元。</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r>
        <w:t xml:space="preserve">2026年，我部门机关运行经费共计安排65.45万元，主要用于日常维修、办公用房水电费、办公用房取暖费、办公用房物业管理费等日常运行支出。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sectPr>
          <w:type w:val="nextPage"/>
          <w:pgSz w:w="16840" w:h="11900" w:orient="landscape"/>
          <w:pgMar w:top="1361" w:right="1020" w:bottom="1361" w:left="1020" w:header="720" w:footer="720" w:gutter="0"/>
        </w:sectPr>
      </w:pP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1、公务车辆租赁费绩效目标表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13011026P00001110069M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公务车辆租赁费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公车租赁及使用维护</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1.经区公车办批准，为我局核定应急保障用车编制1辆，租赁公车一辆以更好的保障单位工作运转。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车辆租赁数量</w:t>
            </w:r>
          </w:p>
        </w:tc>
        <w:tc>
          <w:tcPr>
            <w:tcW w:w="5386" w:type="dxa"/>
            <w:vAlign w:val="center"/>
          </w:tcPr>
          <w:p>
            <w:pPr>
              <w:pStyle w:val="单元格样式2"/>
            </w:pPr>
            <w:r>
              <w:t xml:space="preserve">车辆租赁数量</w:t>
            </w:r>
          </w:p>
        </w:tc>
        <w:tc>
          <w:tcPr>
            <w:tcW w:w="2268" w:type="dxa"/>
            <w:vAlign w:val="center"/>
          </w:tcPr>
          <w:p>
            <w:pPr>
              <w:pStyle w:val="单元格样式2"/>
            </w:pPr>
            <w:r>
              <w:t xml:space="preserve">1辆</w:t>
            </w:r>
          </w:p>
        </w:tc>
        <w:tc>
          <w:tcPr>
            <w:tcW w:w="1276" w:type="dxa"/>
            <w:vAlign w:val="center"/>
          </w:tcPr>
          <w:p>
            <w:pPr>
              <w:pStyle w:val="单元格样式2"/>
            </w:pPr>
            <w:r>
              <w:t xml:space="preserve">部门计划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车辆正常使用情况</w:t>
            </w:r>
          </w:p>
        </w:tc>
        <w:tc>
          <w:tcPr>
            <w:tcW w:w="5386" w:type="dxa"/>
            <w:vAlign w:val="center"/>
          </w:tcPr>
          <w:p>
            <w:pPr>
              <w:pStyle w:val="单元格样式2"/>
            </w:pPr>
            <w:r>
              <w:t xml:space="preserve">车辆正常使用率</w:t>
            </w:r>
          </w:p>
        </w:tc>
        <w:tc>
          <w:tcPr>
            <w:tcW w:w="2268" w:type="dxa"/>
            <w:vAlign w:val="center"/>
          </w:tcPr>
          <w:p>
            <w:pPr>
              <w:pStyle w:val="单元格样式2"/>
            </w:pPr>
            <w:r>
              <w:t xml:space="preserve">≥90%</w:t>
            </w:r>
          </w:p>
        </w:tc>
        <w:tc>
          <w:tcPr>
            <w:tcW w:w="1276" w:type="dxa"/>
            <w:vAlign w:val="center"/>
          </w:tcPr>
          <w:p>
            <w:pPr>
              <w:pStyle w:val="单元格样式2"/>
            </w:pPr>
            <w:r>
              <w:t xml:space="preserve">部门计划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车辆租赁时间</w:t>
            </w:r>
          </w:p>
        </w:tc>
        <w:tc>
          <w:tcPr>
            <w:tcW w:w="5386" w:type="dxa"/>
            <w:vAlign w:val="center"/>
          </w:tcPr>
          <w:p>
            <w:pPr>
              <w:pStyle w:val="单元格样式2"/>
            </w:pPr>
            <w:r>
              <w:t xml:space="preserve">车辆租赁时长</w:t>
            </w:r>
          </w:p>
        </w:tc>
        <w:tc>
          <w:tcPr>
            <w:tcW w:w="2268" w:type="dxa"/>
            <w:vAlign w:val="center"/>
          </w:tcPr>
          <w:p>
            <w:pPr>
              <w:pStyle w:val="单元格样式2"/>
            </w:pPr>
            <w:r>
              <w:t xml:space="preserve">1年</w:t>
            </w:r>
          </w:p>
        </w:tc>
        <w:tc>
          <w:tcPr>
            <w:tcW w:w="1276" w:type="dxa"/>
            <w:vAlign w:val="center"/>
          </w:tcPr>
          <w:p>
            <w:pPr>
              <w:pStyle w:val="单元格样式2"/>
            </w:pPr>
            <w:r>
              <w:t xml:space="preserve">部门计划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租赁车辆花费</w:t>
            </w:r>
          </w:p>
        </w:tc>
        <w:tc>
          <w:tcPr>
            <w:tcW w:w="5386" w:type="dxa"/>
            <w:vAlign w:val="center"/>
          </w:tcPr>
          <w:p>
            <w:pPr>
              <w:pStyle w:val="单元格样式2"/>
            </w:pPr>
            <w:r>
              <w:t xml:space="preserve">租赁车辆花费</w:t>
            </w:r>
          </w:p>
        </w:tc>
        <w:tc>
          <w:tcPr>
            <w:tcW w:w="2268" w:type="dxa"/>
            <w:vAlign w:val="center"/>
          </w:tcPr>
          <w:p>
            <w:pPr>
              <w:pStyle w:val="单元格样式2"/>
            </w:pPr>
            <w:r>
              <w:t xml:space="preserve">≤8.2万</w:t>
            </w:r>
          </w:p>
        </w:tc>
        <w:tc>
          <w:tcPr>
            <w:tcW w:w="1276" w:type="dxa"/>
            <w:vAlign w:val="center"/>
          </w:tcPr>
          <w:p>
            <w:pPr>
              <w:pStyle w:val="单元格样式2"/>
            </w:pPr>
            <w:r>
              <w:t xml:space="preserve">部门计划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长期正常运转</w:t>
            </w:r>
          </w:p>
        </w:tc>
        <w:tc>
          <w:tcPr>
            <w:tcW w:w="5386" w:type="dxa"/>
            <w:vAlign w:val="center"/>
          </w:tcPr>
          <w:p>
            <w:pPr>
              <w:pStyle w:val="单元格样式2"/>
            </w:pPr>
            <w:r>
              <w:t xml:space="preserve">保障单位长期正常运转</w:t>
            </w:r>
          </w:p>
        </w:tc>
        <w:tc>
          <w:tcPr>
            <w:tcW w:w="2268" w:type="dxa"/>
            <w:vAlign w:val="center"/>
          </w:tcPr>
          <w:p>
            <w:pPr>
              <w:pStyle w:val="单元格样式2"/>
            </w:pPr>
            <w:r>
              <w:t xml:space="preserve">1年</w:t>
            </w:r>
          </w:p>
        </w:tc>
        <w:tc>
          <w:tcPr>
            <w:tcW w:w="1276" w:type="dxa"/>
            <w:vAlign w:val="center"/>
          </w:tcPr>
          <w:p>
            <w:pPr>
              <w:pStyle w:val="单元格样式2"/>
            </w:pPr>
            <w:r>
              <w:t xml:space="preserve">部门计划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长期正常运转</w:t>
            </w:r>
          </w:p>
        </w:tc>
        <w:tc>
          <w:tcPr>
            <w:tcW w:w="5386" w:type="dxa"/>
            <w:vAlign w:val="center"/>
          </w:tcPr>
          <w:p>
            <w:pPr>
              <w:pStyle w:val="单元格样式2"/>
            </w:pPr>
            <w:r>
              <w:t xml:space="preserve">保障单位长期正常运转</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2、科瀛房地产房租和法院案件受理费绩效目标表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13011026P000012100042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科瀛房地产房租和法院案件受理费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招商引资</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1.及时给付房租和案件处理费，避免后期再次起诉产生经济费用</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付款金额</w:t>
            </w:r>
          </w:p>
        </w:tc>
        <w:tc>
          <w:tcPr>
            <w:tcW w:w="5386" w:type="dxa"/>
            <w:vAlign w:val="center"/>
          </w:tcPr>
          <w:p>
            <w:pPr>
              <w:pStyle w:val="单元格样式2"/>
            </w:pPr>
            <w:r>
              <w:t xml:space="preserve">给付房租及案件处理费</w:t>
            </w:r>
          </w:p>
        </w:tc>
        <w:tc>
          <w:tcPr>
            <w:tcW w:w="2268" w:type="dxa"/>
            <w:vAlign w:val="center"/>
          </w:tcPr>
          <w:p>
            <w:pPr>
              <w:pStyle w:val="单元格样式2"/>
            </w:pPr>
            <w:r>
              <w:t xml:space="preserve">40万</w:t>
            </w:r>
          </w:p>
        </w:tc>
        <w:tc>
          <w:tcPr>
            <w:tcW w:w="1276" w:type="dxa"/>
            <w:vAlign w:val="center"/>
          </w:tcPr>
          <w:p>
            <w:pPr>
              <w:pStyle w:val="单元格样式2"/>
            </w:pPr>
            <w:r>
              <w:t xml:space="preserve"> 根据法院判决情况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资金给付率</w:t>
            </w:r>
          </w:p>
        </w:tc>
        <w:tc>
          <w:tcPr>
            <w:tcW w:w="5386" w:type="dxa"/>
            <w:vAlign w:val="center"/>
          </w:tcPr>
          <w:p>
            <w:pPr>
              <w:pStyle w:val="单元格样式2"/>
            </w:pPr>
            <w:r>
              <w:t xml:space="preserve">资金给付率</w:t>
            </w:r>
          </w:p>
        </w:tc>
        <w:tc>
          <w:tcPr>
            <w:tcW w:w="2268" w:type="dxa"/>
            <w:vAlign w:val="center"/>
          </w:tcPr>
          <w:p>
            <w:pPr>
              <w:pStyle w:val="单元格样式2"/>
            </w:pPr>
            <w:r>
              <w:t xml:space="preserve">100%</w:t>
            </w:r>
          </w:p>
        </w:tc>
        <w:tc>
          <w:tcPr>
            <w:tcW w:w="1276" w:type="dxa"/>
            <w:vAlign w:val="center"/>
          </w:tcPr>
          <w:p>
            <w:pPr>
              <w:pStyle w:val="单元格样式2"/>
            </w:pPr>
            <w:r>
              <w:t xml:space="preserve"> 根据法院判决情况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资金准时给付</w:t>
            </w:r>
          </w:p>
        </w:tc>
        <w:tc>
          <w:tcPr>
            <w:tcW w:w="5386" w:type="dxa"/>
            <w:vAlign w:val="center"/>
          </w:tcPr>
          <w:p>
            <w:pPr>
              <w:pStyle w:val="单元格样式2"/>
            </w:pPr>
            <w:r>
              <w:t xml:space="preserve">资金准时给付</w:t>
            </w:r>
          </w:p>
        </w:tc>
        <w:tc>
          <w:tcPr>
            <w:tcW w:w="2268" w:type="dxa"/>
            <w:vAlign w:val="center"/>
          </w:tcPr>
          <w:p>
            <w:pPr>
              <w:pStyle w:val="单元格样式2"/>
            </w:pPr>
            <w:r>
              <w:t xml:space="preserve">12月底之前</w:t>
            </w:r>
          </w:p>
        </w:tc>
        <w:tc>
          <w:tcPr>
            <w:tcW w:w="1276" w:type="dxa"/>
            <w:vAlign w:val="center"/>
          </w:tcPr>
          <w:p>
            <w:pPr>
              <w:pStyle w:val="单元格样式2"/>
            </w:pPr>
            <w:r>
              <w:t xml:space="preserve"> 根据法院判决情况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房租及案件处理费</w:t>
            </w:r>
          </w:p>
        </w:tc>
        <w:tc>
          <w:tcPr>
            <w:tcW w:w="5386" w:type="dxa"/>
            <w:vAlign w:val="center"/>
          </w:tcPr>
          <w:p>
            <w:pPr>
              <w:pStyle w:val="单元格样式2"/>
            </w:pPr>
            <w:r>
              <w:t xml:space="preserve">根据判决执行</w:t>
            </w:r>
          </w:p>
        </w:tc>
        <w:tc>
          <w:tcPr>
            <w:tcW w:w="2268" w:type="dxa"/>
            <w:vAlign w:val="center"/>
          </w:tcPr>
          <w:p>
            <w:pPr>
              <w:pStyle w:val="单元格样式2"/>
            </w:pPr>
            <w:r>
              <w:t xml:space="preserve">根据判决执行</w:t>
            </w:r>
          </w:p>
        </w:tc>
        <w:tc>
          <w:tcPr>
            <w:tcW w:w="1276" w:type="dxa"/>
            <w:vAlign w:val="center"/>
          </w:tcPr>
          <w:p>
            <w:pPr>
              <w:pStyle w:val="单元格样式2"/>
            </w:pPr>
            <w:r>
              <w:t xml:space="preserve"> 根据法院判决情况</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隐患消除情况</w:t>
            </w:r>
          </w:p>
        </w:tc>
        <w:tc>
          <w:tcPr>
            <w:tcW w:w="5386" w:type="dxa"/>
            <w:vAlign w:val="center"/>
          </w:tcPr>
          <w:p>
            <w:pPr>
              <w:pStyle w:val="单元格样式2"/>
            </w:pPr>
            <w:r>
              <w:t xml:space="preserve">及时给付避免后期再次诉讼产生经济费用</w:t>
            </w:r>
          </w:p>
        </w:tc>
        <w:tc>
          <w:tcPr>
            <w:tcW w:w="2268" w:type="dxa"/>
            <w:vAlign w:val="center"/>
          </w:tcPr>
          <w:p>
            <w:pPr>
              <w:pStyle w:val="单元格样式2"/>
            </w:pPr>
            <w:r>
              <w:t xml:space="preserve">及时给付避免后期再次诉讼产生经济费用</w:t>
            </w:r>
          </w:p>
          <w:p>
            <w:pPr>
              <w:pStyle w:val="单元格样式2"/>
            </w:pP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企业满意度</w:t>
            </w:r>
          </w:p>
        </w:tc>
        <w:tc>
          <w:tcPr>
            <w:tcW w:w="5386" w:type="dxa"/>
            <w:vAlign w:val="center"/>
          </w:tcPr>
          <w:p>
            <w:pPr>
              <w:pStyle w:val="单元格样式2"/>
            </w:pPr>
            <w:r>
              <w:t xml:space="preserve"> 企业满意度</w:t>
            </w:r>
          </w:p>
        </w:tc>
        <w:tc>
          <w:tcPr>
            <w:tcW w:w="2268" w:type="dxa"/>
            <w:vAlign w:val="center"/>
          </w:tcPr>
          <w:p>
            <w:pPr>
              <w:pStyle w:val="单元格样式2"/>
            </w:pPr>
            <w:r>
              <w:t xml:space="preserve">≥90 %</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3、招商引资经费绩效目标表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13011026P00001210003E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招商引资经费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招商引资</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招商引资费主要用于各个业务股室日常工作支出，以保证投促局工作正常运转，包含驻外招商差旅费和住宿费用、招商活动费用，日常到各地进行招商活动的差旅费、招商引资和项目建设工作平台建设费、招商引资专题培训费用、项目研判费、商务接待费、商务活动租车费用，招商引资宣传及物料制作、聘请律师费用、合同邮寄等费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举办招商引资活动数量</w:t>
            </w:r>
          </w:p>
        </w:tc>
        <w:tc>
          <w:tcPr>
            <w:tcW w:w="5386" w:type="dxa"/>
            <w:vAlign w:val="center"/>
          </w:tcPr>
          <w:p>
            <w:pPr>
              <w:pStyle w:val="单元格样式2"/>
            </w:pPr>
            <w:r>
              <w:t xml:space="preserve">举办招商引资活动数量</w:t>
            </w:r>
          </w:p>
        </w:tc>
        <w:tc>
          <w:tcPr>
            <w:tcW w:w="2268" w:type="dxa"/>
            <w:vAlign w:val="center"/>
          </w:tcPr>
          <w:p>
            <w:pPr>
              <w:pStyle w:val="单元格样式2"/>
            </w:pPr>
            <w:r>
              <w:t xml:space="preserve">≥1场</w:t>
            </w:r>
          </w:p>
        </w:tc>
        <w:tc>
          <w:tcPr>
            <w:tcW w:w="1276" w:type="dxa"/>
            <w:vAlign w:val="center"/>
          </w:tcPr>
          <w:p>
            <w:pPr>
              <w:pStyle w:val="单元格样式2"/>
            </w:pPr>
            <w:r>
              <w:t xml:space="preserve">部门计划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招商引资物料制作合格率</w:t>
            </w:r>
          </w:p>
        </w:tc>
        <w:tc>
          <w:tcPr>
            <w:tcW w:w="5386" w:type="dxa"/>
            <w:vAlign w:val="center"/>
          </w:tcPr>
          <w:p>
            <w:pPr>
              <w:pStyle w:val="单元格样式2"/>
            </w:pPr>
            <w:r>
              <w:t xml:space="preserve">招商引资物料制作合格率</w:t>
            </w:r>
          </w:p>
        </w:tc>
        <w:tc>
          <w:tcPr>
            <w:tcW w:w="2268" w:type="dxa"/>
            <w:vAlign w:val="center"/>
          </w:tcPr>
          <w:p>
            <w:pPr>
              <w:pStyle w:val="单元格样式2"/>
            </w:pPr>
            <w:r>
              <w:t xml:space="preserve">≥90%</w:t>
            </w:r>
          </w:p>
        </w:tc>
        <w:tc>
          <w:tcPr>
            <w:tcW w:w="1276" w:type="dxa"/>
            <w:vAlign w:val="center"/>
          </w:tcPr>
          <w:p>
            <w:pPr>
              <w:pStyle w:val="单元格样式2"/>
            </w:pPr>
            <w:r>
              <w:t xml:space="preserve">部门计划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招商完成时间</w:t>
            </w:r>
          </w:p>
        </w:tc>
        <w:tc>
          <w:tcPr>
            <w:tcW w:w="5386" w:type="dxa"/>
            <w:vAlign w:val="center"/>
          </w:tcPr>
          <w:p>
            <w:pPr>
              <w:pStyle w:val="单元格样式2"/>
            </w:pPr>
            <w:r>
              <w:t xml:space="preserve">招商完成时间</w:t>
            </w:r>
          </w:p>
        </w:tc>
        <w:tc>
          <w:tcPr>
            <w:tcW w:w="2268" w:type="dxa"/>
            <w:vAlign w:val="center"/>
          </w:tcPr>
          <w:p>
            <w:pPr>
              <w:pStyle w:val="单元格样式2"/>
            </w:pPr>
            <w:r>
              <w:t xml:space="preserve">1年</w:t>
            </w:r>
          </w:p>
        </w:tc>
        <w:tc>
          <w:tcPr>
            <w:tcW w:w="1276" w:type="dxa"/>
            <w:vAlign w:val="center"/>
          </w:tcPr>
          <w:p>
            <w:pPr>
              <w:pStyle w:val="单元格样式2"/>
            </w:pPr>
            <w:r>
              <w:t xml:space="preserve">部门计划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 招商引资费用</w:t>
            </w:r>
          </w:p>
        </w:tc>
        <w:tc>
          <w:tcPr>
            <w:tcW w:w="5386" w:type="dxa"/>
            <w:vAlign w:val="center"/>
          </w:tcPr>
          <w:p>
            <w:pPr>
              <w:pStyle w:val="单元格样式2"/>
            </w:pPr>
            <w:r>
              <w:t xml:space="preserve">  招商引资费用</w:t>
            </w:r>
          </w:p>
        </w:tc>
        <w:tc>
          <w:tcPr>
            <w:tcW w:w="2268" w:type="dxa"/>
            <w:vAlign w:val="center"/>
          </w:tcPr>
          <w:p>
            <w:pPr>
              <w:pStyle w:val="单元格样式2"/>
            </w:pPr>
            <w:r>
              <w:t xml:space="preserve">28万元</w:t>
            </w:r>
          </w:p>
        </w:tc>
        <w:tc>
          <w:tcPr>
            <w:tcW w:w="1276" w:type="dxa"/>
            <w:vAlign w:val="center"/>
          </w:tcPr>
          <w:p>
            <w:pPr>
              <w:pStyle w:val="单元格样式2"/>
            </w:pPr>
            <w:r>
              <w:t xml:space="preserve">部门计划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签约客商持续影响力</w:t>
            </w:r>
          </w:p>
        </w:tc>
        <w:tc>
          <w:tcPr>
            <w:tcW w:w="5386" w:type="dxa"/>
            <w:vAlign w:val="center"/>
          </w:tcPr>
          <w:p>
            <w:pPr>
              <w:pStyle w:val="单元格样式2"/>
            </w:pPr>
            <w:r>
              <w:t xml:space="preserve">签约客商持续影响力</w:t>
            </w:r>
          </w:p>
        </w:tc>
        <w:tc>
          <w:tcPr>
            <w:tcW w:w="2268" w:type="dxa"/>
            <w:vAlign w:val="center"/>
          </w:tcPr>
          <w:p>
            <w:pPr>
              <w:pStyle w:val="单元格样式2"/>
            </w:pPr>
            <w:r>
              <w:t xml:space="preserve">长期</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客商满意度</w:t>
            </w:r>
          </w:p>
        </w:tc>
        <w:tc>
          <w:tcPr>
            <w:tcW w:w="5386" w:type="dxa"/>
            <w:vAlign w:val="center"/>
          </w:tcPr>
          <w:p>
            <w:pPr>
              <w:pStyle w:val="单元格样式2"/>
            </w:pPr>
            <w:r>
              <w:t xml:space="preserve">客商满意度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4、专项公用经费绩效目标表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13011026P000011100682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专项公用经费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保障日常运转，维持日常运营</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投促局日常运营及公共费用。包含信创软件费（WPSOffice办公软件、杀毒软件、麒麟系统、OFD福熙办公软件38套）、物业费、保洁费、后勤服务、水费电费、网络费用、电话费、文件资料印刷等支出。以及物业费2022年-2025年旧欠。保证投促局2026年正常运转。</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保障正常运转单位数量</w:t>
            </w:r>
          </w:p>
        </w:tc>
        <w:tc>
          <w:tcPr>
            <w:tcW w:w="5386" w:type="dxa"/>
            <w:vAlign w:val="center"/>
          </w:tcPr>
          <w:p>
            <w:pPr>
              <w:pStyle w:val="单元格样式2"/>
            </w:pPr>
            <w:r>
              <w:t xml:space="preserve">保障正常运转单位数量</w:t>
            </w:r>
          </w:p>
        </w:tc>
        <w:tc>
          <w:tcPr>
            <w:tcW w:w="2268" w:type="dxa"/>
            <w:vAlign w:val="center"/>
          </w:tcPr>
          <w:p>
            <w:pPr>
              <w:pStyle w:val="单元格样式2"/>
            </w:pPr>
            <w:r>
              <w:t xml:space="preserve">1个</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网络及物业合格率</w:t>
            </w:r>
          </w:p>
        </w:tc>
        <w:tc>
          <w:tcPr>
            <w:tcW w:w="5386" w:type="dxa"/>
            <w:vAlign w:val="center"/>
          </w:tcPr>
          <w:p>
            <w:pPr>
              <w:pStyle w:val="单元格样式2"/>
            </w:pPr>
            <w:r>
              <w:t xml:space="preserve">网络及物业合格率</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及时支付相关费用</w:t>
            </w:r>
          </w:p>
        </w:tc>
        <w:tc>
          <w:tcPr>
            <w:tcW w:w="5386" w:type="dxa"/>
            <w:vAlign w:val="center"/>
          </w:tcPr>
          <w:p>
            <w:pPr>
              <w:pStyle w:val="单元格样式2"/>
            </w:pPr>
            <w:r>
              <w:t xml:space="preserve">及时支付相关费用</w:t>
            </w:r>
          </w:p>
        </w:tc>
        <w:tc>
          <w:tcPr>
            <w:tcW w:w="2268" w:type="dxa"/>
            <w:vAlign w:val="center"/>
          </w:tcPr>
          <w:p>
            <w:pPr>
              <w:pStyle w:val="单元格样式2"/>
            </w:pPr>
            <w:r>
              <w:t xml:space="preserve">1年</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w:t>
            </w:r>
          </w:p>
        </w:tc>
        <w:tc>
          <w:tcPr>
            <w:tcW w:w="5386" w:type="dxa"/>
            <w:vAlign w:val="center"/>
          </w:tcPr>
          <w:p>
            <w:pPr>
              <w:pStyle w:val="单元格样式2"/>
            </w:pPr>
            <w:r>
              <w:t xml:space="preserve">部门项目成本</w:t>
            </w:r>
          </w:p>
        </w:tc>
        <w:tc>
          <w:tcPr>
            <w:tcW w:w="2268" w:type="dxa"/>
            <w:vAlign w:val="center"/>
          </w:tcPr>
          <w:p>
            <w:pPr>
              <w:pStyle w:val="单元格样式2"/>
            </w:pPr>
            <w:r>
              <w:t xml:space="preserve">≤15万元</w:t>
            </w:r>
          </w:p>
        </w:tc>
        <w:tc>
          <w:tcPr>
            <w:tcW w:w="1276" w:type="dxa"/>
            <w:vAlign w:val="center"/>
          </w:tcPr>
          <w:p>
            <w:pPr>
              <w:pStyle w:val="单元格样式2"/>
            </w:pPr>
            <w:r>
              <w:t xml:space="preserve">部门计划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长期正常运转</w:t>
            </w:r>
          </w:p>
        </w:tc>
        <w:tc>
          <w:tcPr>
            <w:tcW w:w="5386" w:type="dxa"/>
            <w:vAlign w:val="center"/>
          </w:tcPr>
          <w:p>
            <w:pPr>
              <w:pStyle w:val="单元格样式2"/>
            </w:pPr>
            <w:r>
              <w:t xml:space="preserve">保障单位长期正常运转</w:t>
            </w:r>
          </w:p>
        </w:tc>
        <w:tc>
          <w:tcPr>
            <w:tcW w:w="2268" w:type="dxa"/>
            <w:vAlign w:val="center"/>
          </w:tcPr>
          <w:p>
            <w:pPr>
              <w:pStyle w:val="单元格样式2"/>
            </w:pPr>
            <w:r>
              <w:t xml:space="preserve">1年</w:t>
            </w:r>
          </w:p>
        </w:tc>
        <w:tc>
          <w:tcPr>
            <w:tcW w:w="1276" w:type="dxa"/>
            <w:vAlign w:val="center"/>
          </w:tcPr>
          <w:p>
            <w:pPr>
              <w:pStyle w:val="单元格样式2"/>
            </w:pPr>
            <w:r>
              <w:t xml:space="preserve">部门计划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办公人员满意度</w:t>
            </w:r>
          </w:p>
        </w:tc>
        <w:tc>
          <w:tcPr>
            <w:tcW w:w="5386" w:type="dxa"/>
            <w:vAlign w:val="center"/>
          </w:tcPr>
          <w:p>
            <w:pPr>
              <w:pStyle w:val="单元格样式2"/>
            </w:pPr>
            <w:r>
              <w:t xml:space="preserve">办公人员满意度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321石家庄市鹿泉区投资促进局</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4.20</w:t>
            </w:r>
          </w:p>
        </w:tc>
        <w:tc>
          <w:tcPr>
            <w:tcW w:w="964" w:type="dxa"/>
            <w:vAlign w:val="center"/>
          </w:tcPr>
          <w:p>
            <w:pPr>
              <w:pStyle w:val="单元格样式7"/>
            </w:pPr>
            <w:r>
              <w:t xml:space="preserve">4.20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2.20</w:t>
            </w:r>
          </w:p>
        </w:tc>
      </w:tr>
      <w:tr>
        <w:tblPrEx>
          <w:jc w:val="center"/>
          <w:tblLayout w:type="fixed"/>
        </w:tblPrEx>
        <w:trPr>
          <w:jc w:val="center"/>
        </w:trPr>
        <w:tc>
          <w:tcPr>
            <w:tcW w:w="1701" w:type="dxa"/>
            <w:vAlign w:val="center"/>
          </w:tcPr>
          <w:p>
            <w:pPr>
              <w:pStyle w:val="单元格样式6"/>
            </w:pPr>
            <w:r>
              <w:t xml:space="preserve">石家庄市鹿泉区投资促进局本级</w:t>
            </w:r>
            <w:r>
              <w:tab/>
            </w:r>
            <w:r>
              <w:t xml:space="preserve">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4.20</w:t>
            </w:r>
          </w:p>
        </w:tc>
        <w:tc>
          <w:tcPr>
            <w:tcW w:w="964" w:type="dxa"/>
            <w:vAlign w:val="center"/>
          </w:tcPr>
          <w:p>
            <w:pPr>
              <w:pStyle w:val="单元格样式7"/>
            </w:pPr>
            <w:r>
              <w:t xml:space="preserve">4.20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2.20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15.60</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500</w:t>
            </w:r>
          </w:p>
        </w:tc>
        <w:tc>
          <w:tcPr>
            <w:tcW w:w="850" w:type="dxa"/>
            <w:vAlign w:val="center"/>
          </w:tcPr>
          <w:p>
            <w:pPr>
              <w:pStyle w:val="单元格样式4"/>
            </w:pPr>
            <w:r>
              <w:t xml:space="preserve">0.00</w:t>
            </w:r>
          </w:p>
        </w:tc>
        <w:tc>
          <w:tcPr>
            <w:tcW w:w="964" w:type="dxa"/>
            <w:vAlign w:val="center"/>
          </w:tcPr>
          <w:p>
            <w:pPr>
              <w:pStyle w:val="单元格样式4"/>
            </w:pPr>
            <w:r>
              <w:t xml:space="preserve">1.50</w:t>
            </w:r>
          </w:p>
        </w:tc>
        <w:tc>
          <w:tcPr>
            <w:tcW w:w="964" w:type="dxa"/>
            <w:vAlign w:val="center"/>
          </w:tcPr>
          <w:p>
            <w:pPr>
              <w:pStyle w:val="单元格样式4"/>
            </w:pPr>
            <w:r>
              <w:t xml:space="preserve">1.50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1.50</w:t>
            </w:r>
          </w:p>
        </w:tc>
      </w:tr>
      <w:tr>
        <w:tblPrEx>
          <w:jc w:val="center"/>
          <w:tblLayout w:type="fixed"/>
        </w:tblPrEx>
        <w:trPr>
          <w:jc w:val="center"/>
        </w:trPr>
        <w:tc>
          <w:tcPr>
            <w:tcW w:w="1701" w:type="dxa"/>
            <w:vAlign w:val="center"/>
          </w:tcPr>
          <w:p>
            <w:pPr>
              <w:pStyle w:val="单元格样式2"/>
            </w:pPr>
            <w:r>
              <w:t xml:space="preserve">公务车辆租赁费</w:t>
            </w:r>
          </w:p>
        </w:tc>
        <w:tc>
          <w:tcPr>
            <w:tcW w:w="964" w:type="dxa"/>
            <w:vAlign w:val="center"/>
          </w:tcPr>
          <w:p>
            <w:pPr>
              <w:pStyle w:val="单元格样式4"/>
            </w:pPr>
            <w:r>
              <w:t xml:space="preserve">8.20</w:t>
            </w:r>
          </w:p>
        </w:tc>
        <w:tc>
          <w:tcPr>
            <w:tcW w:w="1134" w:type="dxa"/>
            <w:vAlign w:val="center"/>
          </w:tcPr>
          <w:p>
            <w:pPr>
              <w:pStyle w:val="单元格样式2"/>
            </w:pPr>
            <w:r>
              <w:t xml:space="preserve">车辆维修和保养服务</w:t>
            </w:r>
          </w:p>
        </w:tc>
        <w:tc>
          <w:tcPr>
            <w:tcW w:w="1134" w:type="dxa"/>
            <w:vAlign w:val="center"/>
          </w:tcPr>
          <w:p>
            <w:pPr>
              <w:pStyle w:val="单元格样式2"/>
            </w:pPr>
            <w:r>
              <w:t xml:space="preserve">C23120301</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0.70</w:t>
            </w:r>
          </w:p>
        </w:tc>
        <w:tc>
          <w:tcPr>
            <w:tcW w:w="964" w:type="dxa"/>
            <w:vAlign w:val="center"/>
          </w:tcPr>
          <w:p>
            <w:pPr>
              <w:pStyle w:val="单元格样式4"/>
            </w:pPr>
            <w:r>
              <w:t xml:space="preserve">0.70</w:t>
            </w:r>
          </w:p>
        </w:tc>
        <w:tc>
          <w:tcPr>
            <w:tcW w:w="964" w:type="dxa"/>
            <w:vAlign w:val="center"/>
          </w:tcPr>
          <w:p>
            <w:pPr>
              <w:pStyle w:val="单元格样式4"/>
            </w:pPr>
            <w:r>
              <w:t xml:space="preserve">0.70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0.70</w:t>
            </w:r>
          </w:p>
        </w:tc>
      </w:tr>
      <w:tr>
        <w:tblPrEx>
          <w:jc w:val="center"/>
          <w:tblLayout w:type="fixed"/>
        </w:tblPrEx>
        <w:trPr>
          <w:jc w:val="center"/>
        </w:trPr>
        <w:tc>
          <w:tcPr>
            <w:tcW w:w="1701" w:type="dxa"/>
            <w:vAlign w:val="center"/>
          </w:tcPr>
          <w:p>
            <w:pPr>
              <w:pStyle w:val="单元格样式2"/>
            </w:pPr>
            <w:r>
              <w:t xml:space="preserve">公务车辆租赁费</w:t>
            </w:r>
          </w:p>
        </w:tc>
        <w:tc>
          <w:tcPr>
            <w:tcW w:w="964" w:type="dxa"/>
            <w:vAlign w:val="center"/>
          </w:tcPr>
          <w:p>
            <w:pPr>
              <w:pStyle w:val="单元格样式4"/>
            </w:pPr>
            <w:r>
              <w:t xml:space="preserve">8.20</w:t>
            </w:r>
          </w:p>
        </w:tc>
        <w:tc>
          <w:tcPr>
            <w:tcW w:w="1134" w:type="dxa"/>
            <w:vAlign w:val="center"/>
          </w:tcPr>
          <w:p>
            <w:pPr>
              <w:pStyle w:val="单元格样式2"/>
            </w:pPr>
            <w:r>
              <w:t xml:space="preserve">车辆加油、添加燃料服务</w:t>
            </w:r>
          </w:p>
        </w:tc>
        <w:tc>
          <w:tcPr>
            <w:tcW w:w="1134" w:type="dxa"/>
            <w:vAlign w:val="center"/>
          </w:tcPr>
          <w:p>
            <w:pPr>
              <w:pStyle w:val="单元格样式2"/>
            </w:pPr>
            <w:r>
              <w:t xml:space="preserve">C23120302</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2.00</w:t>
            </w:r>
          </w:p>
        </w:tc>
        <w:tc>
          <w:tcPr>
            <w:tcW w:w="964" w:type="dxa"/>
            <w:vAlign w:val="center"/>
          </w:tcPr>
          <w:p>
            <w:pPr>
              <w:pStyle w:val="单元格样式4"/>
            </w:pPr>
            <w:r>
              <w:t xml:space="preserve">2.00</w:t>
            </w:r>
          </w:p>
        </w:tc>
        <w:tc>
          <w:tcPr>
            <w:tcW w:w="964" w:type="dxa"/>
            <w:vAlign w:val="center"/>
          </w:tcPr>
          <w:p>
            <w:pPr>
              <w:pStyle w:val="单元格样式4"/>
            </w:pPr>
            <w:r>
              <w:t xml:space="preserve">2.00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石家庄市鹿泉区投资促进局（含所属单位）上年末固定资产金额为36.10万元（详见下表）。本年度拟购置固定资产总额为0.00万元，已按要求列入政府采购预算，详见政府采购预算表。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321石家庄市鹿泉区投资促进局</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36.10</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339</w:t>
            </w:r>
          </w:p>
        </w:tc>
        <w:tc>
          <w:tcPr>
            <w:tcW w:w="2835" w:type="dxa"/>
            <w:vAlign w:val="center"/>
          </w:tcPr>
          <w:p>
            <w:pPr>
              <w:pStyle w:val="单元格样式4"/>
            </w:pPr>
            <w:r>
              <w:t xml:space="preserve">36.10</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25</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style>
  <w:style w:type="paragraph" w:styleId="TOC3">
    <w:name w:val="TOC 3"/>
    <w:basedOn w:val="Normal"/>
    <w:qFormat/>
    <w:pPr>
      <w:ind w:left="48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28</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2026-03-11T08:49:52Z</dcterms:created>
  <dcterms:modified xsi:type="dcterms:W3CDTF">2026-03-11T08:49:52Z</dcterms:modified>
</cp:coreProperties>
</file>