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一、石家庄市鹿泉区委史志研究中心本级收支预算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一、石家庄市鹿泉区委史志研究中心本级收支预算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310.19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198.44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79.12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19.76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310.19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310.19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310.19</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310.19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310.19</w:t>
            </w:r>
          </w:p>
        </w:tc>
        <w:tc>
          <w:tcPr>
            <w:tcW w:w="1134" w:type="dxa"/>
            <w:vAlign w:val="center"/>
          </w:tcPr>
          <w:p>
            <w:pPr>
              <w:pStyle w:val="单元格样式7"/>
            </w:pPr>
            <w:r>
              <w:t xml:space="preserve">310.19</w:t>
            </w:r>
          </w:p>
        </w:tc>
        <w:tc>
          <w:tcPr>
            <w:tcW w:w="1134" w:type="dxa"/>
            <w:vAlign w:val="center"/>
          </w:tcPr>
          <w:p>
            <w:pPr>
              <w:pStyle w:val="单元格样式7"/>
            </w:pPr>
            <w:r>
              <w:t xml:space="preserve">310.19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186.94</w:t>
            </w:r>
          </w:p>
        </w:tc>
        <w:tc>
          <w:tcPr>
            <w:tcW w:w="1134" w:type="dxa"/>
            <w:vAlign w:val="center"/>
          </w:tcPr>
          <w:p>
            <w:pPr>
              <w:pStyle w:val="单元格样式4"/>
            </w:pPr>
            <w:r>
              <w:t xml:space="preserve">186.94</w:t>
            </w:r>
          </w:p>
        </w:tc>
        <w:tc>
          <w:tcPr>
            <w:tcW w:w="1134" w:type="dxa"/>
            <w:vAlign w:val="center"/>
          </w:tcPr>
          <w:p>
            <w:pPr>
              <w:pStyle w:val="单元格样式4"/>
            </w:pPr>
            <w:r>
              <w:t xml:space="preserve">186.94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2013199</w:t>
            </w:r>
          </w:p>
        </w:tc>
        <w:tc>
          <w:tcPr>
            <w:tcW w:w="1559" w:type="dxa"/>
            <w:vAlign w:val="center"/>
          </w:tcPr>
          <w:p>
            <w:pPr>
              <w:pStyle w:val="单元格样式2"/>
            </w:pPr>
            <w:r>
              <w:t xml:space="preserve">其他党委办公厅（室）及相关机构事务支出</w:t>
            </w:r>
          </w:p>
        </w:tc>
        <w:tc>
          <w:tcPr>
            <w:tcW w:w="1134" w:type="dxa"/>
            <w:vAlign w:val="center"/>
          </w:tcPr>
          <w:p>
            <w:pPr>
              <w:pStyle w:val="单元格样式4"/>
            </w:pPr>
            <w:r>
              <w:t xml:space="preserve">11.50</w:t>
            </w:r>
          </w:p>
        </w:tc>
        <w:tc>
          <w:tcPr>
            <w:tcW w:w="1134" w:type="dxa"/>
            <w:vAlign w:val="center"/>
          </w:tcPr>
          <w:p>
            <w:pPr>
              <w:pStyle w:val="单元格样式4"/>
            </w:pPr>
            <w:r>
              <w:t xml:space="preserve">11.50</w:t>
            </w:r>
          </w:p>
        </w:tc>
        <w:tc>
          <w:tcPr>
            <w:tcW w:w="1134" w:type="dxa"/>
            <w:vAlign w:val="center"/>
          </w:tcPr>
          <w:p>
            <w:pPr>
              <w:pStyle w:val="单元格样式4"/>
            </w:pPr>
            <w:r>
              <w:t xml:space="preserve">11.50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59.16</w:t>
            </w:r>
          </w:p>
        </w:tc>
        <w:tc>
          <w:tcPr>
            <w:tcW w:w="1134" w:type="dxa"/>
            <w:vAlign w:val="center"/>
          </w:tcPr>
          <w:p>
            <w:pPr>
              <w:pStyle w:val="单元格样式4"/>
            </w:pPr>
            <w:r>
              <w:t xml:space="preserve">59.16</w:t>
            </w:r>
          </w:p>
        </w:tc>
        <w:tc>
          <w:tcPr>
            <w:tcW w:w="1134" w:type="dxa"/>
            <w:vAlign w:val="center"/>
          </w:tcPr>
          <w:p>
            <w:pPr>
              <w:pStyle w:val="单元格样式4"/>
            </w:pPr>
            <w:r>
              <w:t xml:space="preserve">59.16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19.96</w:t>
            </w:r>
          </w:p>
        </w:tc>
        <w:tc>
          <w:tcPr>
            <w:tcW w:w="1134" w:type="dxa"/>
            <w:vAlign w:val="center"/>
          </w:tcPr>
          <w:p>
            <w:pPr>
              <w:pStyle w:val="单元格样式4"/>
            </w:pPr>
            <w:r>
              <w:t xml:space="preserve">19.96</w:t>
            </w:r>
          </w:p>
        </w:tc>
        <w:tc>
          <w:tcPr>
            <w:tcW w:w="1134" w:type="dxa"/>
            <w:vAlign w:val="center"/>
          </w:tcPr>
          <w:p>
            <w:pPr>
              <w:pStyle w:val="单元格样式4"/>
            </w:pPr>
            <w:r>
              <w:t xml:space="preserve">19.96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310.19</w:t>
            </w:r>
          </w:p>
        </w:tc>
        <w:tc>
          <w:tcPr>
            <w:tcW w:w="1361" w:type="dxa"/>
            <w:vAlign w:val="center"/>
          </w:tcPr>
          <w:p>
            <w:pPr>
              <w:pStyle w:val="单元格样式7"/>
            </w:pPr>
            <w:r>
              <w:t xml:space="preserve">298.69</w:t>
            </w:r>
          </w:p>
        </w:tc>
        <w:tc>
          <w:tcPr>
            <w:tcW w:w="1361" w:type="dxa"/>
            <w:vAlign w:val="center"/>
          </w:tcPr>
          <w:p>
            <w:pPr>
              <w:pStyle w:val="单元格样式7"/>
            </w:pPr>
            <w:r>
              <w:t xml:space="preserve">11.50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198.44</w:t>
            </w:r>
          </w:p>
        </w:tc>
        <w:tc>
          <w:tcPr>
            <w:tcW w:w="1361" w:type="dxa"/>
            <w:vAlign w:val="center"/>
          </w:tcPr>
          <w:p>
            <w:pPr>
              <w:pStyle w:val="单元格样式4"/>
            </w:pPr>
            <w:r>
              <w:t xml:space="preserve">186.94</w:t>
            </w: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198.44</w:t>
            </w:r>
          </w:p>
        </w:tc>
        <w:tc>
          <w:tcPr>
            <w:tcW w:w="1361" w:type="dxa"/>
            <w:vAlign w:val="center"/>
          </w:tcPr>
          <w:p>
            <w:pPr>
              <w:pStyle w:val="单元格样式4"/>
            </w:pPr>
            <w:r>
              <w:t xml:space="preserve">186.94</w:t>
            </w: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186.94</w:t>
            </w:r>
          </w:p>
        </w:tc>
        <w:tc>
          <w:tcPr>
            <w:tcW w:w="1361" w:type="dxa"/>
            <w:vAlign w:val="center"/>
          </w:tcPr>
          <w:p>
            <w:pPr>
              <w:pStyle w:val="单元格样式4"/>
            </w:pPr>
            <w:r>
              <w:t xml:space="preserve">186.94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2013199</w:t>
            </w:r>
          </w:p>
        </w:tc>
        <w:tc>
          <w:tcPr>
            <w:tcW w:w="4535" w:type="dxa"/>
            <w:vAlign w:val="center"/>
          </w:tcPr>
          <w:p>
            <w:pPr>
              <w:pStyle w:val="单元格样式2"/>
            </w:pPr>
            <w:r>
              <w:t xml:space="preserve">其他党委办公厅（室）及相关机构事务支出</w:t>
            </w: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79.12</w:t>
            </w:r>
          </w:p>
        </w:tc>
        <w:tc>
          <w:tcPr>
            <w:tcW w:w="1361" w:type="dxa"/>
            <w:vAlign w:val="center"/>
          </w:tcPr>
          <w:p>
            <w:pPr>
              <w:pStyle w:val="单元格样式4"/>
            </w:pPr>
            <w:r>
              <w:t xml:space="preserve">79.12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79.12</w:t>
            </w:r>
          </w:p>
        </w:tc>
        <w:tc>
          <w:tcPr>
            <w:tcW w:w="1361" w:type="dxa"/>
            <w:vAlign w:val="center"/>
          </w:tcPr>
          <w:p>
            <w:pPr>
              <w:pStyle w:val="单元格样式4"/>
            </w:pPr>
            <w:r>
              <w:t xml:space="preserve">79.12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59.16</w:t>
            </w:r>
          </w:p>
        </w:tc>
        <w:tc>
          <w:tcPr>
            <w:tcW w:w="1361" w:type="dxa"/>
            <w:vAlign w:val="center"/>
          </w:tcPr>
          <w:p>
            <w:pPr>
              <w:pStyle w:val="单元格样式4"/>
            </w:pPr>
            <w:r>
              <w:t xml:space="preserve">59.16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19.96</w:t>
            </w:r>
          </w:p>
        </w:tc>
        <w:tc>
          <w:tcPr>
            <w:tcW w:w="1361" w:type="dxa"/>
            <w:vAlign w:val="center"/>
          </w:tcPr>
          <w:p>
            <w:pPr>
              <w:pStyle w:val="单元格样式4"/>
            </w:pPr>
            <w:r>
              <w:t xml:space="preserve">19.96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12.88</w:t>
            </w:r>
          </w:p>
        </w:tc>
        <w:tc>
          <w:tcPr>
            <w:tcW w:w="1361" w:type="dxa"/>
            <w:vAlign w:val="center"/>
          </w:tcPr>
          <w:p>
            <w:pPr>
              <w:pStyle w:val="单元格样式4"/>
            </w:pPr>
            <w:r>
              <w:t xml:space="preserve">12.88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12.88</w:t>
            </w:r>
          </w:p>
        </w:tc>
        <w:tc>
          <w:tcPr>
            <w:tcW w:w="1361" w:type="dxa"/>
            <w:vAlign w:val="center"/>
          </w:tcPr>
          <w:p>
            <w:pPr>
              <w:pStyle w:val="单元格样式4"/>
            </w:pPr>
            <w:r>
              <w:t xml:space="preserve">12.88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12.88</w:t>
            </w:r>
          </w:p>
        </w:tc>
        <w:tc>
          <w:tcPr>
            <w:tcW w:w="1361" w:type="dxa"/>
            <w:vAlign w:val="center"/>
          </w:tcPr>
          <w:p>
            <w:pPr>
              <w:pStyle w:val="单元格样式4"/>
            </w:pPr>
            <w:r>
              <w:t xml:space="preserve">12.88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19.76</w:t>
            </w:r>
          </w:p>
        </w:tc>
        <w:tc>
          <w:tcPr>
            <w:tcW w:w="1361" w:type="dxa"/>
            <w:vAlign w:val="center"/>
          </w:tcPr>
          <w:p>
            <w:pPr>
              <w:pStyle w:val="单元格样式4"/>
            </w:pPr>
            <w:r>
              <w:t xml:space="preserve">19.76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19.76</w:t>
            </w:r>
          </w:p>
        </w:tc>
        <w:tc>
          <w:tcPr>
            <w:tcW w:w="1361" w:type="dxa"/>
            <w:vAlign w:val="center"/>
          </w:tcPr>
          <w:p>
            <w:pPr>
              <w:pStyle w:val="单元格样式4"/>
            </w:pPr>
            <w:r>
              <w:t xml:space="preserve">19.76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19.76</w:t>
            </w:r>
          </w:p>
        </w:tc>
        <w:tc>
          <w:tcPr>
            <w:tcW w:w="1361" w:type="dxa"/>
            <w:vAlign w:val="center"/>
          </w:tcPr>
          <w:p>
            <w:pPr>
              <w:pStyle w:val="单元格样式4"/>
            </w:pPr>
            <w:r>
              <w:t xml:space="preserve">19.76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310.19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198.44</w:t>
            </w:r>
          </w:p>
        </w:tc>
        <w:tc>
          <w:tcPr>
            <w:tcW w:w="1474" w:type="dxa"/>
            <w:vAlign w:val="center"/>
          </w:tcPr>
          <w:p>
            <w:pPr>
              <w:pStyle w:val="单元格样式4"/>
            </w:pPr>
            <w:r>
              <w:t xml:space="preserve">198.44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79.12</w:t>
            </w:r>
          </w:p>
        </w:tc>
        <w:tc>
          <w:tcPr>
            <w:tcW w:w="1474" w:type="dxa"/>
            <w:vAlign w:val="center"/>
          </w:tcPr>
          <w:p>
            <w:pPr>
              <w:pStyle w:val="单元格样式4"/>
            </w:pPr>
            <w:r>
              <w:t xml:space="preserve">79.12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12.88</w:t>
            </w:r>
          </w:p>
        </w:tc>
        <w:tc>
          <w:tcPr>
            <w:tcW w:w="1474" w:type="dxa"/>
            <w:vAlign w:val="center"/>
          </w:tcPr>
          <w:p>
            <w:pPr>
              <w:pStyle w:val="单元格样式4"/>
            </w:pPr>
            <w:r>
              <w:t xml:space="preserve">12.88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19.76</w:t>
            </w:r>
          </w:p>
        </w:tc>
        <w:tc>
          <w:tcPr>
            <w:tcW w:w="1474" w:type="dxa"/>
            <w:vAlign w:val="center"/>
          </w:tcPr>
          <w:p>
            <w:pPr>
              <w:pStyle w:val="单元格样式4"/>
            </w:pPr>
            <w:r>
              <w:t xml:space="preserve">19.76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310.19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310.19</w:t>
            </w:r>
          </w:p>
        </w:tc>
        <w:tc>
          <w:tcPr>
            <w:tcW w:w="1474" w:type="dxa"/>
            <w:vAlign w:val="center"/>
          </w:tcPr>
          <w:p>
            <w:pPr>
              <w:pStyle w:val="单元格样式7"/>
            </w:pPr>
            <w:r>
              <w:t xml:space="preserve">310.19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310.19</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310.19</w:t>
            </w:r>
          </w:p>
        </w:tc>
        <w:tc>
          <w:tcPr>
            <w:tcW w:w="1474" w:type="dxa"/>
            <w:vAlign w:val="center"/>
          </w:tcPr>
          <w:p>
            <w:pPr>
              <w:pStyle w:val="单元格样式7"/>
            </w:pPr>
            <w:r>
              <w:t xml:space="preserve">310.19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310.19</w:t>
            </w:r>
          </w:p>
        </w:tc>
        <w:tc>
          <w:tcPr>
            <w:tcW w:w="2551" w:type="dxa"/>
            <w:vAlign w:val="center"/>
          </w:tcPr>
          <w:p>
            <w:pPr>
              <w:pStyle w:val="单元格样式7"/>
            </w:pPr>
            <w:r>
              <w:t xml:space="preserve">298.69</w:t>
            </w:r>
          </w:p>
        </w:tc>
        <w:tc>
          <w:tcPr>
            <w:tcW w:w="2551" w:type="dxa"/>
            <w:vAlign w:val="center"/>
          </w:tcPr>
          <w:p>
            <w:pPr>
              <w:pStyle w:val="单元格样式7"/>
            </w:pPr>
            <w:r>
              <w:t xml:space="preserve">11.50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198.44</w:t>
            </w:r>
          </w:p>
        </w:tc>
        <w:tc>
          <w:tcPr>
            <w:tcW w:w="2551" w:type="dxa"/>
            <w:vAlign w:val="center"/>
          </w:tcPr>
          <w:p>
            <w:pPr>
              <w:pStyle w:val="单元格样式4"/>
            </w:pPr>
            <w:r>
              <w:t xml:space="preserve">186.94</w:t>
            </w: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198.44</w:t>
            </w:r>
          </w:p>
        </w:tc>
        <w:tc>
          <w:tcPr>
            <w:tcW w:w="2551" w:type="dxa"/>
            <w:vAlign w:val="center"/>
          </w:tcPr>
          <w:p>
            <w:pPr>
              <w:pStyle w:val="单元格样式4"/>
            </w:pPr>
            <w:r>
              <w:t xml:space="preserve">186.94</w:t>
            </w: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186.94</w:t>
            </w:r>
          </w:p>
        </w:tc>
        <w:tc>
          <w:tcPr>
            <w:tcW w:w="2551" w:type="dxa"/>
            <w:vAlign w:val="center"/>
          </w:tcPr>
          <w:p>
            <w:pPr>
              <w:pStyle w:val="单元格样式4"/>
            </w:pPr>
            <w:r>
              <w:t xml:space="preserve">186.94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2013199</w:t>
            </w:r>
          </w:p>
        </w:tc>
        <w:tc>
          <w:tcPr>
            <w:tcW w:w="4535" w:type="dxa"/>
            <w:vAlign w:val="center"/>
          </w:tcPr>
          <w:p>
            <w:pPr>
              <w:pStyle w:val="单元格样式2"/>
            </w:pPr>
            <w:r>
              <w:t xml:space="preserve">其他党委办公厅（室）及相关机构事务支出</w:t>
            </w:r>
          </w:p>
        </w:tc>
        <w:tc>
          <w:tcPr>
            <w:tcW w:w="2551" w:type="dxa"/>
            <w:vAlign w:val="center"/>
          </w:tcPr>
          <w:p>
            <w:pPr>
              <w:pStyle w:val="单元格样式4"/>
            </w:pPr>
            <w:r>
              <w:t xml:space="preserve">11.50</w:t>
            </w:r>
          </w:p>
        </w:tc>
        <w:tc>
          <w:tcPr>
            <w:tcW w:w="2551" w:type="dxa"/>
            <w:vAlign w:val="center"/>
          </w:tcPr>
          <w:p>
            <w:pPr>
              <w:pStyle w:val="单元格样式4"/>
            </w:pP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79.12</w:t>
            </w:r>
          </w:p>
        </w:tc>
        <w:tc>
          <w:tcPr>
            <w:tcW w:w="2551" w:type="dxa"/>
            <w:vAlign w:val="center"/>
          </w:tcPr>
          <w:p>
            <w:pPr>
              <w:pStyle w:val="单元格样式4"/>
            </w:pPr>
            <w:r>
              <w:t xml:space="preserve">79.12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79.12</w:t>
            </w:r>
          </w:p>
        </w:tc>
        <w:tc>
          <w:tcPr>
            <w:tcW w:w="2551" w:type="dxa"/>
            <w:vAlign w:val="center"/>
          </w:tcPr>
          <w:p>
            <w:pPr>
              <w:pStyle w:val="单元格样式4"/>
            </w:pPr>
            <w:r>
              <w:t xml:space="preserve">79.12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59.16</w:t>
            </w:r>
          </w:p>
        </w:tc>
        <w:tc>
          <w:tcPr>
            <w:tcW w:w="2551" w:type="dxa"/>
            <w:vAlign w:val="center"/>
          </w:tcPr>
          <w:p>
            <w:pPr>
              <w:pStyle w:val="单元格样式4"/>
            </w:pPr>
            <w:r>
              <w:t xml:space="preserve">59.16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19.96</w:t>
            </w:r>
          </w:p>
        </w:tc>
        <w:tc>
          <w:tcPr>
            <w:tcW w:w="2551" w:type="dxa"/>
            <w:vAlign w:val="center"/>
          </w:tcPr>
          <w:p>
            <w:pPr>
              <w:pStyle w:val="单元格样式4"/>
            </w:pPr>
            <w:r>
              <w:t xml:space="preserve">19.96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12.88</w:t>
            </w:r>
          </w:p>
        </w:tc>
        <w:tc>
          <w:tcPr>
            <w:tcW w:w="2551" w:type="dxa"/>
            <w:vAlign w:val="center"/>
          </w:tcPr>
          <w:p>
            <w:pPr>
              <w:pStyle w:val="单元格样式4"/>
            </w:pPr>
            <w:r>
              <w:t xml:space="preserve">12.88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12.88</w:t>
            </w:r>
          </w:p>
        </w:tc>
        <w:tc>
          <w:tcPr>
            <w:tcW w:w="2551" w:type="dxa"/>
            <w:vAlign w:val="center"/>
          </w:tcPr>
          <w:p>
            <w:pPr>
              <w:pStyle w:val="单元格样式4"/>
            </w:pPr>
            <w:r>
              <w:t xml:space="preserve">12.88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12.88</w:t>
            </w:r>
          </w:p>
        </w:tc>
        <w:tc>
          <w:tcPr>
            <w:tcW w:w="2551" w:type="dxa"/>
            <w:vAlign w:val="center"/>
          </w:tcPr>
          <w:p>
            <w:pPr>
              <w:pStyle w:val="单元格样式4"/>
            </w:pPr>
            <w:r>
              <w:t xml:space="preserve">12.88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298.69</w:t>
            </w:r>
          </w:p>
        </w:tc>
        <w:tc>
          <w:tcPr>
            <w:tcW w:w="2551" w:type="dxa"/>
            <w:vAlign w:val="center"/>
          </w:tcPr>
          <w:p>
            <w:pPr>
              <w:pStyle w:val="单元格样式7"/>
            </w:pPr>
            <w:r>
              <w:t xml:space="preserve">263.93</w:t>
            </w:r>
          </w:p>
        </w:tc>
        <w:tc>
          <w:tcPr>
            <w:tcW w:w="2551" w:type="dxa"/>
            <w:vAlign w:val="center"/>
          </w:tcPr>
          <w:p>
            <w:pPr>
              <w:pStyle w:val="单元格样式7"/>
            </w:pPr>
            <w:r>
              <w:t xml:space="preserve">34.76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204.30</w:t>
            </w:r>
          </w:p>
        </w:tc>
        <w:tc>
          <w:tcPr>
            <w:tcW w:w="2551" w:type="dxa"/>
            <w:vAlign w:val="center"/>
          </w:tcPr>
          <w:p>
            <w:pPr>
              <w:pStyle w:val="单元格样式4"/>
            </w:pPr>
            <w:r>
              <w:t xml:space="preserve">204.30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58.94</w:t>
            </w:r>
          </w:p>
        </w:tc>
        <w:tc>
          <w:tcPr>
            <w:tcW w:w="2551" w:type="dxa"/>
            <w:vAlign w:val="center"/>
          </w:tcPr>
          <w:p>
            <w:pPr>
              <w:pStyle w:val="单元格样式4"/>
            </w:pPr>
            <w:r>
              <w:t xml:space="preserve">58.94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43.11</w:t>
            </w:r>
          </w:p>
        </w:tc>
        <w:tc>
          <w:tcPr>
            <w:tcW w:w="2551" w:type="dxa"/>
            <w:vAlign w:val="center"/>
          </w:tcPr>
          <w:p>
            <w:pPr>
              <w:pStyle w:val="单元格样式4"/>
            </w:pPr>
            <w:r>
              <w:t xml:space="preserve">43.11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49.18</w:t>
            </w:r>
          </w:p>
        </w:tc>
        <w:tc>
          <w:tcPr>
            <w:tcW w:w="2551" w:type="dxa"/>
            <w:vAlign w:val="center"/>
          </w:tcPr>
          <w:p>
            <w:pPr>
              <w:pStyle w:val="单元格样式4"/>
            </w:pPr>
            <w:r>
              <w:t xml:space="preserve">49.18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19.96</w:t>
            </w:r>
          </w:p>
        </w:tc>
        <w:tc>
          <w:tcPr>
            <w:tcW w:w="2551" w:type="dxa"/>
            <w:vAlign w:val="center"/>
          </w:tcPr>
          <w:p>
            <w:pPr>
              <w:pStyle w:val="单元格样式4"/>
            </w:pPr>
            <w:r>
              <w:t xml:space="preserve">19.96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6.63</w:t>
            </w:r>
          </w:p>
        </w:tc>
        <w:tc>
          <w:tcPr>
            <w:tcW w:w="2551" w:type="dxa"/>
            <w:vAlign w:val="center"/>
          </w:tcPr>
          <w:p>
            <w:pPr>
              <w:pStyle w:val="单元格样式4"/>
            </w:pPr>
            <w:r>
              <w:t xml:space="preserve">6.63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6.25</w:t>
            </w:r>
          </w:p>
        </w:tc>
        <w:tc>
          <w:tcPr>
            <w:tcW w:w="2551" w:type="dxa"/>
            <w:vAlign w:val="center"/>
          </w:tcPr>
          <w:p>
            <w:pPr>
              <w:pStyle w:val="单元格样式4"/>
            </w:pPr>
            <w:r>
              <w:t xml:space="preserve">6.25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34.76</w:t>
            </w:r>
          </w:p>
        </w:tc>
        <w:tc>
          <w:tcPr>
            <w:tcW w:w="2551" w:type="dxa"/>
            <w:vAlign w:val="center"/>
          </w:tcPr>
          <w:p>
            <w:pPr>
              <w:pStyle w:val="单元格样式4"/>
            </w:pPr>
          </w:p>
        </w:tc>
        <w:tc>
          <w:tcPr>
            <w:tcW w:w="2551" w:type="dxa"/>
            <w:vAlign w:val="center"/>
          </w:tcPr>
          <w:p>
            <w:pPr>
              <w:pStyle w:val="单元格样式4"/>
            </w:pPr>
            <w:r>
              <w:t xml:space="preserve">34.76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6.20</w:t>
            </w:r>
          </w:p>
        </w:tc>
        <w:tc>
          <w:tcPr>
            <w:tcW w:w="2551" w:type="dxa"/>
            <w:vAlign w:val="center"/>
          </w:tcPr>
          <w:p>
            <w:pPr>
              <w:pStyle w:val="单元格样式4"/>
            </w:pPr>
          </w:p>
        </w:tc>
        <w:tc>
          <w:tcPr>
            <w:tcW w:w="2551" w:type="dxa"/>
            <w:vAlign w:val="center"/>
          </w:tcPr>
          <w:p>
            <w:pPr>
              <w:pStyle w:val="单元格样式4"/>
            </w:pPr>
            <w:r>
              <w:t xml:space="preserve">6.20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9.97</w:t>
            </w:r>
          </w:p>
        </w:tc>
        <w:tc>
          <w:tcPr>
            <w:tcW w:w="2551" w:type="dxa"/>
            <w:vAlign w:val="center"/>
          </w:tcPr>
          <w:p>
            <w:pPr>
              <w:pStyle w:val="单元格样式4"/>
            </w:pPr>
          </w:p>
        </w:tc>
        <w:tc>
          <w:tcPr>
            <w:tcW w:w="2551" w:type="dxa"/>
            <w:vAlign w:val="center"/>
          </w:tcPr>
          <w:p>
            <w:pPr>
              <w:pStyle w:val="单元格样式4"/>
            </w:pPr>
            <w:r>
              <w:t xml:space="preserve">9.97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1.15</w:t>
            </w:r>
          </w:p>
        </w:tc>
        <w:tc>
          <w:tcPr>
            <w:tcW w:w="2551" w:type="dxa"/>
            <w:vAlign w:val="center"/>
          </w:tcPr>
          <w:p>
            <w:pPr>
              <w:pStyle w:val="单元格样式4"/>
            </w:pPr>
          </w:p>
        </w:tc>
        <w:tc>
          <w:tcPr>
            <w:tcW w:w="2551" w:type="dxa"/>
            <w:vAlign w:val="center"/>
          </w:tcPr>
          <w:p>
            <w:pPr>
              <w:pStyle w:val="单元格样式4"/>
            </w:pPr>
            <w:r>
              <w:t xml:space="preserve">1.15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7.38</w:t>
            </w:r>
          </w:p>
        </w:tc>
        <w:tc>
          <w:tcPr>
            <w:tcW w:w="2551" w:type="dxa"/>
            <w:vAlign w:val="center"/>
          </w:tcPr>
          <w:p>
            <w:pPr>
              <w:pStyle w:val="单元格样式4"/>
            </w:pPr>
          </w:p>
        </w:tc>
        <w:tc>
          <w:tcPr>
            <w:tcW w:w="2551" w:type="dxa"/>
            <w:vAlign w:val="center"/>
          </w:tcPr>
          <w:p>
            <w:pPr>
              <w:pStyle w:val="单元格样式4"/>
            </w:pPr>
            <w:r>
              <w:t xml:space="preserve">7.38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3.46</w:t>
            </w:r>
          </w:p>
        </w:tc>
        <w:tc>
          <w:tcPr>
            <w:tcW w:w="2551" w:type="dxa"/>
            <w:vAlign w:val="center"/>
          </w:tcPr>
          <w:p>
            <w:pPr>
              <w:pStyle w:val="单元格样式4"/>
            </w:pPr>
          </w:p>
        </w:tc>
        <w:tc>
          <w:tcPr>
            <w:tcW w:w="2551" w:type="dxa"/>
            <w:vAlign w:val="center"/>
          </w:tcPr>
          <w:p>
            <w:pPr>
              <w:pStyle w:val="单元格样式4"/>
            </w:pPr>
            <w:r>
              <w:t xml:space="preserve">3.46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59.63</w:t>
            </w:r>
          </w:p>
        </w:tc>
        <w:tc>
          <w:tcPr>
            <w:tcW w:w="2551" w:type="dxa"/>
            <w:vAlign w:val="center"/>
          </w:tcPr>
          <w:p>
            <w:pPr>
              <w:pStyle w:val="单元格样式4"/>
            </w:pPr>
            <w:r>
              <w:t xml:space="preserve">59.63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58.57</w:t>
            </w:r>
          </w:p>
        </w:tc>
        <w:tc>
          <w:tcPr>
            <w:tcW w:w="2551" w:type="dxa"/>
            <w:vAlign w:val="center"/>
          </w:tcPr>
          <w:p>
            <w:pPr>
              <w:pStyle w:val="单元格样式4"/>
            </w:pPr>
            <w:r>
              <w:t xml:space="preserve">58.57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石家庄市鹿泉区委史志研究中心本级2026年单位预算信息公开情况说明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按照《中华人民共和国预算法》、《地方预决算公开操作规程》和《关于进一步推进预算公开工作的实施意见》规定，现将石家庄市鹿泉区委史志研究中心本级2026年单位预算公开如下：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1、负责编纂、出版、发行《鹿泉市（区）志》、《鹿泉年鉴》；整理旧志，开展志书、年鉴编纂理论研究，进行志书、年鉴学术交流。</w:t>
      </w:r>
    </w:p>
    <w:p>
      <w:pPr>
        <w:pStyle w:val="插入文本样式-插入单位职责文件"/>
      </w:pPr>
      <w:r>
        <w:t xml:space="preserve">2、组织、指导各乡镇（区）编纂乡镇志、村志工作。</w:t>
      </w:r>
    </w:p>
    <w:p>
      <w:pPr>
        <w:pStyle w:val="插入文本样式-插入单位职责文件"/>
      </w:pPr>
      <w:r>
        <w:t xml:space="preserve">3、及时完成上级方志部门及鹿泉区委部署的各项工作任务，完成鹿泉区地方志有关资料的上报工作，为各级领导决策提供依据，也为编史修志积累资料。</w:t>
      </w:r>
    </w:p>
    <w:p>
      <w:pPr>
        <w:pStyle w:val="插入文本样式-插入单位职责文件"/>
      </w:pPr>
      <w:r>
        <w:t xml:space="preserve">4、研究中共鹿泉历史，总结历史经验，做好存史和修史工作，为党的建设和区委决策提供历史借鉴，充分发挥党史资政育人的作用，为鹿泉区经济发展大局服务。</w:t>
      </w:r>
    </w:p>
    <w:p>
      <w:pPr>
        <w:pStyle w:val="插入文本样式-插入单位职责文件"/>
      </w:pPr>
      <w:r>
        <w:t xml:space="preserve">5、组织、协调全区党史资料收集、整理和党史研究工作。搜集、整理和研究区内外有关中共鹿泉历史的信息资料，编辑、出版党史书籍；对中共鹿泉历史上的重要人物、重要事件进行综合研究；组织全区党史工作经验交流，与区内外有关团体进行学术交流。</w:t>
      </w:r>
    </w:p>
    <w:p>
      <w:pPr>
        <w:pStyle w:val="插入文本样式-插入单位职责文件"/>
      </w:pPr>
      <w:r>
        <w:t xml:space="preserve">6、推动党史成果的转化，协助、配合有关部门向广大党员干部群众进行党史、革命史的宣传教育。</w:t>
      </w:r>
    </w:p>
    <w:p>
      <w:pPr>
        <w:pStyle w:val="插入文本样式-插入单位职责文件"/>
      </w:pPr>
      <w:r>
        <w:t xml:space="preserve">7、协助区直有关部门审核鹿泉区重要党史事件、革命史事件、党史人物资料，并协办相关活动。</w:t>
      </w:r>
    </w:p>
    <w:p>
      <w:pPr>
        <w:pStyle w:val="插入文本样式-插入单位职责文件"/>
      </w:pPr>
      <w:r>
        <w:t xml:space="preserve">8、完成上级党史部门和区委部署的工作任务，为区委解决有关党史方面的问题提供资料和意见。</w:t>
      </w:r>
    </w:p>
    <w:p>
      <w:pPr>
        <w:pStyle w:val="插入文本样式-插入单位职责文件"/>
      </w:pPr>
    </w:p>
    <w:p>
      <w:pPr>
        <w:pStyle w:val="插入文本样式-插入单位职责文件"/>
      </w:pP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石家庄市鹿泉区委史志研究中心本级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310.19万元，其中：一般公共预算收入310.19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鹿泉区委史志研究中心本级年度单位预算中支出预算的总体情况。2026年支出预算310.19万元，其中基本支出298.69万元，包括人员经费263.93万元和日常公用经费34.76万元；项目支出11.50万元，主要为年鉴编制印刷，地方志研究活动经费和党史博采征订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2026年预算收支安排310.19万元，较2025年预算增加11.92万元，其中：基本支出增加28.92万元，主要为人员增加。项目支出减少17.00万元，主要为项目费用减少。。预计下年使用的单位资金结余增加0.00万元。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1、地方志研究活动经费和《党史博采》征订费绩效目标表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13011026P00003510007C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地方志研究活动经费和《党史博采》征订费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用于出版地方志书。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1.出版地方志书１０００本，并发放到编写人员手中。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编印数量</w:t>
            </w:r>
          </w:p>
        </w:tc>
        <w:tc>
          <w:tcPr>
            <w:tcW w:w="5386" w:type="dxa"/>
            <w:vAlign w:val="center"/>
          </w:tcPr>
          <w:p>
            <w:pPr>
              <w:pStyle w:val="单元格样式2"/>
            </w:pPr>
            <w:r>
              <w:t xml:space="preserve">编印地书数量</w:t>
            </w:r>
          </w:p>
        </w:tc>
        <w:tc>
          <w:tcPr>
            <w:tcW w:w="2268" w:type="dxa"/>
            <w:vAlign w:val="center"/>
          </w:tcPr>
          <w:p>
            <w:pPr>
              <w:pStyle w:val="单元格样式2"/>
            </w:pPr>
            <w:r>
              <w:t xml:space="preserve">1000本</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志书合格率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志书按时完成率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志书资金成本</w:t>
            </w:r>
          </w:p>
        </w:tc>
        <w:tc>
          <w:tcPr>
            <w:tcW w:w="2268" w:type="dxa"/>
            <w:vAlign w:val="center"/>
          </w:tcPr>
          <w:p>
            <w:pPr>
              <w:pStyle w:val="单元格样式2"/>
            </w:pPr>
            <w:r>
              <w:t xml:space="preserve">25本/元</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志书成本利用率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反映宣传志书社会影响度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志书综合利用率(%)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志书生态影响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2、年鉴编制印刷绩效目标表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13011026P00003510006Q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年鉴编制印刷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用于印刷鹿泉年鉴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1.年底前出版鹿泉年鉴1000本，并发放到全区各单位，每單位發放3本。</w:t>
            </w:r>
          </w:p>
          <w:p>
            <w:pPr>
              <w:pStyle w:val="单元格样式2"/>
            </w:pPr>
            <w:r>
              <w:t xml:space="preserve">2.通过出版鹿泉年鉴，不断提升鹿泉区在社会认同度和参与度。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出版数量</w:t>
            </w:r>
          </w:p>
        </w:tc>
        <w:tc>
          <w:tcPr>
            <w:tcW w:w="5386" w:type="dxa"/>
            <w:vAlign w:val="center"/>
          </w:tcPr>
          <w:p>
            <w:pPr>
              <w:pStyle w:val="单元格样式2"/>
            </w:pPr>
            <w:r>
              <w:t xml:space="preserve">出版鹿泉年鉴数量</w:t>
            </w:r>
          </w:p>
        </w:tc>
        <w:tc>
          <w:tcPr>
            <w:tcW w:w="2268" w:type="dxa"/>
            <w:vAlign w:val="center"/>
          </w:tcPr>
          <w:p>
            <w:pPr>
              <w:pStyle w:val="单元格样式2"/>
            </w:pPr>
            <w:r>
              <w:t xml:space="preserve">1000本</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鹿泉年鉴合格率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按期完成情况</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鹿泉年鉴资金成本</w:t>
            </w:r>
          </w:p>
        </w:tc>
        <w:tc>
          <w:tcPr>
            <w:tcW w:w="2268" w:type="dxa"/>
            <w:vAlign w:val="center"/>
          </w:tcPr>
          <w:p>
            <w:pPr>
              <w:pStyle w:val="单元格样式2"/>
            </w:pPr>
            <w:r>
              <w:t xml:space="preserve">100元/本</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鹿泉年鉴成本利用率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鹿泉年鉴社会影响度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反映宣传鹿泉年鉴初会影响力</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鹿泉年鉴生态效益增长率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群众对鹿泉年鉴满意度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0.31</w:t>
            </w:r>
          </w:p>
        </w:tc>
        <w:tc>
          <w:tcPr>
            <w:tcW w:w="964" w:type="dxa"/>
            <w:vAlign w:val="center"/>
          </w:tcPr>
          <w:p>
            <w:pPr>
              <w:pStyle w:val="单元格样式7"/>
            </w:pPr>
            <w:r>
              <w:t xml:space="preserve">0.31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0.31</w:t>
            </w:r>
          </w:p>
        </w:tc>
      </w:tr>
      <w:tr>
        <w:tblPrEx>
          <w:jc w:val="center"/>
          <w:tblLayout w:type="fixed"/>
        </w:tblPrEx>
        <w:trPr>
          <w:jc w:val="center"/>
        </w:trPr>
        <w:tc>
          <w:tcPr>
            <w:tcW w:w="1701" w:type="dxa"/>
            <w:vAlign w:val="center"/>
          </w:tcPr>
          <w:p>
            <w:pPr>
              <w:pStyle w:val="单元格样式6"/>
            </w:pPr>
            <w:r>
              <w:t xml:space="preserve">石家庄市鹿泉区委史志研究中心本级小计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0.31</w:t>
            </w:r>
          </w:p>
        </w:tc>
        <w:tc>
          <w:tcPr>
            <w:tcW w:w="964" w:type="dxa"/>
            <w:vAlign w:val="center"/>
          </w:tcPr>
          <w:p>
            <w:pPr>
              <w:pStyle w:val="单元格样式7"/>
            </w:pPr>
            <w:r>
              <w:t xml:space="preserve">0.31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18</w:t>
            </w:r>
          </w:p>
        </w:tc>
        <w:tc>
          <w:tcPr>
            <w:tcW w:w="850" w:type="dxa"/>
            <w:vAlign w:val="center"/>
          </w:tcPr>
          <w:p>
            <w:pPr>
              <w:pStyle w:val="单元格样式4"/>
            </w:pPr>
            <w:r>
              <w:t xml:space="preserve">0.02</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石家庄市鹿泉区委史志研究中心本级上年末固定资产金额为26.12万元（详见下表）。本年度拟购置固定资产总额为0.00万元，已按要求列入政府采购预算，详见政府采购预算表。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546001石家庄市鹿泉区委史志研究中心本级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26.12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38</w:t>
            </w:r>
          </w:p>
        </w:tc>
        <w:tc>
          <w:tcPr>
            <w:tcW w:w="2835" w:type="dxa"/>
            <w:vAlign w:val="center"/>
          </w:tcPr>
          <w:p>
            <w:pPr>
              <w:pStyle w:val="单元格样式4"/>
            </w:pPr>
            <w:r>
              <w:t xml:space="preserve">26.12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2026-03-11T17:48:13Z</dcterms:created>
  <dcterms:modified xsi:type="dcterms:W3CDTF">2026-03-11T17:48:13Z</dcterms:modified>
</cp:coreProperties>
</file>