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一、石家庄市鹿泉区司法局本级收支预算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一、石家庄市鹿泉区司法局本级收支预算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1893.21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1555.86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1893.21</w:t>
            </w:r>
          </w:p>
        </w:tc>
        <w:tc>
          <w:tcPr>
            <w:tcW w:w="4535" w:type="dxa"/>
            <w:vAlign w:val="center"/>
          </w:tcPr>
          <w:p>
            <w:pPr>
              <w:pStyle w:val="14"/>
            </w:pPr>
            <w:r>
              <w:t>本年支出合计</w:t>
            </w:r>
          </w:p>
        </w:tc>
        <w:tc>
          <w:tcPr>
            <w:tcW w:w="2126" w:type="dxa"/>
            <w:vAlign w:val="center"/>
          </w:tcPr>
          <w:p>
            <w:pPr>
              <w:pStyle w:val="15"/>
            </w:pPr>
            <w:r>
              <w:t>2013.72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120.51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2013.72</w:t>
            </w:r>
          </w:p>
        </w:tc>
        <w:tc>
          <w:tcPr>
            <w:tcW w:w="4535" w:type="dxa"/>
            <w:vAlign w:val="center"/>
          </w:tcPr>
          <w:p>
            <w:pPr>
              <w:pStyle w:val="14"/>
            </w:pPr>
            <w:r>
              <w:t>支出总计</w:t>
            </w:r>
          </w:p>
        </w:tc>
        <w:tc>
          <w:tcPr>
            <w:tcW w:w="2126" w:type="dxa"/>
            <w:vAlign w:val="center"/>
          </w:tcPr>
          <w:p>
            <w:pPr>
              <w:pStyle w:val="15"/>
            </w:pPr>
            <w:r>
              <w:t>2013.72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2013.72</w:t>
            </w:r>
          </w:p>
        </w:tc>
        <w:tc>
          <w:tcPr>
            <w:tcW w:w="1134" w:type="dxa"/>
            <w:vAlign w:val="center"/>
          </w:tcPr>
          <w:p>
            <w:pPr>
              <w:pStyle w:val="15"/>
            </w:pPr>
            <w:r>
              <w:t>1893.21</w:t>
            </w:r>
          </w:p>
        </w:tc>
        <w:tc>
          <w:tcPr>
            <w:tcW w:w="1134" w:type="dxa"/>
            <w:vAlign w:val="center"/>
          </w:tcPr>
          <w:p>
            <w:pPr>
              <w:pStyle w:val="15"/>
            </w:pPr>
            <w:r>
              <w:t>1893.21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1555.86</w:t>
            </w:r>
          </w:p>
        </w:tc>
        <w:tc>
          <w:tcPr>
            <w:tcW w:w="1134" w:type="dxa"/>
            <w:vAlign w:val="center"/>
          </w:tcPr>
          <w:p>
            <w:pPr>
              <w:pStyle w:val="11"/>
            </w:pPr>
            <w:r>
              <w:t>1435.35</w:t>
            </w:r>
          </w:p>
        </w:tc>
        <w:tc>
          <w:tcPr>
            <w:tcW w:w="1134" w:type="dxa"/>
            <w:vAlign w:val="center"/>
          </w:tcPr>
          <w:p>
            <w:pPr>
              <w:pStyle w:val="11"/>
            </w:pPr>
            <w:r>
              <w:t>1435.35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1555.86</w:t>
            </w:r>
          </w:p>
        </w:tc>
        <w:tc>
          <w:tcPr>
            <w:tcW w:w="1134" w:type="dxa"/>
            <w:vAlign w:val="center"/>
          </w:tcPr>
          <w:p>
            <w:pPr>
              <w:pStyle w:val="11"/>
            </w:pPr>
            <w:r>
              <w:t>1435.35</w:t>
            </w:r>
          </w:p>
        </w:tc>
        <w:tc>
          <w:tcPr>
            <w:tcW w:w="1134" w:type="dxa"/>
            <w:vAlign w:val="center"/>
          </w:tcPr>
          <w:p>
            <w:pPr>
              <w:pStyle w:val="11"/>
            </w:pPr>
            <w:r>
              <w:t>1435.35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1189.76</w:t>
            </w:r>
          </w:p>
        </w:tc>
        <w:tc>
          <w:tcPr>
            <w:tcW w:w="1134" w:type="dxa"/>
            <w:vAlign w:val="center"/>
          </w:tcPr>
          <w:p>
            <w:pPr>
              <w:pStyle w:val="11"/>
            </w:pPr>
            <w:r>
              <w:t>1189.76</w:t>
            </w:r>
          </w:p>
        </w:tc>
        <w:tc>
          <w:tcPr>
            <w:tcW w:w="1134" w:type="dxa"/>
            <w:vAlign w:val="center"/>
          </w:tcPr>
          <w:p>
            <w:pPr>
              <w:pStyle w:val="11"/>
            </w:pPr>
            <w:r>
              <w:t>1189.76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143.00</w:t>
            </w:r>
          </w:p>
        </w:tc>
        <w:tc>
          <w:tcPr>
            <w:tcW w:w="1134" w:type="dxa"/>
            <w:vAlign w:val="center"/>
          </w:tcPr>
          <w:p>
            <w:pPr>
              <w:pStyle w:val="11"/>
            </w:pPr>
            <w:r>
              <w:t>143.00</w:t>
            </w:r>
          </w:p>
        </w:tc>
        <w:tc>
          <w:tcPr>
            <w:tcW w:w="1134" w:type="dxa"/>
            <w:vAlign w:val="center"/>
          </w:tcPr>
          <w:p>
            <w:pPr>
              <w:pStyle w:val="11"/>
            </w:pPr>
            <w:r>
              <w:t>143.00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2040605</w:t>
            </w:r>
          </w:p>
        </w:tc>
        <w:tc>
          <w:tcPr>
            <w:tcW w:w="1559" w:type="dxa"/>
            <w:vAlign w:val="center"/>
          </w:tcPr>
          <w:p>
            <w:pPr>
              <w:pStyle w:val="12"/>
            </w:pPr>
            <w:r>
              <w:t>普法宣传</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28.29</w:t>
            </w:r>
          </w:p>
        </w:tc>
        <w:tc>
          <w:tcPr>
            <w:tcW w:w="1134" w:type="dxa"/>
            <w:vAlign w:val="center"/>
          </w:tcPr>
          <w:p>
            <w:pPr>
              <w:pStyle w:val="11"/>
            </w:pPr>
            <w:r>
              <w:t>18.59</w:t>
            </w:r>
          </w:p>
        </w:tc>
        <w:tc>
          <w:tcPr>
            <w:tcW w:w="1134" w:type="dxa"/>
            <w:vAlign w:val="center"/>
          </w:tcPr>
          <w:p>
            <w:pPr>
              <w:pStyle w:val="11"/>
            </w:pPr>
            <w:r>
              <w:t>18.59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2040612</w:t>
            </w:r>
          </w:p>
        </w:tc>
        <w:tc>
          <w:tcPr>
            <w:tcW w:w="1559" w:type="dxa"/>
            <w:vAlign w:val="center"/>
          </w:tcPr>
          <w:p>
            <w:pPr>
              <w:pStyle w:val="12"/>
            </w:pPr>
            <w:r>
              <w:t>法治建设</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2040699</w:t>
            </w:r>
          </w:p>
        </w:tc>
        <w:tc>
          <w:tcPr>
            <w:tcW w:w="1559" w:type="dxa"/>
            <w:vAlign w:val="center"/>
          </w:tcPr>
          <w:p>
            <w:pPr>
              <w:pStyle w:val="12"/>
            </w:pPr>
            <w:r>
              <w:t>其他司法支出</w:t>
            </w:r>
          </w:p>
        </w:tc>
        <w:tc>
          <w:tcPr>
            <w:tcW w:w="1134" w:type="dxa"/>
            <w:vAlign w:val="center"/>
          </w:tcPr>
          <w:p>
            <w:pPr>
              <w:pStyle w:val="11"/>
            </w:pPr>
            <w:r>
              <w:t>135.81</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316.98</w:t>
            </w:r>
          </w:p>
        </w:tc>
        <w:tc>
          <w:tcPr>
            <w:tcW w:w="1134" w:type="dxa"/>
            <w:vAlign w:val="center"/>
          </w:tcPr>
          <w:p>
            <w:pPr>
              <w:pStyle w:val="11"/>
            </w:pPr>
            <w:r>
              <w:t>316.98</w:t>
            </w:r>
          </w:p>
        </w:tc>
        <w:tc>
          <w:tcPr>
            <w:tcW w:w="1134" w:type="dxa"/>
            <w:vAlign w:val="center"/>
          </w:tcPr>
          <w:p>
            <w:pPr>
              <w:pStyle w:val="11"/>
            </w:pPr>
            <w:r>
              <w:t>316.98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216.80</w:t>
            </w:r>
          </w:p>
        </w:tc>
        <w:tc>
          <w:tcPr>
            <w:tcW w:w="1134" w:type="dxa"/>
            <w:vAlign w:val="center"/>
          </w:tcPr>
          <w:p>
            <w:pPr>
              <w:pStyle w:val="11"/>
            </w:pPr>
            <w:r>
              <w:t>216.80</w:t>
            </w:r>
          </w:p>
        </w:tc>
        <w:tc>
          <w:tcPr>
            <w:tcW w:w="1134" w:type="dxa"/>
            <w:vAlign w:val="center"/>
          </w:tcPr>
          <w:p>
            <w:pPr>
              <w:pStyle w:val="11"/>
            </w:pPr>
            <w:r>
              <w:t>216.80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131.03</w:t>
            </w:r>
          </w:p>
        </w:tc>
        <w:tc>
          <w:tcPr>
            <w:tcW w:w="1134" w:type="dxa"/>
            <w:vAlign w:val="center"/>
          </w:tcPr>
          <w:p>
            <w:pPr>
              <w:pStyle w:val="11"/>
            </w:pPr>
            <w:r>
              <w:t>131.03</w:t>
            </w:r>
          </w:p>
        </w:tc>
        <w:tc>
          <w:tcPr>
            <w:tcW w:w="1134" w:type="dxa"/>
            <w:vAlign w:val="center"/>
          </w:tcPr>
          <w:p>
            <w:pPr>
              <w:pStyle w:val="11"/>
            </w:pPr>
            <w:r>
              <w:t>131.03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85.78</w:t>
            </w:r>
          </w:p>
        </w:tc>
        <w:tc>
          <w:tcPr>
            <w:tcW w:w="1134" w:type="dxa"/>
            <w:vAlign w:val="center"/>
          </w:tcPr>
          <w:p>
            <w:pPr>
              <w:pStyle w:val="11"/>
            </w:pPr>
            <w:r>
              <w:t>85.78</w:t>
            </w:r>
          </w:p>
        </w:tc>
        <w:tc>
          <w:tcPr>
            <w:tcW w:w="1134" w:type="dxa"/>
            <w:vAlign w:val="center"/>
          </w:tcPr>
          <w:p>
            <w:pPr>
              <w:pStyle w:val="11"/>
            </w:pPr>
            <w:r>
              <w:t>85.78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100.18</w:t>
            </w:r>
          </w:p>
        </w:tc>
        <w:tc>
          <w:tcPr>
            <w:tcW w:w="1134" w:type="dxa"/>
            <w:vAlign w:val="center"/>
          </w:tcPr>
          <w:p>
            <w:pPr>
              <w:pStyle w:val="11"/>
            </w:pPr>
            <w:r>
              <w:t>100.18</w:t>
            </w:r>
          </w:p>
        </w:tc>
        <w:tc>
          <w:tcPr>
            <w:tcW w:w="1134" w:type="dxa"/>
            <w:vAlign w:val="center"/>
          </w:tcPr>
          <w:p>
            <w:pPr>
              <w:pStyle w:val="11"/>
            </w:pPr>
            <w:r>
              <w:t>100.18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100.18</w:t>
            </w:r>
          </w:p>
        </w:tc>
        <w:tc>
          <w:tcPr>
            <w:tcW w:w="1134" w:type="dxa"/>
            <w:vAlign w:val="center"/>
          </w:tcPr>
          <w:p>
            <w:pPr>
              <w:pStyle w:val="11"/>
            </w:pPr>
            <w:r>
              <w:t>100.18</w:t>
            </w:r>
          </w:p>
        </w:tc>
        <w:tc>
          <w:tcPr>
            <w:tcW w:w="1134" w:type="dxa"/>
            <w:vAlign w:val="center"/>
          </w:tcPr>
          <w:p>
            <w:pPr>
              <w:pStyle w:val="11"/>
            </w:pPr>
            <w:r>
              <w:t>100.18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84.40</w:t>
            </w:r>
          </w:p>
        </w:tc>
        <w:tc>
          <w:tcPr>
            <w:tcW w:w="1134" w:type="dxa"/>
            <w:vAlign w:val="center"/>
          </w:tcPr>
          <w:p>
            <w:pPr>
              <w:pStyle w:val="11"/>
            </w:pPr>
            <w:r>
              <w:t>84.40</w:t>
            </w:r>
          </w:p>
        </w:tc>
        <w:tc>
          <w:tcPr>
            <w:tcW w:w="1134" w:type="dxa"/>
            <w:vAlign w:val="center"/>
          </w:tcPr>
          <w:p>
            <w:pPr>
              <w:pStyle w:val="11"/>
            </w:pPr>
            <w:r>
              <w:t>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84.40</w:t>
            </w:r>
          </w:p>
        </w:tc>
        <w:tc>
          <w:tcPr>
            <w:tcW w:w="1134" w:type="dxa"/>
            <w:vAlign w:val="center"/>
          </w:tcPr>
          <w:p>
            <w:pPr>
              <w:pStyle w:val="11"/>
            </w:pPr>
            <w:r>
              <w:t>84.40</w:t>
            </w:r>
          </w:p>
        </w:tc>
        <w:tc>
          <w:tcPr>
            <w:tcW w:w="1134" w:type="dxa"/>
            <w:vAlign w:val="center"/>
          </w:tcPr>
          <w:p>
            <w:pPr>
              <w:pStyle w:val="11"/>
            </w:pPr>
            <w:r>
              <w:t>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84.40</w:t>
            </w:r>
          </w:p>
        </w:tc>
        <w:tc>
          <w:tcPr>
            <w:tcW w:w="1134" w:type="dxa"/>
            <w:vAlign w:val="center"/>
          </w:tcPr>
          <w:p>
            <w:pPr>
              <w:pStyle w:val="11"/>
            </w:pPr>
            <w:r>
              <w:t>84.40</w:t>
            </w:r>
          </w:p>
        </w:tc>
        <w:tc>
          <w:tcPr>
            <w:tcW w:w="1134" w:type="dxa"/>
            <w:vAlign w:val="center"/>
          </w:tcPr>
          <w:p>
            <w:pPr>
              <w:pStyle w:val="11"/>
            </w:pPr>
            <w:r>
              <w:t>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2013.72</w:t>
            </w:r>
          </w:p>
        </w:tc>
        <w:tc>
          <w:tcPr>
            <w:tcW w:w="1361" w:type="dxa"/>
            <w:vAlign w:val="center"/>
          </w:tcPr>
          <w:p>
            <w:pPr>
              <w:pStyle w:val="15"/>
            </w:pPr>
            <w:r>
              <w:t>1444.44</w:t>
            </w:r>
          </w:p>
        </w:tc>
        <w:tc>
          <w:tcPr>
            <w:tcW w:w="1361" w:type="dxa"/>
            <w:vAlign w:val="center"/>
          </w:tcPr>
          <w:p>
            <w:pPr>
              <w:pStyle w:val="15"/>
            </w:pPr>
            <w:r>
              <w:t>569.28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1555.86</w:t>
            </w:r>
          </w:p>
        </w:tc>
        <w:tc>
          <w:tcPr>
            <w:tcW w:w="1361" w:type="dxa"/>
            <w:vAlign w:val="center"/>
          </w:tcPr>
          <w:p>
            <w:pPr>
              <w:pStyle w:val="11"/>
            </w:pPr>
            <w:r>
              <w:t>1086.76</w:t>
            </w:r>
          </w:p>
        </w:tc>
        <w:tc>
          <w:tcPr>
            <w:tcW w:w="1361" w:type="dxa"/>
            <w:vAlign w:val="center"/>
          </w:tcPr>
          <w:p>
            <w:pPr>
              <w:pStyle w:val="11"/>
            </w:pPr>
            <w:r>
              <w:t>469.10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1555.86</w:t>
            </w:r>
          </w:p>
        </w:tc>
        <w:tc>
          <w:tcPr>
            <w:tcW w:w="1361" w:type="dxa"/>
            <w:vAlign w:val="center"/>
          </w:tcPr>
          <w:p>
            <w:pPr>
              <w:pStyle w:val="11"/>
            </w:pPr>
            <w:r>
              <w:t>1086.76</w:t>
            </w:r>
          </w:p>
        </w:tc>
        <w:tc>
          <w:tcPr>
            <w:tcW w:w="1361" w:type="dxa"/>
            <w:vAlign w:val="center"/>
          </w:tcPr>
          <w:p>
            <w:pPr>
              <w:pStyle w:val="11"/>
            </w:pPr>
            <w:r>
              <w:t>469.10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5" w:type="dxa"/>
            <w:vAlign w:val="center"/>
          </w:tcPr>
          <w:p>
            <w:pPr>
              <w:pStyle w:val="12"/>
            </w:pPr>
            <w:r>
              <w:t>行政运行</w:t>
            </w:r>
          </w:p>
        </w:tc>
        <w:tc>
          <w:tcPr>
            <w:tcW w:w="1361" w:type="dxa"/>
            <w:vAlign w:val="center"/>
          </w:tcPr>
          <w:p>
            <w:pPr>
              <w:pStyle w:val="11"/>
            </w:pPr>
            <w:r>
              <w:t>1189.76</w:t>
            </w:r>
          </w:p>
        </w:tc>
        <w:tc>
          <w:tcPr>
            <w:tcW w:w="1361" w:type="dxa"/>
            <w:vAlign w:val="center"/>
          </w:tcPr>
          <w:p>
            <w:pPr>
              <w:pStyle w:val="11"/>
            </w:pPr>
            <w:r>
              <w:t>1086.76</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t>143.00</w:t>
            </w:r>
          </w:p>
        </w:tc>
        <w:tc>
          <w:tcPr>
            <w:tcW w:w="1361" w:type="dxa"/>
            <w:vAlign w:val="center"/>
          </w:tcPr>
          <w:p>
            <w:pPr>
              <w:pStyle w:val="11"/>
            </w:pPr>
          </w:p>
        </w:tc>
        <w:tc>
          <w:tcPr>
            <w:tcW w:w="1361" w:type="dxa"/>
            <w:vAlign w:val="center"/>
          </w:tcPr>
          <w:p>
            <w:pPr>
              <w:pStyle w:val="11"/>
            </w:pPr>
            <w:r>
              <w:t>143.00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2040605</w:t>
            </w:r>
          </w:p>
        </w:tc>
        <w:tc>
          <w:tcPr>
            <w:tcW w:w="4535" w:type="dxa"/>
            <w:vAlign w:val="center"/>
          </w:tcPr>
          <w:p>
            <w:pPr>
              <w:pStyle w:val="12"/>
            </w:pPr>
            <w:r>
              <w:t>普法宣传</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2040607</w:t>
            </w:r>
          </w:p>
        </w:tc>
        <w:tc>
          <w:tcPr>
            <w:tcW w:w="4535" w:type="dxa"/>
            <w:vAlign w:val="center"/>
          </w:tcPr>
          <w:p>
            <w:pPr>
              <w:pStyle w:val="12"/>
            </w:pPr>
            <w:r>
              <w:t>公共法律服务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2040610</w:t>
            </w:r>
          </w:p>
        </w:tc>
        <w:tc>
          <w:tcPr>
            <w:tcW w:w="4535" w:type="dxa"/>
            <w:vAlign w:val="center"/>
          </w:tcPr>
          <w:p>
            <w:pPr>
              <w:pStyle w:val="12"/>
            </w:pPr>
            <w:r>
              <w:t>社区矫正</w:t>
            </w:r>
          </w:p>
        </w:tc>
        <w:tc>
          <w:tcPr>
            <w:tcW w:w="1361" w:type="dxa"/>
            <w:vAlign w:val="center"/>
          </w:tcPr>
          <w:p>
            <w:pPr>
              <w:pStyle w:val="11"/>
            </w:pPr>
            <w:r>
              <w:t>28.29</w:t>
            </w:r>
          </w:p>
        </w:tc>
        <w:tc>
          <w:tcPr>
            <w:tcW w:w="1361" w:type="dxa"/>
            <w:vAlign w:val="center"/>
          </w:tcPr>
          <w:p>
            <w:pPr>
              <w:pStyle w:val="11"/>
            </w:pPr>
          </w:p>
        </w:tc>
        <w:tc>
          <w:tcPr>
            <w:tcW w:w="1361" w:type="dxa"/>
            <w:vAlign w:val="center"/>
          </w:tcPr>
          <w:p>
            <w:pPr>
              <w:pStyle w:val="11"/>
            </w:pPr>
            <w:r>
              <w:t>28.29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2040612</w:t>
            </w:r>
          </w:p>
        </w:tc>
        <w:tc>
          <w:tcPr>
            <w:tcW w:w="4535" w:type="dxa"/>
            <w:vAlign w:val="center"/>
          </w:tcPr>
          <w:p>
            <w:pPr>
              <w:pStyle w:val="12"/>
            </w:pPr>
            <w:r>
              <w:t>法治建设</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2040699</w:t>
            </w:r>
          </w:p>
        </w:tc>
        <w:tc>
          <w:tcPr>
            <w:tcW w:w="4535" w:type="dxa"/>
            <w:vAlign w:val="center"/>
          </w:tcPr>
          <w:p>
            <w:pPr>
              <w:pStyle w:val="12"/>
            </w:pPr>
            <w:r>
              <w:t>其他司法支出</w:t>
            </w:r>
          </w:p>
        </w:tc>
        <w:tc>
          <w:tcPr>
            <w:tcW w:w="1361" w:type="dxa"/>
            <w:vAlign w:val="center"/>
          </w:tcPr>
          <w:p>
            <w:pPr>
              <w:pStyle w:val="11"/>
            </w:pPr>
            <w:r>
              <w:t>135.81</w:t>
            </w:r>
          </w:p>
        </w:tc>
        <w:tc>
          <w:tcPr>
            <w:tcW w:w="1361" w:type="dxa"/>
            <w:vAlign w:val="center"/>
          </w:tcPr>
          <w:p>
            <w:pPr>
              <w:pStyle w:val="11"/>
            </w:pPr>
          </w:p>
        </w:tc>
        <w:tc>
          <w:tcPr>
            <w:tcW w:w="1361" w:type="dxa"/>
            <w:vAlign w:val="center"/>
          </w:tcPr>
          <w:p>
            <w:pPr>
              <w:pStyle w:val="11"/>
            </w:pPr>
            <w:r>
              <w:t>135.81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316.98</w:t>
            </w:r>
          </w:p>
        </w:tc>
        <w:tc>
          <w:tcPr>
            <w:tcW w:w="1361" w:type="dxa"/>
            <w:vAlign w:val="center"/>
          </w:tcPr>
          <w:p>
            <w:pPr>
              <w:pStyle w:val="11"/>
            </w:pPr>
            <w:r>
              <w:t>216.80</w:t>
            </w:r>
          </w:p>
        </w:tc>
        <w:tc>
          <w:tcPr>
            <w:tcW w:w="1361" w:type="dxa"/>
            <w:vAlign w:val="center"/>
          </w:tcPr>
          <w:p>
            <w:pPr>
              <w:pStyle w:val="11"/>
            </w:pPr>
            <w:r>
              <w:t>100.18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216.80</w:t>
            </w:r>
          </w:p>
        </w:tc>
        <w:tc>
          <w:tcPr>
            <w:tcW w:w="1361" w:type="dxa"/>
            <w:vAlign w:val="center"/>
          </w:tcPr>
          <w:p>
            <w:pPr>
              <w:pStyle w:val="11"/>
            </w:pPr>
            <w:r>
              <w:t>216.80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131.03</w:t>
            </w:r>
          </w:p>
        </w:tc>
        <w:tc>
          <w:tcPr>
            <w:tcW w:w="1361" w:type="dxa"/>
            <w:vAlign w:val="center"/>
          </w:tcPr>
          <w:p>
            <w:pPr>
              <w:pStyle w:val="11"/>
            </w:pPr>
            <w:r>
              <w:t>131.03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85.78</w:t>
            </w:r>
          </w:p>
        </w:tc>
        <w:tc>
          <w:tcPr>
            <w:tcW w:w="1361" w:type="dxa"/>
            <w:vAlign w:val="center"/>
          </w:tcPr>
          <w:p>
            <w:pPr>
              <w:pStyle w:val="11"/>
            </w:pPr>
            <w:r>
              <w:t>85.78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100.18</w:t>
            </w:r>
          </w:p>
        </w:tc>
        <w:tc>
          <w:tcPr>
            <w:tcW w:w="1361" w:type="dxa"/>
            <w:vAlign w:val="center"/>
          </w:tcPr>
          <w:p>
            <w:pPr>
              <w:pStyle w:val="11"/>
            </w:pPr>
          </w:p>
        </w:tc>
        <w:tc>
          <w:tcPr>
            <w:tcW w:w="1361" w:type="dxa"/>
            <w:vAlign w:val="center"/>
          </w:tcPr>
          <w:p>
            <w:pPr>
              <w:pStyle w:val="11"/>
            </w:pPr>
            <w:r>
              <w:t>100.18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100.18</w:t>
            </w:r>
          </w:p>
        </w:tc>
        <w:tc>
          <w:tcPr>
            <w:tcW w:w="1361" w:type="dxa"/>
            <w:vAlign w:val="center"/>
          </w:tcPr>
          <w:p>
            <w:pPr>
              <w:pStyle w:val="11"/>
            </w:pPr>
          </w:p>
        </w:tc>
        <w:tc>
          <w:tcPr>
            <w:tcW w:w="1361" w:type="dxa"/>
            <w:vAlign w:val="center"/>
          </w:tcPr>
          <w:p>
            <w:pPr>
              <w:pStyle w:val="11"/>
            </w:pPr>
            <w:r>
              <w:t>100.18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56.48</w:t>
            </w:r>
          </w:p>
        </w:tc>
        <w:tc>
          <w:tcPr>
            <w:tcW w:w="1361" w:type="dxa"/>
            <w:vAlign w:val="center"/>
          </w:tcPr>
          <w:p>
            <w:pPr>
              <w:pStyle w:val="11"/>
            </w:pPr>
            <w:r>
              <w:t>56.48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56.48</w:t>
            </w:r>
          </w:p>
        </w:tc>
        <w:tc>
          <w:tcPr>
            <w:tcW w:w="1361" w:type="dxa"/>
            <w:vAlign w:val="center"/>
          </w:tcPr>
          <w:p>
            <w:pPr>
              <w:pStyle w:val="11"/>
            </w:pPr>
            <w:r>
              <w:t>56.48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56.48</w:t>
            </w:r>
          </w:p>
        </w:tc>
        <w:tc>
          <w:tcPr>
            <w:tcW w:w="1361" w:type="dxa"/>
            <w:vAlign w:val="center"/>
          </w:tcPr>
          <w:p>
            <w:pPr>
              <w:pStyle w:val="11"/>
            </w:pPr>
            <w:r>
              <w:t>56.48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84.40</w:t>
            </w:r>
          </w:p>
        </w:tc>
        <w:tc>
          <w:tcPr>
            <w:tcW w:w="1361" w:type="dxa"/>
            <w:vAlign w:val="center"/>
          </w:tcPr>
          <w:p>
            <w:pPr>
              <w:pStyle w:val="11"/>
            </w:pPr>
            <w:r>
              <w:t>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84.40</w:t>
            </w:r>
          </w:p>
        </w:tc>
        <w:tc>
          <w:tcPr>
            <w:tcW w:w="1361" w:type="dxa"/>
            <w:vAlign w:val="center"/>
          </w:tcPr>
          <w:p>
            <w:pPr>
              <w:pStyle w:val="11"/>
            </w:pPr>
            <w:r>
              <w:t>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84.40</w:t>
            </w:r>
          </w:p>
        </w:tc>
        <w:tc>
          <w:tcPr>
            <w:tcW w:w="1361" w:type="dxa"/>
            <w:vAlign w:val="center"/>
          </w:tcPr>
          <w:p>
            <w:pPr>
              <w:pStyle w:val="11"/>
            </w:pPr>
            <w:r>
              <w:t>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1893.21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1555.86</w:t>
            </w:r>
          </w:p>
        </w:tc>
        <w:tc>
          <w:tcPr>
            <w:tcW w:w="1474" w:type="dxa"/>
            <w:vAlign w:val="center"/>
          </w:tcPr>
          <w:p>
            <w:pPr>
              <w:pStyle w:val="11"/>
            </w:pPr>
            <w:r>
              <w:t>1555.86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316.98</w:t>
            </w:r>
          </w:p>
        </w:tc>
        <w:tc>
          <w:tcPr>
            <w:tcW w:w="1474" w:type="dxa"/>
            <w:vAlign w:val="center"/>
          </w:tcPr>
          <w:p>
            <w:pPr>
              <w:pStyle w:val="11"/>
            </w:pPr>
            <w:r>
              <w:t>316.98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56.48</w:t>
            </w:r>
          </w:p>
        </w:tc>
        <w:tc>
          <w:tcPr>
            <w:tcW w:w="1474" w:type="dxa"/>
            <w:vAlign w:val="center"/>
          </w:tcPr>
          <w:p>
            <w:pPr>
              <w:pStyle w:val="11"/>
            </w:pPr>
            <w:r>
              <w:t>56.48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84.40</w:t>
            </w:r>
          </w:p>
        </w:tc>
        <w:tc>
          <w:tcPr>
            <w:tcW w:w="1474" w:type="dxa"/>
            <w:vAlign w:val="center"/>
          </w:tcPr>
          <w:p>
            <w:pPr>
              <w:pStyle w:val="11"/>
            </w:pPr>
            <w:r>
              <w:t>84.40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1893.21</w:t>
            </w:r>
          </w:p>
        </w:tc>
        <w:tc>
          <w:tcPr>
            <w:tcW w:w="3402" w:type="dxa"/>
            <w:vAlign w:val="center"/>
          </w:tcPr>
          <w:p>
            <w:pPr>
              <w:pStyle w:val="14"/>
            </w:pPr>
            <w:r>
              <w:t>本年支出合计</w:t>
            </w:r>
          </w:p>
        </w:tc>
        <w:tc>
          <w:tcPr>
            <w:tcW w:w="1474" w:type="dxa"/>
            <w:vAlign w:val="center"/>
          </w:tcPr>
          <w:p>
            <w:pPr>
              <w:pStyle w:val="15"/>
            </w:pPr>
            <w:r>
              <w:t>2013.72</w:t>
            </w:r>
          </w:p>
        </w:tc>
        <w:tc>
          <w:tcPr>
            <w:tcW w:w="1474" w:type="dxa"/>
            <w:vAlign w:val="center"/>
          </w:tcPr>
          <w:p>
            <w:pPr>
              <w:pStyle w:val="15"/>
            </w:pPr>
            <w:r>
              <w:t>2013.72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120.51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120.51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2013.72</w:t>
            </w:r>
          </w:p>
        </w:tc>
        <w:tc>
          <w:tcPr>
            <w:tcW w:w="3402" w:type="dxa"/>
            <w:vAlign w:val="center"/>
          </w:tcPr>
          <w:p>
            <w:pPr>
              <w:pStyle w:val="14"/>
            </w:pPr>
            <w:r>
              <w:t>支出总计</w:t>
            </w:r>
          </w:p>
        </w:tc>
        <w:tc>
          <w:tcPr>
            <w:tcW w:w="1474" w:type="dxa"/>
            <w:vAlign w:val="center"/>
          </w:tcPr>
          <w:p>
            <w:pPr>
              <w:pStyle w:val="15"/>
            </w:pPr>
            <w:r>
              <w:t>2013.72</w:t>
            </w:r>
          </w:p>
        </w:tc>
        <w:tc>
          <w:tcPr>
            <w:tcW w:w="1474" w:type="dxa"/>
            <w:vAlign w:val="center"/>
          </w:tcPr>
          <w:p>
            <w:pPr>
              <w:pStyle w:val="15"/>
            </w:pPr>
            <w:r>
              <w:t>2013.72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2013.72</w:t>
            </w:r>
          </w:p>
        </w:tc>
        <w:tc>
          <w:tcPr>
            <w:tcW w:w="2551" w:type="dxa"/>
            <w:vAlign w:val="center"/>
          </w:tcPr>
          <w:p>
            <w:pPr>
              <w:pStyle w:val="15"/>
            </w:pPr>
            <w:r>
              <w:t>1444.44</w:t>
            </w:r>
          </w:p>
        </w:tc>
        <w:tc>
          <w:tcPr>
            <w:tcW w:w="2551" w:type="dxa"/>
            <w:vAlign w:val="center"/>
          </w:tcPr>
          <w:p>
            <w:pPr>
              <w:pStyle w:val="15"/>
            </w:pPr>
            <w:r>
              <w:t>569.28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1555.86</w:t>
            </w:r>
          </w:p>
        </w:tc>
        <w:tc>
          <w:tcPr>
            <w:tcW w:w="2551" w:type="dxa"/>
            <w:vAlign w:val="center"/>
          </w:tcPr>
          <w:p>
            <w:pPr>
              <w:pStyle w:val="11"/>
            </w:pPr>
            <w:r>
              <w:t>1086.76</w:t>
            </w:r>
          </w:p>
        </w:tc>
        <w:tc>
          <w:tcPr>
            <w:tcW w:w="2551" w:type="dxa"/>
            <w:vAlign w:val="center"/>
          </w:tcPr>
          <w:p>
            <w:pPr>
              <w:pStyle w:val="11"/>
            </w:pPr>
            <w:r>
              <w:t>469.10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1555.86</w:t>
            </w:r>
          </w:p>
        </w:tc>
        <w:tc>
          <w:tcPr>
            <w:tcW w:w="2551" w:type="dxa"/>
            <w:vAlign w:val="center"/>
          </w:tcPr>
          <w:p>
            <w:pPr>
              <w:pStyle w:val="11"/>
            </w:pPr>
            <w:r>
              <w:t>1086.76</w:t>
            </w:r>
          </w:p>
        </w:tc>
        <w:tc>
          <w:tcPr>
            <w:tcW w:w="2551" w:type="dxa"/>
            <w:vAlign w:val="center"/>
          </w:tcPr>
          <w:p>
            <w:pPr>
              <w:pStyle w:val="11"/>
            </w:pPr>
            <w:r>
              <w:t>469.10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1189.76</w:t>
            </w:r>
          </w:p>
        </w:tc>
        <w:tc>
          <w:tcPr>
            <w:tcW w:w="2551" w:type="dxa"/>
            <w:vAlign w:val="center"/>
          </w:tcPr>
          <w:p>
            <w:pPr>
              <w:pStyle w:val="11"/>
            </w:pPr>
            <w:r>
              <w:t>1086.76</w:t>
            </w:r>
          </w:p>
        </w:tc>
        <w:tc>
          <w:tcPr>
            <w:tcW w:w="2551"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143.00</w:t>
            </w:r>
          </w:p>
        </w:tc>
        <w:tc>
          <w:tcPr>
            <w:tcW w:w="2551" w:type="dxa"/>
            <w:vAlign w:val="center"/>
          </w:tcPr>
          <w:p>
            <w:pPr>
              <w:pStyle w:val="11"/>
            </w:pPr>
          </w:p>
        </w:tc>
        <w:tc>
          <w:tcPr>
            <w:tcW w:w="2551" w:type="dxa"/>
            <w:vAlign w:val="center"/>
          </w:tcPr>
          <w:p>
            <w:pPr>
              <w:pStyle w:val="11"/>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2040605</w:t>
            </w:r>
          </w:p>
        </w:tc>
        <w:tc>
          <w:tcPr>
            <w:tcW w:w="4535" w:type="dxa"/>
            <w:vAlign w:val="center"/>
          </w:tcPr>
          <w:p>
            <w:pPr>
              <w:pStyle w:val="12"/>
            </w:pPr>
            <w:r>
              <w:t>普法宣传</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28.29</w:t>
            </w:r>
          </w:p>
        </w:tc>
        <w:tc>
          <w:tcPr>
            <w:tcW w:w="2551" w:type="dxa"/>
            <w:vAlign w:val="center"/>
          </w:tcPr>
          <w:p>
            <w:pPr>
              <w:pStyle w:val="11"/>
            </w:pPr>
          </w:p>
        </w:tc>
        <w:tc>
          <w:tcPr>
            <w:tcW w:w="2551" w:type="dxa"/>
            <w:vAlign w:val="center"/>
          </w:tcPr>
          <w:p>
            <w:pPr>
              <w:pStyle w:val="11"/>
            </w:pPr>
            <w:r>
              <w:t>28.29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2040612</w:t>
            </w:r>
          </w:p>
        </w:tc>
        <w:tc>
          <w:tcPr>
            <w:tcW w:w="4535" w:type="dxa"/>
            <w:vAlign w:val="center"/>
          </w:tcPr>
          <w:p>
            <w:pPr>
              <w:pStyle w:val="12"/>
            </w:pPr>
            <w:r>
              <w:t>法治建设</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2040699</w:t>
            </w:r>
          </w:p>
        </w:tc>
        <w:tc>
          <w:tcPr>
            <w:tcW w:w="4535" w:type="dxa"/>
            <w:vAlign w:val="center"/>
          </w:tcPr>
          <w:p>
            <w:pPr>
              <w:pStyle w:val="12"/>
            </w:pPr>
            <w:r>
              <w:t>其他司法支出</w:t>
            </w:r>
          </w:p>
        </w:tc>
        <w:tc>
          <w:tcPr>
            <w:tcW w:w="2551" w:type="dxa"/>
            <w:vAlign w:val="center"/>
          </w:tcPr>
          <w:p>
            <w:pPr>
              <w:pStyle w:val="11"/>
            </w:pPr>
            <w:r>
              <w:t>135.81</w:t>
            </w:r>
          </w:p>
        </w:tc>
        <w:tc>
          <w:tcPr>
            <w:tcW w:w="2551" w:type="dxa"/>
            <w:vAlign w:val="center"/>
          </w:tcPr>
          <w:p>
            <w:pPr>
              <w:pStyle w:val="11"/>
            </w:pPr>
          </w:p>
        </w:tc>
        <w:tc>
          <w:tcPr>
            <w:tcW w:w="2551" w:type="dxa"/>
            <w:vAlign w:val="center"/>
          </w:tcPr>
          <w:p>
            <w:pPr>
              <w:pStyle w:val="11"/>
            </w:pPr>
            <w:r>
              <w:t>135.81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316.98</w:t>
            </w:r>
          </w:p>
        </w:tc>
        <w:tc>
          <w:tcPr>
            <w:tcW w:w="2551" w:type="dxa"/>
            <w:vAlign w:val="center"/>
          </w:tcPr>
          <w:p>
            <w:pPr>
              <w:pStyle w:val="11"/>
            </w:pPr>
            <w:r>
              <w:t>216.80</w:t>
            </w:r>
          </w:p>
        </w:tc>
        <w:tc>
          <w:tcPr>
            <w:tcW w:w="2551" w:type="dxa"/>
            <w:vAlign w:val="center"/>
          </w:tcPr>
          <w:p>
            <w:pPr>
              <w:pStyle w:val="11"/>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216.80</w:t>
            </w:r>
          </w:p>
        </w:tc>
        <w:tc>
          <w:tcPr>
            <w:tcW w:w="2551" w:type="dxa"/>
            <w:vAlign w:val="center"/>
          </w:tcPr>
          <w:p>
            <w:pPr>
              <w:pStyle w:val="11"/>
            </w:pPr>
            <w:r>
              <w:t>216.80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131.03</w:t>
            </w:r>
          </w:p>
        </w:tc>
        <w:tc>
          <w:tcPr>
            <w:tcW w:w="2551" w:type="dxa"/>
            <w:vAlign w:val="center"/>
          </w:tcPr>
          <w:p>
            <w:pPr>
              <w:pStyle w:val="11"/>
            </w:pPr>
            <w:r>
              <w:t>131.03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85.78</w:t>
            </w:r>
          </w:p>
        </w:tc>
        <w:tc>
          <w:tcPr>
            <w:tcW w:w="2551" w:type="dxa"/>
            <w:vAlign w:val="center"/>
          </w:tcPr>
          <w:p>
            <w:pPr>
              <w:pStyle w:val="11"/>
            </w:pPr>
            <w:r>
              <w:t>85.78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100.18</w:t>
            </w:r>
          </w:p>
        </w:tc>
        <w:tc>
          <w:tcPr>
            <w:tcW w:w="2551" w:type="dxa"/>
            <w:vAlign w:val="center"/>
          </w:tcPr>
          <w:p>
            <w:pPr>
              <w:pStyle w:val="11"/>
            </w:pPr>
          </w:p>
        </w:tc>
        <w:tc>
          <w:tcPr>
            <w:tcW w:w="2551" w:type="dxa"/>
            <w:vAlign w:val="center"/>
          </w:tcPr>
          <w:p>
            <w:pPr>
              <w:pStyle w:val="11"/>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100.18</w:t>
            </w:r>
          </w:p>
        </w:tc>
        <w:tc>
          <w:tcPr>
            <w:tcW w:w="2551" w:type="dxa"/>
            <w:vAlign w:val="center"/>
          </w:tcPr>
          <w:p>
            <w:pPr>
              <w:pStyle w:val="11"/>
            </w:pPr>
          </w:p>
        </w:tc>
        <w:tc>
          <w:tcPr>
            <w:tcW w:w="2551" w:type="dxa"/>
            <w:vAlign w:val="center"/>
          </w:tcPr>
          <w:p>
            <w:pPr>
              <w:pStyle w:val="11"/>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56.48</w:t>
            </w:r>
          </w:p>
        </w:tc>
        <w:tc>
          <w:tcPr>
            <w:tcW w:w="2551" w:type="dxa"/>
            <w:vAlign w:val="center"/>
          </w:tcPr>
          <w:p>
            <w:pPr>
              <w:pStyle w:val="11"/>
            </w:pPr>
            <w:r>
              <w:t>56.48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56.48</w:t>
            </w:r>
          </w:p>
        </w:tc>
        <w:tc>
          <w:tcPr>
            <w:tcW w:w="2551" w:type="dxa"/>
            <w:vAlign w:val="center"/>
          </w:tcPr>
          <w:p>
            <w:pPr>
              <w:pStyle w:val="11"/>
            </w:pPr>
            <w:r>
              <w:t>56.48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56.48</w:t>
            </w:r>
          </w:p>
        </w:tc>
        <w:tc>
          <w:tcPr>
            <w:tcW w:w="2551" w:type="dxa"/>
            <w:vAlign w:val="center"/>
          </w:tcPr>
          <w:p>
            <w:pPr>
              <w:pStyle w:val="11"/>
            </w:pPr>
            <w:r>
              <w:t>56.48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84.40</w:t>
            </w:r>
          </w:p>
        </w:tc>
        <w:tc>
          <w:tcPr>
            <w:tcW w:w="2551" w:type="dxa"/>
            <w:vAlign w:val="center"/>
          </w:tcPr>
          <w:p>
            <w:pPr>
              <w:pStyle w:val="11"/>
            </w:pPr>
            <w:r>
              <w:t>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84.40</w:t>
            </w:r>
          </w:p>
        </w:tc>
        <w:tc>
          <w:tcPr>
            <w:tcW w:w="2551" w:type="dxa"/>
            <w:vAlign w:val="center"/>
          </w:tcPr>
          <w:p>
            <w:pPr>
              <w:pStyle w:val="11"/>
            </w:pPr>
            <w:r>
              <w:t>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84.40</w:t>
            </w:r>
          </w:p>
        </w:tc>
        <w:tc>
          <w:tcPr>
            <w:tcW w:w="2551" w:type="dxa"/>
            <w:vAlign w:val="center"/>
          </w:tcPr>
          <w:p>
            <w:pPr>
              <w:pStyle w:val="11"/>
            </w:pPr>
            <w:r>
              <w:t>84.40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1444.44</w:t>
            </w:r>
          </w:p>
        </w:tc>
        <w:tc>
          <w:tcPr>
            <w:tcW w:w="2551" w:type="dxa"/>
            <w:vAlign w:val="center"/>
          </w:tcPr>
          <w:p>
            <w:pPr>
              <w:pStyle w:val="15"/>
            </w:pPr>
            <w:r>
              <w:t>1075.34</w:t>
            </w:r>
          </w:p>
        </w:tc>
        <w:tc>
          <w:tcPr>
            <w:tcW w:w="2551" w:type="dxa"/>
            <w:vAlign w:val="center"/>
          </w:tcPr>
          <w:p>
            <w:pPr>
              <w:pStyle w:val="15"/>
            </w:pPr>
            <w:r>
              <w:t>369.09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943.54</w:t>
            </w:r>
          </w:p>
        </w:tc>
        <w:tc>
          <w:tcPr>
            <w:tcW w:w="2551" w:type="dxa"/>
            <w:vAlign w:val="center"/>
          </w:tcPr>
          <w:p>
            <w:pPr>
              <w:pStyle w:val="11"/>
            </w:pPr>
            <w:r>
              <w:t>943.54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241.59</w:t>
            </w:r>
          </w:p>
        </w:tc>
        <w:tc>
          <w:tcPr>
            <w:tcW w:w="2551" w:type="dxa"/>
            <w:vAlign w:val="center"/>
          </w:tcPr>
          <w:p>
            <w:pPr>
              <w:pStyle w:val="11"/>
            </w:pPr>
            <w:r>
              <w:t>241.59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221.55</w:t>
            </w:r>
          </w:p>
        </w:tc>
        <w:tc>
          <w:tcPr>
            <w:tcW w:w="2551" w:type="dxa"/>
            <w:vAlign w:val="center"/>
          </w:tcPr>
          <w:p>
            <w:pPr>
              <w:pStyle w:val="11"/>
            </w:pPr>
            <w:r>
              <w:t>221.55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174.77</w:t>
            </w:r>
          </w:p>
        </w:tc>
        <w:tc>
          <w:tcPr>
            <w:tcW w:w="2551" w:type="dxa"/>
            <w:vAlign w:val="center"/>
          </w:tcPr>
          <w:p>
            <w:pPr>
              <w:pStyle w:val="11"/>
            </w:pPr>
            <w:r>
              <w:t>174.77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76.38</w:t>
            </w:r>
          </w:p>
        </w:tc>
        <w:tc>
          <w:tcPr>
            <w:tcW w:w="2551" w:type="dxa"/>
            <w:vAlign w:val="center"/>
          </w:tcPr>
          <w:p>
            <w:pPr>
              <w:pStyle w:val="11"/>
            </w:pPr>
            <w:r>
              <w:t>76.38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85.78</w:t>
            </w:r>
          </w:p>
        </w:tc>
        <w:tc>
          <w:tcPr>
            <w:tcW w:w="2551" w:type="dxa"/>
            <w:vAlign w:val="center"/>
          </w:tcPr>
          <w:p>
            <w:pPr>
              <w:pStyle w:val="11"/>
            </w:pPr>
            <w:r>
              <w:t>85.78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29.08</w:t>
            </w:r>
          </w:p>
        </w:tc>
        <w:tc>
          <w:tcPr>
            <w:tcW w:w="2551" w:type="dxa"/>
            <w:vAlign w:val="center"/>
          </w:tcPr>
          <w:p>
            <w:pPr>
              <w:pStyle w:val="11"/>
            </w:pPr>
            <w:r>
              <w:t>29.08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27.39</w:t>
            </w:r>
          </w:p>
        </w:tc>
        <w:tc>
          <w:tcPr>
            <w:tcW w:w="2551" w:type="dxa"/>
            <w:vAlign w:val="center"/>
          </w:tcPr>
          <w:p>
            <w:pPr>
              <w:pStyle w:val="11"/>
            </w:pPr>
            <w:r>
              <w:t>27.39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84.40</w:t>
            </w:r>
          </w:p>
        </w:tc>
        <w:tc>
          <w:tcPr>
            <w:tcW w:w="2551" w:type="dxa"/>
            <w:vAlign w:val="center"/>
          </w:tcPr>
          <w:p>
            <w:pPr>
              <w:pStyle w:val="11"/>
            </w:pPr>
            <w:r>
              <w:t>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369.09</w:t>
            </w:r>
          </w:p>
        </w:tc>
        <w:tc>
          <w:tcPr>
            <w:tcW w:w="2551" w:type="dxa"/>
            <w:vAlign w:val="center"/>
          </w:tcPr>
          <w:p>
            <w:pPr>
              <w:pStyle w:val="11"/>
            </w:pPr>
          </w:p>
        </w:tc>
        <w:tc>
          <w:tcPr>
            <w:tcW w:w="2551" w:type="dxa"/>
            <w:vAlign w:val="center"/>
          </w:tcPr>
          <w:p>
            <w:pPr>
              <w:pStyle w:val="11"/>
            </w:pPr>
            <w:r>
              <w:t>369.09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10.72</w:t>
            </w:r>
          </w:p>
        </w:tc>
        <w:tc>
          <w:tcPr>
            <w:tcW w:w="2551" w:type="dxa"/>
            <w:vAlign w:val="center"/>
          </w:tcPr>
          <w:p>
            <w:pPr>
              <w:pStyle w:val="11"/>
            </w:pPr>
          </w:p>
        </w:tc>
        <w:tc>
          <w:tcPr>
            <w:tcW w:w="2551" w:type="dxa"/>
            <w:vAlign w:val="center"/>
          </w:tcPr>
          <w:p>
            <w:pPr>
              <w:pStyle w:val="11"/>
            </w:pPr>
            <w:r>
              <w:t>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22.36</w:t>
            </w:r>
          </w:p>
        </w:tc>
        <w:tc>
          <w:tcPr>
            <w:tcW w:w="2551" w:type="dxa"/>
            <w:vAlign w:val="center"/>
          </w:tcPr>
          <w:p>
            <w:pPr>
              <w:pStyle w:val="11"/>
            </w:pPr>
          </w:p>
        </w:tc>
        <w:tc>
          <w:tcPr>
            <w:tcW w:w="2551" w:type="dxa"/>
            <w:vAlign w:val="center"/>
          </w:tcPr>
          <w:p>
            <w:pPr>
              <w:pStyle w:val="11"/>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10.52</w:t>
            </w:r>
          </w:p>
        </w:tc>
        <w:tc>
          <w:tcPr>
            <w:tcW w:w="2551" w:type="dxa"/>
            <w:vAlign w:val="center"/>
          </w:tcPr>
          <w:p>
            <w:pPr>
              <w:pStyle w:val="11"/>
            </w:pPr>
          </w:p>
        </w:tc>
        <w:tc>
          <w:tcPr>
            <w:tcW w:w="2551" w:type="dxa"/>
            <w:vAlign w:val="center"/>
          </w:tcPr>
          <w:p>
            <w:pPr>
              <w:pStyle w:val="11"/>
            </w:pPr>
            <w:r>
              <w:t>10.52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7.98</w:t>
            </w:r>
          </w:p>
        </w:tc>
        <w:tc>
          <w:tcPr>
            <w:tcW w:w="2551" w:type="dxa"/>
            <w:vAlign w:val="center"/>
          </w:tcPr>
          <w:p>
            <w:pPr>
              <w:pStyle w:val="11"/>
            </w:pPr>
          </w:p>
        </w:tc>
        <w:tc>
          <w:tcPr>
            <w:tcW w:w="2551" w:type="dxa"/>
            <w:vAlign w:val="center"/>
          </w:tcPr>
          <w:p>
            <w:pPr>
              <w:pStyle w:val="11"/>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249.73</w:t>
            </w:r>
          </w:p>
        </w:tc>
        <w:tc>
          <w:tcPr>
            <w:tcW w:w="2551" w:type="dxa"/>
            <w:vAlign w:val="center"/>
          </w:tcPr>
          <w:p>
            <w:pPr>
              <w:pStyle w:val="11"/>
            </w:pPr>
          </w:p>
        </w:tc>
        <w:tc>
          <w:tcPr>
            <w:tcW w:w="2551" w:type="dxa"/>
            <w:vAlign w:val="center"/>
          </w:tcPr>
          <w:p>
            <w:pPr>
              <w:pStyle w:val="11"/>
            </w:pPr>
            <w:r>
              <w:t>249.73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26.76</w:t>
            </w:r>
          </w:p>
        </w:tc>
        <w:tc>
          <w:tcPr>
            <w:tcW w:w="2551" w:type="dxa"/>
            <w:vAlign w:val="center"/>
          </w:tcPr>
          <w:p>
            <w:pPr>
              <w:pStyle w:val="11"/>
            </w:pPr>
          </w:p>
        </w:tc>
        <w:tc>
          <w:tcPr>
            <w:tcW w:w="2551" w:type="dxa"/>
            <w:vAlign w:val="center"/>
          </w:tcPr>
          <w:p>
            <w:pPr>
              <w:pStyle w:val="11"/>
            </w:pPr>
            <w:r>
              <w:t>26.76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10.73</w:t>
            </w:r>
          </w:p>
        </w:tc>
        <w:tc>
          <w:tcPr>
            <w:tcW w:w="2551" w:type="dxa"/>
            <w:vAlign w:val="center"/>
          </w:tcPr>
          <w:p>
            <w:pPr>
              <w:pStyle w:val="11"/>
            </w:pPr>
          </w:p>
        </w:tc>
        <w:tc>
          <w:tcPr>
            <w:tcW w:w="2551" w:type="dxa"/>
            <w:vAlign w:val="center"/>
          </w:tcPr>
          <w:p>
            <w:pPr>
              <w:pStyle w:val="11"/>
            </w:pPr>
            <w:r>
              <w:t>10.73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131.80</w:t>
            </w:r>
          </w:p>
        </w:tc>
        <w:tc>
          <w:tcPr>
            <w:tcW w:w="2551" w:type="dxa"/>
            <w:vAlign w:val="center"/>
          </w:tcPr>
          <w:p>
            <w:pPr>
              <w:pStyle w:val="11"/>
            </w:pPr>
            <w:r>
              <w:t>131.80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18.15</w:t>
            </w:r>
          </w:p>
        </w:tc>
        <w:tc>
          <w:tcPr>
            <w:tcW w:w="2551" w:type="dxa"/>
            <w:vAlign w:val="center"/>
          </w:tcPr>
          <w:p>
            <w:pPr>
              <w:pStyle w:val="11"/>
            </w:pPr>
            <w:r>
              <w:t>18.15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111.54</w:t>
            </w:r>
          </w:p>
        </w:tc>
        <w:tc>
          <w:tcPr>
            <w:tcW w:w="2551" w:type="dxa"/>
            <w:vAlign w:val="center"/>
          </w:tcPr>
          <w:p>
            <w:pPr>
              <w:pStyle w:val="11"/>
            </w:pPr>
            <w:r>
              <w:t>111.54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18.50</w:t>
            </w:r>
          </w:p>
        </w:tc>
        <w:tc>
          <w:tcPr>
            <w:tcW w:w="2381" w:type="dxa"/>
            <w:vAlign w:val="center"/>
          </w:tcPr>
          <w:p>
            <w:pPr>
              <w:pStyle w:val="15"/>
            </w:pPr>
            <w:r>
              <w:t>18.50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13.50</w:t>
            </w:r>
          </w:p>
        </w:tc>
        <w:tc>
          <w:tcPr>
            <w:tcW w:w="2381" w:type="dxa"/>
            <w:vAlign w:val="center"/>
          </w:tcPr>
          <w:p>
            <w:pPr>
              <w:pStyle w:val="11"/>
            </w:pPr>
            <w:r>
              <w:t>13.50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13.50</w:t>
            </w:r>
          </w:p>
        </w:tc>
        <w:tc>
          <w:tcPr>
            <w:tcW w:w="2381" w:type="dxa"/>
            <w:vAlign w:val="center"/>
          </w:tcPr>
          <w:p>
            <w:pPr>
              <w:pStyle w:val="11"/>
            </w:pPr>
            <w:r>
              <w:t>13.50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13.50</w:t>
            </w:r>
          </w:p>
        </w:tc>
        <w:tc>
          <w:tcPr>
            <w:tcW w:w="2381" w:type="dxa"/>
            <w:vAlign w:val="center"/>
          </w:tcPr>
          <w:p>
            <w:pPr>
              <w:pStyle w:val="11"/>
            </w:pPr>
            <w:r>
              <w:t>13.50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石家庄市鹿泉区司法局本级2026年单位预算信息公开情况说明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按照《中华人民共和国预算法》、《地方预决算公开操作规程》和《关于进一步推进预算公开工作的实施意见》规定，现将石家庄市鹿泉区司法局本级2026年单位预算公开如下：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主要职责是：</w:t>
      </w:r>
    </w:p>
    <w:p>
      <w:pPr>
        <w:pStyle w:val="17"/>
      </w:pPr>
      <w:r>
        <w:t>（一）承担全面依法治区重大问题的政策研究。组织协调有关方面提出全面依法治区中长期规划建议，负责有关重大决策部署督查工作。</w:t>
      </w:r>
    </w:p>
    <w:p>
      <w:pPr>
        <w:pStyle w:val="17"/>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7"/>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7"/>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7"/>
      </w:pPr>
      <w:r>
        <w:t>（五）负责全区社区矫正工作，负责刑满释放人员帮教安置工作。</w:t>
      </w:r>
    </w:p>
    <w:p>
      <w:pPr>
        <w:pStyle w:val="17"/>
      </w:pPr>
      <w:r>
        <w:t>（六）负责拟订公共法律服务体系建设规划并组织实施，统筹和布局全区法律服务资源；负责全区律师、公证、法律援助、司法鉴定和基层法律服务管理工作。</w:t>
      </w:r>
    </w:p>
    <w:p>
      <w:pPr>
        <w:pStyle w:val="17"/>
      </w:pPr>
      <w:r>
        <w:t>（七）规划、协调、指导全区法治人才队伍建设相关工作；负责本系统队伍建设。</w:t>
      </w:r>
    </w:p>
    <w:p>
      <w:pPr>
        <w:pStyle w:val="17"/>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2013.72万元，其中：一般公共预算收入1893.21万元，基金预算收入0.00万元，国有资本经营预算收入0.00万元，财政专户核拨收入0.00万元，单位资金收入0.00万元，上年结转结余120.51万元。</w:t>
      </w:r>
    </w:p>
    <w:p>
      <w:pPr>
        <w:pStyle w:val="18"/>
      </w:pPr>
      <w:r>
        <w:t>2、支出说明</w:t>
      </w:r>
    </w:p>
    <w:p>
      <w:pPr>
        <w:pStyle w:val="18"/>
      </w:pPr>
      <w:r>
        <w:t>收支预算总表支出栏、基本支出表、项目支出表按经济分类和支出功能分类科目编制，反映石家庄市鹿泉区司法局本级年度单位预算中支出预算的总体情况。2026年支出预算2013.72万元，其中基本支出1444.44万元，包括人员经费1075.34万元和日常公用经费369.09万元；项目支出569.28万元，主要为专职人民调解员工作经费、政府法律顾问经费、人民调解专项经费等项目支出；预计下年使用的单位资金结余0.00万元。委托业务费共计安排120.51万元，主要用于因技术原因确需对外委托的辅助性工作和确有必要对外委托开展咨询、评审、规划等工作。</w:t>
      </w:r>
    </w:p>
    <w:p>
      <w:pPr>
        <w:pStyle w:val="18"/>
      </w:pPr>
      <w:r>
        <w:t>3、比上年增减情况</w:t>
      </w:r>
    </w:p>
    <w:p>
      <w:pPr>
        <w:pStyle w:val="18"/>
      </w:pPr>
      <w:r>
        <w:t>2026年预算收支安排2013.72万元，较2025年预算减少0.82万元，其中：基本支出增加82.25万元，主要为人员经费支出增加。项目支出减少83.06万元，主要为结转资金、提前下达项目资金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w:t>
      </w:r>
      <w:r>
        <w:rPr>
          <w:rFonts w:hint="eastAsia"/>
          <w:lang w:eastAsia="zh-CN"/>
        </w:rPr>
        <w:t>单位</w:t>
      </w:r>
      <w:r>
        <w:t>机关运行经费共计安排3</w:t>
      </w:r>
      <w:r>
        <w:rPr>
          <w:rFonts w:hint="eastAsia"/>
          <w:lang w:val="en-US" w:eastAsia="zh-CN"/>
        </w:rPr>
        <w:t>69.09</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w:t>
      </w:r>
      <w:r>
        <w:rPr>
          <w:rFonts w:hint="eastAsia"/>
          <w:lang w:val="en-US" w:eastAsia="zh-CN"/>
        </w:rPr>
        <w:t>6</w:t>
      </w:r>
      <w:r>
        <w:t>年，我</w:t>
      </w:r>
      <w:r>
        <w:rPr>
          <w:rFonts w:hint="eastAsia"/>
          <w:lang w:eastAsia="zh-CN"/>
        </w:rPr>
        <w:t>单位</w:t>
      </w:r>
      <w:r>
        <w:t>财政拨款“三公”经费预算安排13.50万元，其中因公出国（境）费0.00万元；公务用车购置及运维费13.50万元（其中：公务用车购置费为0.00万元，公务用车运维费13.50万元)；公务接待费0.00万元。与202</w:t>
      </w:r>
      <w:r>
        <w:rPr>
          <w:rFonts w:hint="eastAsia"/>
          <w:lang w:val="en-US" w:eastAsia="zh-CN"/>
        </w:rPr>
        <w:t>5</w:t>
      </w:r>
      <w:r>
        <w:t>年相比</w:t>
      </w:r>
      <w:r>
        <w:rPr>
          <w:rFonts w:hint="eastAsia"/>
          <w:lang w:eastAsia="zh-CN"/>
        </w:rPr>
        <w:t>持平</w:t>
      </w:r>
      <w:r>
        <w:rPr>
          <w:rFonts w:hint="eastAsia"/>
          <w:lang w:val="en-US"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13011025P00001211141L</w:t>
            </w:r>
          </w:p>
        </w:tc>
        <w:tc>
          <w:tcPr>
            <w:tcW w:w="2835" w:type="dxa"/>
            <w:vAlign w:val="center"/>
          </w:tcPr>
          <w:p>
            <w:pPr>
              <w:pStyle w:val="10"/>
            </w:pPr>
            <w:r>
              <w:t>项目名称</w:t>
            </w:r>
          </w:p>
        </w:tc>
        <w:tc>
          <w:tcPr>
            <w:tcW w:w="6095" w:type="dxa"/>
            <w:gridSpan w:val="3"/>
            <w:vAlign w:val="center"/>
          </w:tcPr>
          <w:p>
            <w:pPr>
              <w:pStyle w:val="12"/>
            </w:pPr>
            <w:r>
              <w:t>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"根据《石家庄市法律援助经费使用管理细则》（石司【2022】182号）规定，提供民事、刑事、行政法律援助服务。做到七日内指派完成，取得良好社会预期。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1.根据《石家庄市法律援助经费使用管理细则》（石司【2022】182号）规定，提供民事、刑事、行政法律援助服务。做到七日内指派完成，取得良好社会预期。</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法律援助案件数量</w:t>
            </w:r>
          </w:p>
        </w:tc>
        <w:tc>
          <w:tcPr>
            <w:tcW w:w="5386" w:type="dxa"/>
            <w:vAlign w:val="center"/>
          </w:tcPr>
          <w:p>
            <w:pPr>
              <w:pStyle w:val="12"/>
            </w:pPr>
            <w:r>
              <w:t>法律援助案件数量</w:t>
            </w:r>
          </w:p>
        </w:tc>
        <w:tc>
          <w:tcPr>
            <w:tcW w:w="2268" w:type="dxa"/>
            <w:vAlign w:val="center"/>
          </w:tcPr>
          <w:p>
            <w:pPr>
              <w:pStyle w:val="12"/>
            </w:pPr>
            <w:r>
              <w:t>≥138件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法律援助案件办理完成率</w:t>
            </w:r>
          </w:p>
        </w:tc>
        <w:tc>
          <w:tcPr>
            <w:tcW w:w="5386" w:type="dxa"/>
            <w:vAlign w:val="center"/>
          </w:tcPr>
          <w:p>
            <w:pPr>
              <w:pStyle w:val="12"/>
            </w:pPr>
            <w:r>
              <w:t>法律援助案件办理完成率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法律援助案件及时指派</w:t>
            </w:r>
          </w:p>
        </w:tc>
        <w:tc>
          <w:tcPr>
            <w:tcW w:w="5386" w:type="dxa"/>
            <w:vAlign w:val="center"/>
          </w:tcPr>
          <w:p>
            <w:pPr>
              <w:pStyle w:val="12"/>
            </w:pPr>
            <w:r>
              <w:t>法律援助案件及时指派</w:t>
            </w:r>
          </w:p>
        </w:tc>
        <w:tc>
          <w:tcPr>
            <w:tcW w:w="2268" w:type="dxa"/>
            <w:vAlign w:val="center"/>
          </w:tcPr>
          <w:p>
            <w:pPr>
              <w:pStyle w:val="12"/>
            </w:pPr>
            <w:r>
              <w:t>≤7日</w:t>
            </w:r>
          </w:p>
        </w:tc>
        <w:tc>
          <w:tcPr>
            <w:tcW w:w="1276" w:type="dxa"/>
            <w:vAlign w:val="center"/>
          </w:tcPr>
          <w:p>
            <w:pPr>
              <w:pStyle w:val="12"/>
            </w:pPr>
            <w:r>
              <w:t>《办理法律援助案件程序规定》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法律援助案件成本</w:t>
            </w:r>
          </w:p>
        </w:tc>
        <w:tc>
          <w:tcPr>
            <w:tcW w:w="5386" w:type="dxa"/>
            <w:vAlign w:val="center"/>
          </w:tcPr>
          <w:p>
            <w:pPr>
              <w:pStyle w:val="12"/>
            </w:pPr>
            <w:r>
              <w:t>法律援助案件成本</w:t>
            </w:r>
          </w:p>
        </w:tc>
        <w:tc>
          <w:tcPr>
            <w:tcW w:w="2268" w:type="dxa"/>
            <w:vAlign w:val="center"/>
          </w:tcPr>
          <w:p>
            <w:pPr>
              <w:pStyle w:val="12"/>
            </w:pPr>
            <w:r>
              <w:t>≤2100元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使符合条件的受援人获得法律援助，维护社会公平正义</w:t>
            </w:r>
          </w:p>
        </w:tc>
        <w:tc>
          <w:tcPr>
            <w:tcW w:w="5386" w:type="dxa"/>
            <w:vAlign w:val="center"/>
          </w:tcPr>
          <w:p>
            <w:pPr>
              <w:pStyle w:val="12"/>
            </w:pPr>
            <w:r>
              <w:t>使符合条件的受援人获得法律援助，维护社会公平正义</w:t>
            </w:r>
          </w:p>
        </w:tc>
        <w:tc>
          <w:tcPr>
            <w:tcW w:w="2268" w:type="dxa"/>
            <w:vAlign w:val="center"/>
          </w:tcPr>
          <w:p>
            <w:pPr>
              <w:pStyle w:val="12"/>
            </w:pPr>
            <w:r>
              <w:t>100%</w:t>
            </w:r>
          </w:p>
        </w:tc>
        <w:tc>
          <w:tcPr>
            <w:tcW w:w="1276" w:type="dxa"/>
            <w:vAlign w:val="center"/>
          </w:tcPr>
          <w:p>
            <w:pPr>
              <w:pStyle w:val="12"/>
            </w:pPr>
            <w:r>
              <w:t>《法律援助法》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2、2026年党委系统聘请法律顾问报酬绩效目标表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13011026P00F871100050</w:t>
            </w:r>
          </w:p>
        </w:tc>
        <w:tc>
          <w:tcPr>
            <w:tcW w:w="2835" w:type="dxa"/>
            <w:vAlign w:val="center"/>
          </w:tcPr>
          <w:p>
            <w:pPr>
              <w:pStyle w:val="10"/>
            </w:pPr>
            <w:r>
              <w:t>项目名称</w:t>
            </w:r>
          </w:p>
        </w:tc>
        <w:tc>
          <w:tcPr>
            <w:tcW w:w="6095" w:type="dxa"/>
            <w:gridSpan w:val="3"/>
            <w:vAlign w:val="center"/>
          </w:tcPr>
          <w:p>
            <w:pPr>
              <w:pStyle w:val="12"/>
            </w:pPr>
            <w:r>
              <w:t>2026年党委系统聘请法律顾问报酬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五位律师组成法律顾问团队向党委系统28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五位律师组成法律顾问团队向党委系统28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聘请法律顾问的数量</w:t>
            </w:r>
          </w:p>
        </w:tc>
        <w:tc>
          <w:tcPr>
            <w:tcW w:w="5386" w:type="dxa"/>
            <w:vAlign w:val="center"/>
          </w:tcPr>
          <w:p>
            <w:pPr>
              <w:pStyle w:val="12"/>
            </w:pPr>
            <w:r>
              <w:t>聘请法律顾问的数量</w:t>
            </w:r>
          </w:p>
        </w:tc>
        <w:tc>
          <w:tcPr>
            <w:tcW w:w="2268" w:type="dxa"/>
            <w:vAlign w:val="center"/>
          </w:tcPr>
          <w:p>
            <w:pPr>
              <w:pStyle w:val="12"/>
            </w:pPr>
            <w:r>
              <w:t>≥5人</w:t>
            </w:r>
          </w:p>
        </w:tc>
        <w:tc>
          <w:tcPr>
            <w:tcW w:w="1276" w:type="dxa"/>
            <w:vAlign w:val="center"/>
          </w:tcPr>
          <w:p>
            <w:pPr>
              <w:pStyle w:val="12"/>
            </w:pPr>
            <w:r>
              <w:t>河北省委依法治省委员会《关于贯彻落实中央全面依法治国委员会&lt;关于切实加强党政机关法律顾问工作充分发挥党政机关法律顾问作用的意见&gt;的通知》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法律顾问工作的完成率</w:t>
            </w:r>
          </w:p>
        </w:tc>
        <w:tc>
          <w:tcPr>
            <w:tcW w:w="5386" w:type="dxa"/>
            <w:vAlign w:val="center"/>
          </w:tcPr>
          <w:p>
            <w:pPr>
              <w:pStyle w:val="12"/>
            </w:pPr>
            <w:r>
              <w:t>法律顾问工作的完成率</w:t>
            </w:r>
          </w:p>
        </w:tc>
        <w:tc>
          <w:tcPr>
            <w:tcW w:w="2268" w:type="dxa"/>
            <w:vAlign w:val="center"/>
          </w:tcPr>
          <w:p>
            <w:pPr>
              <w:pStyle w:val="12"/>
            </w:pPr>
            <w:r>
              <w:t>≥95%</w:t>
            </w:r>
          </w:p>
        </w:tc>
        <w:tc>
          <w:tcPr>
            <w:tcW w:w="1276" w:type="dxa"/>
            <w:vAlign w:val="center"/>
          </w:tcPr>
          <w:p>
            <w:pPr>
              <w:pStyle w:val="12"/>
            </w:pPr>
            <w:r>
              <w:t>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法律顾问工作的按时完成率</w:t>
            </w:r>
          </w:p>
        </w:tc>
        <w:tc>
          <w:tcPr>
            <w:tcW w:w="5386" w:type="dxa"/>
            <w:vAlign w:val="center"/>
          </w:tcPr>
          <w:p>
            <w:pPr>
              <w:pStyle w:val="12"/>
            </w:pPr>
            <w:r>
              <w:t>法律顾问工作的按时完成率</w:t>
            </w:r>
          </w:p>
        </w:tc>
        <w:tc>
          <w:tcPr>
            <w:tcW w:w="2268" w:type="dxa"/>
            <w:vAlign w:val="center"/>
          </w:tcPr>
          <w:p>
            <w:pPr>
              <w:pStyle w:val="12"/>
            </w:pPr>
            <w:r>
              <w:t>≥100%</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法律顾问费的成本</w:t>
            </w:r>
          </w:p>
        </w:tc>
        <w:tc>
          <w:tcPr>
            <w:tcW w:w="5386" w:type="dxa"/>
            <w:vAlign w:val="center"/>
          </w:tcPr>
          <w:p>
            <w:pPr>
              <w:pStyle w:val="12"/>
            </w:pPr>
            <w:r>
              <w:t>法律顾问费的成本</w:t>
            </w:r>
          </w:p>
        </w:tc>
        <w:tc>
          <w:tcPr>
            <w:tcW w:w="2268" w:type="dxa"/>
            <w:vAlign w:val="center"/>
          </w:tcPr>
          <w:p>
            <w:pPr>
              <w:pStyle w:val="12"/>
            </w:pPr>
            <w:r>
              <w:t>≤8000元/人/年</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对区政府重大行政决策和制定行政规范性文件等提供法律服务</w:t>
            </w:r>
          </w:p>
        </w:tc>
        <w:tc>
          <w:tcPr>
            <w:tcW w:w="5386" w:type="dxa"/>
            <w:vAlign w:val="center"/>
          </w:tcPr>
          <w:p>
            <w:pPr>
              <w:pStyle w:val="12"/>
            </w:pPr>
            <w:r>
              <w:t>对区政府重大行政决策和制定行政规范性文件等提供法律服务</w:t>
            </w:r>
          </w:p>
        </w:tc>
        <w:tc>
          <w:tcPr>
            <w:tcW w:w="2268" w:type="dxa"/>
            <w:vAlign w:val="center"/>
          </w:tcPr>
          <w:p>
            <w:pPr>
              <w:pStyle w:val="12"/>
            </w:pPr>
            <w:r>
              <w:t>≥95%</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决策事项执行过程中降低法律风险</w:t>
            </w:r>
          </w:p>
        </w:tc>
        <w:tc>
          <w:tcPr>
            <w:tcW w:w="5386" w:type="dxa"/>
            <w:vAlign w:val="center"/>
          </w:tcPr>
          <w:p>
            <w:pPr>
              <w:pStyle w:val="12"/>
            </w:pPr>
            <w:r>
              <w:t>决策事项执行过程中降低法律风险</w:t>
            </w:r>
          </w:p>
        </w:tc>
        <w:tc>
          <w:tcPr>
            <w:tcW w:w="2268" w:type="dxa"/>
            <w:vAlign w:val="center"/>
          </w:tcPr>
          <w:p>
            <w:pPr>
              <w:pStyle w:val="12"/>
            </w:pPr>
            <w:r>
              <w:t>≥95%</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政府行政决策采纳法律顾问意见</w:t>
            </w:r>
          </w:p>
        </w:tc>
        <w:tc>
          <w:tcPr>
            <w:tcW w:w="5386" w:type="dxa"/>
            <w:vAlign w:val="center"/>
          </w:tcPr>
          <w:p>
            <w:pPr>
              <w:pStyle w:val="12"/>
            </w:pPr>
            <w:r>
              <w:t>政府行政决策采纳法律顾问意见</w:t>
            </w:r>
          </w:p>
        </w:tc>
        <w:tc>
          <w:tcPr>
            <w:tcW w:w="2268" w:type="dxa"/>
            <w:vAlign w:val="center"/>
          </w:tcPr>
          <w:p>
            <w:pPr>
              <w:pStyle w:val="12"/>
            </w:pPr>
            <w:r>
              <w:t>≥95%</w:t>
            </w:r>
          </w:p>
        </w:tc>
        <w:tc>
          <w:tcPr>
            <w:tcW w:w="1276" w:type="dxa"/>
            <w:vAlign w:val="center"/>
          </w:tcPr>
          <w:p>
            <w:pPr>
              <w:pStyle w:val="12"/>
            </w:pPr>
            <w:r>
              <w:t>关于建立健全政府购买法律顾问服务机制的实施意见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3、2026年法律援助业务费三合一绩效目标表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13011026P00004010010R</w:t>
            </w:r>
          </w:p>
        </w:tc>
        <w:tc>
          <w:tcPr>
            <w:tcW w:w="2835" w:type="dxa"/>
            <w:vAlign w:val="center"/>
          </w:tcPr>
          <w:p>
            <w:pPr>
              <w:pStyle w:val="10"/>
            </w:pPr>
            <w:r>
              <w:t>项目名称</w:t>
            </w:r>
          </w:p>
        </w:tc>
        <w:tc>
          <w:tcPr>
            <w:tcW w:w="6095" w:type="dxa"/>
            <w:gridSpan w:val="3"/>
            <w:vAlign w:val="center"/>
          </w:tcPr>
          <w:p>
            <w:pPr>
              <w:pStyle w:val="12"/>
            </w:pPr>
            <w:r>
              <w:t>2026年法律援助业务费三合一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为当事人提供审查起诉阶段认罪认罚服务，全年提供审查起诉阶段认罪认罚法律帮助案件350件以上，并按规定要求完成结案归档的每件补贴200元。，并按规定要求完成结案归档。工作内容：根据《石家庄市法律援助经费使用管理细则》（石司【2022】182号）规定，申请审判阶段刑事案件律师辩护全覆盖工作和审查起诉阶段律师辩护全覆盖试点工作专项经费，案件补贴分别为为200-2100元。每年提供认罪认罚法律帮助230件以上，提供审查起诉律师辩护案件10件以上，提供审判阶段律师辩护案件10件以上。</w:t>
            </w:r>
            <w:r>
              <w:tab/>
            </w:r>
            <w:r>
              <w:tab/>
            </w:r>
            <w:r>
              <w:tab/>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为当事人提供审查起诉阶段认罪认罚服务，全年提供审查起诉阶段认罪认罚法律帮助案件350件以上，并按规定要求完成结案归档的每件补贴200元。，并按规定要求完成结案归档。工作内容：根据《石家庄市法律援助经费使用管理细则》（石司【2022】182号）规定，申请审判阶段刑事案件律师辩护全覆盖工作和审查起诉阶段律师辩护全覆盖试点工作专项经费，案件补贴分别为为200-2100元。每年提供认罪认罚法律帮助230件以上，提供审查起诉律师辩护案件10件以上，提供审判阶段律师辩护案件10件以上。</w:t>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派驻有关单位、场所提供法律咨询、接待窗口值班人员值班成本</w:t>
            </w:r>
          </w:p>
          <w:p>
            <w:pPr>
              <w:pStyle w:val="12"/>
            </w:pPr>
          </w:p>
        </w:tc>
        <w:tc>
          <w:tcPr>
            <w:tcW w:w="5386" w:type="dxa"/>
            <w:vAlign w:val="center"/>
          </w:tcPr>
          <w:p>
            <w:pPr>
              <w:pStyle w:val="12"/>
            </w:pPr>
            <w:r>
              <w:t>派驻有关单位、场所提供法律咨询、接待窗口值班人员值班成本</w:t>
            </w:r>
          </w:p>
        </w:tc>
        <w:tc>
          <w:tcPr>
            <w:tcW w:w="2268" w:type="dxa"/>
            <w:vAlign w:val="center"/>
          </w:tcPr>
          <w:p>
            <w:pPr>
              <w:pStyle w:val="12"/>
            </w:pPr>
            <w:r>
              <w:t>200元/天/人</w:t>
            </w:r>
          </w:p>
        </w:tc>
        <w:tc>
          <w:tcPr>
            <w:tcW w:w="1276" w:type="dxa"/>
            <w:vAlign w:val="center"/>
          </w:tcPr>
          <w:p>
            <w:pPr>
              <w:pStyle w:val="12"/>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派驻有关单位、场所提供法律咨询、接待窗口值班人员值班天数</w:t>
            </w:r>
          </w:p>
        </w:tc>
        <w:tc>
          <w:tcPr>
            <w:tcW w:w="5386" w:type="dxa"/>
            <w:vAlign w:val="center"/>
          </w:tcPr>
          <w:p>
            <w:pPr>
              <w:pStyle w:val="12"/>
            </w:pPr>
            <w:r>
              <w:t>派驻有关单位、场所提供法律咨询、接待窗口值班人员值班天数</w:t>
            </w:r>
          </w:p>
        </w:tc>
        <w:tc>
          <w:tcPr>
            <w:tcW w:w="2268" w:type="dxa"/>
            <w:vAlign w:val="center"/>
          </w:tcPr>
          <w:p>
            <w:pPr>
              <w:pStyle w:val="12"/>
            </w:pPr>
            <w:r>
              <w:t>≤250天</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值班人员在岗率</w:t>
            </w:r>
          </w:p>
        </w:tc>
        <w:tc>
          <w:tcPr>
            <w:tcW w:w="5386" w:type="dxa"/>
            <w:vAlign w:val="center"/>
          </w:tcPr>
          <w:p>
            <w:pPr>
              <w:pStyle w:val="12"/>
            </w:pPr>
            <w:r>
              <w:t>值班人员在岗率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提供咨询服务及时率</w:t>
            </w:r>
          </w:p>
        </w:tc>
        <w:tc>
          <w:tcPr>
            <w:tcW w:w="5386" w:type="dxa"/>
            <w:vAlign w:val="center"/>
          </w:tcPr>
          <w:p>
            <w:pPr>
              <w:pStyle w:val="12"/>
            </w:pPr>
            <w:r>
              <w:t>提供咨询服务及时率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开展法律援助宣传成本</w:t>
            </w:r>
          </w:p>
        </w:tc>
        <w:tc>
          <w:tcPr>
            <w:tcW w:w="5386" w:type="dxa"/>
            <w:vAlign w:val="center"/>
          </w:tcPr>
          <w:p>
            <w:pPr>
              <w:pStyle w:val="12"/>
            </w:pPr>
            <w:r>
              <w:t>开展法律援助宣传成本</w:t>
            </w:r>
          </w:p>
        </w:tc>
        <w:tc>
          <w:tcPr>
            <w:tcW w:w="2268" w:type="dxa"/>
            <w:vAlign w:val="center"/>
          </w:tcPr>
          <w:p>
            <w:pPr>
              <w:pStyle w:val="12"/>
            </w:pPr>
            <w:r>
              <w:t>≤5万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开展法律援助宣传次数</w:t>
            </w:r>
          </w:p>
        </w:tc>
        <w:tc>
          <w:tcPr>
            <w:tcW w:w="5386" w:type="dxa"/>
            <w:vAlign w:val="center"/>
          </w:tcPr>
          <w:p>
            <w:pPr>
              <w:pStyle w:val="12"/>
            </w:pPr>
            <w:r>
              <w:t>开展法律援助宣传次数</w:t>
            </w:r>
          </w:p>
        </w:tc>
        <w:tc>
          <w:tcPr>
            <w:tcW w:w="2268" w:type="dxa"/>
            <w:vAlign w:val="center"/>
          </w:tcPr>
          <w:p>
            <w:pPr>
              <w:pStyle w:val="12"/>
            </w:pPr>
            <w:r>
              <w:t>≥10次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认罪认罚法律帮助案件数量</w:t>
            </w:r>
          </w:p>
        </w:tc>
        <w:tc>
          <w:tcPr>
            <w:tcW w:w="5386" w:type="dxa"/>
            <w:vAlign w:val="center"/>
          </w:tcPr>
          <w:p>
            <w:pPr>
              <w:pStyle w:val="12"/>
            </w:pPr>
            <w:r>
              <w:t>认罪认罚法律帮助案件数量</w:t>
            </w:r>
          </w:p>
        </w:tc>
        <w:tc>
          <w:tcPr>
            <w:tcW w:w="2268" w:type="dxa"/>
            <w:vAlign w:val="center"/>
          </w:tcPr>
          <w:p>
            <w:pPr>
              <w:pStyle w:val="12"/>
            </w:pPr>
            <w:r>
              <w:t>≥580件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案件补贴标准</w:t>
            </w:r>
          </w:p>
        </w:tc>
        <w:tc>
          <w:tcPr>
            <w:tcW w:w="5386" w:type="dxa"/>
            <w:vAlign w:val="center"/>
          </w:tcPr>
          <w:p>
            <w:pPr>
              <w:pStyle w:val="12"/>
            </w:pPr>
            <w:r>
              <w:t>认罪认罚法律帮助案件每件补贴</w:t>
            </w:r>
          </w:p>
        </w:tc>
        <w:tc>
          <w:tcPr>
            <w:tcW w:w="2268" w:type="dxa"/>
            <w:vAlign w:val="center"/>
          </w:tcPr>
          <w:p>
            <w:pPr>
              <w:pStyle w:val="12"/>
            </w:pPr>
            <w:r>
              <w:t>200元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审查起诉辩护受理案件数</w:t>
            </w:r>
          </w:p>
        </w:tc>
        <w:tc>
          <w:tcPr>
            <w:tcW w:w="5386" w:type="dxa"/>
            <w:vAlign w:val="center"/>
          </w:tcPr>
          <w:p>
            <w:pPr>
              <w:pStyle w:val="12"/>
            </w:pPr>
            <w:r>
              <w:t>审查起诉辩护受理案件数</w:t>
            </w:r>
          </w:p>
        </w:tc>
        <w:tc>
          <w:tcPr>
            <w:tcW w:w="2268" w:type="dxa"/>
            <w:vAlign w:val="center"/>
          </w:tcPr>
          <w:p>
            <w:pPr>
              <w:pStyle w:val="12"/>
            </w:pPr>
            <w:r>
              <w:t>≥10件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审判阶段辩护受理案件数</w:t>
            </w:r>
          </w:p>
        </w:tc>
        <w:tc>
          <w:tcPr>
            <w:tcW w:w="5386" w:type="dxa"/>
            <w:vAlign w:val="center"/>
          </w:tcPr>
          <w:p>
            <w:pPr>
              <w:pStyle w:val="12"/>
            </w:pPr>
            <w:r>
              <w:t>审判阶段辩护受理案件数</w:t>
            </w:r>
          </w:p>
        </w:tc>
        <w:tc>
          <w:tcPr>
            <w:tcW w:w="2268" w:type="dxa"/>
            <w:vAlign w:val="center"/>
          </w:tcPr>
          <w:p>
            <w:pPr>
              <w:pStyle w:val="12"/>
            </w:pPr>
            <w:r>
              <w:t>≥10件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审判阶段辩护案件成本</w:t>
            </w:r>
          </w:p>
        </w:tc>
        <w:tc>
          <w:tcPr>
            <w:tcW w:w="5386" w:type="dxa"/>
            <w:vAlign w:val="center"/>
          </w:tcPr>
          <w:p>
            <w:pPr>
              <w:pStyle w:val="12"/>
            </w:pPr>
            <w:r>
              <w:t>审判阶段辩护案件成本</w:t>
            </w:r>
          </w:p>
        </w:tc>
        <w:tc>
          <w:tcPr>
            <w:tcW w:w="2268" w:type="dxa"/>
            <w:vAlign w:val="center"/>
          </w:tcPr>
          <w:p>
            <w:pPr>
              <w:pStyle w:val="12"/>
            </w:pPr>
            <w:r>
              <w:t>2100元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审查起诉阶段辩护案件成本</w:t>
            </w:r>
          </w:p>
        </w:tc>
        <w:tc>
          <w:tcPr>
            <w:tcW w:w="5386" w:type="dxa"/>
            <w:vAlign w:val="center"/>
          </w:tcPr>
          <w:p>
            <w:pPr>
              <w:pStyle w:val="12"/>
            </w:pPr>
            <w:r>
              <w:t>审查起诉阶段辩护案件成本</w:t>
            </w:r>
          </w:p>
        </w:tc>
        <w:tc>
          <w:tcPr>
            <w:tcW w:w="2268" w:type="dxa"/>
            <w:vAlign w:val="center"/>
          </w:tcPr>
          <w:p>
            <w:pPr>
              <w:pStyle w:val="12"/>
            </w:pPr>
            <w:r>
              <w:t>1700元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提供咨询服务完成率</w:t>
            </w:r>
          </w:p>
        </w:tc>
        <w:tc>
          <w:tcPr>
            <w:tcW w:w="5386" w:type="dxa"/>
            <w:vAlign w:val="center"/>
          </w:tcPr>
          <w:p>
            <w:pPr>
              <w:pStyle w:val="12"/>
            </w:pPr>
            <w:r>
              <w:t>提供咨询服务完成率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4、2026年国家赔偿金绩效目标表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13011026P003230101760</w:t>
            </w:r>
          </w:p>
        </w:tc>
        <w:tc>
          <w:tcPr>
            <w:tcW w:w="2835" w:type="dxa"/>
            <w:vAlign w:val="center"/>
          </w:tcPr>
          <w:p>
            <w:pPr>
              <w:pStyle w:val="10"/>
            </w:pPr>
            <w:r>
              <w:t>项目名称</w:t>
            </w:r>
          </w:p>
        </w:tc>
        <w:tc>
          <w:tcPr>
            <w:tcW w:w="6095" w:type="dxa"/>
            <w:gridSpan w:val="3"/>
            <w:vAlign w:val="center"/>
          </w:tcPr>
          <w:p>
            <w:pPr>
              <w:pStyle w:val="12"/>
            </w:pPr>
            <w:r>
              <w:t>2026年国家赔偿金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1、通过国家赔偿行为以体现法治公平的目标。2、通过国家赔偿以达到维护社会稳定的目标。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1.1、通过国家赔偿行为以体现法治公平的目标。2、通过国家赔偿以达到维护社会稳定的目标。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国家赔偿金金额</w:t>
            </w:r>
          </w:p>
        </w:tc>
        <w:tc>
          <w:tcPr>
            <w:tcW w:w="5386" w:type="dxa"/>
            <w:vAlign w:val="center"/>
          </w:tcPr>
          <w:p>
            <w:pPr>
              <w:pStyle w:val="12"/>
            </w:pPr>
            <w:r>
              <w:t>国家赔偿金金额</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国家赔偿金完成率</w:t>
            </w:r>
          </w:p>
        </w:tc>
        <w:tc>
          <w:tcPr>
            <w:tcW w:w="5386" w:type="dxa"/>
            <w:vAlign w:val="center"/>
          </w:tcPr>
          <w:p>
            <w:pPr>
              <w:pStyle w:val="12"/>
            </w:pPr>
            <w:r>
              <w:t>国家赔偿金完成情况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国家赔偿金赔偿及时率</w:t>
            </w:r>
          </w:p>
        </w:tc>
        <w:tc>
          <w:tcPr>
            <w:tcW w:w="5386" w:type="dxa"/>
            <w:vAlign w:val="center"/>
          </w:tcPr>
          <w:p>
            <w:pPr>
              <w:pStyle w:val="12"/>
            </w:pPr>
            <w:r>
              <w:t>国家赔偿金赔偿及时性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赔偿金成本</w:t>
            </w:r>
          </w:p>
        </w:tc>
        <w:tc>
          <w:tcPr>
            <w:tcW w:w="5386" w:type="dxa"/>
            <w:vAlign w:val="center"/>
          </w:tcPr>
          <w:p>
            <w:pPr>
              <w:pStyle w:val="12"/>
            </w:pPr>
            <w:r>
              <w:t>赔偿金成本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社会影响力方面的变化情况</w:t>
            </w:r>
          </w:p>
        </w:tc>
        <w:tc>
          <w:tcPr>
            <w:tcW w:w="2268" w:type="dxa"/>
            <w:vAlign w:val="center"/>
          </w:tcPr>
          <w:p>
            <w:pPr>
              <w:pStyle w:val="12"/>
            </w:pPr>
            <w:r>
              <w:t>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5、2026年律师参与化解信访积案报酬绩效目标表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13011026P00F87110006K</w:t>
            </w:r>
          </w:p>
        </w:tc>
        <w:tc>
          <w:tcPr>
            <w:tcW w:w="2835" w:type="dxa"/>
            <w:vAlign w:val="center"/>
          </w:tcPr>
          <w:p>
            <w:pPr>
              <w:pStyle w:val="10"/>
            </w:pPr>
            <w:r>
              <w:t>项目名称</w:t>
            </w:r>
          </w:p>
        </w:tc>
        <w:tc>
          <w:tcPr>
            <w:tcW w:w="6095" w:type="dxa"/>
            <w:gridSpan w:val="3"/>
            <w:vAlign w:val="center"/>
          </w:tcPr>
          <w:p>
            <w:pPr>
              <w:pStyle w:val="12"/>
            </w:pPr>
            <w:r>
              <w:t>2026年律师参与化解信访积案报酬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律师参与信访案件化解，每月暂按10起信访案件计算，每起需1-2名律师参与。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1.律师参与信访案件化解，每月暂按10起信访案件计算，每起需1-2名律师参与。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需要律师参与的信访案件数量</w:t>
            </w:r>
          </w:p>
        </w:tc>
        <w:tc>
          <w:tcPr>
            <w:tcW w:w="5386" w:type="dxa"/>
            <w:vAlign w:val="center"/>
          </w:tcPr>
          <w:p>
            <w:pPr>
              <w:pStyle w:val="12"/>
            </w:pPr>
            <w:r>
              <w:t>根据信访工作实际和律师参与化解信访件需要</w:t>
            </w:r>
          </w:p>
        </w:tc>
        <w:tc>
          <w:tcPr>
            <w:tcW w:w="2268" w:type="dxa"/>
            <w:vAlign w:val="center"/>
          </w:tcPr>
          <w:p>
            <w:pPr>
              <w:pStyle w:val="12"/>
            </w:pPr>
            <w:r>
              <w:t>≥120件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信访案件解决质量</w:t>
            </w:r>
          </w:p>
        </w:tc>
        <w:tc>
          <w:tcPr>
            <w:tcW w:w="5386" w:type="dxa"/>
            <w:vAlign w:val="center"/>
          </w:tcPr>
          <w:p>
            <w:pPr>
              <w:pStyle w:val="12"/>
            </w:pPr>
            <w:r>
              <w:t>按照信访法治化需求，给出接解决途径</w:t>
            </w:r>
          </w:p>
        </w:tc>
        <w:tc>
          <w:tcPr>
            <w:tcW w:w="2268" w:type="dxa"/>
            <w:vAlign w:val="center"/>
          </w:tcPr>
          <w:p>
            <w:pPr>
              <w:pStyle w:val="12"/>
            </w:pPr>
            <w:r>
              <w:t>信访解决方案</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案件解决的时间</w:t>
            </w:r>
          </w:p>
        </w:tc>
        <w:tc>
          <w:tcPr>
            <w:tcW w:w="5386" w:type="dxa"/>
            <w:vAlign w:val="center"/>
          </w:tcPr>
          <w:p>
            <w:pPr>
              <w:pStyle w:val="12"/>
            </w:pPr>
            <w:r>
              <w:t>信访案件调度会当场给出法律意见，解决方案等</w:t>
            </w:r>
          </w:p>
        </w:tc>
        <w:tc>
          <w:tcPr>
            <w:tcW w:w="2268" w:type="dxa"/>
            <w:vAlign w:val="center"/>
          </w:tcPr>
          <w:p>
            <w:pPr>
              <w:pStyle w:val="12"/>
            </w:pPr>
            <w:r>
              <w:t>当场</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信访案件解决的成本</w:t>
            </w:r>
          </w:p>
        </w:tc>
        <w:tc>
          <w:tcPr>
            <w:tcW w:w="5386" w:type="dxa"/>
            <w:vAlign w:val="center"/>
          </w:tcPr>
          <w:p>
            <w:pPr>
              <w:pStyle w:val="12"/>
            </w:pPr>
            <w:r>
              <w:t>每起信访案件解决的成本</w:t>
            </w:r>
          </w:p>
        </w:tc>
        <w:tc>
          <w:tcPr>
            <w:tcW w:w="2268" w:type="dxa"/>
            <w:vAlign w:val="center"/>
          </w:tcPr>
          <w:p>
            <w:pPr>
              <w:pStyle w:val="12"/>
            </w:pPr>
            <w:r>
              <w:t>≤200元</w:t>
            </w:r>
          </w:p>
        </w:tc>
        <w:tc>
          <w:tcPr>
            <w:tcW w:w="1276" w:type="dxa"/>
            <w:vAlign w:val="center"/>
          </w:tcPr>
          <w:p>
            <w:pPr>
              <w:pStyle w:val="12"/>
            </w:pPr>
            <w:r>
              <w:t>石家庄市鹿泉区政府法律顾问费实施细则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信访案件依法解决</w:t>
            </w:r>
          </w:p>
        </w:tc>
        <w:tc>
          <w:tcPr>
            <w:tcW w:w="5386" w:type="dxa"/>
            <w:vAlign w:val="center"/>
          </w:tcPr>
          <w:p>
            <w:pPr>
              <w:pStyle w:val="12"/>
            </w:pPr>
            <w:r>
              <w:t>全程参与信访会议，提供专业法律意见</w:t>
            </w:r>
          </w:p>
        </w:tc>
        <w:tc>
          <w:tcPr>
            <w:tcW w:w="2268" w:type="dxa"/>
            <w:vAlign w:val="center"/>
          </w:tcPr>
          <w:p>
            <w:pPr>
              <w:pStyle w:val="12"/>
            </w:pPr>
            <w:r>
              <w:t>促使信访案件依法化解</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推动信访案件依法化解</w:t>
            </w:r>
          </w:p>
        </w:tc>
        <w:tc>
          <w:tcPr>
            <w:tcW w:w="5386" w:type="dxa"/>
            <w:vAlign w:val="center"/>
          </w:tcPr>
          <w:p>
            <w:pPr>
              <w:pStyle w:val="12"/>
            </w:pPr>
            <w:r>
              <w:t>提高全面法治化水平</w:t>
            </w:r>
          </w:p>
        </w:tc>
        <w:tc>
          <w:tcPr>
            <w:tcW w:w="2268" w:type="dxa"/>
            <w:vAlign w:val="center"/>
          </w:tcPr>
          <w:p>
            <w:pPr>
              <w:pStyle w:val="12"/>
            </w:pPr>
            <w:r>
              <w:t>促进信访法治化</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预防和减少信访案件法律风险</w:t>
            </w:r>
          </w:p>
        </w:tc>
        <w:tc>
          <w:tcPr>
            <w:tcW w:w="5386" w:type="dxa"/>
            <w:vAlign w:val="center"/>
          </w:tcPr>
          <w:p>
            <w:pPr>
              <w:pStyle w:val="12"/>
            </w:pPr>
            <w:r>
              <w:t>提高信访案件化解科学化、合法化</w:t>
            </w:r>
          </w:p>
        </w:tc>
        <w:tc>
          <w:tcPr>
            <w:tcW w:w="2268" w:type="dxa"/>
            <w:vAlign w:val="center"/>
          </w:tcPr>
          <w:p>
            <w:pPr>
              <w:pStyle w:val="12"/>
            </w:pPr>
            <w:r>
              <w:t>律师助力信访案件化解</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6、2026年普法经费绩效目标表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13011026P00060X10003Y</w:t>
            </w:r>
          </w:p>
        </w:tc>
        <w:tc>
          <w:tcPr>
            <w:tcW w:w="2835" w:type="dxa"/>
            <w:vAlign w:val="center"/>
          </w:tcPr>
          <w:p>
            <w:pPr>
              <w:pStyle w:val="10"/>
            </w:pPr>
            <w:r>
              <w:t>项目名称</w:t>
            </w:r>
          </w:p>
        </w:tc>
        <w:tc>
          <w:tcPr>
            <w:tcW w:w="6095" w:type="dxa"/>
            <w:gridSpan w:val="3"/>
            <w:vAlign w:val="center"/>
          </w:tcPr>
          <w:p>
            <w:pPr>
              <w:pStyle w:val="12"/>
            </w:pPr>
            <w:r>
              <w:t>2026年普法经费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谁执法谁普法”责任制；开展“12.4”国家宪法日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谁执法谁普法”责任制；开展“12.4”国家宪法日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乡村“法律明白人”培养数量</w:t>
            </w:r>
          </w:p>
        </w:tc>
        <w:tc>
          <w:tcPr>
            <w:tcW w:w="5386" w:type="dxa"/>
            <w:vAlign w:val="center"/>
          </w:tcPr>
          <w:p>
            <w:pPr>
              <w:pStyle w:val="12"/>
            </w:pPr>
            <w:r>
              <w:t>乡村“法律明白人”培养数量</w:t>
            </w:r>
          </w:p>
        </w:tc>
        <w:tc>
          <w:tcPr>
            <w:tcW w:w="2268" w:type="dxa"/>
            <w:vAlign w:val="center"/>
          </w:tcPr>
          <w:p>
            <w:pPr>
              <w:pStyle w:val="12"/>
            </w:pPr>
            <w:r>
              <w:t>≥1000人</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乡村“法律明白人”培养成本</w:t>
            </w:r>
          </w:p>
        </w:tc>
        <w:tc>
          <w:tcPr>
            <w:tcW w:w="5386" w:type="dxa"/>
            <w:vAlign w:val="center"/>
          </w:tcPr>
          <w:p>
            <w:pPr>
              <w:pStyle w:val="12"/>
            </w:pPr>
            <w:r>
              <w:t>乡村“法律明白人”培养成本</w:t>
            </w:r>
          </w:p>
        </w:tc>
        <w:tc>
          <w:tcPr>
            <w:tcW w:w="2268" w:type="dxa"/>
            <w:vAlign w:val="center"/>
          </w:tcPr>
          <w:p>
            <w:pPr>
              <w:pStyle w:val="12"/>
            </w:pPr>
            <w:r>
              <w:t>≥40元/人</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普法工作按时完成率</w:t>
            </w:r>
          </w:p>
        </w:tc>
        <w:tc>
          <w:tcPr>
            <w:tcW w:w="5386" w:type="dxa"/>
            <w:vAlign w:val="center"/>
          </w:tcPr>
          <w:p>
            <w:pPr>
              <w:pStyle w:val="12"/>
            </w:pPr>
            <w:r>
              <w:t>各项工作完成及时率</w:t>
            </w:r>
          </w:p>
        </w:tc>
        <w:tc>
          <w:tcPr>
            <w:tcW w:w="2268" w:type="dxa"/>
            <w:vAlign w:val="center"/>
          </w:tcPr>
          <w:p>
            <w:pPr>
              <w:pStyle w:val="12"/>
            </w:pPr>
            <w:r>
              <w:t>≥90%</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法治宣传活动</w:t>
            </w:r>
          </w:p>
        </w:tc>
        <w:tc>
          <w:tcPr>
            <w:tcW w:w="5386" w:type="dxa"/>
            <w:vAlign w:val="center"/>
          </w:tcPr>
          <w:p>
            <w:pPr>
              <w:pStyle w:val="12"/>
            </w:pPr>
            <w:r>
              <w:t>法治宣传活动</w:t>
            </w:r>
          </w:p>
        </w:tc>
        <w:tc>
          <w:tcPr>
            <w:tcW w:w="2268" w:type="dxa"/>
            <w:vAlign w:val="center"/>
          </w:tcPr>
          <w:p>
            <w:pPr>
              <w:pStyle w:val="12"/>
            </w:pPr>
            <w:r>
              <w:t>≥100次</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法治宣传品</w:t>
            </w:r>
          </w:p>
        </w:tc>
        <w:tc>
          <w:tcPr>
            <w:tcW w:w="5386" w:type="dxa"/>
            <w:vAlign w:val="center"/>
          </w:tcPr>
          <w:p>
            <w:pPr>
              <w:pStyle w:val="12"/>
            </w:pPr>
            <w:r>
              <w:t>法治宣传品</w:t>
            </w:r>
          </w:p>
        </w:tc>
        <w:tc>
          <w:tcPr>
            <w:tcW w:w="2268" w:type="dxa"/>
            <w:vAlign w:val="center"/>
          </w:tcPr>
          <w:p>
            <w:pPr>
              <w:pStyle w:val="12"/>
            </w:pPr>
            <w:r>
              <w:t>≥2000个</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法治阵地建设费用</w:t>
            </w:r>
          </w:p>
        </w:tc>
        <w:tc>
          <w:tcPr>
            <w:tcW w:w="5386" w:type="dxa"/>
            <w:vAlign w:val="center"/>
          </w:tcPr>
          <w:p>
            <w:pPr>
              <w:pStyle w:val="12"/>
            </w:pPr>
            <w:r>
              <w:t>各项工作完成及时率</w:t>
            </w:r>
          </w:p>
        </w:tc>
        <w:tc>
          <w:tcPr>
            <w:tcW w:w="2268" w:type="dxa"/>
            <w:vAlign w:val="center"/>
          </w:tcPr>
          <w:p>
            <w:pPr>
              <w:pStyle w:val="12"/>
            </w:pPr>
            <w:r>
              <w:t>≥90%</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全区公民宪法法律知晓率</w:t>
            </w:r>
          </w:p>
        </w:tc>
        <w:tc>
          <w:tcPr>
            <w:tcW w:w="5386" w:type="dxa"/>
            <w:vAlign w:val="center"/>
          </w:tcPr>
          <w:p>
            <w:pPr>
              <w:pStyle w:val="12"/>
            </w:pPr>
            <w:r>
              <w:t>知晓法律人数占普法宣传公民的比率</w:t>
            </w:r>
          </w:p>
        </w:tc>
        <w:tc>
          <w:tcPr>
            <w:tcW w:w="2268" w:type="dxa"/>
            <w:vAlign w:val="center"/>
          </w:tcPr>
          <w:p>
            <w:pPr>
              <w:pStyle w:val="12"/>
            </w:pPr>
            <w:r>
              <w:t>≥85%</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法治建设群众满意度</w:t>
            </w:r>
          </w:p>
        </w:tc>
        <w:tc>
          <w:tcPr>
            <w:tcW w:w="5386" w:type="dxa"/>
            <w:vAlign w:val="center"/>
          </w:tcPr>
          <w:p>
            <w:pPr>
              <w:pStyle w:val="12"/>
            </w:pPr>
            <w:r>
              <w:t>法治建设群众满意度</w:t>
            </w:r>
          </w:p>
        </w:tc>
        <w:tc>
          <w:tcPr>
            <w:tcW w:w="2268" w:type="dxa"/>
            <w:vAlign w:val="center"/>
          </w:tcPr>
          <w:p>
            <w:pPr>
              <w:pStyle w:val="12"/>
            </w:pPr>
            <w:r>
              <w:t>≥95%</w:t>
            </w:r>
          </w:p>
        </w:tc>
        <w:tc>
          <w:tcPr>
            <w:tcW w:w="1276" w:type="dxa"/>
            <w:vAlign w:val="center"/>
          </w:tcPr>
          <w:p>
            <w:pPr>
              <w:pStyle w:val="12"/>
            </w:pPr>
            <w:r>
              <w:t>历年工作经验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7、2026年区政府法律顾问报酬绩效目标表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13011026P00F87110004C</w:t>
            </w:r>
          </w:p>
        </w:tc>
        <w:tc>
          <w:tcPr>
            <w:tcW w:w="2835" w:type="dxa"/>
            <w:vAlign w:val="center"/>
          </w:tcPr>
          <w:p>
            <w:pPr>
              <w:pStyle w:val="10"/>
            </w:pPr>
            <w:r>
              <w:t>项目名称</w:t>
            </w:r>
          </w:p>
        </w:tc>
        <w:tc>
          <w:tcPr>
            <w:tcW w:w="6095" w:type="dxa"/>
            <w:gridSpan w:val="3"/>
            <w:vAlign w:val="center"/>
          </w:tcPr>
          <w:p>
            <w:pPr>
              <w:pStyle w:val="12"/>
            </w:pPr>
            <w:r>
              <w:t>2026年区政府法律顾问报酬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政府法律顾问用于常务会议题、政府合同、规范性文件、研讨会、法治宣传等涉法事务事项把关审核约320件，政府法律顾问涉法事务把关审核成本200-500元。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1.政府法律顾问用于常务会议题、政府合同、规范性文件、研讨会、法治宣传等涉法事务事项把关审核约320件，政府法律顾问涉法事务把关审核成本200-500元，法律顾问费经费6万元。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涉法事务案件数量</w:t>
            </w:r>
          </w:p>
        </w:tc>
        <w:tc>
          <w:tcPr>
            <w:tcW w:w="5386" w:type="dxa"/>
            <w:vAlign w:val="center"/>
          </w:tcPr>
          <w:p>
            <w:pPr>
              <w:pStyle w:val="12"/>
            </w:pPr>
            <w:r>
              <w:t>包括政府常务会议题、政府合同、规范性文件、研讨会、法治宣传等涉法事项把关审核</w:t>
            </w:r>
          </w:p>
        </w:tc>
        <w:tc>
          <w:tcPr>
            <w:tcW w:w="2268" w:type="dxa"/>
            <w:vAlign w:val="center"/>
          </w:tcPr>
          <w:p>
            <w:pPr>
              <w:pStyle w:val="12"/>
            </w:pPr>
            <w:r>
              <w:t>≥320件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涉法事务案件把关审核费用</w:t>
            </w:r>
          </w:p>
        </w:tc>
        <w:tc>
          <w:tcPr>
            <w:tcW w:w="5386" w:type="dxa"/>
            <w:vAlign w:val="center"/>
          </w:tcPr>
          <w:p>
            <w:pPr>
              <w:pStyle w:val="12"/>
            </w:pPr>
            <w:r>
              <w:t>根据不同的涉法事务内容，按件统计核算法律顾问费用</w:t>
            </w:r>
          </w:p>
        </w:tc>
        <w:tc>
          <w:tcPr>
            <w:tcW w:w="2268" w:type="dxa"/>
            <w:vAlign w:val="center"/>
          </w:tcPr>
          <w:p>
            <w:pPr>
              <w:pStyle w:val="12"/>
            </w:pPr>
            <w:r>
              <w:t>≤500元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提出法律意见的规范化水平</w:t>
            </w:r>
          </w:p>
        </w:tc>
        <w:tc>
          <w:tcPr>
            <w:tcW w:w="5386" w:type="dxa"/>
            <w:vAlign w:val="center"/>
          </w:tcPr>
          <w:p>
            <w:pPr>
              <w:pStyle w:val="12"/>
            </w:pPr>
            <w:r>
              <w:t>根据涉法事务的内容，按程序和相关法律规定规范提出法律意见</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按3-10个法定工作日期限出内具法律意见</w:t>
            </w:r>
          </w:p>
        </w:tc>
        <w:tc>
          <w:tcPr>
            <w:tcW w:w="5386" w:type="dxa"/>
            <w:vAlign w:val="center"/>
          </w:tcPr>
          <w:p>
            <w:pPr>
              <w:pStyle w:val="12"/>
            </w:pPr>
            <w:r>
              <w:t>受理后3-10个法定工作日期限出具法律意见</w:t>
            </w:r>
          </w:p>
        </w:tc>
        <w:tc>
          <w:tcPr>
            <w:tcW w:w="2268" w:type="dxa"/>
            <w:vAlign w:val="center"/>
          </w:tcPr>
          <w:p>
            <w:pPr>
              <w:pStyle w:val="12"/>
            </w:pPr>
            <w:r>
              <w:t>≤10日</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对政府涉法事务审核成为政府决策前置环节</w:t>
            </w:r>
          </w:p>
        </w:tc>
        <w:tc>
          <w:tcPr>
            <w:tcW w:w="5386" w:type="dxa"/>
            <w:vAlign w:val="center"/>
          </w:tcPr>
          <w:p>
            <w:pPr>
              <w:pStyle w:val="12"/>
            </w:pPr>
            <w:r>
              <w:t>将法律审核作为签订政府合同、提交政府常务会研讨的前置环节</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案件审核完成率</w:t>
            </w:r>
          </w:p>
        </w:tc>
        <w:tc>
          <w:tcPr>
            <w:tcW w:w="5386" w:type="dxa"/>
            <w:vAlign w:val="center"/>
          </w:tcPr>
          <w:p>
            <w:pPr>
              <w:pStyle w:val="12"/>
            </w:pPr>
            <w:r>
              <w:t>及时办结交办的涉法事务案件审核率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预防和减少法律风险</w:t>
            </w:r>
          </w:p>
        </w:tc>
        <w:tc>
          <w:tcPr>
            <w:tcW w:w="5386" w:type="dxa"/>
            <w:vAlign w:val="center"/>
          </w:tcPr>
          <w:p>
            <w:pPr>
              <w:pStyle w:val="12"/>
            </w:pPr>
            <w:r>
              <w:t>提高政府依法决策的科学化、民主化、法治化水平</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8、2026年人民调解专项经费及报酬绩效目标表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13011026P0066E210003A</w:t>
            </w:r>
          </w:p>
        </w:tc>
        <w:tc>
          <w:tcPr>
            <w:tcW w:w="2835" w:type="dxa"/>
            <w:vAlign w:val="center"/>
          </w:tcPr>
          <w:p>
            <w:pPr>
              <w:pStyle w:val="10"/>
            </w:pPr>
            <w:r>
              <w:t>项目名称</w:t>
            </w:r>
          </w:p>
        </w:tc>
        <w:tc>
          <w:tcPr>
            <w:tcW w:w="6095" w:type="dxa"/>
            <w:gridSpan w:val="3"/>
            <w:vAlign w:val="center"/>
          </w:tcPr>
          <w:p>
            <w:pPr>
              <w:pStyle w:val="12"/>
            </w:pPr>
            <w:r>
              <w:t>2026年人民调解专项经费及报酬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区230个村、居及各类行业调解组织共有1200余名兼职调解员，每年调解案件约800件，促进了社会和谐稳定。人民调解专项经费包括：“以案定补”调解经费、调解员培训费、专家、律师咨询费、人民调解杂志征订、宣传品制作费、宣传费、聘请律师参与调解费用等其他司法支出；业务信息设备、其他业务装备等业务装备经费及各级民调组织日常运行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区230个村、居及各类行业调解组织共有1200余名兼职调解员，每年调解案件约800件，促进了社会和谐稳定。人民调解专项经费包括：“以案定补”调解经费、调解员培训费、专家、律师咨询费、人民调解杂志征订、宣传品制作费、宣传费、聘请律师参与调解费用等其他司法支出；业务信息设备、其他业务装备等业务装备经费及各级民调组织日常运行工作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人民调解案件数量</w:t>
            </w:r>
          </w:p>
        </w:tc>
        <w:tc>
          <w:tcPr>
            <w:tcW w:w="5386" w:type="dxa"/>
            <w:vAlign w:val="center"/>
          </w:tcPr>
          <w:p>
            <w:pPr>
              <w:pStyle w:val="12"/>
            </w:pPr>
            <w:r>
              <w:t>人民调解案件数量</w:t>
            </w:r>
          </w:p>
        </w:tc>
        <w:tc>
          <w:tcPr>
            <w:tcW w:w="2268" w:type="dxa"/>
            <w:vAlign w:val="center"/>
          </w:tcPr>
          <w:p>
            <w:pPr>
              <w:pStyle w:val="12"/>
            </w:pPr>
            <w:r>
              <w:t>≥800件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人民调解员案件处理率</w:t>
            </w:r>
          </w:p>
        </w:tc>
        <w:tc>
          <w:tcPr>
            <w:tcW w:w="5386" w:type="dxa"/>
            <w:vAlign w:val="center"/>
          </w:tcPr>
          <w:p>
            <w:pPr>
              <w:pStyle w:val="12"/>
            </w:pPr>
            <w:r>
              <w:t>人民调解员案件处理率</w:t>
            </w:r>
          </w:p>
        </w:tc>
        <w:tc>
          <w:tcPr>
            <w:tcW w:w="2268" w:type="dxa"/>
            <w:vAlign w:val="center"/>
          </w:tcPr>
          <w:p>
            <w:pPr>
              <w:pStyle w:val="12"/>
            </w:pPr>
            <w:r>
              <w:t>≥90%</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人民调解案件时长</w:t>
            </w:r>
          </w:p>
        </w:tc>
        <w:tc>
          <w:tcPr>
            <w:tcW w:w="5386" w:type="dxa"/>
            <w:vAlign w:val="center"/>
          </w:tcPr>
          <w:p>
            <w:pPr>
              <w:pStyle w:val="12"/>
            </w:pPr>
            <w:r>
              <w:t>人民调解案件时长</w:t>
            </w:r>
          </w:p>
        </w:tc>
        <w:tc>
          <w:tcPr>
            <w:tcW w:w="2268" w:type="dxa"/>
            <w:vAlign w:val="center"/>
          </w:tcPr>
          <w:p>
            <w:pPr>
              <w:pStyle w:val="12"/>
            </w:pPr>
            <w:r>
              <w:t>≤1月</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人民调解成本</w:t>
            </w:r>
          </w:p>
        </w:tc>
        <w:tc>
          <w:tcPr>
            <w:tcW w:w="5386" w:type="dxa"/>
            <w:vAlign w:val="center"/>
          </w:tcPr>
          <w:p>
            <w:pPr>
              <w:pStyle w:val="12"/>
            </w:pPr>
            <w:r>
              <w:t>人民调解成本包括：调解员案件补贴成本、律师参与调解费用、人民调解杂志、宣传费用等保障与管理业务成本、调解组织业务装备成本、运行成本等。</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通过调解促进社会稳定水平逐步提高</w:t>
            </w:r>
          </w:p>
        </w:tc>
        <w:tc>
          <w:tcPr>
            <w:tcW w:w="2268" w:type="dxa"/>
            <w:vAlign w:val="center"/>
          </w:tcPr>
          <w:p>
            <w:pPr>
              <w:pStyle w:val="12"/>
            </w:pPr>
            <w:r>
              <w:t>逐步提高</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调解双方当事人对调解结果满意情况</w:t>
            </w:r>
          </w:p>
        </w:tc>
        <w:tc>
          <w:tcPr>
            <w:tcW w:w="5386" w:type="dxa"/>
            <w:vAlign w:val="center"/>
          </w:tcPr>
          <w:p>
            <w:pPr>
              <w:pStyle w:val="12"/>
            </w:pPr>
            <w:r>
              <w:t>调解纠纷满意的案件占所有纠纷案件的比例</w:t>
            </w:r>
          </w:p>
        </w:tc>
        <w:tc>
          <w:tcPr>
            <w:tcW w:w="2268" w:type="dxa"/>
            <w:vAlign w:val="center"/>
          </w:tcPr>
          <w:p>
            <w:pPr>
              <w:pStyle w:val="12"/>
            </w:pPr>
            <w:r>
              <w:t>≥95%</w:t>
            </w:r>
          </w:p>
        </w:tc>
        <w:tc>
          <w:tcPr>
            <w:tcW w:w="1276" w:type="dxa"/>
            <w:vAlign w:val="center"/>
          </w:tcPr>
          <w:p>
            <w:pPr>
              <w:pStyle w:val="12"/>
            </w:pPr>
            <w:r>
              <w:t>《人民调解员“以案定补”办法》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13011026P00400610004U</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100.18</w:t>
            </w:r>
          </w:p>
        </w:tc>
        <w:tc>
          <w:tcPr>
            <w:tcW w:w="2835" w:type="dxa"/>
            <w:vAlign w:val="center"/>
          </w:tcPr>
          <w:p>
            <w:pPr>
              <w:pStyle w:val="10"/>
            </w:pPr>
            <w:r>
              <w:t>其中：财政    资金</w:t>
            </w:r>
          </w:p>
        </w:tc>
        <w:tc>
          <w:tcPr>
            <w:tcW w:w="2551" w:type="dxa"/>
            <w:vAlign w:val="center"/>
          </w:tcPr>
          <w:p>
            <w:pPr>
              <w:pStyle w:val="12"/>
            </w:pPr>
            <w:r>
              <w:t>100.18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对符合政府安排工作条件的复转军人帮扶救助，加大就业援助。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1.对符合政府安排工作条件的复转军人帮扶救助，加大就业援助。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准时足额发放退役军人工资</w:t>
            </w:r>
          </w:p>
        </w:tc>
        <w:tc>
          <w:tcPr>
            <w:tcW w:w="5386" w:type="dxa"/>
            <w:vAlign w:val="center"/>
          </w:tcPr>
          <w:p>
            <w:pPr>
              <w:pStyle w:val="12"/>
            </w:pPr>
            <w:r>
              <w:t>准时足额发放退役军人工资</w:t>
            </w:r>
          </w:p>
        </w:tc>
        <w:tc>
          <w:tcPr>
            <w:tcW w:w="2268" w:type="dxa"/>
            <w:vAlign w:val="center"/>
          </w:tcPr>
          <w:p>
            <w:pPr>
              <w:pStyle w:val="12"/>
            </w:pPr>
            <w:r>
              <w:t>100%</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退役军人工资按时发放率</w:t>
            </w:r>
          </w:p>
        </w:tc>
        <w:tc>
          <w:tcPr>
            <w:tcW w:w="5386" w:type="dxa"/>
            <w:vAlign w:val="center"/>
          </w:tcPr>
          <w:p>
            <w:pPr>
              <w:pStyle w:val="12"/>
            </w:pPr>
            <w:r>
              <w:t>按时发放工资</w:t>
            </w:r>
          </w:p>
        </w:tc>
        <w:tc>
          <w:tcPr>
            <w:tcW w:w="2268" w:type="dxa"/>
            <w:vAlign w:val="center"/>
          </w:tcPr>
          <w:p>
            <w:pPr>
              <w:pStyle w:val="12"/>
            </w:pPr>
            <w:r>
              <w:t>100%</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发放退役军人工资的人数</w:t>
            </w:r>
          </w:p>
        </w:tc>
        <w:tc>
          <w:tcPr>
            <w:tcW w:w="5386" w:type="dxa"/>
            <w:vAlign w:val="center"/>
          </w:tcPr>
          <w:p>
            <w:pPr>
              <w:pStyle w:val="12"/>
            </w:pPr>
            <w:r>
              <w:t>实际退役军人人数</w:t>
            </w:r>
          </w:p>
        </w:tc>
        <w:tc>
          <w:tcPr>
            <w:tcW w:w="2268" w:type="dxa"/>
            <w:vAlign w:val="center"/>
          </w:tcPr>
          <w:p>
            <w:pPr>
              <w:pStyle w:val="12"/>
            </w:pPr>
            <w:r>
              <w:t>17人</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退役军人取暖费</w:t>
            </w:r>
          </w:p>
        </w:tc>
        <w:tc>
          <w:tcPr>
            <w:tcW w:w="5386" w:type="dxa"/>
            <w:vAlign w:val="center"/>
          </w:tcPr>
          <w:p>
            <w:pPr>
              <w:pStyle w:val="12"/>
            </w:pPr>
            <w:r>
              <w:t>退役军人取暖费</w:t>
            </w:r>
          </w:p>
        </w:tc>
        <w:tc>
          <w:tcPr>
            <w:tcW w:w="2268" w:type="dxa"/>
            <w:vAlign w:val="center"/>
          </w:tcPr>
          <w:p>
            <w:pPr>
              <w:pStyle w:val="12"/>
            </w:pPr>
            <w:r>
              <w:t>2200元/人</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退役军人社会保险费</w:t>
            </w:r>
          </w:p>
        </w:tc>
        <w:tc>
          <w:tcPr>
            <w:tcW w:w="5386" w:type="dxa"/>
            <w:vAlign w:val="center"/>
          </w:tcPr>
          <w:p>
            <w:pPr>
              <w:pStyle w:val="12"/>
            </w:pPr>
            <w:r>
              <w:t>退役军人社会保险费</w:t>
            </w:r>
          </w:p>
        </w:tc>
        <w:tc>
          <w:tcPr>
            <w:tcW w:w="2268" w:type="dxa"/>
            <w:vAlign w:val="center"/>
          </w:tcPr>
          <w:p>
            <w:pPr>
              <w:pStyle w:val="12"/>
            </w:pPr>
            <w:r>
              <w:t>1163.89元/人/月</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退役军人生活水平提升情况</w:t>
            </w:r>
          </w:p>
        </w:tc>
        <w:tc>
          <w:tcPr>
            <w:tcW w:w="5386" w:type="dxa"/>
            <w:vAlign w:val="center"/>
          </w:tcPr>
          <w:p>
            <w:pPr>
              <w:pStyle w:val="12"/>
            </w:pPr>
            <w:r>
              <w:t>满足日常生活需要</w:t>
            </w:r>
          </w:p>
        </w:tc>
        <w:tc>
          <w:tcPr>
            <w:tcW w:w="2268" w:type="dxa"/>
            <w:vAlign w:val="center"/>
          </w:tcPr>
          <w:p>
            <w:pPr>
              <w:pStyle w:val="12"/>
            </w:pPr>
            <w:r>
              <w:t>1稳步提高</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退役军人满意度</w:t>
            </w:r>
          </w:p>
        </w:tc>
        <w:tc>
          <w:tcPr>
            <w:tcW w:w="2268" w:type="dxa"/>
            <w:vAlign w:val="center"/>
          </w:tcPr>
          <w:p>
            <w:pPr>
              <w:pStyle w:val="12"/>
            </w:pPr>
            <w:r>
              <w:t>≥95%</w:t>
            </w:r>
          </w:p>
        </w:tc>
        <w:tc>
          <w:tcPr>
            <w:tcW w:w="1276" w:type="dxa"/>
            <w:vAlign w:val="center"/>
          </w:tcPr>
          <w:p>
            <w:pPr>
              <w:pStyle w:val="12"/>
            </w:pPr>
            <w:r>
              <w:t>（鹿办文【2017】31号文）精神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10、2026年社区矫正及安置帮教经费绩效目标表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13011026P00C62410003E</w:t>
            </w:r>
          </w:p>
        </w:tc>
        <w:tc>
          <w:tcPr>
            <w:tcW w:w="2835" w:type="dxa"/>
            <w:vAlign w:val="center"/>
          </w:tcPr>
          <w:p>
            <w:pPr>
              <w:pStyle w:val="10"/>
            </w:pPr>
            <w:r>
              <w:t>项目名称</w:t>
            </w:r>
          </w:p>
        </w:tc>
        <w:tc>
          <w:tcPr>
            <w:tcW w:w="6095" w:type="dxa"/>
            <w:gridSpan w:val="3"/>
            <w:vAlign w:val="center"/>
          </w:tcPr>
          <w:p>
            <w:pPr>
              <w:pStyle w:val="12"/>
            </w:pPr>
            <w:r>
              <w:t>2026年社区矫正及安置帮教经费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社区矫正业务设备消耗、修理和维护费</w:t>
            </w:r>
          </w:p>
        </w:tc>
        <w:tc>
          <w:tcPr>
            <w:tcW w:w="5386" w:type="dxa"/>
            <w:vAlign w:val="center"/>
          </w:tcPr>
          <w:p>
            <w:pPr>
              <w:pStyle w:val="12"/>
            </w:pPr>
            <w:r>
              <w:t>业务需要</w:t>
            </w:r>
          </w:p>
        </w:tc>
        <w:tc>
          <w:tcPr>
            <w:tcW w:w="2268" w:type="dxa"/>
            <w:vAlign w:val="center"/>
          </w:tcPr>
          <w:p>
            <w:pPr>
              <w:pStyle w:val="12"/>
            </w:pPr>
            <w:r>
              <w:t>≤8000元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社区矫正、安置帮教宣传费</w:t>
            </w:r>
          </w:p>
        </w:tc>
        <w:tc>
          <w:tcPr>
            <w:tcW w:w="5386" w:type="dxa"/>
            <w:vAlign w:val="center"/>
          </w:tcPr>
          <w:p>
            <w:pPr>
              <w:pStyle w:val="12"/>
            </w:pPr>
            <w:r>
              <w:t>业务需要</w:t>
            </w:r>
          </w:p>
        </w:tc>
        <w:tc>
          <w:tcPr>
            <w:tcW w:w="2268" w:type="dxa"/>
            <w:vAlign w:val="center"/>
          </w:tcPr>
          <w:p>
            <w:pPr>
              <w:pStyle w:val="12"/>
            </w:pPr>
            <w:r>
              <w:t>≤10000元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社区矫正、安置帮教过渡基地租金</w:t>
            </w:r>
          </w:p>
        </w:tc>
        <w:tc>
          <w:tcPr>
            <w:tcW w:w="5386" w:type="dxa"/>
            <w:vAlign w:val="center"/>
          </w:tcPr>
          <w:p>
            <w:pPr>
              <w:pStyle w:val="12"/>
            </w:pPr>
            <w:r>
              <w:t>业务需要</w:t>
            </w:r>
          </w:p>
        </w:tc>
        <w:tc>
          <w:tcPr>
            <w:tcW w:w="2268" w:type="dxa"/>
            <w:vAlign w:val="center"/>
          </w:tcPr>
          <w:p>
            <w:pPr>
              <w:pStyle w:val="12"/>
            </w:pPr>
            <w:r>
              <w:t>≤12000元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第三方按规定参与社区矫正工作费用</w:t>
            </w:r>
          </w:p>
        </w:tc>
        <w:tc>
          <w:tcPr>
            <w:tcW w:w="5386" w:type="dxa"/>
            <w:vAlign w:val="center"/>
          </w:tcPr>
          <w:p>
            <w:pPr>
              <w:pStyle w:val="12"/>
            </w:pPr>
            <w:r>
              <w:t>第三方社工组织参与社区矫正教育、心理服务等</w:t>
            </w:r>
          </w:p>
        </w:tc>
        <w:tc>
          <w:tcPr>
            <w:tcW w:w="2268" w:type="dxa"/>
            <w:vAlign w:val="center"/>
          </w:tcPr>
          <w:p>
            <w:pPr>
              <w:pStyle w:val="12"/>
            </w:pPr>
            <w:r>
              <w:t>≤50000元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社区矫正快递文书费</w:t>
            </w:r>
          </w:p>
        </w:tc>
        <w:tc>
          <w:tcPr>
            <w:tcW w:w="5386" w:type="dxa"/>
            <w:vAlign w:val="center"/>
          </w:tcPr>
          <w:p>
            <w:pPr>
              <w:pStyle w:val="12"/>
            </w:pPr>
            <w:r>
              <w:t>业务需要</w:t>
            </w:r>
          </w:p>
        </w:tc>
        <w:tc>
          <w:tcPr>
            <w:tcW w:w="2268" w:type="dxa"/>
            <w:vAlign w:val="center"/>
          </w:tcPr>
          <w:p>
            <w:pPr>
              <w:pStyle w:val="12"/>
            </w:pPr>
            <w:r>
              <w:t>≤17000元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社区矫正文书档案费</w:t>
            </w:r>
          </w:p>
        </w:tc>
        <w:tc>
          <w:tcPr>
            <w:tcW w:w="5386" w:type="dxa"/>
            <w:vAlign w:val="center"/>
          </w:tcPr>
          <w:p>
            <w:pPr>
              <w:pStyle w:val="12"/>
            </w:pPr>
            <w:r>
              <w:t>业务需要</w:t>
            </w:r>
          </w:p>
        </w:tc>
        <w:tc>
          <w:tcPr>
            <w:tcW w:w="2268" w:type="dxa"/>
            <w:vAlign w:val="center"/>
          </w:tcPr>
          <w:p>
            <w:pPr>
              <w:pStyle w:val="12"/>
            </w:pPr>
            <w:r>
              <w:t>≤10000元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降低社区矫正对象犯罪率</w:t>
            </w:r>
          </w:p>
        </w:tc>
        <w:tc>
          <w:tcPr>
            <w:tcW w:w="5386" w:type="dxa"/>
            <w:vAlign w:val="center"/>
          </w:tcPr>
          <w:p>
            <w:pPr>
              <w:pStyle w:val="12"/>
            </w:pPr>
            <w:r>
              <w:t>矫治对象犯罪的占所有矫治对象的比例</w:t>
            </w:r>
          </w:p>
        </w:tc>
        <w:tc>
          <w:tcPr>
            <w:tcW w:w="2268" w:type="dxa"/>
            <w:vAlign w:val="center"/>
          </w:tcPr>
          <w:p>
            <w:pPr>
              <w:pStyle w:val="12"/>
            </w:pPr>
            <w:r>
              <w:t>≤1%</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11、2026年司法所工作经费绩效目标表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13011026P00064410002A</w:t>
            </w:r>
          </w:p>
        </w:tc>
        <w:tc>
          <w:tcPr>
            <w:tcW w:w="2835" w:type="dxa"/>
            <w:vAlign w:val="center"/>
          </w:tcPr>
          <w:p>
            <w:pPr>
              <w:pStyle w:val="10"/>
            </w:pPr>
            <w:r>
              <w:t>项目名称</w:t>
            </w:r>
          </w:p>
        </w:tc>
        <w:tc>
          <w:tcPr>
            <w:tcW w:w="6095" w:type="dxa"/>
            <w:gridSpan w:val="3"/>
            <w:vAlign w:val="center"/>
          </w:tcPr>
          <w:p>
            <w:pPr>
              <w:pStyle w:val="12"/>
            </w:pPr>
            <w:r>
              <w:t>2026年司法所工作经费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司法所工作经费包括：司法所日常运行费用、司法所普法宣传费用、司法所业务装备费用、司法所工作人员培训费用、司法所规范化建设费用等。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1.司法所工作经费包括：司法所日常运行费用、司法所普法宣传费用、司法所业务装备费用、司法所工作人员培训费用、司法所规范化建设费用等。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补助司法所数量</w:t>
            </w:r>
          </w:p>
        </w:tc>
        <w:tc>
          <w:tcPr>
            <w:tcW w:w="5386" w:type="dxa"/>
            <w:vAlign w:val="center"/>
          </w:tcPr>
          <w:p>
            <w:pPr>
              <w:pStyle w:val="12"/>
            </w:pPr>
            <w:r>
              <w:t>补助司法所数量</w:t>
            </w:r>
          </w:p>
        </w:tc>
        <w:tc>
          <w:tcPr>
            <w:tcW w:w="2268" w:type="dxa"/>
            <w:vAlign w:val="center"/>
          </w:tcPr>
          <w:p>
            <w:pPr>
              <w:pStyle w:val="12"/>
            </w:pPr>
            <w:r>
              <w:t>≤13个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司法所单位补助成本</w:t>
            </w:r>
          </w:p>
        </w:tc>
        <w:tc>
          <w:tcPr>
            <w:tcW w:w="5386" w:type="dxa"/>
            <w:vAlign w:val="center"/>
          </w:tcPr>
          <w:p>
            <w:pPr>
              <w:pStyle w:val="12"/>
            </w:pPr>
            <w:r>
              <w:t>司法所单位补助成本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乡村普法达标率</w:t>
            </w:r>
          </w:p>
        </w:tc>
        <w:tc>
          <w:tcPr>
            <w:tcW w:w="5386" w:type="dxa"/>
            <w:vAlign w:val="center"/>
          </w:tcPr>
          <w:p>
            <w:pPr>
              <w:pStyle w:val="12"/>
            </w:pPr>
            <w:r>
              <w:t>乡村普法达标率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司法所工作人员学习时间达标率</w:t>
            </w:r>
          </w:p>
        </w:tc>
        <w:tc>
          <w:tcPr>
            <w:tcW w:w="5386" w:type="dxa"/>
            <w:vAlign w:val="center"/>
          </w:tcPr>
          <w:p>
            <w:pPr>
              <w:pStyle w:val="12"/>
            </w:pPr>
            <w:r>
              <w:t>司法所工作人员学习时间达标率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乡村普法村民知晓率</w:t>
            </w:r>
          </w:p>
        </w:tc>
        <w:tc>
          <w:tcPr>
            <w:tcW w:w="5386" w:type="dxa"/>
            <w:vAlign w:val="center"/>
          </w:tcPr>
          <w:p>
            <w:pPr>
              <w:pStyle w:val="12"/>
            </w:pPr>
            <w:r>
              <w:t>乡村普法村民知晓率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5386" w:type="dxa"/>
            <w:vAlign w:val="center"/>
          </w:tcPr>
          <w:p>
            <w:pPr>
              <w:pStyle w:val="12"/>
            </w:pPr>
            <w:r>
              <w:t>普法宣传对象满意度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12、2026年行政复议行政应诉经费绩效目标表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13011026P002JX0100055</w:t>
            </w:r>
          </w:p>
        </w:tc>
        <w:tc>
          <w:tcPr>
            <w:tcW w:w="2835" w:type="dxa"/>
            <w:vAlign w:val="center"/>
          </w:tcPr>
          <w:p>
            <w:pPr>
              <w:pStyle w:val="10"/>
            </w:pPr>
            <w:r>
              <w:t>项目名称</w:t>
            </w:r>
          </w:p>
        </w:tc>
        <w:tc>
          <w:tcPr>
            <w:tcW w:w="6095" w:type="dxa"/>
            <w:gridSpan w:val="3"/>
            <w:vAlign w:val="center"/>
          </w:tcPr>
          <w:p>
            <w:pPr>
              <w:pStyle w:val="12"/>
            </w:pPr>
            <w:r>
              <w:t>2026年行政复议行政应诉经费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行政复议案件预估400件、行政应诉案件预估50件，行政复议咨询费每件400元，行政复议案件研讨会每次500元，行政应诉经费每件1500元。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1.行政复议案件预估400件、行政应诉案件预估50件，行政复议咨询费每件400元，行政复议案件研讨会每次500元，行政应诉经费每件1500元。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行政复议咨询审查案件</w:t>
            </w:r>
          </w:p>
        </w:tc>
        <w:tc>
          <w:tcPr>
            <w:tcW w:w="5386" w:type="dxa"/>
            <w:vAlign w:val="center"/>
          </w:tcPr>
          <w:p>
            <w:pPr>
              <w:pStyle w:val="12"/>
            </w:pPr>
            <w:r>
              <w:t>行政复议案件数所需费用</w:t>
            </w:r>
          </w:p>
        </w:tc>
        <w:tc>
          <w:tcPr>
            <w:tcW w:w="2268" w:type="dxa"/>
            <w:vAlign w:val="center"/>
          </w:tcPr>
          <w:p>
            <w:pPr>
              <w:pStyle w:val="12"/>
            </w:pPr>
            <w:r>
              <w:t>≥400件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行政应诉案件成本</w:t>
            </w:r>
          </w:p>
        </w:tc>
        <w:tc>
          <w:tcPr>
            <w:tcW w:w="5386" w:type="dxa"/>
            <w:vAlign w:val="center"/>
          </w:tcPr>
          <w:p>
            <w:pPr>
              <w:pStyle w:val="12"/>
            </w:pPr>
            <w:r>
              <w:t>行政应诉案件所需费用</w:t>
            </w:r>
          </w:p>
        </w:tc>
        <w:tc>
          <w:tcPr>
            <w:tcW w:w="2268" w:type="dxa"/>
            <w:vAlign w:val="center"/>
          </w:tcPr>
          <w:p>
            <w:pPr>
              <w:pStyle w:val="12"/>
            </w:pPr>
            <w:r>
              <w:t>≥1500件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5个工作日内出具法律意见</w:t>
            </w:r>
          </w:p>
        </w:tc>
        <w:tc>
          <w:tcPr>
            <w:tcW w:w="5386" w:type="dxa"/>
            <w:vAlign w:val="center"/>
          </w:tcPr>
          <w:p>
            <w:pPr>
              <w:pStyle w:val="12"/>
            </w:pPr>
            <w:r>
              <w:t>收到咨询函后5个工作日内出具法律意见</w:t>
            </w:r>
          </w:p>
        </w:tc>
        <w:tc>
          <w:tcPr>
            <w:tcW w:w="2268" w:type="dxa"/>
            <w:vAlign w:val="center"/>
          </w:tcPr>
          <w:p>
            <w:pPr>
              <w:pStyle w:val="12"/>
            </w:pPr>
            <w:r>
              <w:t>≤5日</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案件处理率</w:t>
            </w:r>
          </w:p>
        </w:tc>
        <w:tc>
          <w:tcPr>
            <w:tcW w:w="5386" w:type="dxa"/>
            <w:vAlign w:val="center"/>
          </w:tcPr>
          <w:p>
            <w:pPr>
              <w:pStyle w:val="12"/>
            </w:pPr>
            <w:r>
              <w:t>审核或者完成案件的质量</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案件完成率</w:t>
            </w:r>
          </w:p>
        </w:tc>
        <w:tc>
          <w:tcPr>
            <w:tcW w:w="5386" w:type="dxa"/>
            <w:vAlign w:val="center"/>
          </w:tcPr>
          <w:p>
            <w:pPr>
              <w:pStyle w:val="12"/>
            </w:pPr>
            <w:r>
              <w:t>出具行政复议咨询意见，办结行政应诉案件</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行政复议应诉处理率</w:t>
            </w:r>
          </w:p>
        </w:tc>
        <w:tc>
          <w:tcPr>
            <w:tcW w:w="5386" w:type="dxa"/>
            <w:vAlign w:val="center"/>
          </w:tcPr>
          <w:p>
            <w:pPr>
              <w:pStyle w:val="12"/>
            </w:pPr>
            <w:r>
              <w:t>已处理行政复议案件、行政应诉案件</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案结事了率</w:t>
            </w:r>
          </w:p>
        </w:tc>
        <w:tc>
          <w:tcPr>
            <w:tcW w:w="5386" w:type="dxa"/>
            <w:vAlign w:val="center"/>
          </w:tcPr>
          <w:p>
            <w:pPr>
              <w:pStyle w:val="12"/>
            </w:pPr>
            <w:r>
              <w:t>行政复议案结率，申请人满意率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13、2026年行政执法监督经费绩效目标表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13011026P002JX010004H</w:t>
            </w:r>
          </w:p>
        </w:tc>
        <w:tc>
          <w:tcPr>
            <w:tcW w:w="2835" w:type="dxa"/>
            <w:vAlign w:val="center"/>
          </w:tcPr>
          <w:p>
            <w:pPr>
              <w:pStyle w:val="10"/>
            </w:pPr>
            <w:r>
              <w:t>项目名称</w:t>
            </w:r>
          </w:p>
        </w:tc>
        <w:tc>
          <w:tcPr>
            <w:tcW w:w="6095" w:type="dxa"/>
            <w:gridSpan w:val="3"/>
            <w:vAlign w:val="center"/>
          </w:tcPr>
          <w:p>
            <w:pPr>
              <w:pStyle w:val="12"/>
            </w:pPr>
            <w:r>
              <w:t>2026年行政执法监督经费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对我区行政执法单位1000余名执法人员执法学习培训30-60个课时并参加考试，人均培训成本60-120元，使执法人员的业务水平得到进一步提高，提升政府在群众中的公信力。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1.对我区行政执法单位1000余名执法人员执法学习培训30-60个课时并参加考试，人均培训成本60-120元，使执法人员的业务水平得到进一步提高，提升政府在群众中的公信力。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培训课时数</w:t>
            </w:r>
          </w:p>
        </w:tc>
        <w:tc>
          <w:tcPr>
            <w:tcW w:w="5386" w:type="dxa"/>
            <w:vAlign w:val="center"/>
          </w:tcPr>
          <w:p>
            <w:pPr>
              <w:pStyle w:val="12"/>
            </w:pPr>
            <w:r>
              <w:t>培训课时数</w:t>
            </w:r>
          </w:p>
        </w:tc>
        <w:tc>
          <w:tcPr>
            <w:tcW w:w="2268" w:type="dxa"/>
            <w:vAlign w:val="center"/>
          </w:tcPr>
          <w:p>
            <w:pPr>
              <w:pStyle w:val="12"/>
            </w:pPr>
            <w:r>
              <w:t>≥30课时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部门参加培训人均成本</w:t>
            </w:r>
          </w:p>
        </w:tc>
        <w:tc>
          <w:tcPr>
            <w:tcW w:w="5386" w:type="dxa"/>
            <w:vAlign w:val="center"/>
          </w:tcPr>
          <w:p>
            <w:pPr>
              <w:pStyle w:val="12"/>
            </w:pPr>
            <w:r>
              <w:t>部门参加培训人均成本</w:t>
            </w:r>
          </w:p>
        </w:tc>
        <w:tc>
          <w:tcPr>
            <w:tcW w:w="2268" w:type="dxa"/>
            <w:vAlign w:val="center"/>
          </w:tcPr>
          <w:p>
            <w:pPr>
              <w:pStyle w:val="12"/>
            </w:pPr>
            <w:r>
              <w:t>≤60元/人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乡镇参加培训人均成本</w:t>
            </w:r>
          </w:p>
        </w:tc>
        <w:tc>
          <w:tcPr>
            <w:tcW w:w="5386" w:type="dxa"/>
            <w:vAlign w:val="center"/>
          </w:tcPr>
          <w:p>
            <w:pPr>
              <w:pStyle w:val="12"/>
            </w:pPr>
            <w:r>
              <w:t>乡镇参加培训人均成本</w:t>
            </w:r>
          </w:p>
        </w:tc>
        <w:tc>
          <w:tcPr>
            <w:tcW w:w="2268" w:type="dxa"/>
            <w:vAlign w:val="center"/>
          </w:tcPr>
          <w:p>
            <w:pPr>
              <w:pStyle w:val="12"/>
            </w:pPr>
            <w:r>
              <w:t>≤120元/人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培训执法人员数量</w:t>
            </w:r>
          </w:p>
        </w:tc>
        <w:tc>
          <w:tcPr>
            <w:tcW w:w="5386" w:type="dxa"/>
            <w:vAlign w:val="center"/>
          </w:tcPr>
          <w:p>
            <w:pPr>
              <w:pStyle w:val="12"/>
            </w:pPr>
            <w:r>
              <w:t>参加执法证培训人员数量</w:t>
            </w:r>
          </w:p>
        </w:tc>
        <w:tc>
          <w:tcPr>
            <w:tcW w:w="2268" w:type="dxa"/>
            <w:vAlign w:val="center"/>
          </w:tcPr>
          <w:p>
            <w:pPr>
              <w:pStyle w:val="12"/>
            </w:pPr>
            <w:r>
              <w:t>≥1000人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培训合格率</w:t>
            </w:r>
          </w:p>
        </w:tc>
        <w:tc>
          <w:tcPr>
            <w:tcW w:w="2268" w:type="dxa"/>
            <w:vAlign w:val="center"/>
          </w:tcPr>
          <w:p>
            <w:pPr>
              <w:pStyle w:val="12"/>
            </w:pPr>
            <w:r>
              <w:t>≥85%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培训课时数</w:t>
            </w:r>
          </w:p>
        </w:tc>
        <w:tc>
          <w:tcPr>
            <w:tcW w:w="5386" w:type="dxa"/>
            <w:vAlign w:val="center"/>
          </w:tcPr>
          <w:p>
            <w:pPr>
              <w:pStyle w:val="12"/>
            </w:pPr>
            <w:r>
              <w:t>培训课时数</w:t>
            </w:r>
          </w:p>
        </w:tc>
        <w:tc>
          <w:tcPr>
            <w:tcW w:w="2268" w:type="dxa"/>
            <w:vAlign w:val="center"/>
          </w:tcPr>
          <w:p>
            <w:pPr>
              <w:pStyle w:val="12"/>
            </w:pPr>
            <w:r>
              <w:t>≥30课时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增强社会民众满意度</w:t>
            </w:r>
          </w:p>
        </w:tc>
        <w:tc>
          <w:tcPr>
            <w:tcW w:w="5386" w:type="dxa"/>
            <w:vAlign w:val="center"/>
          </w:tcPr>
          <w:p>
            <w:pPr>
              <w:pStyle w:val="12"/>
            </w:pPr>
            <w:r>
              <w:t>增强社会民众满意度</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执法水平好评率</w:t>
            </w:r>
          </w:p>
        </w:tc>
        <w:tc>
          <w:tcPr>
            <w:tcW w:w="5386" w:type="dxa"/>
            <w:vAlign w:val="center"/>
          </w:tcPr>
          <w:p>
            <w:pPr>
              <w:pStyle w:val="12"/>
            </w:pPr>
            <w:r>
              <w:t>执法案件中好评的案件占执法案件的比率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14、2026年依法治区工作经费绩效目标表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13011026P0022EL100037</w:t>
            </w:r>
          </w:p>
        </w:tc>
        <w:tc>
          <w:tcPr>
            <w:tcW w:w="2835" w:type="dxa"/>
            <w:vAlign w:val="center"/>
          </w:tcPr>
          <w:p>
            <w:pPr>
              <w:pStyle w:val="10"/>
            </w:pPr>
            <w:r>
              <w:t>项目名称</w:t>
            </w:r>
          </w:p>
        </w:tc>
        <w:tc>
          <w:tcPr>
            <w:tcW w:w="6095" w:type="dxa"/>
            <w:gridSpan w:val="3"/>
            <w:vAlign w:val="center"/>
          </w:tcPr>
          <w:p>
            <w:pPr>
              <w:pStyle w:val="12"/>
            </w:pPr>
            <w:r>
              <w:t>2026年依法治区工作经费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研究提出建设法治政府、推进依法行政的意见和措施，负责全区依法治理和法治创建工作；负责拟定全区法制宣传教育规划，组织实施普法宣传工作，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研究提出建设法治政府、推进依法行政的意见和措施，负责全区依法治理和法治创建工作；负责拟定全区法制宣传教育规划，组织实施普法宣传工作，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法治培训成本</w:t>
            </w:r>
          </w:p>
        </w:tc>
        <w:tc>
          <w:tcPr>
            <w:tcW w:w="5386" w:type="dxa"/>
            <w:vAlign w:val="center"/>
          </w:tcPr>
          <w:p>
            <w:pPr>
              <w:pStyle w:val="12"/>
            </w:pPr>
            <w:r>
              <w:t>法治培训成本</w:t>
            </w:r>
          </w:p>
        </w:tc>
        <w:tc>
          <w:tcPr>
            <w:tcW w:w="2268" w:type="dxa"/>
            <w:vAlign w:val="center"/>
          </w:tcPr>
          <w:p>
            <w:pPr>
              <w:pStyle w:val="12"/>
            </w:pPr>
            <w:r>
              <w:t>≥30000元/年</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法治培训完成率</w:t>
            </w:r>
          </w:p>
        </w:tc>
        <w:tc>
          <w:tcPr>
            <w:tcW w:w="5386" w:type="dxa"/>
            <w:vAlign w:val="center"/>
          </w:tcPr>
          <w:p>
            <w:pPr>
              <w:pStyle w:val="12"/>
            </w:pPr>
            <w:r>
              <w:t>法治培训完成率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法治培训按时完成率</w:t>
            </w:r>
          </w:p>
        </w:tc>
        <w:tc>
          <w:tcPr>
            <w:tcW w:w="5386" w:type="dxa"/>
            <w:vAlign w:val="center"/>
          </w:tcPr>
          <w:p>
            <w:pPr>
              <w:pStyle w:val="12"/>
            </w:pPr>
            <w:r>
              <w:t>法治培训按时完成率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法治培训数量</w:t>
            </w:r>
          </w:p>
        </w:tc>
        <w:tc>
          <w:tcPr>
            <w:tcW w:w="5386" w:type="dxa"/>
            <w:vAlign w:val="center"/>
          </w:tcPr>
          <w:p>
            <w:pPr>
              <w:pStyle w:val="12"/>
            </w:pPr>
            <w:r>
              <w:t>法治培训数量</w:t>
            </w:r>
          </w:p>
        </w:tc>
        <w:tc>
          <w:tcPr>
            <w:tcW w:w="2268" w:type="dxa"/>
            <w:vAlign w:val="center"/>
          </w:tcPr>
          <w:p>
            <w:pPr>
              <w:pStyle w:val="12"/>
            </w:pPr>
            <w:r>
              <w:t>≥1次</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法治工作完成率</w:t>
            </w:r>
          </w:p>
        </w:tc>
        <w:tc>
          <w:tcPr>
            <w:tcW w:w="5386" w:type="dxa"/>
            <w:vAlign w:val="center"/>
          </w:tcPr>
          <w:p>
            <w:pPr>
              <w:pStyle w:val="12"/>
            </w:pPr>
            <w:r>
              <w:t>法治工作完成率</w:t>
            </w:r>
          </w:p>
        </w:tc>
        <w:tc>
          <w:tcPr>
            <w:tcW w:w="2268" w:type="dxa"/>
            <w:vAlign w:val="center"/>
          </w:tcPr>
          <w:p>
            <w:pPr>
              <w:pStyle w:val="12"/>
            </w:pPr>
            <w:r>
              <w:t>≥90%</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法治建设群众满意度</w:t>
            </w:r>
          </w:p>
        </w:tc>
        <w:tc>
          <w:tcPr>
            <w:tcW w:w="5386" w:type="dxa"/>
            <w:vAlign w:val="center"/>
          </w:tcPr>
          <w:p>
            <w:pPr>
              <w:pStyle w:val="12"/>
            </w:pPr>
            <w:r>
              <w:t>法治建设群众满意度</w:t>
            </w:r>
          </w:p>
        </w:tc>
        <w:tc>
          <w:tcPr>
            <w:tcW w:w="2268" w:type="dxa"/>
            <w:vAlign w:val="center"/>
          </w:tcPr>
          <w:p>
            <w:pPr>
              <w:pStyle w:val="12"/>
            </w:pPr>
            <w:r>
              <w:t>≥90%</w:t>
            </w:r>
          </w:p>
        </w:tc>
        <w:tc>
          <w:tcPr>
            <w:tcW w:w="1276" w:type="dxa"/>
            <w:vAlign w:val="center"/>
          </w:tcPr>
          <w:p>
            <w:pPr>
              <w:pStyle w:val="12"/>
            </w:pPr>
            <w:r>
              <w:t>鹿依法治区委字（2019）2号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15、2026年专职人民调解员工作经费绩效目标表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13011026P00P6JH100038</w:t>
            </w:r>
          </w:p>
        </w:tc>
        <w:tc>
          <w:tcPr>
            <w:tcW w:w="2835" w:type="dxa"/>
            <w:vAlign w:val="center"/>
          </w:tcPr>
          <w:p>
            <w:pPr>
              <w:pStyle w:val="10"/>
            </w:pPr>
            <w:r>
              <w:t>项目名称</w:t>
            </w:r>
          </w:p>
        </w:tc>
        <w:tc>
          <w:tcPr>
            <w:tcW w:w="6095" w:type="dxa"/>
            <w:gridSpan w:val="3"/>
            <w:vAlign w:val="center"/>
          </w:tcPr>
          <w:p>
            <w:pPr>
              <w:pStyle w:val="12"/>
            </w:pPr>
            <w:r>
              <w:t>2026年专职人民调解员工作经费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为扎实推进枫桥经验，持续提升社会稳定水平，用于专职调解员的工作报酬、意外保险和档案管理费用、民间纠纷案件以案定补费用及日常工作运行费用。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1.为扎实推进枫桥经验，持续提升社会稳定水平，用于专职调解员的工作报酬、意外保险和档案管理费用、民间纠纷案件以案定补费用及日常工作运行费用。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人民调解案件数</w:t>
            </w:r>
          </w:p>
        </w:tc>
        <w:tc>
          <w:tcPr>
            <w:tcW w:w="5386" w:type="dxa"/>
            <w:vAlign w:val="center"/>
          </w:tcPr>
          <w:p>
            <w:pPr>
              <w:pStyle w:val="12"/>
            </w:pPr>
            <w:r>
              <w:t>专职民调员调解案件数量</w:t>
            </w:r>
          </w:p>
        </w:tc>
        <w:tc>
          <w:tcPr>
            <w:tcW w:w="2268" w:type="dxa"/>
            <w:vAlign w:val="center"/>
          </w:tcPr>
          <w:p>
            <w:pPr>
              <w:pStyle w:val="12"/>
            </w:pPr>
            <w:r>
              <w:t>≥700件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专职民调员案件处理率</w:t>
            </w:r>
          </w:p>
        </w:tc>
        <w:tc>
          <w:tcPr>
            <w:tcW w:w="5386" w:type="dxa"/>
            <w:vAlign w:val="center"/>
          </w:tcPr>
          <w:p>
            <w:pPr>
              <w:pStyle w:val="12"/>
            </w:pPr>
            <w:r>
              <w:t>专职民调员案件处理率</w:t>
            </w:r>
          </w:p>
        </w:tc>
        <w:tc>
          <w:tcPr>
            <w:tcW w:w="2268" w:type="dxa"/>
            <w:vAlign w:val="center"/>
          </w:tcPr>
          <w:p>
            <w:pPr>
              <w:pStyle w:val="12"/>
            </w:pPr>
            <w:r>
              <w:t>≥90%</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人民调解案件时长</w:t>
            </w:r>
          </w:p>
        </w:tc>
        <w:tc>
          <w:tcPr>
            <w:tcW w:w="5386" w:type="dxa"/>
            <w:vAlign w:val="center"/>
          </w:tcPr>
          <w:p>
            <w:pPr>
              <w:pStyle w:val="12"/>
            </w:pPr>
            <w:r>
              <w:t>人民调解案件时长</w:t>
            </w:r>
          </w:p>
        </w:tc>
        <w:tc>
          <w:tcPr>
            <w:tcW w:w="2268" w:type="dxa"/>
            <w:vAlign w:val="center"/>
          </w:tcPr>
          <w:p>
            <w:pPr>
              <w:pStyle w:val="12"/>
            </w:pPr>
            <w:r>
              <w:t>≤1月</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专职民调员调解成本</w:t>
            </w:r>
          </w:p>
        </w:tc>
        <w:tc>
          <w:tcPr>
            <w:tcW w:w="5386" w:type="dxa"/>
            <w:vAlign w:val="center"/>
          </w:tcPr>
          <w:p>
            <w:pPr>
              <w:pStyle w:val="12"/>
            </w:pPr>
            <w:r>
              <w:t>专职民调员成本包括：聘用成本、以案定补成本、日常工作运行成本、保险费用成本、档案管理成本、其他业务装备成本等。</w:t>
            </w:r>
          </w:p>
        </w:tc>
        <w:tc>
          <w:tcPr>
            <w:tcW w:w="2268" w:type="dxa"/>
            <w:vAlign w:val="center"/>
          </w:tcPr>
          <w:p>
            <w:pPr>
              <w:pStyle w:val="12"/>
            </w:pPr>
            <w:r>
              <w:t>≤120万元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通过调解促进社会稳定水平逐步提高</w:t>
            </w:r>
          </w:p>
        </w:tc>
        <w:tc>
          <w:tcPr>
            <w:tcW w:w="2268" w:type="dxa"/>
            <w:vAlign w:val="center"/>
          </w:tcPr>
          <w:p>
            <w:pPr>
              <w:pStyle w:val="12"/>
            </w:pPr>
            <w:r>
              <w:t>逐步提高</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调解双方当事人对调解结果满意情况</w:t>
            </w:r>
          </w:p>
        </w:tc>
        <w:tc>
          <w:tcPr>
            <w:tcW w:w="5386" w:type="dxa"/>
            <w:vAlign w:val="center"/>
          </w:tcPr>
          <w:p>
            <w:pPr>
              <w:pStyle w:val="12"/>
            </w:pPr>
            <w:r>
              <w:t>调解纠纷满意的案件占所有纠纷案件的比例</w:t>
            </w:r>
          </w:p>
        </w:tc>
        <w:tc>
          <w:tcPr>
            <w:tcW w:w="2268" w:type="dxa"/>
            <w:vAlign w:val="center"/>
          </w:tcPr>
          <w:p>
            <w:pPr>
              <w:pStyle w:val="12"/>
            </w:pPr>
            <w:r>
              <w:t>≥95%</w:t>
            </w:r>
          </w:p>
        </w:tc>
        <w:tc>
          <w:tcPr>
            <w:tcW w:w="1276" w:type="dxa"/>
            <w:vAlign w:val="center"/>
          </w:tcPr>
          <w:p>
            <w:pPr>
              <w:pStyle w:val="12"/>
            </w:pPr>
            <w:r>
              <w:t>《人民调解员“以案定补”办法》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16、提前分配2025年省级社区矫正补助资金绩效目标表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13011025P000012111138</w:t>
            </w:r>
          </w:p>
        </w:tc>
        <w:tc>
          <w:tcPr>
            <w:tcW w:w="2835" w:type="dxa"/>
            <w:vAlign w:val="center"/>
          </w:tcPr>
          <w:p>
            <w:pPr>
              <w:pStyle w:val="10"/>
            </w:pPr>
            <w:r>
              <w:t>项目名称</w:t>
            </w:r>
          </w:p>
        </w:tc>
        <w:tc>
          <w:tcPr>
            <w:tcW w:w="6095" w:type="dxa"/>
            <w:gridSpan w:val="3"/>
            <w:vAlign w:val="center"/>
          </w:tcPr>
          <w:p>
            <w:pPr>
              <w:pStyle w:val="12"/>
            </w:pPr>
            <w:r>
              <w:t>提前分配2025年省级社区矫正补助资金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社区矫正对象人数</w:t>
            </w:r>
          </w:p>
        </w:tc>
        <w:tc>
          <w:tcPr>
            <w:tcW w:w="5386" w:type="dxa"/>
            <w:vAlign w:val="center"/>
          </w:tcPr>
          <w:p>
            <w:pPr>
              <w:pStyle w:val="12"/>
            </w:pPr>
            <w:r>
              <w:t>服刑人员数量</w:t>
            </w:r>
          </w:p>
        </w:tc>
        <w:tc>
          <w:tcPr>
            <w:tcW w:w="2268" w:type="dxa"/>
            <w:vAlign w:val="center"/>
          </w:tcPr>
          <w:p>
            <w:pPr>
              <w:pStyle w:val="12"/>
            </w:pPr>
            <w:r>
              <w:t>≥360人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社区矫正对象教育率</w:t>
            </w:r>
          </w:p>
        </w:tc>
        <w:tc>
          <w:tcPr>
            <w:tcW w:w="5386" w:type="dxa"/>
            <w:vAlign w:val="center"/>
          </w:tcPr>
          <w:p>
            <w:pPr>
              <w:pStyle w:val="12"/>
            </w:pPr>
            <w:r>
              <w:t>组织社区矫正对象进行教育学习达标率</w:t>
            </w:r>
          </w:p>
        </w:tc>
        <w:tc>
          <w:tcPr>
            <w:tcW w:w="2268" w:type="dxa"/>
            <w:vAlign w:val="center"/>
          </w:tcPr>
          <w:p>
            <w:pPr>
              <w:pStyle w:val="12"/>
            </w:pPr>
            <w:r>
              <w:t>≥90%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社区矫正对象通过率</w:t>
            </w:r>
          </w:p>
        </w:tc>
        <w:tc>
          <w:tcPr>
            <w:tcW w:w="5386" w:type="dxa"/>
            <w:vAlign w:val="center"/>
          </w:tcPr>
          <w:p>
            <w:pPr>
              <w:pStyle w:val="12"/>
            </w:pPr>
            <w:r>
              <w:t>社区矫正对象通过率</w:t>
            </w:r>
          </w:p>
        </w:tc>
        <w:tc>
          <w:tcPr>
            <w:tcW w:w="2268" w:type="dxa"/>
            <w:vAlign w:val="center"/>
          </w:tcPr>
          <w:p>
            <w:pPr>
              <w:pStyle w:val="12"/>
            </w:pPr>
            <w:r>
              <w:t>100%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社区矫正对象帮扶成本</w:t>
            </w:r>
          </w:p>
        </w:tc>
        <w:tc>
          <w:tcPr>
            <w:tcW w:w="5386" w:type="dxa"/>
            <w:vAlign w:val="center"/>
          </w:tcPr>
          <w:p>
            <w:pPr>
              <w:pStyle w:val="12"/>
            </w:pPr>
            <w:r>
              <w:t>人均帮扶成本</w:t>
            </w:r>
          </w:p>
        </w:tc>
        <w:tc>
          <w:tcPr>
            <w:tcW w:w="2268" w:type="dxa"/>
            <w:vAlign w:val="center"/>
          </w:tcPr>
          <w:p>
            <w:pPr>
              <w:pStyle w:val="12"/>
            </w:pPr>
            <w:r>
              <w:t>≥500元/人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社区矫正、安置帮教宣传相关费用</w:t>
            </w:r>
          </w:p>
        </w:tc>
        <w:tc>
          <w:tcPr>
            <w:tcW w:w="5386" w:type="dxa"/>
            <w:vAlign w:val="center"/>
          </w:tcPr>
          <w:p>
            <w:pPr>
              <w:pStyle w:val="12"/>
            </w:pPr>
            <w:r>
              <w:t>社区矫正、安置帮教宣传相关费用</w:t>
            </w:r>
          </w:p>
        </w:tc>
        <w:tc>
          <w:tcPr>
            <w:tcW w:w="2268" w:type="dxa"/>
            <w:vAlign w:val="center"/>
          </w:tcPr>
          <w:p>
            <w:pPr>
              <w:pStyle w:val="12"/>
            </w:pPr>
            <w:r>
              <w:t>≥10000元</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社区矫正非执法类教育、心理服务等政府购买服务</w:t>
            </w:r>
          </w:p>
        </w:tc>
        <w:tc>
          <w:tcPr>
            <w:tcW w:w="5386" w:type="dxa"/>
            <w:vAlign w:val="center"/>
          </w:tcPr>
          <w:p>
            <w:pPr>
              <w:pStyle w:val="12"/>
            </w:pPr>
            <w:r>
              <w:t>开展非执法类项目</w:t>
            </w:r>
          </w:p>
        </w:tc>
        <w:tc>
          <w:tcPr>
            <w:tcW w:w="2268" w:type="dxa"/>
            <w:vAlign w:val="center"/>
          </w:tcPr>
          <w:p>
            <w:pPr>
              <w:pStyle w:val="12"/>
            </w:pPr>
            <w:r>
              <w:t>≥45000元</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降低社区矫正对象犯罪率</w:t>
            </w:r>
          </w:p>
        </w:tc>
        <w:tc>
          <w:tcPr>
            <w:tcW w:w="5386" w:type="dxa"/>
            <w:vAlign w:val="center"/>
          </w:tcPr>
          <w:p>
            <w:pPr>
              <w:pStyle w:val="12"/>
            </w:pPr>
            <w:r>
              <w:t>矫治对象犯罪的占所有矫治对象的比例</w:t>
            </w:r>
          </w:p>
        </w:tc>
        <w:tc>
          <w:tcPr>
            <w:tcW w:w="2268" w:type="dxa"/>
            <w:vAlign w:val="center"/>
          </w:tcPr>
          <w:p>
            <w:pPr>
              <w:pStyle w:val="12"/>
            </w:pPr>
            <w:r>
              <w:t>≤1%</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17、提前下达2025年省级基层公检法司转移支付资金绩效目标表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13011025P00001210923B</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30.58</w:t>
            </w:r>
          </w:p>
        </w:tc>
        <w:tc>
          <w:tcPr>
            <w:tcW w:w="2835" w:type="dxa"/>
            <w:vAlign w:val="center"/>
          </w:tcPr>
          <w:p>
            <w:pPr>
              <w:pStyle w:val="10"/>
            </w:pPr>
            <w:r>
              <w:t>其中：财政    资金</w:t>
            </w:r>
          </w:p>
        </w:tc>
        <w:tc>
          <w:tcPr>
            <w:tcW w:w="2551" w:type="dxa"/>
            <w:vAlign w:val="center"/>
          </w:tcPr>
          <w:p>
            <w:pPr>
              <w:pStyle w:val="12"/>
            </w:pPr>
            <w:r>
              <w:t>30.58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政府法律顾问用于常务会议题、政府合同等涉法事务审核，约320件，审核成本每件200-500元。普法宣传。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1.政府法律顾问用于常务会议题、政府合同等涉法事务审核，约320件，审核成本每件200-500元。普法宣传。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涉法事务案件数量</w:t>
            </w:r>
          </w:p>
        </w:tc>
        <w:tc>
          <w:tcPr>
            <w:tcW w:w="5386" w:type="dxa"/>
            <w:vAlign w:val="center"/>
          </w:tcPr>
          <w:p>
            <w:pPr>
              <w:pStyle w:val="12"/>
            </w:pPr>
            <w:r>
              <w:t>包括政府常务会议题、政府合同等涉法事务事项把关</w:t>
            </w:r>
          </w:p>
        </w:tc>
        <w:tc>
          <w:tcPr>
            <w:tcW w:w="2268" w:type="dxa"/>
            <w:vAlign w:val="center"/>
          </w:tcPr>
          <w:p>
            <w:pPr>
              <w:pStyle w:val="12"/>
            </w:pPr>
            <w:r>
              <w:t>≥320件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涉法事务案件把关审核费用</w:t>
            </w:r>
          </w:p>
        </w:tc>
        <w:tc>
          <w:tcPr>
            <w:tcW w:w="5386" w:type="dxa"/>
            <w:vAlign w:val="center"/>
          </w:tcPr>
          <w:p>
            <w:pPr>
              <w:pStyle w:val="12"/>
            </w:pPr>
            <w:r>
              <w:t>根据不同涉法事务，案件统计核算法律顾问费用</w:t>
            </w:r>
          </w:p>
        </w:tc>
        <w:tc>
          <w:tcPr>
            <w:tcW w:w="2268" w:type="dxa"/>
            <w:vAlign w:val="center"/>
          </w:tcPr>
          <w:p>
            <w:pPr>
              <w:pStyle w:val="12"/>
            </w:pPr>
            <w:r>
              <w:t>≤500元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提出法律意见规范化水平</w:t>
            </w:r>
          </w:p>
        </w:tc>
        <w:tc>
          <w:tcPr>
            <w:tcW w:w="5386" w:type="dxa"/>
            <w:vAlign w:val="center"/>
          </w:tcPr>
          <w:p>
            <w:pPr>
              <w:pStyle w:val="12"/>
            </w:pPr>
            <w:r>
              <w:t>根据涉法事务内容，按程序和相关法律规定提出法律意见</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按3-10个法定工作日出具法律意见</w:t>
            </w:r>
          </w:p>
        </w:tc>
        <w:tc>
          <w:tcPr>
            <w:tcW w:w="5386" w:type="dxa"/>
            <w:vAlign w:val="center"/>
          </w:tcPr>
          <w:p>
            <w:pPr>
              <w:pStyle w:val="12"/>
            </w:pPr>
            <w:r>
              <w:t>受理后3-10个工作日出具法律意见</w:t>
            </w:r>
          </w:p>
        </w:tc>
        <w:tc>
          <w:tcPr>
            <w:tcW w:w="2268" w:type="dxa"/>
            <w:vAlign w:val="center"/>
          </w:tcPr>
          <w:p>
            <w:pPr>
              <w:pStyle w:val="12"/>
            </w:pPr>
            <w:r>
              <w:t>≤10%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人民调解案件数量</w:t>
            </w:r>
          </w:p>
        </w:tc>
        <w:tc>
          <w:tcPr>
            <w:tcW w:w="5386" w:type="dxa"/>
            <w:vAlign w:val="center"/>
          </w:tcPr>
          <w:p>
            <w:pPr>
              <w:pStyle w:val="12"/>
            </w:pPr>
            <w:r>
              <w:t>人民调解案件数量</w:t>
            </w:r>
          </w:p>
        </w:tc>
        <w:tc>
          <w:tcPr>
            <w:tcW w:w="2268" w:type="dxa"/>
            <w:vAlign w:val="center"/>
          </w:tcPr>
          <w:p>
            <w:pPr>
              <w:pStyle w:val="12"/>
            </w:pPr>
            <w:r>
              <w:t>≤260件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人民调解成本</w:t>
            </w:r>
          </w:p>
        </w:tc>
        <w:tc>
          <w:tcPr>
            <w:tcW w:w="5386" w:type="dxa"/>
            <w:vAlign w:val="center"/>
          </w:tcPr>
          <w:p>
            <w:pPr>
              <w:pStyle w:val="12"/>
            </w:pPr>
            <w:r>
              <w:t>人民调解成本</w:t>
            </w:r>
          </w:p>
        </w:tc>
        <w:tc>
          <w:tcPr>
            <w:tcW w:w="2268" w:type="dxa"/>
            <w:vAlign w:val="center"/>
          </w:tcPr>
          <w:p>
            <w:pPr>
              <w:pStyle w:val="12"/>
            </w:pPr>
            <w:r>
              <w:t>150元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普法宣传成本</w:t>
            </w:r>
          </w:p>
          <w:p>
            <w:pPr>
              <w:pStyle w:val="12"/>
            </w:pP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八五普法宣传片制作成本</w:t>
            </w:r>
          </w:p>
        </w:tc>
        <w:tc>
          <w:tcPr>
            <w:tcW w:w="5386" w:type="dxa"/>
            <w:vAlign w:val="center"/>
          </w:tcPr>
          <w:p>
            <w:pPr>
              <w:pStyle w:val="12"/>
            </w:pPr>
            <w:r>
              <w:t>八五普法宣传片制作成本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法治建设成本</w:t>
            </w:r>
          </w:p>
        </w:tc>
        <w:tc>
          <w:tcPr>
            <w:tcW w:w="5386" w:type="dxa"/>
            <w:vAlign w:val="center"/>
          </w:tcPr>
          <w:p>
            <w:pPr>
              <w:pStyle w:val="12"/>
            </w:pPr>
            <w:r>
              <w:t>法治建设成本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法治阵地维护成本</w:t>
            </w:r>
          </w:p>
        </w:tc>
        <w:tc>
          <w:tcPr>
            <w:tcW w:w="5386" w:type="dxa"/>
            <w:vAlign w:val="center"/>
          </w:tcPr>
          <w:p>
            <w:pPr>
              <w:pStyle w:val="12"/>
            </w:pPr>
            <w:r>
              <w:t>法治阵地维护成本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法治建设群众满意度测评成本</w:t>
            </w:r>
          </w:p>
        </w:tc>
        <w:tc>
          <w:tcPr>
            <w:tcW w:w="5386" w:type="dxa"/>
            <w:vAlign w:val="center"/>
          </w:tcPr>
          <w:p>
            <w:pPr>
              <w:pStyle w:val="12"/>
            </w:pPr>
            <w:r>
              <w:t>法治建设群众满意度测评成本</w:t>
            </w:r>
          </w:p>
        </w:tc>
        <w:tc>
          <w:tcPr>
            <w:tcW w:w="2268" w:type="dxa"/>
            <w:vAlign w:val="center"/>
          </w:tcPr>
          <w:p>
            <w:pPr>
              <w:pStyle w:val="12"/>
            </w:pPr>
            <w:r>
              <w:t>≥3万元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行政复议、行政应诉顾问把关案件数量</w:t>
            </w:r>
          </w:p>
        </w:tc>
        <w:tc>
          <w:tcPr>
            <w:tcW w:w="5386" w:type="dxa"/>
            <w:vAlign w:val="center"/>
          </w:tcPr>
          <w:p>
            <w:pPr>
              <w:pStyle w:val="12"/>
            </w:pPr>
            <w:r>
              <w:t>行政复议、行政应诉案件需咨询费用</w:t>
            </w:r>
          </w:p>
        </w:tc>
        <w:tc>
          <w:tcPr>
            <w:tcW w:w="2268" w:type="dxa"/>
            <w:vAlign w:val="center"/>
          </w:tcPr>
          <w:p>
            <w:pPr>
              <w:pStyle w:val="12"/>
            </w:pPr>
            <w:r>
              <w:t>≤50件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行政复议、行政应诉办案费用</w:t>
            </w:r>
          </w:p>
        </w:tc>
        <w:tc>
          <w:tcPr>
            <w:tcW w:w="5386" w:type="dxa"/>
            <w:vAlign w:val="center"/>
          </w:tcPr>
          <w:p>
            <w:pPr>
              <w:pStyle w:val="12"/>
            </w:pPr>
            <w:r>
              <w:t>行政复议、行政应诉办案费用</w:t>
            </w:r>
          </w:p>
        </w:tc>
        <w:tc>
          <w:tcPr>
            <w:tcW w:w="2268" w:type="dxa"/>
            <w:vAlign w:val="center"/>
          </w:tcPr>
          <w:p>
            <w:pPr>
              <w:pStyle w:val="12"/>
            </w:pPr>
            <w:r>
              <w:t>≥400元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办理法律援助案件</w:t>
            </w:r>
          </w:p>
        </w:tc>
        <w:tc>
          <w:tcPr>
            <w:tcW w:w="5386" w:type="dxa"/>
            <w:vAlign w:val="center"/>
          </w:tcPr>
          <w:p>
            <w:pPr>
              <w:pStyle w:val="12"/>
            </w:pPr>
            <w:r>
              <w:t>用于办理民事、刑事、行政法律援助案件</w:t>
            </w:r>
          </w:p>
        </w:tc>
        <w:tc>
          <w:tcPr>
            <w:tcW w:w="2268" w:type="dxa"/>
            <w:vAlign w:val="center"/>
          </w:tcPr>
          <w:p>
            <w:pPr>
              <w:pStyle w:val="12"/>
            </w:pPr>
            <w:r>
              <w:t>≥30件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法律援助案件完成率</w:t>
            </w:r>
          </w:p>
        </w:tc>
        <w:tc>
          <w:tcPr>
            <w:tcW w:w="5386" w:type="dxa"/>
            <w:vAlign w:val="center"/>
          </w:tcPr>
          <w:p>
            <w:pPr>
              <w:pStyle w:val="12"/>
            </w:pPr>
            <w:r>
              <w:t>法律援助机构对办案的监督，应当综合运用庭审旁听、案卷检查、征询司法机关意见和回访受援人等措施 ，督促法律援助人民提升服务质量。</w:t>
            </w:r>
          </w:p>
        </w:tc>
        <w:tc>
          <w:tcPr>
            <w:tcW w:w="2268" w:type="dxa"/>
            <w:vAlign w:val="center"/>
          </w:tcPr>
          <w:p>
            <w:pPr>
              <w:pStyle w:val="12"/>
            </w:pPr>
            <w:r>
              <w:t>≥100%</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行政复议听证室</w:t>
            </w:r>
          </w:p>
        </w:tc>
        <w:tc>
          <w:tcPr>
            <w:tcW w:w="5386" w:type="dxa"/>
            <w:vAlign w:val="center"/>
          </w:tcPr>
          <w:p>
            <w:pPr>
              <w:pStyle w:val="12"/>
            </w:pPr>
            <w:r>
              <w:t>打造行政复议听证室</w:t>
            </w:r>
          </w:p>
        </w:tc>
        <w:tc>
          <w:tcPr>
            <w:tcW w:w="2268" w:type="dxa"/>
            <w:vAlign w:val="center"/>
          </w:tcPr>
          <w:p>
            <w:pPr>
              <w:pStyle w:val="12"/>
            </w:pPr>
            <w:r>
              <w:t>≥5万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案件审核完成率</w:t>
            </w:r>
          </w:p>
        </w:tc>
        <w:tc>
          <w:tcPr>
            <w:tcW w:w="5386" w:type="dxa"/>
            <w:vAlign w:val="center"/>
          </w:tcPr>
          <w:p>
            <w:pPr>
              <w:pStyle w:val="12"/>
            </w:pPr>
            <w:r>
              <w:t>及时办结交办的涉法事务案件审核率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预防和减少法律风险</w:t>
            </w:r>
          </w:p>
        </w:tc>
        <w:tc>
          <w:tcPr>
            <w:tcW w:w="5386" w:type="dxa"/>
            <w:vAlign w:val="center"/>
          </w:tcPr>
          <w:p>
            <w:pPr>
              <w:pStyle w:val="12"/>
            </w:pPr>
            <w:r>
              <w:t>政府决策科学化、民主化</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民调员调解成功率</w:t>
            </w:r>
          </w:p>
        </w:tc>
        <w:tc>
          <w:tcPr>
            <w:tcW w:w="5386" w:type="dxa"/>
            <w:vAlign w:val="center"/>
          </w:tcPr>
          <w:p>
            <w:pPr>
              <w:pStyle w:val="12"/>
            </w:pPr>
            <w:r>
              <w:t>经人民调解组织调解成功的案件数占人民调解案件总数的比例</w:t>
            </w:r>
          </w:p>
        </w:tc>
        <w:tc>
          <w:tcPr>
            <w:tcW w:w="2268" w:type="dxa"/>
            <w:vAlign w:val="center"/>
          </w:tcPr>
          <w:p>
            <w:pPr>
              <w:pStyle w:val="12"/>
            </w:pPr>
            <w:r>
              <w:t>≥90%</w:t>
            </w:r>
          </w:p>
        </w:tc>
        <w:tc>
          <w:tcPr>
            <w:tcW w:w="1276" w:type="dxa"/>
            <w:vAlign w:val="center"/>
          </w:tcPr>
          <w:p>
            <w:pPr>
              <w:pStyle w:val="12"/>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预防和减少法律风险</w:t>
            </w:r>
          </w:p>
        </w:tc>
        <w:tc>
          <w:tcPr>
            <w:tcW w:w="5386" w:type="dxa"/>
            <w:vAlign w:val="center"/>
          </w:tcPr>
          <w:p>
            <w:pPr>
              <w:pStyle w:val="12"/>
            </w:pPr>
            <w:r>
              <w:t>提高政府依法决策科学化、民主化水平</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社会对象或服务对象满意度</w:t>
            </w:r>
          </w:p>
        </w:tc>
        <w:tc>
          <w:tcPr>
            <w:tcW w:w="5386" w:type="dxa"/>
            <w:vAlign w:val="center"/>
          </w:tcPr>
          <w:p>
            <w:pPr>
              <w:pStyle w:val="12"/>
            </w:pPr>
            <w:r>
              <w:t>社会对象或服务对象满意度</w:t>
            </w:r>
          </w:p>
        </w:tc>
        <w:tc>
          <w:tcPr>
            <w:tcW w:w="2268" w:type="dxa"/>
            <w:vAlign w:val="center"/>
          </w:tcPr>
          <w:p>
            <w:pPr>
              <w:pStyle w:val="12"/>
            </w:pPr>
            <w:r>
              <w:t>≥95%</w:t>
            </w:r>
          </w:p>
        </w:tc>
        <w:tc>
          <w:tcPr>
            <w:tcW w:w="1276" w:type="dxa"/>
            <w:vAlign w:val="center"/>
          </w:tcPr>
          <w:p>
            <w:pPr>
              <w:pStyle w:val="12"/>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法治建设群众满意度测评</w:t>
            </w:r>
          </w:p>
        </w:tc>
        <w:tc>
          <w:tcPr>
            <w:tcW w:w="5386" w:type="dxa"/>
            <w:vAlign w:val="center"/>
          </w:tcPr>
          <w:p>
            <w:pPr>
              <w:pStyle w:val="12"/>
            </w:pPr>
            <w:r>
              <w:t>法治建设群众满意度测评</w:t>
            </w:r>
          </w:p>
        </w:tc>
        <w:tc>
          <w:tcPr>
            <w:tcW w:w="2268" w:type="dxa"/>
            <w:vAlign w:val="center"/>
          </w:tcPr>
          <w:p>
            <w:pPr>
              <w:pStyle w:val="12"/>
            </w:pPr>
            <w:r>
              <w:t>≥90%</w:t>
            </w:r>
          </w:p>
        </w:tc>
        <w:tc>
          <w:tcPr>
            <w:tcW w:w="1276" w:type="dxa"/>
            <w:vAlign w:val="center"/>
          </w:tcPr>
          <w:p>
            <w:pPr>
              <w:pStyle w:val="12"/>
            </w:pPr>
            <w:r>
              <w:t>鹿依法治区委字（2022）2号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18、提前下达2025年市级社区矫正专项经费绩效目标表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13011025P00001210925J</w:t>
            </w:r>
          </w:p>
        </w:tc>
        <w:tc>
          <w:tcPr>
            <w:tcW w:w="2835" w:type="dxa"/>
            <w:vAlign w:val="center"/>
          </w:tcPr>
          <w:p>
            <w:pPr>
              <w:pStyle w:val="10"/>
            </w:pPr>
            <w:r>
              <w:t>项目名称</w:t>
            </w:r>
          </w:p>
        </w:tc>
        <w:tc>
          <w:tcPr>
            <w:tcW w:w="6095" w:type="dxa"/>
            <w:gridSpan w:val="3"/>
            <w:vAlign w:val="center"/>
          </w:tcPr>
          <w:p>
            <w:pPr>
              <w:pStyle w:val="12"/>
            </w:pPr>
            <w:r>
              <w:t>提前下达2025年市级社区矫正专项经费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"通过开展社区矫正工作，对在册的336名矫正人员进行不定期的，不少于10天的集中教育，预防和减少犯罪，维护社会安全稳定。</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1.通过开展社区矫正工作，对在册的336名矫正人员进行不定期的，不少于10天的集中教育，预防和减少犯罪，维护社会安全稳定。</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社区矫正公文特快专递费用</w:t>
            </w:r>
          </w:p>
        </w:tc>
        <w:tc>
          <w:tcPr>
            <w:tcW w:w="5386" w:type="dxa"/>
            <w:vAlign w:val="center"/>
          </w:tcPr>
          <w:p>
            <w:pPr>
              <w:pStyle w:val="12"/>
            </w:pPr>
            <w:r>
              <w:t>社区矫正公文特快专递费用</w:t>
            </w:r>
          </w:p>
        </w:tc>
        <w:tc>
          <w:tcPr>
            <w:tcW w:w="2268" w:type="dxa"/>
            <w:vAlign w:val="center"/>
          </w:tcPr>
          <w:p>
            <w:pPr>
              <w:pStyle w:val="12"/>
            </w:pPr>
            <w:r>
              <w:t>≥10000元</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法律法规宣传书籍、学习笔、本费用</w:t>
            </w:r>
          </w:p>
        </w:tc>
        <w:tc>
          <w:tcPr>
            <w:tcW w:w="5386" w:type="dxa"/>
            <w:vAlign w:val="center"/>
          </w:tcPr>
          <w:p>
            <w:pPr>
              <w:pStyle w:val="12"/>
            </w:pPr>
            <w:r>
              <w:t>宣传</w:t>
            </w:r>
          </w:p>
        </w:tc>
        <w:tc>
          <w:tcPr>
            <w:tcW w:w="2268" w:type="dxa"/>
            <w:vAlign w:val="center"/>
          </w:tcPr>
          <w:p>
            <w:pPr>
              <w:pStyle w:val="12"/>
            </w:pPr>
            <w:r>
              <w:t>≥10000元</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社区矫正对象接受率</w:t>
            </w:r>
          </w:p>
        </w:tc>
        <w:tc>
          <w:tcPr>
            <w:tcW w:w="5386" w:type="dxa"/>
            <w:vAlign w:val="center"/>
          </w:tcPr>
          <w:p>
            <w:pPr>
              <w:pStyle w:val="12"/>
            </w:pPr>
            <w:r>
              <w:t>年度实际接收社区矫正对象与应接收人数之比</w:t>
            </w:r>
          </w:p>
        </w:tc>
        <w:tc>
          <w:tcPr>
            <w:tcW w:w="2268" w:type="dxa"/>
            <w:vAlign w:val="center"/>
          </w:tcPr>
          <w:p>
            <w:pPr>
              <w:pStyle w:val="12"/>
            </w:pPr>
            <w:r>
              <w:t>100%</w:t>
            </w:r>
          </w:p>
        </w:tc>
        <w:tc>
          <w:tcPr>
            <w:tcW w:w="1276"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接收矫正时间</w:t>
            </w:r>
          </w:p>
        </w:tc>
        <w:tc>
          <w:tcPr>
            <w:tcW w:w="5386" w:type="dxa"/>
            <w:vAlign w:val="center"/>
          </w:tcPr>
          <w:p>
            <w:pPr>
              <w:pStyle w:val="12"/>
            </w:pPr>
            <w:r>
              <w:t>接收矫正人员时间</w:t>
            </w:r>
          </w:p>
        </w:tc>
        <w:tc>
          <w:tcPr>
            <w:tcW w:w="2268" w:type="dxa"/>
            <w:vAlign w:val="center"/>
          </w:tcPr>
          <w:p>
            <w:pPr>
              <w:pStyle w:val="12"/>
            </w:pPr>
            <w:r>
              <w:t>≤10天</w:t>
            </w:r>
          </w:p>
        </w:tc>
        <w:tc>
          <w:tcPr>
            <w:tcW w:w="1276"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电子档案文书制作、整理费</w:t>
            </w:r>
          </w:p>
        </w:tc>
        <w:tc>
          <w:tcPr>
            <w:tcW w:w="5386" w:type="dxa"/>
            <w:vAlign w:val="center"/>
          </w:tcPr>
          <w:p>
            <w:pPr>
              <w:pStyle w:val="12"/>
            </w:pPr>
            <w:r>
              <w:t>电子档案文书制作、整理费</w:t>
            </w:r>
          </w:p>
        </w:tc>
        <w:tc>
          <w:tcPr>
            <w:tcW w:w="2268" w:type="dxa"/>
            <w:vAlign w:val="center"/>
          </w:tcPr>
          <w:p>
            <w:pPr>
              <w:pStyle w:val="12"/>
            </w:pPr>
            <w:r>
              <w:t>≥30000元</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电子档案管理信息系统</w:t>
            </w:r>
          </w:p>
        </w:tc>
        <w:tc>
          <w:tcPr>
            <w:tcW w:w="5386" w:type="dxa"/>
            <w:vAlign w:val="center"/>
          </w:tcPr>
          <w:p>
            <w:pPr>
              <w:pStyle w:val="12"/>
            </w:pPr>
            <w:r>
              <w:t>档案管理信息系统</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电子档案文书扫描设备</w:t>
            </w:r>
          </w:p>
        </w:tc>
        <w:tc>
          <w:tcPr>
            <w:tcW w:w="5386" w:type="dxa"/>
            <w:vAlign w:val="center"/>
          </w:tcPr>
          <w:p>
            <w:pPr>
              <w:pStyle w:val="12"/>
            </w:pPr>
            <w:r>
              <w:t>档案文书扫描设备</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电子档案文书管理设备</w:t>
            </w:r>
          </w:p>
        </w:tc>
        <w:tc>
          <w:tcPr>
            <w:tcW w:w="5386" w:type="dxa"/>
            <w:vAlign w:val="center"/>
          </w:tcPr>
          <w:p>
            <w:pPr>
              <w:pStyle w:val="12"/>
            </w:pPr>
            <w:r>
              <w:t>电子档案文书管理设备</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5386" w:type="dxa"/>
            <w:vAlign w:val="center"/>
          </w:tcPr>
          <w:p>
            <w:pPr>
              <w:pStyle w:val="12"/>
            </w:pPr>
            <w:r>
              <w:t>年度社区矫正对象再犯罪人数与列管人数之比</w:t>
            </w:r>
          </w:p>
        </w:tc>
        <w:tc>
          <w:tcPr>
            <w:tcW w:w="2268" w:type="dxa"/>
            <w:vAlign w:val="center"/>
          </w:tcPr>
          <w:p>
            <w:pPr>
              <w:pStyle w:val="12"/>
            </w:pPr>
            <w:r>
              <w:t>≤0.2%</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19、提前下达2025年中央政法纪检监察转移支付资金绩效目标表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13011025P00151710001E</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51.23</w:t>
            </w:r>
          </w:p>
        </w:tc>
        <w:tc>
          <w:tcPr>
            <w:tcW w:w="2835" w:type="dxa"/>
            <w:vAlign w:val="center"/>
          </w:tcPr>
          <w:p>
            <w:pPr>
              <w:pStyle w:val="10"/>
            </w:pPr>
            <w:r>
              <w:t>其中：财政    资金</w:t>
            </w:r>
          </w:p>
        </w:tc>
        <w:tc>
          <w:tcPr>
            <w:tcW w:w="2551" w:type="dxa"/>
            <w:vAlign w:val="center"/>
          </w:tcPr>
          <w:p>
            <w:pPr>
              <w:pStyle w:val="12"/>
            </w:pPr>
            <w:r>
              <w:t>51.23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13个司法所工作经费，每个司法所每年5万元，共计65万元。包括：司法所规范化建设费用等。政府法律顾问费用用于政府常务会议题、政府合同等涉法事务审核每年约32件，审核成本每件200-500元。法治宣传。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1.13个司法所工作经费，每个司法所每年5万元，共计65万元。包括：司法所规范化建设费用等。政府法律顾问费用用于政府常务会议题、政府合同等涉法事务审核每年约32件，审核成本每件200-500元。法治宣传。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涉法事务案件数量</w:t>
            </w:r>
          </w:p>
        </w:tc>
        <w:tc>
          <w:tcPr>
            <w:tcW w:w="5386" w:type="dxa"/>
            <w:vAlign w:val="center"/>
          </w:tcPr>
          <w:p>
            <w:pPr>
              <w:pStyle w:val="12"/>
            </w:pPr>
            <w:r>
              <w:t>包括政府常务会议题、政府合同等涉法事务事项把关</w:t>
            </w:r>
          </w:p>
        </w:tc>
        <w:tc>
          <w:tcPr>
            <w:tcW w:w="2268" w:type="dxa"/>
            <w:vAlign w:val="center"/>
          </w:tcPr>
          <w:p>
            <w:pPr>
              <w:pStyle w:val="12"/>
            </w:pPr>
            <w:r>
              <w:t>≥320件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涉法事务案件把关审核费用</w:t>
            </w:r>
          </w:p>
        </w:tc>
        <w:tc>
          <w:tcPr>
            <w:tcW w:w="5386" w:type="dxa"/>
            <w:vAlign w:val="center"/>
          </w:tcPr>
          <w:p>
            <w:pPr>
              <w:pStyle w:val="12"/>
            </w:pPr>
            <w:r>
              <w:t>根据不同涉法事务，案件统计核算法律顾问费用</w:t>
            </w:r>
          </w:p>
        </w:tc>
        <w:tc>
          <w:tcPr>
            <w:tcW w:w="2268" w:type="dxa"/>
            <w:vAlign w:val="center"/>
          </w:tcPr>
          <w:p>
            <w:pPr>
              <w:pStyle w:val="12"/>
            </w:pPr>
            <w:r>
              <w:t>≤500元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提出法律意见规范化水平</w:t>
            </w:r>
          </w:p>
        </w:tc>
        <w:tc>
          <w:tcPr>
            <w:tcW w:w="5386" w:type="dxa"/>
            <w:vAlign w:val="center"/>
          </w:tcPr>
          <w:p>
            <w:pPr>
              <w:pStyle w:val="12"/>
            </w:pPr>
            <w:r>
              <w:t>根据涉法事务内容，按程序和相关法律规定提出法律意见</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按3-10个法定工作日出具法律意见</w:t>
            </w:r>
          </w:p>
        </w:tc>
        <w:tc>
          <w:tcPr>
            <w:tcW w:w="5386" w:type="dxa"/>
            <w:vAlign w:val="center"/>
          </w:tcPr>
          <w:p>
            <w:pPr>
              <w:pStyle w:val="12"/>
            </w:pPr>
            <w:r>
              <w:t>受理后3-10个工作日出具法律意见</w:t>
            </w:r>
          </w:p>
        </w:tc>
        <w:tc>
          <w:tcPr>
            <w:tcW w:w="2268" w:type="dxa"/>
            <w:vAlign w:val="center"/>
          </w:tcPr>
          <w:p>
            <w:pPr>
              <w:pStyle w:val="12"/>
            </w:pPr>
            <w:r>
              <w:t>≤10%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人民调解案件数量</w:t>
            </w:r>
          </w:p>
        </w:tc>
        <w:tc>
          <w:tcPr>
            <w:tcW w:w="5386" w:type="dxa"/>
            <w:vAlign w:val="center"/>
          </w:tcPr>
          <w:p>
            <w:pPr>
              <w:pStyle w:val="12"/>
            </w:pPr>
            <w:r>
              <w:t>人民调解案件数量</w:t>
            </w:r>
          </w:p>
        </w:tc>
        <w:tc>
          <w:tcPr>
            <w:tcW w:w="2268" w:type="dxa"/>
            <w:vAlign w:val="center"/>
          </w:tcPr>
          <w:p>
            <w:pPr>
              <w:pStyle w:val="12"/>
            </w:pPr>
            <w:r>
              <w:t>≤260件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人民调解成本</w:t>
            </w:r>
          </w:p>
        </w:tc>
        <w:tc>
          <w:tcPr>
            <w:tcW w:w="5386" w:type="dxa"/>
            <w:vAlign w:val="center"/>
          </w:tcPr>
          <w:p>
            <w:pPr>
              <w:pStyle w:val="12"/>
            </w:pPr>
            <w:r>
              <w:t>人民调解成本</w:t>
            </w:r>
          </w:p>
        </w:tc>
        <w:tc>
          <w:tcPr>
            <w:tcW w:w="2268" w:type="dxa"/>
            <w:vAlign w:val="center"/>
          </w:tcPr>
          <w:p>
            <w:pPr>
              <w:pStyle w:val="12"/>
            </w:pPr>
            <w:r>
              <w:t>150元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行政复议、行政应诉案件需咨询案件数</w:t>
            </w:r>
          </w:p>
        </w:tc>
        <w:tc>
          <w:tcPr>
            <w:tcW w:w="5386" w:type="dxa"/>
            <w:vAlign w:val="center"/>
          </w:tcPr>
          <w:p>
            <w:pPr>
              <w:pStyle w:val="12"/>
            </w:pPr>
            <w:r>
              <w:t>行政复议、行政应诉案件咨询数</w:t>
            </w:r>
          </w:p>
        </w:tc>
        <w:tc>
          <w:tcPr>
            <w:tcW w:w="2268" w:type="dxa"/>
            <w:vAlign w:val="center"/>
          </w:tcPr>
          <w:p>
            <w:pPr>
              <w:pStyle w:val="12"/>
            </w:pPr>
            <w:r>
              <w:t>≤50件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行政复议、行政应诉案件咨询费</w:t>
            </w:r>
          </w:p>
        </w:tc>
        <w:tc>
          <w:tcPr>
            <w:tcW w:w="5386" w:type="dxa"/>
            <w:vAlign w:val="center"/>
          </w:tcPr>
          <w:p>
            <w:pPr>
              <w:pStyle w:val="12"/>
            </w:pPr>
            <w:r>
              <w:t>行政复议、行政应诉咨询费</w:t>
            </w:r>
          </w:p>
        </w:tc>
        <w:tc>
          <w:tcPr>
            <w:tcW w:w="2268" w:type="dxa"/>
            <w:vAlign w:val="center"/>
          </w:tcPr>
          <w:p>
            <w:pPr>
              <w:pStyle w:val="12"/>
            </w:pPr>
            <w:r>
              <w:t>≥400元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社区矫正vr设备</w:t>
            </w:r>
          </w:p>
        </w:tc>
        <w:tc>
          <w:tcPr>
            <w:tcW w:w="5386" w:type="dxa"/>
            <w:vAlign w:val="center"/>
          </w:tcPr>
          <w:p>
            <w:pPr>
              <w:pStyle w:val="12"/>
            </w:pPr>
            <w:r>
              <w:t>智慧矫正建设</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法律援助案件数量</w:t>
            </w:r>
          </w:p>
        </w:tc>
        <w:tc>
          <w:tcPr>
            <w:tcW w:w="5386" w:type="dxa"/>
            <w:vAlign w:val="center"/>
          </w:tcPr>
          <w:p>
            <w:pPr>
              <w:pStyle w:val="12"/>
            </w:pPr>
            <w:r>
              <w:t>每年提供民事、刑事、行政法律援助案件数量</w:t>
            </w:r>
          </w:p>
        </w:tc>
        <w:tc>
          <w:tcPr>
            <w:tcW w:w="2268" w:type="dxa"/>
            <w:vAlign w:val="center"/>
          </w:tcPr>
          <w:p>
            <w:pPr>
              <w:pStyle w:val="12"/>
            </w:pPr>
            <w:r>
              <w:t>≥115件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法律援助案件办理完成率</w:t>
            </w:r>
          </w:p>
        </w:tc>
        <w:tc>
          <w:tcPr>
            <w:tcW w:w="5386" w:type="dxa"/>
            <w:vAlign w:val="center"/>
          </w:tcPr>
          <w:p>
            <w:pPr>
              <w:pStyle w:val="12"/>
            </w:pPr>
            <w:r>
              <w:t>法律援助机构对办案的监督，应当综合运用庭审旁听、案卷检查、征询司法机关意见和回访受援人等措施 ，督促法律援助人民提升服务质量。</w:t>
            </w:r>
          </w:p>
        </w:tc>
        <w:tc>
          <w:tcPr>
            <w:tcW w:w="2268" w:type="dxa"/>
            <w:vAlign w:val="center"/>
          </w:tcPr>
          <w:p>
            <w:pPr>
              <w:pStyle w:val="12"/>
            </w:pPr>
            <w:r>
              <w:t>≥100%</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行政复议听证室</w:t>
            </w:r>
          </w:p>
        </w:tc>
        <w:tc>
          <w:tcPr>
            <w:tcW w:w="5386" w:type="dxa"/>
            <w:vAlign w:val="center"/>
          </w:tcPr>
          <w:p>
            <w:pPr>
              <w:pStyle w:val="12"/>
            </w:pPr>
            <w:r>
              <w:t>打造行政复议听证室，办理行政复议案件</w:t>
            </w:r>
          </w:p>
        </w:tc>
        <w:tc>
          <w:tcPr>
            <w:tcW w:w="2268" w:type="dxa"/>
            <w:vAlign w:val="center"/>
          </w:tcPr>
          <w:p>
            <w:pPr>
              <w:pStyle w:val="12"/>
            </w:pPr>
            <w:r>
              <w:t>≥10万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“双随机一公开”执法检查次数</w:t>
            </w:r>
          </w:p>
          <w:p>
            <w:pPr>
              <w:pStyle w:val="12"/>
            </w:pPr>
          </w:p>
        </w:tc>
        <w:tc>
          <w:tcPr>
            <w:tcW w:w="5386" w:type="dxa"/>
            <w:vAlign w:val="center"/>
          </w:tcPr>
          <w:p>
            <w:pPr>
              <w:pStyle w:val="12"/>
            </w:pPr>
            <w:r>
              <w:t>“双随机一公开”执法检查次数</w:t>
            </w:r>
          </w:p>
        </w:tc>
        <w:tc>
          <w:tcPr>
            <w:tcW w:w="2268" w:type="dxa"/>
            <w:vAlign w:val="center"/>
          </w:tcPr>
          <w:p>
            <w:pPr>
              <w:pStyle w:val="12"/>
            </w:pPr>
            <w:r>
              <w:t>1次</w:t>
            </w:r>
          </w:p>
        </w:tc>
        <w:tc>
          <w:tcPr>
            <w:tcW w:w="1276" w:type="dxa"/>
            <w:vAlign w:val="center"/>
          </w:tcPr>
          <w:p>
            <w:pPr>
              <w:pStyle w:val="12"/>
            </w:pPr>
            <w:r>
              <w:t>历年经验</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行政执法案卷评查次数</w:t>
            </w:r>
          </w:p>
        </w:tc>
        <w:tc>
          <w:tcPr>
            <w:tcW w:w="5386" w:type="dxa"/>
            <w:vAlign w:val="center"/>
          </w:tcPr>
          <w:p>
            <w:pPr>
              <w:pStyle w:val="12"/>
            </w:pPr>
            <w:r>
              <w:t>行政执法案卷评查次数</w:t>
            </w:r>
          </w:p>
        </w:tc>
        <w:tc>
          <w:tcPr>
            <w:tcW w:w="2268" w:type="dxa"/>
            <w:vAlign w:val="center"/>
          </w:tcPr>
          <w:p>
            <w:pPr>
              <w:pStyle w:val="12"/>
            </w:pPr>
            <w:r>
              <w:t>≤1次</w:t>
            </w:r>
          </w:p>
        </w:tc>
        <w:tc>
          <w:tcPr>
            <w:tcW w:w="1276" w:type="dxa"/>
            <w:vAlign w:val="center"/>
          </w:tcPr>
          <w:p>
            <w:pPr>
              <w:pStyle w:val="12"/>
            </w:pPr>
            <w:r>
              <w:t>历年经验</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提高政府决策的水平</w:t>
            </w:r>
          </w:p>
        </w:tc>
        <w:tc>
          <w:tcPr>
            <w:tcW w:w="5386" w:type="dxa"/>
            <w:vAlign w:val="center"/>
          </w:tcPr>
          <w:p>
            <w:pPr>
              <w:pStyle w:val="12"/>
            </w:pPr>
            <w:r>
              <w:t>减少法律纠纷</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民调员调解成功率</w:t>
            </w:r>
          </w:p>
        </w:tc>
        <w:tc>
          <w:tcPr>
            <w:tcW w:w="5386" w:type="dxa"/>
            <w:vAlign w:val="center"/>
          </w:tcPr>
          <w:p>
            <w:pPr>
              <w:pStyle w:val="12"/>
            </w:pPr>
            <w:r>
              <w:t>民调员调解成功率</w:t>
            </w:r>
          </w:p>
        </w:tc>
        <w:tc>
          <w:tcPr>
            <w:tcW w:w="2268" w:type="dxa"/>
            <w:vAlign w:val="center"/>
          </w:tcPr>
          <w:p>
            <w:pPr>
              <w:pStyle w:val="12"/>
            </w:pPr>
            <w:r>
              <w:t>≥95%</w:t>
            </w:r>
          </w:p>
        </w:tc>
        <w:tc>
          <w:tcPr>
            <w:tcW w:w="1276" w:type="dxa"/>
            <w:vAlign w:val="center"/>
          </w:tcPr>
          <w:p>
            <w:pPr>
              <w:pStyle w:val="12"/>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社会对象或服务对象满意度</w:t>
            </w:r>
          </w:p>
        </w:tc>
        <w:tc>
          <w:tcPr>
            <w:tcW w:w="5386" w:type="dxa"/>
            <w:vAlign w:val="center"/>
          </w:tcPr>
          <w:p>
            <w:pPr>
              <w:pStyle w:val="12"/>
            </w:pPr>
            <w:r>
              <w:t>社会对象或服务对象满意度</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法治建设群众满意度测评</w:t>
            </w:r>
          </w:p>
        </w:tc>
        <w:tc>
          <w:tcPr>
            <w:tcW w:w="5386" w:type="dxa"/>
            <w:vAlign w:val="center"/>
          </w:tcPr>
          <w:p>
            <w:pPr>
              <w:pStyle w:val="12"/>
            </w:pPr>
            <w:r>
              <w:t>法治建设群众满意度测评</w:t>
            </w:r>
          </w:p>
        </w:tc>
        <w:tc>
          <w:tcPr>
            <w:tcW w:w="2268" w:type="dxa"/>
            <w:vAlign w:val="center"/>
          </w:tcPr>
          <w:p>
            <w:pPr>
              <w:pStyle w:val="12"/>
            </w:pPr>
            <w:r>
              <w:t>≥90%</w:t>
            </w:r>
          </w:p>
        </w:tc>
        <w:tc>
          <w:tcPr>
            <w:tcW w:w="1276" w:type="dxa"/>
            <w:vAlign w:val="center"/>
          </w:tcPr>
          <w:p>
            <w:pPr>
              <w:pStyle w:val="12"/>
            </w:pPr>
            <w:r>
              <w:t>鹿依法治区委字（2022）2号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20、提前下达2026年度省级基层公检法司转移支付资金绩效目标表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13011026P00001211157L</w:t>
            </w:r>
          </w:p>
        </w:tc>
        <w:tc>
          <w:tcPr>
            <w:tcW w:w="2835" w:type="dxa"/>
            <w:vAlign w:val="center"/>
          </w:tcPr>
          <w:p>
            <w:pPr>
              <w:pStyle w:val="10"/>
            </w:pPr>
            <w:r>
              <w:t>项目名称</w:t>
            </w:r>
          </w:p>
        </w:tc>
        <w:tc>
          <w:tcPr>
            <w:tcW w:w="6095" w:type="dxa"/>
            <w:gridSpan w:val="3"/>
            <w:vAlign w:val="center"/>
          </w:tcPr>
          <w:p>
            <w:pPr>
              <w:pStyle w:val="12"/>
            </w:pPr>
            <w:r>
              <w:t>提前下达2026年度省级基层公检法司转移支付资金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案件400件。做到七日内指派完成，取得良好社会预期</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案件400件。做到七日内指派完成，取得良好社会预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社区矫正业务设备消耗、修理和维护费</w:t>
            </w:r>
          </w:p>
        </w:tc>
        <w:tc>
          <w:tcPr>
            <w:tcW w:w="5386" w:type="dxa"/>
            <w:vAlign w:val="center"/>
          </w:tcPr>
          <w:p>
            <w:pPr>
              <w:pStyle w:val="12"/>
            </w:pPr>
            <w:r>
              <w:t>社区矫正业务设备消耗、修理和维护费用</w:t>
            </w:r>
          </w:p>
        </w:tc>
        <w:tc>
          <w:tcPr>
            <w:tcW w:w="2268" w:type="dxa"/>
            <w:vAlign w:val="center"/>
          </w:tcPr>
          <w:p>
            <w:pPr>
              <w:pStyle w:val="12"/>
            </w:pPr>
            <w:r>
              <w:t>≤8000元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社区矫正、安置帮教宣传费</w:t>
            </w:r>
          </w:p>
        </w:tc>
        <w:tc>
          <w:tcPr>
            <w:tcW w:w="5386" w:type="dxa"/>
            <w:vAlign w:val="center"/>
          </w:tcPr>
          <w:p>
            <w:pPr>
              <w:pStyle w:val="12"/>
            </w:pPr>
            <w:r>
              <w:t>社区矫正、安置帮教宣传费</w:t>
            </w:r>
          </w:p>
        </w:tc>
        <w:tc>
          <w:tcPr>
            <w:tcW w:w="2268" w:type="dxa"/>
            <w:vAlign w:val="center"/>
          </w:tcPr>
          <w:p>
            <w:pPr>
              <w:pStyle w:val="12"/>
            </w:pPr>
            <w:r>
              <w:t>≤10000元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社区矫正、安置帮教过渡基地租金</w:t>
            </w:r>
          </w:p>
        </w:tc>
        <w:tc>
          <w:tcPr>
            <w:tcW w:w="5386" w:type="dxa"/>
            <w:vAlign w:val="center"/>
          </w:tcPr>
          <w:p>
            <w:pPr>
              <w:pStyle w:val="12"/>
            </w:pPr>
            <w:r>
              <w:t>社区矫正、安置帮教过渡基地租金</w:t>
            </w:r>
          </w:p>
        </w:tc>
        <w:tc>
          <w:tcPr>
            <w:tcW w:w="2268" w:type="dxa"/>
            <w:vAlign w:val="center"/>
          </w:tcPr>
          <w:p>
            <w:pPr>
              <w:pStyle w:val="12"/>
            </w:pPr>
            <w:r>
              <w:t>≤12000元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社区矫正文书档案费</w:t>
            </w:r>
          </w:p>
        </w:tc>
        <w:tc>
          <w:tcPr>
            <w:tcW w:w="5386" w:type="dxa"/>
            <w:vAlign w:val="center"/>
          </w:tcPr>
          <w:p>
            <w:pPr>
              <w:pStyle w:val="12"/>
            </w:pPr>
            <w:r>
              <w:t>社区矫正文书档案费用</w:t>
            </w:r>
          </w:p>
        </w:tc>
        <w:tc>
          <w:tcPr>
            <w:tcW w:w="2268" w:type="dxa"/>
            <w:vAlign w:val="center"/>
          </w:tcPr>
          <w:p>
            <w:pPr>
              <w:pStyle w:val="12"/>
            </w:pPr>
            <w:r>
              <w:t>≤10000元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第三方按规定参与社区矫正工作费用</w:t>
            </w:r>
          </w:p>
        </w:tc>
        <w:tc>
          <w:tcPr>
            <w:tcW w:w="5386" w:type="dxa"/>
            <w:vAlign w:val="center"/>
          </w:tcPr>
          <w:p>
            <w:pPr>
              <w:pStyle w:val="12"/>
            </w:pPr>
            <w:r>
              <w:t>第三方社工组织参与社区矫正教育、心理服务等</w:t>
            </w:r>
          </w:p>
        </w:tc>
        <w:tc>
          <w:tcPr>
            <w:tcW w:w="2268" w:type="dxa"/>
            <w:vAlign w:val="center"/>
          </w:tcPr>
          <w:p>
            <w:pPr>
              <w:pStyle w:val="12"/>
            </w:pPr>
            <w:r>
              <w:t>≤90000元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社区矫正业务笔记本电脑</w:t>
            </w:r>
          </w:p>
        </w:tc>
        <w:tc>
          <w:tcPr>
            <w:tcW w:w="5386" w:type="dxa"/>
            <w:vAlign w:val="center"/>
          </w:tcPr>
          <w:p>
            <w:pPr>
              <w:pStyle w:val="12"/>
            </w:pPr>
            <w:r>
              <w:t>社区矫正业务笔记本电脑</w:t>
            </w:r>
          </w:p>
        </w:tc>
        <w:tc>
          <w:tcPr>
            <w:tcW w:w="2268" w:type="dxa"/>
            <w:vAlign w:val="center"/>
          </w:tcPr>
          <w:p>
            <w:pPr>
              <w:pStyle w:val="12"/>
            </w:pPr>
            <w:r>
              <w:t>≤14台</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社区矫正业务打印机</w:t>
            </w:r>
          </w:p>
        </w:tc>
        <w:tc>
          <w:tcPr>
            <w:tcW w:w="5386" w:type="dxa"/>
            <w:vAlign w:val="center"/>
          </w:tcPr>
          <w:p>
            <w:pPr>
              <w:pStyle w:val="12"/>
            </w:pPr>
            <w:r>
              <w:t>社区矫正业务打印机</w:t>
            </w:r>
          </w:p>
        </w:tc>
        <w:tc>
          <w:tcPr>
            <w:tcW w:w="2268" w:type="dxa"/>
            <w:vAlign w:val="center"/>
          </w:tcPr>
          <w:p>
            <w:pPr>
              <w:pStyle w:val="12"/>
            </w:pPr>
            <w:r>
              <w:t>≤14台</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社区矫正快递文书费</w:t>
            </w:r>
          </w:p>
        </w:tc>
        <w:tc>
          <w:tcPr>
            <w:tcW w:w="5386" w:type="dxa"/>
            <w:vAlign w:val="center"/>
          </w:tcPr>
          <w:p>
            <w:pPr>
              <w:pStyle w:val="12"/>
            </w:pPr>
            <w:r>
              <w:t>社区矫正文书邮寄</w:t>
            </w:r>
          </w:p>
        </w:tc>
        <w:tc>
          <w:tcPr>
            <w:tcW w:w="2268" w:type="dxa"/>
            <w:vAlign w:val="center"/>
          </w:tcPr>
          <w:p>
            <w:pPr>
              <w:pStyle w:val="12"/>
            </w:pPr>
            <w:r>
              <w:t>≤17000元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行政复议案件法律咨询数量</w:t>
            </w:r>
          </w:p>
        </w:tc>
        <w:tc>
          <w:tcPr>
            <w:tcW w:w="5386" w:type="dxa"/>
            <w:vAlign w:val="center"/>
          </w:tcPr>
          <w:p>
            <w:pPr>
              <w:pStyle w:val="12"/>
            </w:pPr>
            <w:r>
              <w:t>行政复议案件法律咨询数量</w:t>
            </w:r>
          </w:p>
        </w:tc>
        <w:tc>
          <w:tcPr>
            <w:tcW w:w="2268" w:type="dxa"/>
            <w:vAlign w:val="center"/>
          </w:tcPr>
          <w:p>
            <w:pPr>
              <w:pStyle w:val="12"/>
            </w:pPr>
            <w:r>
              <w:t>≤150件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经复议后案件诉讼代理量</w:t>
            </w:r>
          </w:p>
        </w:tc>
        <w:tc>
          <w:tcPr>
            <w:tcW w:w="5386" w:type="dxa"/>
            <w:vAlign w:val="center"/>
          </w:tcPr>
          <w:p>
            <w:pPr>
              <w:pStyle w:val="12"/>
            </w:pPr>
            <w:r>
              <w:t>经复议后案件诉讼代理量</w:t>
            </w:r>
          </w:p>
        </w:tc>
        <w:tc>
          <w:tcPr>
            <w:tcW w:w="2268" w:type="dxa"/>
            <w:vAlign w:val="center"/>
          </w:tcPr>
          <w:p>
            <w:pPr>
              <w:pStyle w:val="12"/>
            </w:pPr>
            <w:r>
              <w:t>≤50件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按3-10个法定工作日出具法律意见</w:t>
            </w:r>
          </w:p>
        </w:tc>
        <w:tc>
          <w:tcPr>
            <w:tcW w:w="5386" w:type="dxa"/>
            <w:vAlign w:val="center"/>
          </w:tcPr>
          <w:p>
            <w:pPr>
              <w:pStyle w:val="12"/>
            </w:pPr>
            <w:r>
              <w:t>受理后3-10个工作日出具法律意见</w:t>
            </w:r>
          </w:p>
        </w:tc>
        <w:tc>
          <w:tcPr>
            <w:tcW w:w="2268" w:type="dxa"/>
            <w:vAlign w:val="center"/>
          </w:tcPr>
          <w:p>
            <w:pPr>
              <w:pStyle w:val="12"/>
            </w:pPr>
            <w:r>
              <w:t>≤10日</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行政复议业务碎纸机</w:t>
            </w:r>
          </w:p>
        </w:tc>
        <w:tc>
          <w:tcPr>
            <w:tcW w:w="5386" w:type="dxa"/>
            <w:vAlign w:val="center"/>
          </w:tcPr>
          <w:p>
            <w:pPr>
              <w:pStyle w:val="12"/>
            </w:pPr>
            <w:r>
              <w:t>行政复议业务碎纸机</w:t>
            </w:r>
          </w:p>
        </w:tc>
        <w:tc>
          <w:tcPr>
            <w:tcW w:w="2268" w:type="dxa"/>
            <w:vAlign w:val="center"/>
          </w:tcPr>
          <w:p>
            <w:pPr>
              <w:pStyle w:val="12"/>
            </w:pPr>
            <w:r>
              <w:t>1台</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普法宣传成本</w:t>
            </w:r>
          </w:p>
        </w:tc>
        <w:tc>
          <w:tcPr>
            <w:tcW w:w="2268" w:type="dxa"/>
            <w:vAlign w:val="center"/>
          </w:tcPr>
          <w:p>
            <w:pPr>
              <w:pStyle w:val="12"/>
            </w:pPr>
            <w:r>
              <w:t>≤9万元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法治建设成本</w:t>
            </w:r>
          </w:p>
        </w:tc>
        <w:tc>
          <w:tcPr>
            <w:tcW w:w="5386" w:type="dxa"/>
            <w:vAlign w:val="center"/>
          </w:tcPr>
          <w:p>
            <w:pPr>
              <w:pStyle w:val="12"/>
            </w:pPr>
            <w:r>
              <w:t>法治建设成本</w:t>
            </w:r>
          </w:p>
        </w:tc>
        <w:tc>
          <w:tcPr>
            <w:tcW w:w="2268" w:type="dxa"/>
            <w:vAlign w:val="center"/>
          </w:tcPr>
          <w:p>
            <w:pPr>
              <w:pStyle w:val="12"/>
            </w:pPr>
            <w:r>
              <w:t>≤2万元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法治阵地维护成本</w:t>
            </w:r>
          </w:p>
        </w:tc>
        <w:tc>
          <w:tcPr>
            <w:tcW w:w="5386" w:type="dxa"/>
            <w:vAlign w:val="center"/>
          </w:tcPr>
          <w:p>
            <w:pPr>
              <w:pStyle w:val="12"/>
            </w:pPr>
            <w:r>
              <w:t>法治阵地维护成本</w:t>
            </w:r>
          </w:p>
        </w:tc>
        <w:tc>
          <w:tcPr>
            <w:tcW w:w="2268" w:type="dxa"/>
            <w:vAlign w:val="center"/>
          </w:tcPr>
          <w:p>
            <w:pPr>
              <w:pStyle w:val="12"/>
            </w:pPr>
            <w:r>
              <w:t>≤2万元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法治建设群众满意度测评成本</w:t>
            </w:r>
          </w:p>
        </w:tc>
        <w:tc>
          <w:tcPr>
            <w:tcW w:w="5386" w:type="dxa"/>
            <w:vAlign w:val="center"/>
          </w:tcPr>
          <w:p>
            <w:pPr>
              <w:pStyle w:val="12"/>
            </w:pPr>
            <w:r>
              <w:t>法治建设群众满意度测评成本</w:t>
            </w:r>
          </w:p>
        </w:tc>
        <w:tc>
          <w:tcPr>
            <w:tcW w:w="2268" w:type="dxa"/>
            <w:vAlign w:val="center"/>
          </w:tcPr>
          <w:p>
            <w:pPr>
              <w:pStyle w:val="12"/>
            </w:pPr>
            <w:r>
              <w:t>≤3万元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提供无偿法律援助数量</w:t>
            </w:r>
          </w:p>
        </w:tc>
        <w:tc>
          <w:tcPr>
            <w:tcW w:w="5386" w:type="dxa"/>
            <w:vAlign w:val="center"/>
          </w:tcPr>
          <w:p>
            <w:pPr>
              <w:pStyle w:val="12"/>
            </w:pPr>
            <w:r>
              <w:t>提供无偿法律援助数量</w:t>
            </w:r>
          </w:p>
        </w:tc>
        <w:tc>
          <w:tcPr>
            <w:tcW w:w="2268" w:type="dxa"/>
            <w:vAlign w:val="center"/>
          </w:tcPr>
          <w:p>
            <w:pPr>
              <w:pStyle w:val="12"/>
            </w:pPr>
            <w:r>
              <w:t>≥400件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法律援助案件合格率</w:t>
            </w:r>
          </w:p>
        </w:tc>
        <w:tc>
          <w:tcPr>
            <w:tcW w:w="5386" w:type="dxa"/>
            <w:vAlign w:val="center"/>
          </w:tcPr>
          <w:p>
            <w:pPr>
              <w:pStyle w:val="12"/>
            </w:pPr>
            <w:r>
              <w:t>法律援助案件合格率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办理法律援助案件单次费用</w:t>
            </w:r>
          </w:p>
        </w:tc>
        <w:tc>
          <w:tcPr>
            <w:tcW w:w="5386" w:type="dxa"/>
            <w:vAlign w:val="center"/>
          </w:tcPr>
          <w:p>
            <w:pPr>
              <w:pStyle w:val="12"/>
            </w:pPr>
            <w:r>
              <w:t>办理法律援助案件单次费用</w:t>
            </w:r>
          </w:p>
        </w:tc>
        <w:tc>
          <w:tcPr>
            <w:tcW w:w="2268" w:type="dxa"/>
            <w:vAlign w:val="center"/>
          </w:tcPr>
          <w:p>
            <w:pPr>
              <w:pStyle w:val="12"/>
            </w:pPr>
            <w:r>
              <w:t>≤0.3万元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开展法律援助宣传费</w:t>
            </w:r>
          </w:p>
        </w:tc>
        <w:tc>
          <w:tcPr>
            <w:tcW w:w="5386" w:type="dxa"/>
            <w:vAlign w:val="center"/>
          </w:tcPr>
          <w:p>
            <w:pPr>
              <w:pStyle w:val="12"/>
            </w:pPr>
            <w:r>
              <w:t>开展法律援助宣传费</w:t>
            </w:r>
          </w:p>
        </w:tc>
        <w:tc>
          <w:tcPr>
            <w:tcW w:w="2268" w:type="dxa"/>
            <w:vAlign w:val="center"/>
          </w:tcPr>
          <w:p>
            <w:pPr>
              <w:pStyle w:val="12"/>
            </w:pPr>
            <w:r>
              <w:t>≥3万元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为群众提供法律援助服务水平</w:t>
            </w:r>
          </w:p>
        </w:tc>
        <w:tc>
          <w:tcPr>
            <w:tcW w:w="5386" w:type="dxa"/>
            <w:vAlign w:val="center"/>
          </w:tcPr>
          <w:p>
            <w:pPr>
              <w:pStyle w:val="12"/>
            </w:pPr>
            <w:r>
              <w:t>为群众提供法律援助服务水平</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提高政府决策的水平</w:t>
            </w:r>
          </w:p>
        </w:tc>
        <w:tc>
          <w:tcPr>
            <w:tcW w:w="5386" w:type="dxa"/>
            <w:vAlign w:val="center"/>
          </w:tcPr>
          <w:p>
            <w:pPr>
              <w:pStyle w:val="12"/>
            </w:pPr>
            <w:r>
              <w:t>减少法律纠纷</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21、提前下达2026年省级社区矫正补助资金绩效目标表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13011026P00001211121B</w:t>
            </w:r>
          </w:p>
        </w:tc>
        <w:tc>
          <w:tcPr>
            <w:tcW w:w="2835" w:type="dxa"/>
            <w:vAlign w:val="center"/>
          </w:tcPr>
          <w:p>
            <w:pPr>
              <w:pStyle w:val="10"/>
            </w:pPr>
            <w:r>
              <w:t>项目名称</w:t>
            </w:r>
          </w:p>
        </w:tc>
        <w:tc>
          <w:tcPr>
            <w:tcW w:w="6095" w:type="dxa"/>
            <w:gridSpan w:val="3"/>
            <w:vAlign w:val="center"/>
          </w:tcPr>
          <w:p>
            <w:pPr>
              <w:pStyle w:val="12"/>
            </w:pPr>
            <w:r>
              <w:t>提前下达2026年省级社区矫正补助资金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13.59</w:t>
            </w:r>
          </w:p>
        </w:tc>
        <w:tc>
          <w:tcPr>
            <w:tcW w:w="2835" w:type="dxa"/>
            <w:vAlign w:val="center"/>
          </w:tcPr>
          <w:p>
            <w:pPr>
              <w:pStyle w:val="10"/>
            </w:pPr>
            <w:r>
              <w:t>其中：财政    资金</w:t>
            </w:r>
          </w:p>
        </w:tc>
        <w:tc>
          <w:tcPr>
            <w:tcW w:w="2551" w:type="dxa"/>
            <w:vAlign w:val="center"/>
          </w:tcPr>
          <w:p>
            <w:pPr>
              <w:pStyle w:val="12"/>
            </w:pPr>
            <w:r>
              <w:t>13.59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法律、法规做好357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法律、法规做好357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社区矫正对象人数</w:t>
            </w:r>
          </w:p>
        </w:tc>
        <w:tc>
          <w:tcPr>
            <w:tcW w:w="5386" w:type="dxa"/>
            <w:vAlign w:val="center"/>
          </w:tcPr>
          <w:p>
            <w:pPr>
              <w:pStyle w:val="12"/>
            </w:pPr>
            <w:r>
              <w:t>现在册人员数量</w:t>
            </w:r>
          </w:p>
        </w:tc>
        <w:tc>
          <w:tcPr>
            <w:tcW w:w="2268" w:type="dxa"/>
            <w:vAlign w:val="center"/>
          </w:tcPr>
          <w:p>
            <w:pPr>
              <w:pStyle w:val="12"/>
            </w:pPr>
            <w:r>
              <w:t>≥360人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社区矫正对象教育率</w:t>
            </w:r>
          </w:p>
        </w:tc>
        <w:tc>
          <w:tcPr>
            <w:tcW w:w="5386" w:type="dxa"/>
            <w:vAlign w:val="center"/>
          </w:tcPr>
          <w:p>
            <w:pPr>
              <w:pStyle w:val="12"/>
            </w:pPr>
            <w:r>
              <w:t>组织社区矫正对象进行教育学习达标率</w:t>
            </w:r>
          </w:p>
        </w:tc>
        <w:tc>
          <w:tcPr>
            <w:tcW w:w="2268" w:type="dxa"/>
            <w:vAlign w:val="center"/>
          </w:tcPr>
          <w:p>
            <w:pPr>
              <w:pStyle w:val="12"/>
            </w:pPr>
            <w:r>
              <w:t>≥90%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社区矫正对象通过率</w:t>
            </w:r>
          </w:p>
        </w:tc>
        <w:tc>
          <w:tcPr>
            <w:tcW w:w="5386" w:type="dxa"/>
            <w:vAlign w:val="center"/>
          </w:tcPr>
          <w:p>
            <w:pPr>
              <w:pStyle w:val="12"/>
            </w:pPr>
            <w:r>
              <w:t>社区矫正对象通过率</w:t>
            </w:r>
          </w:p>
        </w:tc>
        <w:tc>
          <w:tcPr>
            <w:tcW w:w="2268" w:type="dxa"/>
            <w:vAlign w:val="center"/>
          </w:tcPr>
          <w:p>
            <w:pPr>
              <w:pStyle w:val="12"/>
            </w:pPr>
            <w:r>
              <w:t>100%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社区矫正对象帮扶成本</w:t>
            </w:r>
          </w:p>
        </w:tc>
        <w:tc>
          <w:tcPr>
            <w:tcW w:w="5386" w:type="dxa"/>
            <w:vAlign w:val="center"/>
          </w:tcPr>
          <w:p>
            <w:pPr>
              <w:pStyle w:val="12"/>
            </w:pPr>
            <w:r>
              <w:t>人均帮扶成本</w:t>
            </w:r>
          </w:p>
        </w:tc>
        <w:tc>
          <w:tcPr>
            <w:tcW w:w="2268" w:type="dxa"/>
            <w:vAlign w:val="center"/>
          </w:tcPr>
          <w:p>
            <w:pPr>
              <w:pStyle w:val="12"/>
            </w:pPr>
            <w:r>
              <w:t>≤500元/人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社区矫正、安置帮教宣传相关费用</w:t>
            </w:r>
          </w:p>
        </w:tc>
        <w:tc>
          <w:tcPr>
            <w:tcW w:w="5386" w:type="dxa"/>
            <w:vAlign w:val="center"/>
          </w:tcPr>
          <w:p>
            <w:pPr>
              <w:pStyle w:val="12"/>
            </w:pPr>
            <w:r>
              <w:t>社区矫正、安置帮教宣传相关费用</w:t>
            </w:r>
          </w:p>
        </w:tc>
        <w:tc>
          <w:tcPr>
            <w:tcW w:w="2268" w:type="dxa"/>
            <w:vAlign w:val="center"/>
          </w:tcPr>
          <w:p>
            <w:pPr>
              <w:pStyle w:val="12"/>
            </w:pPr>
            <w:r>
              <w:t>≤10000元</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社区矫正非执法类教育、心理服务等政府购买服务</w:t>
            </w:r>
          </w:p>
        </w:tc>
        <w:tc>
          <w:tcPr>
            <w:tcW w:w="5386" w:type="dxa"/>
            <w:vAlign w:val="center"/>
          </w:tcPr>
          <w:p>
            <w:pPr>
              <w:pStyle w:val="12"/>
            </w:pPr>
            <w:r>
              <w:t>开展非执法类项目</w:t>
            </w:r>
          </w:p>
        </w:tc>
        <w:tc>
          <w:tcPr>
            <w:tcW w:w="2268" w:type="dxa"/>
            <w:vAlign w:val="center"/>
          </w:tcPr>
          <w:p>
            <w:pPr>
              <w:pStyle w:val="12"/>
            </w:pPr>
            <w:r>
              <w:t>≤90000元</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社区矫正文书快递费用</w:t>
            </w:r>
          </w:p>
        </w:tc>
        <w:tc>
          <w:tcPr>
            <w:tcW w:w="5386" w:type="dxa"/>
            <w:vAlign w:val="center"/>
          </w:tcPr>
          <w:p>
            <w:pPr>
              <w:pStyle w:val="12"/>
            </w:pPr>
            <w:r>
              <w:t>社区矫正文书快递费用</w:t>
            </w:r>
          </w:p>
        </w:tc>
        <w:tc>
          <w:tcPr>
            <w:tcW w:w="2268" w:type="dxa"/>
            <w:vAlign w:val="center"/>
          </w:tcPr>
          <w:p>
            <w:pPr>
              <w:pStyle w:val="12"/>
            </w:pPr>
            <w:r>
              <w:t>≤10000元</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社区矫正工作网络费用</w:t>
            </w:r>
          </w:p>
        </w:tc>
        <w:tc>
          <w:tcPr>
            <w:tcW w:w="5386" w:type="dxa"/>
            <w:vAlign w:val="center"/>
          </w:tcPr>
          <w:p>
            <w:pPr>
              <w:pStyle w:val="12"/>
            </w:pPr>
            <w:r>
              <w:t>社区矫正工作网络费用</w:t>
            </w:r>
          </w:p>
        </w:tc>
        <w:tc>
          <w:tcPr>
            <w:tcW w:w="2268" w:type="dxa"/>
            <w:vAlign w:val="center"/>
          </w:tcPr>
          <w:p>
            <w:pPr>
              <w:pStyle w:val="12"/>
            </w:pPr>
            <w:r>
              <w:t>≤12000元</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社区矫正工作业务装备费用</w:t>
            </w:r>
          </w:p>
        </w:tc>
        <w:tc>
          <w:tcPr>
            <w:tcW w:w="5386" w:type="dxa"/>
            <w:vAlign w:val="center"/>
          </w:tcPr>
          <w:p>
            <w:pPr>
              <w:pStyle w:val="12"/>
            </w:pPr>
            <w:r>
              <w:t>社区矫正工作业务装备费用</w:t>
            </w:r>
          </w:p>
        </w:tc>
        <w:tc>
          <w:tcPr>
            <w:tcW w:w="2268" w:type="dxa"/>
            <w:vAlign w:val="center"/>
          </w:tcPr>
          <w:p>
            <w:pPr>
              <w:pStyle w:val="12"/>
            </w:pPr>
            <w:r>
              <w:t>≤27台</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降低社区矫正对象犯罪率</w:t>
            </w:r>
          </w:p>
        </w:tc>
        <w:tc>
          <w:tcPr>
            <w:tcW w:w="5386" w:type="dxa"/>
            <w:vAlign w:val="center"/>
          </w:tcPr>
          <w:p>
            <w:pPr>
              <w:pStyle w:val="12"/>
            </w:pPr>
            <w:r>
              <w:t>矫治对象犯罪的占所有矫治对象的比例</w:t>
            </w:r>
          </w:p>
        </w:tc>
        <w:tc>
          <w:tcPr>
            <w:tcW w:w="2268" w:type="dxa"/>
            <w:vAlign w:val="center"/>
          </w:tcPr>
          <w:p>
            <w:pPr>
              <w:pStyle w:val="12"/>
            </w:pPr>
            <w:r>
              <w:t>≤1%</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13011026P000012111561</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103.00</w:t>
            </w:r>
          </w:p>
        </w:tc>
        <w:tc>
          <w:tcPr>
            <w:tcW w:w="2835" w:type="dxa"/>
            <w:vAlign w:val="center"/>
          </w:tcPr>
          <w:p>
            <w:pPr>
              <w:pStyle w:val="10"/>
            </w:pPr>
            <w:r>
              <w:t>其中：财政    资金</w:t>
            </w:r>
          </w:p>
        </w:tc>
        <w:tc>
          <w:tcPr>
            <w:tcW w:w="2551" w:type="dxa"/>
            <w:vAlign w:val="center"/>
          </w:tcPr>
          <w:p>
            <w:pPr>
              <w:pStyle w:val="12"/>
            </w:pPr>
            <w:r>
              <w:t>103.00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服务。做到七日内指派完成，取得良好社会预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服务。做到七日内指派完成，取得良好社会预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社区矫正业务设备消耗、修理和维护费</w:t>
            </w:r>
          </w:p>
        </w:tc>
        <w:tc>
          <w:tcPr>
            <w:tcW w:w="5386" w:type="dxa"/>
            <w:vAlign w:val="center"/>
          </w:tcPr>
          <w:p>
            <w:pPr>
              <w:pStyle w:val="12"/>
            </w:pPr>
            <w:r>
              <w:t>社区矫正业务设备消耗、修理和维护费</w:t>
            </w:r>
          </w:p>
        </w:tc>
        <w:tc>
          <w:tcPr>
            <w:tcW w:w="2268" w:type="dxa"/>
            <w:vAlign w:val="center"/>
          </w:tcPr>
          <w:p>
            <w:pPr>
              <w:pStyle w:val="12"/>
            </w:pPr>
            <w:r>
              <w:t>≤8000元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社区矫正、安置帮教宣传费</w:t>
            </w:r>
          </w:p>
        </w:tc>
        <w:tc>
          <w:tcPr>
            <w:tcW w:w="5386" w:type="dxa"/>
            <w:vAlign w:val="center"/>
          </w:tcPr>
          <w:p>
            <w:pPr>
              <w:pStyle w:val="12"/>
            </w:pPr>
            <w:r>
              <w:t>社区矫正、安置帮教宣传费</w:t>
            </w:r>
          </w:p>
        </w:tc>
        <w:tc>
          <w:tcPr>
            <w:tcW w:w="2268" w:type="dxa"/>
            <w:vAlign w:val="center"/>
          </w:tcPr>
          <w:p>
            <w:pPr>
              <w:pStyle w:val="12"/>
            </w:pPr>
            <w:r>
              <w:t>≤10000元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社区矫正、安置帮教过渡基地租金</w:t>
            </w:r>
          </w:p>
        </w:tc>
        <w:tc>
          <w:tcPr>
            <w:tcW w:w="5386" w:type="dxa"/>
            <w:vAlign w:val="center"/>
          </w:tcPr>
          <w:p>
            <w:pPr>
              <w:pStyle w:val="12"/>
            </w:pPr>
            <w:r>
              <w:t>社区矫正、安置帮教过渡基地租金</w:t>
            </w:r>
          </w:p>
        </w:tc>
        <w:tc>
          <w:tcPr>
            <w:tcW w:w="2268" w:type="dxa"/>
            <w:vAlign w:val="center"/>
          </w:tcPr>
          <w:p>
            <w:pPr>
              <w:pStyle w:val="12"/>
            </w:pPr>
            <w:r>
              <w:t>≤12000元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社区矫正文书档案费</w:t>
            </w:r>
          </w:p>
        </w:tc>
        <w:tc>
          <w:tcPr>
            <w:tcW w:w="5386" w:type="dxa"/>
            <w:vAlign w:val="center"/>
          </w:tcPr>
          <w:p>
            <w:pPr>
              <w:pStyle w:val="12"/>
            </w:pPr>
            <w:r>
              <w:t>社区矫正文书档案费</w:t>
            </w:r>
          </w:p>
        </w:tc>
        <w:tc>
          <w:tcPr>
            <w:tcW w:w="2268" w:type="dxa"/>
            <w:vAlign w:val="center"/>
          </w:tcPr>
          <w:p>
            <w:pPr>
              <w:pStyle w:val="12"/>
            </w:pPr>
            <w:r>
              <w:t>≤10000元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第三方按规定参与社区矫正工作费用</w:t>
            </w:r>
          </w:p>
        </w:tc>
        <w:tc>
          <w:tcPr>
            <w:tcW w:w="5386" w:type="dxa"/>
            <w:vAlign w:val="center"/>
          </w:tcPr>
          <w:p>
            <w:pPr>
              <w:pStyle w:val="12"/>
            </w:pPr>
            <w:r>
              <w:t>第三方社工组织参与社区矫正教育、心理服务等</w:t>
            </w:r>
          </w:p>
        </w:tc>
        <w:tc>
          <w:tcPr>
            <w:tcW w:w="2268" w:type="dxa"/>
            <w:vAlign w:val="center"/>
          </w:tcPr>
          <w:p>
            <w:pPr>
              <w:pStyle w:val="12"/>
            </w:pPr>
            <w:r>
              <w:t>≤90000元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社区矫正业务笔记本电脑</w:t>
            </w:r>
          </w:p>
        </w:tc>
        <w:tc>
          <w:tcPr>
            <w:tcW w:w="5386" w:type="dxa"/>
            <w:vAlign w:val="center"/>
          </w:tcPr>
          <w:p>
            <w:pPr>
              <w:pStyle w:val="12"/>
            </w:pPr>
            <w:r>
              <w:t>社区矫正业务笔记本电脑</w:t>
            </w:r>
          </w:p>
        </w:tc>
        <w:tc>
          <w:tcPr>
            <w:tcW w:w="2268" w:type="dxa"/>
            <w:vAlign w:val="center"/>
          </w:tcPr>
          <w:p>
            <w:pPr>
              <w:pStyle w:val="12"/>
            </w:pPr>
            <w:r>
              <w:t>≤14台</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社区矫正业务打印机</w:t>
            </w:r>
          </w:p>
        </w:tc>
        <w:tc>
          <w:tcPr>
            <w:tcW w:w="5386" w:type="dxa"/>
            <w:vAlign w:val="center"/>
          </w:tcPr>
          <w:p>
            <w:pPr>
              <w:pStyle w:val="12"/>
            </w:pPr>
            <w:r>
              <w:t>社区矫正业务打印机</w:t>
            </w:r>
          </w:p>
        </w:tc>
        <w:tc>
          <w:tcPr>
            <w:tcW w:w="2268" w:type="dxa"/>
            <w:vAlign w:val="center"/>
          </w:tcPr>
          <w:p>
            <w:pPr>
              <w:pStyle w:val="12"/>
            </w:pPr>
            <w:r>
              <w:t>≤14台</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社区矫正快递文书费</w:t>
            </w:r>
          </w:p>
        </w:tc>
        <w:tc>
          <w:tcPr>
            <w:tcW w:w="5386" w:type="dxa"/>
            <w:vAlign w:val="center"/>
          </w:tcPr>
          <w:p>
            <w:pPr>
              <w:pStyle w:val="12"/>
            </w:pPr>
            <w:r>
              <w:t>社区矫正快递文书费</w:t>
            </w:r>
          </w:p>
        </w:tc>
        <w:tc>
          <w:tcPr>
            <w:tcW w:w="2268" w:type="dxa"/>
            <w:vAlign w:val="center"/>
          </w:tcPr>
          <w:p>
            <w:pPr>
              <w:pStyle w:val="12"/>
            </w:pPr>
            <w:r>
              <w:t>≤17000元</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行政复议案件法律咨询数量</w:t>
            </w:r>
          </w:p>
        </w:tc>
        <w:tc>
          <w:tcPr>
            <w:tcW w:w="5386" w:type="dxa"/>
            <w:vAlign w:val="center"/>
          </w:tcPr>
          <w:p>
            <w:pPr>
              <w:pStyle w:val="12"/>
            </w:pPr>
            <w:r>
              <w:t>行政复议案件法律咨询数量</w:t>
            </w:r>
          </w:p>
        </w:tc>
        <w:tc>
          <w:tcPr>
            <w:tcW w:w="2268" w:type="dxa"/>
            <w:vAlign w:val="center"/>
          </w:tcPr>
          <w:p>
            <w:pPr>
              <w:pStyle w:val="12"/>
            </w:pPr>
            <w:r>
              <w:t>≤150件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经复议后案件诉讼代理量</w:t>
            </w:r>
          </w:p>
        </w:tc>
        <w:tc>
          <w:tcPr>
            <w:tcW w:w="5386" w:type="dxa"/>
            <w:vAlign w:val="center"/>
          </w:tcPr>
          <w:p>
            <w:pPr>
              <w:pStyle w:val="12"/>
            </w:pPr>
            <w:r>
              <w:t>经复议后案件诉讼代理量</w:t>
            </w:r>
          </w:p>
        </w:tc>
        <w:tc>
          <w:tcPr>
            <w:tcW w:w="2268" w:type="dxa"/>
            <w:vAlign w:val="center"/>
          </w:tcPr>
          <w:p>
            <w:pPr>
              <w:pStyle w:val="12"/>
            </w:pPr>
            <w:r>
              <w:t>≤50件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行政复议业务碎纸机</w:t>
            </w:r>
          </w:p>
        </w:tc>
        <w:tc>
          <w:tcPr>
            <w:tcW w:w="5386" w:type="dxa"/>
            <w:vAlign w:val="center"/>
          </w:tcPr>
          <w:p>
            <w:pPr>
              <w:pStyle w:val="12"/>
            </w:pPr>
            <w:r>
              <w:t>行政复议业务碎纸机</w:t>
            </w:r>
          </w:p>
        </w:tc>
        <w:tc>
          <w:tcPr>
            <w:tcW w:w="2268" w:type="dxa"/>
            <w:vAlign w:val="center"/>
          </w:tcPr>
          <w:p>
            <w:pPr>
              <w:pStyle w:val="12"/>
            </w:pPr>
            <w:r>
              <w:t>1台</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普法宣传成本</w:t>
            </w:r>
          </w:p>
        </w:tc>
        <w:tc>
          <w:tcPr>
            <w:tcW w:w="2268" w:type="dxa"/>
            <w:vAlign w:val="center"/>
          </w:tcPr>
          <w:p>
            <w:pPr>
              <w:pStyle w:val="12"/>
            </w:pPr>
            <w:r>
              <w:t>≤9万元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法治建设成本</w:t>
            </w:r>
          </w:p>
        </w:tc>
        <w:tc>
          <w:tcPr>
            <w:tcW w:w="5386" w:type="dxa"/>
            <w:vAlign w:val="center"/>
          </w:tcPr>
          <w:p>
            <w:pPr>
              <w:pStyle w:val="12"/>
            </w:pPr>
            <w:r>
              <w:t>法治建设成本</w:t>
            </w:r>
          </w:p>
        </w:tc>
        <w:tc>
          <w:tcPr>
            <w:tcW w:w="2268" w:type="dxa"/>
            <w:vAlign w:val="center"/>
          </w:tcPr>
          <w:p>
            <w:pPr>
              <w:pStyle w:val="12"/>
            </w:pPr>
            <w:r>
              <w:t>≤2万元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法治阵地维护成本</w:t>
            </w:r>
          </w:p>
        </w:tc>
        <w:tc>
          <w:tcPr>
            <w:tcW w:w="5386" w:type="dxa"/>
            <w:vAlign w:val="center"/>
          </w:tcPr>
          <w:p>
            <w:pPr>
              <w:pStyle w:val="12"/>
            </w:pPr>
            <w:r>
              <w:t>法治阵地维护成本</w:t>
            </w:r>
          </w:p>
        </w:tc>
        <w:tc>
          <w:tcPr>
            <w:tcW w:w="2268" w:type="dxa"/>
            <w:vAlign w:val="center"/>
          </w:tcPr>
          <w:p>
            <w:pPr>
              <w:pStyle w:val="12"/>
            </w:pPr>
            <w:r>
              <w:t>≤2万元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法治建设群众满意度测评成本</w:t>
            </w:r>
          </w:p>
        </w:tc>
        <w:tc>
          <w:tcPr>
            <w:tcW w:w="5386" w:type="dxa"/>
            <w:vAlign w:val="center"/>
          </w:tcPr>
          <w:p>
            <w:pPr>
              <w:pStyle w:val="12"/>
            </w:pPr>
            <w:r>
              <w:t>法治建设群众满意度测评成本</w:t>
            </w:r>
          </w:p>
        </w:tc>
        <w:tc>
          <w:tcPr>
            <w:tcW w:w="2268" w:type="dxa"/>
            <w:vAlign w:val="center"/>
          </w:tcPr>
          <w:p>
            <w:pPr>
              <w:pStyle w:val="12"/>
            </w:pPr>
            <w:r>
              <w:t>≤3万元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提供无偿法律援助数量</w:t>
            </w:r>
          </w:p>
        </w:tc>
        <w:tc>
          <w:tcPr>
            <w:tcW w:w="5386" w:type="dxa"/>
            <w:vAlign w:val="center"/>
          </w:tcPr>
          <w:p>
            <w:pPr>
              <w:pStyle w:val="12"/>
            </w:pPr>
            <w:r>
              <w:t>提供无偿法律援助数量</w:t>
            </w:r>
          </w:p>
        </w:tc>
        <w:tc>
          <w:tcPr>
            <w:tcW w:w="2268" w:type="dxa"/>
            <w:vAlign w:val="center"/>
          </w:tcPr>
          <w:p>
            <w:pPr>
              <w:pStyle w:val="12"/>
            </w:pPr>
            <w:r>
              <w:t>≥400件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法律援助卷宗档案柜</w:t>
            </w:r>
          </w:p>
        </w:tc>
        <w:tc>
          <w:tcPr>
            <w:tcW w:w="5386" w:type="dxa"/>
            <w:vAlign w:val="center"/>
          </w:tcPr>
          <w:p>
            <w:pPr>
              <w:pStyle w:val="12"/>
            </w:pPr>
            <w:r>
              <w:t>法律援助卷宗档案柜</w:t>
            </w:r>
          </w:p>
        </w:tc>
        <w:tc>
          <w:tcPr>
            <w:tcW w:w="2268" w:type="dxa"/>
            <w:vAlign w:val="center"/>
          </w:tcPr>
          <w:p>
            <w:pPr>
              <w:pStyle w:val="12"/>
            </w:pPr>
            <w:r>
              <w:t>10组</w:t>
            </w:r>
          </w:p>
        </w:tc>
        <w:tc>
          <w:tcPr>
            <w:tcW w:w="1276" w:type="dxa"/>
            <w:vAlign w:val="center"/>
          </w:tcPr>
          <w:p>
            <w:pPr>
              <w:pStyle w:val="12"/>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法律援助案件质量合格率</w:t>
            </w:r>
          </w:p>
        </w:tc>
        <w:tc>
          <w:tcPr>
            <w:tcW w:w="5386" w:type="dxa"/>
            <w:vAlign w:val="center"/>
          </w:tcPr>
          <w:p>
            <w:pPr>
              <w:pStyle w:val="12"/>
            </w:pPr>
            <w:r>
              <w:t>法律援助案件质量合格率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办理法律援助案件单次费用</w:t>
            </w:r>
          </w:p>
        </w:tc>
        <w:tc>
          <w:tcPr>
            <w:tcW w:w="5386" w:type="dxa"/>
            <w:vAlign w:val="center"/>
          </w:tcPr>
          <w:p>
            <w:pPr>
              <w:pStyle w:val="12"/>
            </w:pPr>
            <w:r>
              <w:t>办理法律援助案件单次费用</w:t>
            </w:r>
          </w:p>
        </w:tc>
        <w:tc>
          <w:tcPr>
            <w:tcW w:w="2268" w:type="dxa"/>
            <w:vAlign w:val="center"/>
          </w:tcPr>
          <w:p>
            <w:pPr>
              <w:pStyle w:val="12"/>
            </w:pPr>
            <w:r>
              <w:t>≤0.03万元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按3-10个法定工作日出具法律意见</w:t>
            </w:r>
          </w:p>
        </w:tc>
        <w:tc>
          <w:tcPr>
            <w:tcW w:w="5386" w:type="dxa"/>
            <w:vAlign w:val="center"/>
          </w:tcPr>
          <w:p>
            <w:pPr>
              <w:pStyle w:val="12"/>
            </w:pPr>
            <w:r>
              <w:t>受理后3-10个工作日出具法律意见</w:t>
            </w:r>
          </w:p>
        </w:tc>
        <w:tc>
          <w:tcPr>
            <w:tcW w:w="2268" w:type="dxa"/>
            <w:vAlign w:val="center"/>
          </w:tcPr>
          <w:p>
            <w:pPr>
              <w:pStyle w:val="12"/>
            </w:pPr>
            <w:r>
              <w:t>≤10日</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为群众提供有效的法律服务水平</w:t>
            </w:r>
          </w:p>
        </w:tc>
        <w:tc>
          <w:tcPr>
            <w:tcW w:w="5386" w:type="dxa"/>
            <w:vAlign w:val="center"/>
          </w:tcPr>
          <w:p>
            <w:pPr>
              <w:pStyle w:val="12"/>
            </w:pPr>
            <w:r>
              <w:t>为群众提供有效的法律服务水平</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0.65</w:t>
            </w:r>
          </w:p>
        </w:tc>
        <w:tc>
          <w:tcPr>
            <w:tcW w:w="964" w:type="dxa"/>
            <w:vAlign w:val="center"/>
          </w:tcPr>
          <w:p>
            <w:pPr>
              <w:pStyle w:val="15"/>
            </w:pPr>
            <w:r>
              <w:t>0.65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石家庄市鹿泉区司法局本级小计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0.65</w:t>
            </w:r>
          </w:p>
        </w:tc>
        <w:tc>
          <w:tcPr>
            <w:tcW w:w="964" w:type="dxa"/>
            <w:vAlign w:val="center"/>
          </w:tcPr>
          <w:p>
            <w:pPr>
              <w:pStyle w:val="15"/>
            </w:pPr>
            <w:r>
              <w:t>0.65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103.00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0.07</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石家庄市鹿泉区司法局本级上年末固定资产金额为140.2</w:t>
      </w:r>
      <w:r>
        <w:rPr>
          <w:rFonts w:hint="eastAsia" w:eastAsia="方正仿宋_GBK" w:cs="Times New Roman"/>
          <w:b w:val="0"/>
          <w:color w:val="000000"/>
          <w:sz w:val="28"/>
          <w:lang w:val="en-US" w:eastAsia="zh-CN"/>
        </w:rPr>
        <w:t>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方正书宋_GBK"/>
                <w:lang w:val="en-US" w:eastAsia="zh-CN"/>
              </w:rPr>
            </w:pPr>
            <w:r>
              <w:t>140.2</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526</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326</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1978</w:t>
            </w:r>
          </w:p>
        </w:tc>
        <w:tc>
          <w:tcPr>
            <w:tcW w:w="2835" w:type="dxa"/>
            <w:vAlign w:val="center"/>
          </w:tcPr>
          <w:p>
            <w:pPr>
              <w:pStyle w:val="11"/>
            </w:pPr>
            <w:bookmarkStart w:id="1" w:name="_GoBack"/>
            <w:bookmarkEnd w:id="1"/>
            <w:r>
              <w:t>127.84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D2372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23647</Words>
  <Characters>27524</Characters>
  <TotalTime>1</TotalTime>
  <ScaleCrop>false</ScaleCrop>
  <LinksUpToDate>false</LinksUpToDate>
  <CharactersWithSpaces>28135</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2026-03-10T16:27:00Z</dcterms:created>
  <dc:creator>Administrator</dc:creator>
  <cp:lastModifiedBy>Administrator</cp:lastModifiedBy>
  <dcterms:modified xsi:type="dcterms:W3CDTF">2026-03-10T08:33:53Z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06345C5F7F2E4B46A33A768EFEF29794</vt:lpwstr>
  </property>
</Properties>
</file>