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一、石家庄市鹿泉区计划生育协会本级收支预算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一、石家庄市鹿泉区计划生育协会本级收支预算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193.31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193.31</w:t>
            </w:r>
          </w:p>
        </w:tc>
        <w:tc>
          <w:tcPr>
            <w:tcW w:w="4535" w:type="dxa"/>
            <w:vAlign w:val="center"/>
          </w:tcPr>
          <w:p>
            <w:pPr>
              <w:pStyle w:val="14"/>
            </w:pPr>
            <w:r>
              <w:t>本年支出合计</w:t>
            </w:r>
          </w:p>
        </w:tc>
        <w:tc>
          <w:tcPr>
            <w:tcW w:w="2126" w:type="dxa"/>
            <w:vAlign w:val="center"/>
          </w:tcPr>
          <w:p>
            <w:pPr>
              <w:pStyle w:val="15"/>
            </w:pPr>
            <w:r>
              <w:t>193.31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193.31</w:t>
            </w:r>
          </w:p>
        </w:tc>
        <w:tc>
          <w:tcPr>
            <w:tcW w:w="4535" w:type="dxa"/>
            <w:vAlign w:val="center"/>
          </w:tcPr>
          <w:p>
            <w:pPr>
              <w:pStyle w:val="14"/>
            </w:pPr>
            <w:r>
              <w:t>支出总计</w:t>
            </w:r>
          </w:p>
        </w:tc>
        <w:tc>
          <w:tcPr>
            <w:tcW w:w="2126" w:type="dxa"/>
            <w:vAlign w:val="center"/>
          </w:tcPr>
          <w:p>
            <w:pPr>
              <w:pStyle w:val="15"/>
            </w:pPr>
            <w:r>
              <w:t>193.31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193.31</w:t>
            </w:r>
          </w:p>
        </w:tc>
        <w:tc>
          <w:tcPr>
            <w:tcW w:w="1134" w:type="dxa"/>
            <w:vAlign w:val="center"/>
          </w:tcPr>
          <w:p>
            <w:pPr>
              <w:pStyle w:val="15"/>
            </w:pPr>
            <w:r>
              <w:t>193.31</w:t>
            </w:r>
          </w:p>
        </w:tc>
        <w:tc>
          <w:tcPr>
            <w:tcW w:w="1134" w:type="dxa"/>
            <w:vAlign w:val="center"/>
          </w:tcPr>
          <w:p>
            <w:pPr>
              <w:pStyle w:val="15"/>
            </w:pPr>
            <w:r>
              <w:t>193.31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26.55</w:t>
            </w:r>
          </w:p>
        </w:tc>
        <w:tc>
          <w:tcPr>
            <w:tcW w:w="1134" w:type="dxa"/>
            <w:vAlign w:val="center"/>
          </w:tcPr>
          <w:p>
            <w:pPr>
              <w:pStyle w:val="11"/>
            </w:pPr>
            <w:r>
              <w:t>26.55</w:t>
            </w:r>
          </w:p>
        </w:tc>
        <w:tc>
          <w:tcPr>
            <w:tcW w:w="1134" w:type="dxa"/>
            <w:vAlign w:val="center"/>
          </w:tcPr>
          <w:p>
            <w:pPr>
              <w:pStyle w:val="11"/>
            </w:pPr>
            <w:r>
              <w:t>26.55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20.22</w:t>
            </w:r>
          </w:p>
        </w:tc>
        <w:tc>
          <w:tcPr>
            <w:tcW w:w="1134" w:type="dxa"/>
            <w:vAlign w:val="center"/>
          </w:tcPr>
          <w:p>
            <w:pPr>
              <w:pStyle w:val="11"/>
            </w:pPr>
            <w:r>
              <w:t>20.22</w:t>
            </w:r>
          </w:p>
        </w:tc>
        <w:tc>
          <w:tcPr>
            <w:tcW w:w="1134" w:type="dxa"/>
            <w:vAlign w:val="center"/>
          </w:tcPr>
          <w:p>
            <w:pPr>
              <w:pStyle w:val="11"/>
            </w:pPr>
            <w:r>
              <w:t>20.22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9.81</w:t>
            </w:r>
          </w:p>
        </w:tc>
        <w:tc>
          <w:tcPr>
            <w:tcW w:w="1134" w:type="dxa"/>
            <w:vAlign w:val="center"/>
          </w:tcPr>
          <w:p>
            <w:pPr>
              <w:pStyle w:val="11"/>
            </w:pPr>
            <w:r>
              <w:t>9.81</w:t>
            </w:r>
          </w:p>
        </w:tc>
        <w:tc>
          <w:tcPr>
            <w:tcW w:w="1134" w:type="dxa"/>
            <w:vAlign w:val="center"/>
          </w:tcPr>
          <w:p>
            <w:pPr>
              <w:pStyle w:val="11"/>
            </w:pPr>
            <w:r>
              <w:t>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10.41</w:t>
            </w:r>
          </w:p>
        </w:tc>
        <w:tc>
          <w:tcPr>
            <w:tcW w:w="1134" w:type="dxa"/>
            <w:vAlign w:val="center"/>
          </w:tcPr>
          <w:p>
            <w:pPr>
              <w:pStyle w:val="11"/>
            </w:pPr>
            <w:r>
              <w:t>10.41</w:t>
            </w:r>
          </w:p>
        </w:tc>
        <w:tc>
          <w:tcPr>
            <w:tcW w:w="1134" w:type="dxa"/>
            <w:vAlign w:val="center"/>
          </w:tcPr>
          <w:p>
            <w:pPr>
              <w:pStyle w:val="11"/>
            </w:pPr>
            <w:r>
              <w:t>10.41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6.33</w:t>
            </w:r>
          </w:p>
        </w:tc>
        <w:tc>
          <w:tcPr>
            <w:tcW w:w="1134" w:type="dxa"/>
            <w:vAlign w:val="center"/>
          </w:tcPr>
          <w:p>
            <w:pPr>
              <w:pStyle w:val="11"/>
            </w:pPr>
            <w:r>
              <w:t>6.33</w:t>
            </w:r>
          </w:p>
        </w:tc>
        <w:tc>
          <w:tcPr>
            <w:tcW w:w="1134" w:type="dxa"/>
            <w:vAlign w:val="center"/>
          </w:tcPr>
          <w:p>
            <w:pPr>
              <w:pStyle w:val="11"/>
            </w:pPr>
            <w:r>
              <w:t>6.33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6.33</w:t>
            </w:r>
          </w:p>
        </w:tc>
        <w:tc>
          <w:tcPr>
            <w:tcW w:w="1134" w:type="dxa"/>
            <w:vAlign w:val="center"/>
          </w:tcPr>
          <w:p>
            <w:pPr>
              <w:pStyle w:val="11"/>
            </w:pPr>
            <w:r>
              <w:t>6.33</w:t>
            </w:r>
          </w:p>
        </w:tc>
        <w:tc>
          <w:tcPr>
            <w:tcW w:w="1134" w:type="dxa"/>
            <w:vAlign w:val="center"/>
          </w:tcPr>
          <w:p>
            <w:pPr>
              <w:pStyle w:val="11"/>
            </w:pPr>
            <w:r>
              <w:t>6.33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156.37</w:t>
            </w:r>
          </w:p>
        </w:tc>
        <w:tc>
          <w:tcPr>
            <w:tcW w:w="1134" w:type="dxa"/>
            <w:vAlign w:val="center"/>
          </w:tcPr>
          <w:p>
            <w:pPr>
              <w:pStyle w:val="11"/>
            </w:pPr>
            <w:r>
              <w:t>156.37</w:t>
            </w:r>
          </w:p>
        </w:tc>
        <w:tc>
          <w:tcPr>
            <w:tcW w:w="1134" w:type="dxa"/>
            <w:vAlign w:val="center"/>
          </w:tcPr>
          <w:p>
            <w:pPr>
              <w:pStyle w:val="11"/>
            </w:pPr>
            <w:r>
              <w:t>156.37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104.63</w:t>
            </w:r>
          </w:p>
        </w:tc>
        <w:tc>
          <w:tcPr>
            <w:tcW w:w="1134" w:type="dxa"/>
            <w:vAlign w:val="center"/>
          </w:tcPr>
          <w:p>
            <w:pPr>
              <w:pStyle w:val="11"/>
            </w:pPr>
            <w:r>
              <w:t>104.63</w:t>
            </w:r>
          </w:p>
        </w:tc>
        <w:tc>
          <w:tcPr>
            <w:tcW w:w="1134" w:type="dxa"/>
            <w:vAlign w:val="center"/>
          </w:tcPr>
          <w:p>
            <w:pPr>
              <w:pStyle w:val="11"/>
            </w:pPr>
            <w:r>
              <w:t>104.63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2100101</w:t>
            </w:r>
          </w:p>
        </w:tc>
        <w:tc>
          <w:tcPr>
            <w:tcW w:w="1559" w:type="dxa"/>
            <w:vAlign w:val="center"/>
          </w:tcPr>
          <w:p>
            <w:pPr>
              <w:pStyle w:val="12"/>
            </w:pPr>
            <w:r>
              <w:t>行政运行</w:t>
            </w:r>
          </w:p>
        </w:tc>
        <w:tc>
          <w:tcPr>
            <w:tcW w:w="1134" w:type="dxa"/>
            <w:vAlign w:val="center"/>
          </w:tcPr>
          <w:p>
            <w:pPr>
              <w:pStyle w:val="11"/>
            </w:pPr>
            <w:r>
              <w:t>104.63</w:t>
            </w:r>
          </w:p>
        </w:tc>
        <w:tc>
          <w:tcPr>
            <w:tcW w:w="1134" w:type="dxa"/>
            <w:vAlign w:val="center"/>
          </w:tcPr>
          <w:p>
            <w:pPr>
              <w:pStyle w:val="11"/>
            </w:pPr>
            <w:r>
              <w:t>104.63</w:t>
            </w:r>
          </w:p>
        </w:tc>
        <w:tc>
          <w:tcPr>
            <w:tcW w:w="1134" w:type="dxa"/>
            <w:vAlign w:val="center"/>
          </w:tcPr>
          <w:p>
            <w:pPr>
              <w:pStyle w:val="11"/>
            </w:pPr>
            <w:r>
              <w:t>104.63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6.74</w:t>
            </w:r>
          </w:p>
        </w:tc>
        <w:tc>
          <w:tcPr>
            <w:tcW w:w="1134" w:type="dxa"/>
            <w:vAlign w:val="center"/>
          </w:tcPr>
          <w:p>
            <w:pPr>
              <w:pStyle w:val="11"/>
            </w:pPr>
            <w:r>
              <w:t>6.74</w:t>
            </w:r>
          </w:p>
        </w:tc>
        <w:tc>
          <w:tcPr>
            <w:tcW w:w="1134" w:type="dxa"/>
            <w:vAlign w:val="center"/>
          </w:tcPr>
          <w:p>
            <w:pPr>
              <w:pStyle w:val="11"/>
            </w:pPr>
            <w:r>
              <w:t>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6.74</w:t>
            </w:r>
          </w:p>
        </w:tc>
        <w:tc>
          <w:tcPr>
            <w:tcW w:w="1134" w:type="dxa"/>
            <w:vAlign w:val="center"/>
          </w:tcPr>
          <w:p>
            <w:pPr>
              <w:pStyle w:val="11"/>
            </w:pPr>
            <w:r>
              <w:t>6.74</w:t>
            </w:r>
          </w:p>
        </w:tc>
        <w:tc>
          <w:tcPr>
            <w:tcW w:w="1134" w:type="dxa"/>
            <w:vAlign w:val="center"/>
          </w:tcPr>
          <w:p>
            <w:pPr>
              <w:pStyle w:val="11"/>
            </w:pPr>
            <w:r>
              <w:t>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10.38</w:t>
            </w:r>
          </w:p>
        </w:tc>
        <w:tc>
          <w:tcPr>
            <w:tcW w:w="1134" w:type="dxa"/>
            <w:vAlign w:val="center"/>
          </w:tcPr>
          <w:p>
            <w:pPr>
              <w:pStyle w:val="11"/>
            </w:pPr>
            <w:r>
              <w:t>10.38</w:t>
            </w:r>
          </w:p>
        </w:tc>
        <w:tc>
          <w:tcPr>
            <w:tcW w:w="1134" w:type="dxa"/>
            <w:vAlign w:val="center"/>
          </w:tcPr>
          <w:p>
            <w:pPr>
              <w:pStyle w:val="11"/>
            </w:pPr>
            <w:r>
              <w:t>10.38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10.38</w:t>
            </w:r>
          </w:p>
        </w:tc>
        <w:tc>
          <w:tcPr>
            <w:tcW w:w="1134" w:type="dxa"/>
            <w:vAlign w:val="center"/>
          </w:tcPr>
          <w:p>
            <w:pPr>
              <w:pStyle w:val="11"/>
            </w:pPr>
            <w:r>
              <w:t>10.38</w:t>
            </w:r>
          </w:p>
        </w:tc>
        <w:tc>
          <w:tcPr>
            <w:tcW w:w="1134" w:type="dxa"/>
            <w:vAlign w:val="center"/>
          </w:tcPr>
          <w:p>
            <w:pPr>
              <w:pStyle w:val="11"/>
            </w:pPr>
            <w:r>
              <w:t>10.38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10.38</w:t>
            </w:r>
          </w:p>
        </w:tc>
        <w:tc>
          <w:tcPr>
            <w:tcW w:w="1134" w:type="dxa"/>
            <w:vAlign w:val="center"/>
          </w:tcPr>
          <w:p>
            <w:pPr>
              <w:pStyle w:val="11"/>
            </w:pPr>
            <w:r>
              <w:t>10.38</w:t>
            </w:r>
          </w:p>
        </w:tc>
        <w:tc>
          <w:tcPr>
            <w:tcW w:w="1134" w:type="dxa"/>
            <w:vAlign w:val="center"/>
          </w:tcPr>
          <w:p>
            <w:pPr>
              <w:pStyle w:val="11"/>
            </w:pPr>
            <w:r>
              <w:t>10.38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193.31</w:t>
            </w:r>
          </w:p>
        </w:tc>
        <w:tc>
          <w:tcPr>
            <w:tcW w:w="1361" w:type="dxa"/>
            <w:vAlign w:val="center"/>
          </w:tcPr>
          <w:p>
            <w:pPr>
              <w:pStyle w:val="15"/>
            </w:pPr>
            <w:r>
              <w:t>141.98</w:t>
            </w:r>
          </w:p>
        </w:tc>
        <w:tc>
          <w:tcPr>
            <w:tcW w:w="1361" w:type="dxa"/>
            <w:vAlign w:val="center"/>
          </w:tcPr>
          <w:p>
            <w:pPr>
              <w:pStyle w:val="15"/>
            </w:pPr>
            <w:r>
              <w:t>51.33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26.55</w:t>
            </w:r>
          </w:p>
        </w:tc>
        <w:tc>
          <w:tcPr>
            <w:tcW w:w="1361" w:type="dxa"/>
            <w:vAlign w:val="center"/>
          </w:tcPr>
          <w:p>
            <w:pPr>
              <w:pStyle w:val="11"/>
            </w:pPr>
            <w:r>
              <w:t>20.22</w:t>
            </w:r>
          </w:p>
        </w:tc>
        <w:tc>
          <w:tcPr>
            <w:tcW w:w="1361" w:type="dxa"/>
            <w:vAlign w:val="center"/>
          </w:tcPr>
          <w:p>
            <w:pPr>
              <w:pStyle w:val="11"/>
            </w:pPr>
            <w:r>
              <w:t>6.33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20.22</w:t>
            </w:r>
          </w:p>
        </w:tc>
        <w:tc>
          <w:tcPr>
            <w:tcW w:w="1361" w:type="dxa"/>
            <w:vAlign w:val="center"/>
          </w:tcPr>
          <w:p>
            <w:pPr>
              <w:pStyle w:val="11"/>
            </w:pPr>
            <w:r>
              <w:t>20.22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9.81</w:t>
            </w:r>
          </w:p>
        </w:tc>
        <w:tc>
          <w:tcPr>
            <w:tcW w:w="1361" w:type="dxa"/>
            <w:vAlign w:val="center"/>
          </w:tcPr>
          <w:p>
            <w:pPr>
              <w:pStyle w:val="11"/>
            </w:pPr>
            <w:r>
              <w:t>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10.41</w:t>
            </w:r>
          </w:p>
        </w:tc>
        <w:tc>
          <w:tcPr>
            <w:tcW w:w="1361" w:type="dxa"/>
            <w:vAlign w:val="center"/>
          </w:tcPr>
          <w:p>
            <w:pPr>
              <w:pStyle w:val="11"/>
            </w:pPr>
            <w:r>
              <w:t>10.41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6.33</w:t>
            </w:r>
          </w:p>
        </w:tc>
        <w:tc>
          <w:tcPr>
            <w:tcW w:w="1361" w:type="dxa"/>
            <w:vAlign w:val="center"/>
          </w:tcPr>
          <w:p>
            <w:pPr>
              <w:pStyle w:val="11"/>
            </w:pPr>
          </w:p>
        </w:tc>
        <w:tc>
          <w:tcPr>
            <w:tcW w:w="1361" w:type="dxa"/>
            <w:vAlign w:val="center"/>
          </w:tcPr>
          <w:p>
            <w:pPr>
              <w:pStyle w:val="11"/>
            </w:pPr>
            <w:r>
              <w:t>6.33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6.33</w:t>
            </w:r>
          </w:p>
        </w:tc>
        <w:tc>
          <w:tcPr>
            <w:tcW w:w="1361" w:type="dxa"/>
            <w:vAlign w:val="center"/>
          </w:tcPr>
          <w:p>
            <w:pPr>
              <w:pStyle w:val="11"/>
            </w:pPr>
          </w:p>
        </w:tc>
        <w:tc>
          <w:tcPr>
            <w:tcW w:w="1361" w:type="dxa"/>
            <w:vAlign w:val="center"/>
          </w:tcPr>
          <w:p>
            <w:pPr>
              <w:pStyle w:val="11"/>
            </w:pPr>
            <w:r>
              <w:t>6.33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156.37</w:t>
            </w:r>
          </w:p>
        </w:tc>
        <w:tc>
          <w:tcPr>
            <w:tcW w:w="1361" w:type="dxa"/>
            <w:vAlign w:val="center"/>
          </w:tcPr>
          <w:p>
            <w:pPr>
              <w:pStyle w:val="11"/>
            </w:pPr>
            <w:r>
              <w:t>111.37</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104.63</w:t>
            </w:r>
          </w:p>
        </w:tc>
        <w:tc>
          <w:tcPr>
            <w:tcW w:w="1361" w:type="dxa"/>
            <w:vAlign w:val="center"/>
          </w:tcPr>
          <w:p>
            <w:pPr>
              <w:pStyle w:val="11"/>
            </w:pPr>
            <w:r>
              <w:t>104.63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2100101</w:t>
            </w:r>
          </w:p>
        </w:tc>
        <w:tc>
          <w:tcPr>
            <w:tcW w:w="4535" w:type="dxa"/>
            <w:vAlign w:val="center"/>
          </w:tcPr>
          <w:p>
            <w:pPr>
              <w:pStyle w:val="12"/>
            </w:pPr>
            <w:r>
              <w:t>行政运行</w:t>
            </w:r>
          </w:p>
        </w:tc>
        <w:tc>
          <w:tcPr>
            <w:tcW w:w="1361" w:type="dxa"/>
            <w:vAlign w:val="center"/>
          </w:tcPr>
          <w:p>
            <w:pPr>
              <w:pStyle w:val="11"/>
            </w:pPr>
            <w:r>
              <w:t>104.63</w:t>
            </w:r>
          </w:p>
        </w:tc>
        <w:tc>
          <w:tcPr>
            <w:tcW w:w="1361" w:type="dxa"/>
            <w:vAlign w:val="center"/>
          </w:tcPr>
          <w:p>
            <w:pPr>
              <w:pStyle w:val="11"/>
            </w:pPr>
            <w:r>
              <w:t>104.63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6.74</w:t>
            </w:r>
          </w:p>
        </w:tc>
        <w:tc>
          <w:tcPr>
            <w:tcW w:w="1361" w:type="dxa"/>
            <w:vAlign w:val="center"/>
          </w:tcPr>
          <w:p>
            <w:pPr>
              <w:pStyle w:val="11"/>
            </w:pPr>
            <w:r>
              <w:t>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6.74</w:t>
            </w:r>
          </w:p>
        </w:tc>
        <w:tc>
          <w:tcPr>
            <w:tcW w:w="1361" w:type="dxa"/>
            <w:vAlign w:val="center"/>
          </w:tcPr>
          <w:p>
            <w:pPr>
              <w:pStyle w:val="11"/>
            </w:pPr>
            <w:r>
              <w:t>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10.38</w:t>
            </w:r>
          </w:p>
        </w:tc>
        <w:tc>
          <w:tcPr>
            <w:tcW w:w="1361" w:type="dxa"/>
            <w:vAlign w:val="center"/>
          </w:tcPr>
          <w:p>
            <w:pPr>
              <w:pStyle w:val="11"/>
            </w:pPr>
            <w:r>
              <w:t>10.38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10.38</w:t>
            </w:r>
          </w:p>
        </w:tc>
        <w:tc>
          <w:tcPr>
            <w:tcW w:w="1361" w:type="dxa"/>
            <w:vAlign w:val="center"/>
          </w:tcPr>
          <w:p>
            <w:pPr>
              <w:pStyle w:val="11"/>
            </w:pPr>
            <w:r>
              <w:t>10.38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10.38</w:t>
            </w:r>
          </w:p>
        </w:tc>
        <w:tc>
          <w:tcPr>
            <w:tcW w:w="1361" w:type="dxa"/>
            <w:vAlign w:val="center"/>
          </w:tcPr>
          <w:p>
            <w:pPr>
              <w:pStyle w:val="11"/>
            </w:pPr>
            <w:r>
              <w:t>10.38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193.31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26.55</w:t>
            </w:r>
          </w:p>
        </w:tc>
        <w:tc>
          <w:tcPr>
            <w:tcW w:w="1474" w:type="dxa"/>
            <w:vAlign w:val="center"/>
          </w:tcPr>
          <w:p>
            <w:pPr>
              <w:pStyle w:val="11"/>
            </w:pPr>
            <w:r>
              <w:t>26.55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156.37</w:t>
            </w:r>
          </w:p>
        </w:tc>
        <w:tc>
          <w:tcPr>
            <w:tcW w:w="1474" w:type="dxa"/>
            <w:vAlign w:val="center"/>
          </w:tcPr>
          <w:p>
            <w:pPr>
              <w:pStyle w:val="11"/>
            </w:pPr>
            <w:r>
              <w:t>156.37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10.38</w:t>
            </w:r>
          </w:p>
        </w:tc>
        <w:tc>
          <w:tcPr>
            <w:tcW w:w="1474" w:type="dxa"/>
            <w:vAlign w:val="center"/>
          </w:tcPr>
          <w:p>
            <w:pPr>
              <w:pStyle w:val="11"/>
            </w:pPr>
            <w:r>
              <w:t>10.38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193.31</w:t>
            </w:r>
          </w:p>
        </w:tc>
        <w:tc>
          <w:tcPr>
            <w:tcW w:w="3402" w:type="dxa"/>
            <w:vAlign w:val="center"/>
          </w:tcPr>
          <w:p>
            <w:pPr>
              <w:pStyle w:val="14"/>
            </w:pPr>
            <w:r>
              <w:t>本年支出合计</w:t>
            </w:r>
          </w:p>
        </w:tc>
        <w:tc>
          <w:tcPr>
            <w:tcW w:w="1474" w:type="dxa"/>
            <w:vAlign w:val="center"/>
          </w:tcPr>
          <w:p>
            <w:pPr>
              <w:pStyle w:val="15"/>
            </w:pPr>
            <w:r>
              <w:t>193.31</w:t>
            </w:r>
          </w:p>
        </w:tc>
        <w:tc>
          <w:tcPr>
            <w:tcW w:w="1474" w:type="dxa"/>
            <w:vAlign w:val="center"/>
          </w:tcPr>
          <w:p>
            <w:pPr>
              <w:pStyle w:val="15"/>
            </w:pPr>
            <w:r>
              <w:t>193.31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193.31</w:t>
            </w:r>
          </w:p>
        </w:tc>
        <w:tc>
          <w:tcPr>
            <w:tcW w:w="3402" w:type="dxa"/>
            <w:vAlign w:val="center"/>
          </w:tcPr>
          <w:p>
            <w:pPr>
              <w:pStyle w:val="14"/>
            </w:pPr>
            <w:r>
              <w:t>支出总计</w:t>
            </w:r>
          </w:p>
        </w:tc>
        <w:tc>
          <w:tcPr>
            <w:tcW w:w="1474" w:type="dxa"/>
            <w:vAlign w:val="center"/>
          </w:tcPr>
          <w:p>
            <w:pPr>
              <w:pStyle w:val="15"/>
            </w:pPr>
            <w:r>
              <w:t>193.31</w:t>
            </w:r>
          </w:p>
        </w:tc>
        <w:tc>
          <w:tcPr>
            <w:tcW w:w="1474" w:type="dxa"/>
            <w:vAlign w:val="center"/>
          </w:tcPr>
          <w:p>
            <w:pPr>
              <w:pStyle w:val="15"/>
            </w:pPr>
            <w:r>
              <w:t>193.31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193.31</w:t>
            </w:r>
          </w:p>
        </w:tc>
        <w:tc>
          <w:tcPr>
            <w:tcW w:w="2551" w:type="dxa"/>
            <w:vAlign w:val="center"/>
          </w:tcPr>
          <w:p>
            <w:pPr>
              <w:pStyle w:val="15"/>
            </w:pPr>
            <w:r>
              <w:t>141.98</w:t>
            </w:r>
          </w:p>
        </w:tc>
        <w:tc>
          <w:tcPr>
            <w:tcW w:w="2551" w:type="dxa"/>
            <w:vAlign w:val="center"/>
          </w:tcPr>
          <w:p>
            <w:pPr>
              <w:pStyle w:val="15"/>
            </w:pPr>
            <w:r>
              <w:t>51.33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26.55</w:t>
            </w:r>
          </w:p>
        </w:tc>
        <w:tc>
          <w:tcPr>
            <w:tcW w:w="2551" w:type="dxa"/>
            <w:vAlign w:val="center"/>
          </w:tcPr>
          <w:p>
            <w:pPr>
              <w:pStyle w:val="11"/>
            </w:pPr>
            <w:r>
              <w:t>20.22</w:t>
            </w:r>
          </w:p>
        </w:tc>
        <w:tc>
          <w:tcPr>
            <w:tcW w:w="2551" w:type="dxa"/>
            <w:vAlign w:val="center"/>
          </w:tcPr>
          <w:p>
            <w:pPr>
              <w:pStyle w:val="11"/>
            </w:pPr>
            <w: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20.22</w:t>
            </w:r>
          </w:p>
        </w:tc>
        <w:tc>
          <w:tcPr>
            <w:tcW w:w="2551" w:type="dxa"/>
            <w:vAlign w:val="center"/>
          </w:tcPr>
          <w:p>
            <w:pPr>
              <w:pStyle w:val="11"/>
            </w:pPr>
            <w:r>
              <w:t>20.22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9.81</w:t>
            </w:r>
          </w:p>
        </w:tc>
        <w:tc>
          <w:tcPr>
            <w:tcW w:w="2551" w:type="dxa"/>
            <w:vAlign w:val="center"/>
          </w:tcPr>
          <w:p>
            <w:pPr>
              <w:pStyle w:val="11"/>
            </w:pPr>
            <w:r>
              <w:t>9.81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10.41</w:t>
            </w:r>
          </w:p>
        </w:tc>
        <w:tc>
          <w:tcPr>
            <w:tcW w:w="2551" w:type="dxa"/>
            <w:vAlign w:val="center"/>
          </w:tcPr>
          <w:p>
            <w:pPr>
              <w:pStyle w:val="11"/>
            </w:pPr>
            <w:r>
              <w:t>10.41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6.33</w:t>
            </w:r>
          </w:p>
        </w:tc>
        <w:tc>
          <w:tcPr>
            <w:tcW w:w="2551" w:type="dxa"/>
            <w:vAlign w:val="center"/>
          </w:tcPr>
          <w:p>
            <w:pPr>
              <w:pStyle w:val="11"/>
            </w:pPr>
          </w:p>
        </w:tc>
        <w:tc>
          <w:tcPr>
            <w:tcW w:w="2551" w:type="dxa"/>
            <w:vAlign w:val="center"/>
          </w:tcPr>
          <w:p>
            <w:pPr>
              <w:pStyle w:val="11"/>
            </w:pPr>
            <w: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6.33</w:t>
            </w:r>
          </w:p>
        </w:tc>
        <w:tc>
          <w:tcPr>
            <w:tcW w:w="2551" w:type="dxa"/>
            <w:vAlign w:val="center"/>
          </w:tcPr>
          <w:p>
            <w:pPr>
              <w:pStyle w:val="11"/>
            </w:pPr>
          </w:p>
        </w:tc>
        <w:tc>
          <w:tcPr>
            <w:tcW w:w="2551" w:type="dxa"/>
            <w:vAlign w:val="center"/>
          </w:tcPr>
          <w:p>
            <w:pPr>
              <w:pStyle w:val="11"/>
            </w:pPr>
            <w: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156.37</w:t>
            </w:r>
          </w:p>
        </w:tc>
        <w:tc>
          <w:tcPr>
            <w:tcW w:w="2551" w:type="dxa"/>
            <w:vAlign w:val="center"/>
          </w:tcPr>
          <w:p>
            <w:pPr>
              <w:pStyle w:val="11"/>
            </w:pPr>
            <w:r>
              <w:t>111.37</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104.63</w:t>
            </w:r>
          </w:p>
        </w:tc>
        <w:tc>
          <w:tcPr>
            <w:tcW w:w="2551" w:type="dxa"/>
            <w:vAlign w:val="center"/>
          </w:tcPr>
          <w:p>
            <w:pPr>
              <w:pStyle w:val="11"/>
            </w:pPr>
            <w:r>
              <w:t>104.63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2100101</w:t>
            </w:r>
          </w:p>
        </w:tc>
        <w:tc>
          <w:tcPr>
            <w:tcW w:w="4535" w:type="dxa"/>
            <w:vAlign w:val="center"/>
          </w:tcPr>
          <w:p>
            <w:pPr>
              <w:pStyle w:val="12"/>
            </w:pPr>
            <w:r>
              <w:t>行政运行</w:t>
            </w:r>
          </w:p>
        </w:tc>
        <w:tc>
          <w:tcPr>
            <w:tcW w:w="2551" w:type="dxa"/>
            <w:vAlign w:val="center"/>
          </w:tcPr>
          <w:p>
            <w:pPr>
              <w:pStyle w:val="11"/>
            </w:pPr>
            <w:r>
              <w:t>104.63</w:t>
            </w:r>
          </w:p>
        </w:tc>
        <w:tc>
          <w:tcPr>
            <w:tcW w:w="2551" w:type="dxa"/>
            <w:vAlign w:val="center"/>
          </w:tcPr>
          <w:p>
            <w:pPr>
              <w:pStyle w:val="11"/>
            </w:pPr>
            <w:r>
              <w:t>104.63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6.74</w:t>
            </w:r>
          </w:p>
        </w:tc>
        <w:tc>
          <w:tcPr>
            <w:tcW w:w="2551" w:type="dxa"/>
            <w:vAlign w:val="center"/>
          </w:tcPr>
          <w:p>
            <w:pPr>
              <w:pStyle w:val="11"/>
            </w:pPr>
            <w:r>
              <w:t>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6.74</w:t>
            </w:r>
          </w:p>
        </w:tc>
        <w:tc>
          <w:tcPr>
            <w:tcW w:w="2551" w:type="dxa"/>
            <w:vAlign w:val="center"/>
          </w:tcPr>
          <w:p>
            <w:pPr>
              <w:pStyle w:val="11"/>
            </w:pPr>
            <w:r>
              <w:t>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10.38</w:t>
            </w:r>
          </w:p>
        </w:tc>
        <w:tc>
          <w:tcPr>
            <w:tcW w:w="2551" w:type="dxa"/>
            <w:vAlign w:val="center"/>
          </w:tcPr>
          <w:p>
            <w:pPr>
              <w:pStyle w:val="11"/>
            </w:pPr>
            <w:r>
              <w:t>10.38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10.38</w:t>
            </w:r>
          </w:p>
        </w:tc>
        <w:tc>
          <w:tcPr>
            <w:tcW w:w="2551" w:type="dxa"/>
            <w:vAlign w:val="center"/>
          </w:tcPr>
          <w:p>
            <w:pPr>
              <w:pStyle w:val="11"/>
            </w:pPr>
            <w:r>
              <w:t>10.38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10.38</w:t>
            </w:r>
          </w:p>
        </w:tc>
        <w:tc>
          <w:tcPr>
            <w:tcW w:w="2551" w:type="dxa"/>
            <w:vAlign w:val="center"/>
          </w:tcPr>
          <w:p>
            <w:pPr>
              <w:pStyle w:val="11"/>
            </w:pPr>
            <w:r>
              <w:t>10.38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141.98</w:t>
            </w:r>
          </w:p>
        </w:tc>
        <w:tc>
          <w:tcPr>
            <w:tcW w:w="2551" w:type="dxa"/>
            <w:vAlign w:val="center"/>
          </w:tcPr>
          <w:p>
            <w:pPr>
              <w:pStyle w:val="15"/>
            </w:pPr>
            <w:r>
              <w:t>117.35</w:t>
            </w:r>
          </w:p>
        </w:tc>
        <w:tc>
          <w:tcPr>
            <w:tcW w:w="2551" w:type="dxa"/>
            <w:vAlign w:val="center"/>
          </w:tcPr>
          <w:p>
            <w:pPr>
              <w:pStyle w:val="15"/>
            </w:pPr>
            <w:r>
              <w:t>24.62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107.18</w:t>
            </w:r>
          </w:p>
        </w:tc>
        <w:tc>
          <w:tcPr>
            <w:tcW w:w="2551" w:type="dxa"/>
            <w:vAlign w:val="center"/>
          </w:tcPr>
          <w:p>
            <w:pPr>
              <w:pStyle w:val="11"/>
            </w:pPr>
            <w:r>
              <w:t>107.18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29.72</w:t>
            </w:r>
          </w:p>
        </w:tc>
        <w:tc>
          <w:tcPr>
            <w:tcW w:w="2551" w:type="dxa"/>
            <w:vAlign w:val="center"/>
          </w:tcPr>
          <w:p>
            <w:pPr>
              <w:pStyle w:val="11"/>
            </w:pPr>
            <w:r>
              <w:t>29.72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23.36</w:t>
            </w:r>
          </w:p>
        </w:tc>
        <w:tc>
          <w:tcPr>
            <w:tcW w:w="2551" w:type="dxa"/>
            <w:vAlign w:val="center"/>
          </w:tcPr>
          <w:p>
            <w:pPr>
              <w:pStyle w:val="11"/>
            </w:pPr>
            <w:r>
              <w:t>23.36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26.31</w:t>
            </w:r>
          </w:p>
        </w:tc>
        <w:tc>
          <w:tcPr>
            <w:tcW w:w="2551" w:type="dxa"/>
            <w:vAlign w:val="center"/>
          </w:tcPr>
          <w:p>
            <w:pPr>
              <w:pStyle w:val="11"/>
            </w:pPr>
            <w:r>
              <w:t>26.31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10.41</w:t>
            </w:r>
          </w:p>
        </w:tc>
        <w:tc>
          <w:tcPr>
            <w:tcW w:w="2551" w:type="dxa"/>
            <w:vAlign w:val="center"/>
          </w:tcPr>
          <w:p>
            <w:pPr>
              <w:pStyle w:val="11"/>
            </w:pPr>
            <w:r>
              <w:t>10.41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3.47</w:t>
            </w:r>
          </w:p>
        </w:tc>
        <w:tc>
          <w:tcPr>
            <w:tcW w:w="2551" w:type="dxa"/>
            <w:vAlign w:val="center"/>
          </w:tcPr>
          <w:p>
            <w:pPr>
              <w:pStyle w:val="11"/>
            </w:pPr>
            <w:r>
              <w:t>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3.27</w:t>
            </w:r>
          </w:p>
        </w:tc>
        <w:tc>
          <w:tcPr>
            <w:tcW w:w="2551" w:type="dxa"/>
            <w:vAlign w:val="center"/>
          </w:tcPr>
          <w:p>
            <w:pPr>
              <w:pStyle w:val="11"/>
            </w:pPr>
            <w:r>
              <w:t>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0.25</w:t>
            </w:r>
          </w:p>
        </w:tc>
        <w:tc>
          <w:tcPr>
            <w:tcW w:w="2551" w:type="dxa"/>
            <w:vAlign w:val="center"/>
          </w:tcPr>
          <w:p>
            <w:pPr>
              <w:pStyle w:val="11"/>
            </w:pPr>
            <w:r>
              <w:t>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10.38</w:t>
            </w:r>
          </w:p>
        </w:tc>
        <w:tc>
          <w:tcPr>
            <w:tcW w:w="2551" w:type="dxa"/>
            <w:vAlign w:val="center"/>
          </w:tcPr>
          <w:p>
            <w:pPr>
              <w:pStyle w:val="11"/>
            </w:pPr>
            <w:r>
              <w:t>10.38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24.42</w:t>
            </w:r>
          </w:p>
        </w:tc>
        <w:tc>
          <w:tcPr>
            <w:tcW w:w="2551" w:type="dxa"/>
            <w:vAlign w:val="center"/>
          </w:tcPr>
          <w:p>
            <w:pPr>
              <w:pStyle w:val="11"/>
            </w:pPr>
          </w:p>
        </w:tc>
        <w:tc>
          <w:tcPr>
            <w:tcW w:w="2551" w:type="dxa"/>
            <w:vAlign w:val="center"/>
          </w:tcPr>
          <w:p>
            <w:pPr>
              <w:pStyle w:val="11"/>
            </w:pPr>
            <w:r>
              <w:t>24.42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3.40</w:t>
            </w:r>
          </w:p>
        </w:tc>
        <w:tc>
          <w:tcPr>
            <w:tcW w:w="2551" w:type="dxa"/>
            <w:vAlign w:val="center"/>
          </w:tcPr>
          <w:p>
            <w:pPr>
              <w:pStyle w:val="11"/>
            </w:pPr>
          </w:p>
        </w:tc>
        <w:tc>
          <w:tcPr>
            <w:tcW w:w="2551" w:type="dxa"/>
            <w:vAlign w:val="center"/>
          </w:tcPr>
          <w:p>
            <w:pPr>
              <w:pStyle w:val="11"/>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9.25</w:t>
            </w:r>
          </w:p>
        </w:tc>
        <w:tc>
          <w:tcPr>
            <w:tcW w:w="2551" w:type="dxa"/>
            <w:vAlign w:val="center"/>
          </w:tcPr>
          <w:p>
            <w:pPr>
              <w:pStyle w:val="11"/>
            </w:pPr>
          </w:p>
        </w:tc>
        <w:tc>
          <w:tcPr>
            <w:tcW w:w="2551" w:type="dxa"/>
            <w:vAlign w:val="center"/>
          </w:tcPr>
          <w:p>
            <w:pPr>
              <w:pStyle w:val="11"/>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3.96</w:t>
            </w:r>
          </w:p>
        </w:tc>
        <w:tc>
          <w:tcPr>
            <w:tcW w:w="2551" w:type="dxa"/>
            <w:vAlign w:val="center"/>
          </w:tcPr>
          <w:p>
            <w:pPr>
              <w:pStyle w:val="11"/>
            </w:pPr>
          </w:p>
        </w:tc>
        <w:tc>
          <w:tcPr>
            <w:tcW w:w="2551" w:type="dxa"/>
            <w:vAlign w:val="center"/>
          </w:tcPr>
          <w:p>
            <w:pPr>
              <w:pStyle w:val="11"/>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1.16</w:t>
            </w:r>
          </w:p>
        </w:tc>
        <w:tc>
          <w:tcPr>
            <w:tcW w:w="2551" w:type="dxa"/>
            <w:vAlign w:val="center"/>
          </w:tcPr>
          <w:p>
            <w:pPr>
              <w:pStyle w:val="11"/>
            </w:pPr>
          </w:p>
        </w:tc>
        <w:tc>
          <w:tcPr>
            <w:tcW w:w="2551" w:type="dxa"/>
            <w:vAlign w:val="center"/>
          </w:tcPr>
          <w:p>
            <w:pPr>
              <w:pStyle w:val="11"/>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10.18</w:t>
            </w:r>
          </w:p>
        </w:tc>
        <w:tc>
          <w:tcPr>
            <w:tcW w:w="2551" w:type="dxa"/>
            <w:vAlign w:val="center"/>
          </w:tcPr>
          <w:p>
            <w:pPr>
              <w:pStyle w:val="11"/>
            </w:pPr>
            <w:r>
              <w:t>10.18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9.69</w:t>
            </w:r>
          </w:p>
        </w:tc>
        <w:tc>
          <w:tcPr>
            <w:tcW w:w="2551" w:type="dxa"/>
            <w:vAlign w:val="center"/>
          </w:tcPr>
          <w:p>
            <w:pPr>
              <w:pStyle w:val="11"/>
            </w:pPr>
            <w:r>
              <w:t>9.69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0.49</w:t>
            </w:r>
          </w:p>
        </w:tc>
        <w:tc>
          <w:tcPr>
            <w:tcW w:w="2551" w:type="dxa"/>
            <w:vAlign w:val="center"/>
          </w:tcPr>
          <w:p>
            <w:pPr>
              <w:pStyle w:val="11"/>
            </w:pPr>
            <w:r>
              <w:t>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石家庄市鹿泉区计划生育协会本级2026年单位预算信息公开情况说明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按照《中华人民共和国预算法》、《地方预决算公开操作规程》和《关于进一步推进预算公开工作的实施意见》规定，现将石家庄市鹿泉区计划生育协会本级2026年单位预算公开如下：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主要职责是：</w:t>
      </w:r>
    </w:p>
    <w:p>
      <w:pPr>
        <w:pStyle w:val="17"/>
      </w:pPr>
      <w:r>
        <w:t>（一）坚持党的领导，加强政治引领，贯彻落实党中央和省委、市委关于计划生育方面的方针政策和决策部署。协助政府贯彻落实国家、省、市、区有关计划生育与家庭发展的法律、法规和政策，引导群众负责任、有计划地生育。</w:t>
      </w:r>
    </w:p>
    <w:p>
      <w:pPr>
        <w:pStyle w:val="17"/>
      </w:pPr>
      <w:r>
        <w:t>（二）参与全区计划生育与家庭发展重大问题的政策与动态研究，为区委、区政府提供相关决策意见和建议。</w:t>
      </w:r>
    </w:p>
    <w:p>
      <w:pPr>
        <w:pStyle w:val="17"/>
      </w:pPr>
      <w:r>
        <w:t>（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pPr>
        <w:pStyle w:val="17"/>
      </w:pPr>
      <w:r>
        <w:t>（四）指导各乡（镇、区）计划生育协会的组织建设、队伍建设、阵地建设和业务工作。</w:t>
      </w:r>
    </w:p>
    <w:p>
      <w:pPr>
        <w:pStyle w:val="17"/>
      </w:pPr>
      <w:r>
        <w:t>（五）在政府领导下开展计划生育与家庭发展的国内、国际交流与合作工作。</w:t>
      </w:r>
    </w:p>
    <w:p>
      <w:pPr>
        <w:pStyle w:val="17"/>
      </w:pPr>
      <w:r>
        <w:t>（六）完成区委、区政府交办的其它任务。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石家庄市鹿泉区计划生育协会本级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193.31万元，其中：一般公共预算收入193.31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计划生育协会本级年度单位预算中支出预算的总体情况。2026年支出预算193.31万元，其中基本支出141.98万元，包括人员经费117.35万元和日常公用经费24.62万元；项目支出51.33万元，主要为计生系列保险、亲情关爱（暖心家园）、生育关怀等项目经费40万元；计生宣传服务及组织建设经费5万元；军队退役人员劳务派遣工资6.33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193.31万元，较2025年预算减少20.43万元，其中：基本支出减少10.19万元，主要为人员调动，调出人员1名。项目支出减少10.24万元，主要为财政资金紧张，活动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left="0" w:leftChars="0" w:firstLine="560" w:firstLineChars="200"/>
        <w:rPr>
          <w:rFonts w:ascii="Times New Roman" w:hAnsi="Times New Roman" w:eastAsia="方正仿宋_GBK" w:cs="Times New Roman"/>
          <w:sz w:val="28"/>
          <w:szCs w:val="22"/>
        </w:rPr>
      </w:pPr>
      <w:bookmarkStart w:id="1" w:name="_GoBack"/>
      <w:bookmarkEnd w:id="1"/>
      <w:r>
        <w:rPr>
          <w:rFonts w:ascii="Times New Roman" w:hAnsi="Times New Roman" w:eastAsia="方正仿宋_GBK" w:cs="Times New Roman"/>
          <w:sz w:val="28"/>
          <w:szCs w:val="22"/>
        </w:rPr>
        <w:t> 2026年，我单位机关运行经费共计安排24.62万元，主要用于日常维修、办公用房水电费、办公用房取暖费、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1、2026年计生系列保险、亲情关爱（暖心家园）、生育关怀等项目经费绩效目标表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13011026P00325910053M</w:t>
            </w:r>
          </w:p>
        </w:tc>
        <w:tc>
          <w:tcPr>
            <w:tcW w:w="2835" w:type="dxa"/>
            <w:vAlign w:val="center"/>
          </w:tcPr>
          <w:p>
            <w:pPr>
              <w:pStyle w:val="10"/>
            </w:pPr>
            <w:r>
              <w:t>项目名称</w:t>
            </w:r>
          </w:p>
        </w:tc>
        <w:tc>
          <w:tcPr>
            <w:tcW w:w="6095" w:type="dxa"/>
            <w:gridSpan w:val="3"/>
            <w:vAlign w:val="center"/>
          </w:tcPr>
          <w:p>
            <w:pPr>
              <w:pStyle w:val="12"/>
            </w:pPr>
            <w:r>
              <w:t>2026年计生系列保险、亲情关爱（暖心家园）、生育关怀等项目经费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为计生特殊家庭开展服务，使他们更好生活。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1.目标内容4开展计生协秘书长、宣传员、健康指导员等培训，提高业务素质</w:t>
            </w:r>
          </w:p>
          <w:p>
            <w:pPr>
              <w:pStyle w:val="12"/>
            </w:pPr>
            <w:r>
              <w:t>2.目标内容2开展七项帮扶，使计生特殊家庭更好融入社会</w:t>
            </w:r>
          </w:p>
          <w:p>
            <w:pPr>
              <w:pStyle w:val="12"/>
            </w:pPr>
            <w:r>
              <w:t>3.目标内容5开展暖心家园，为计生特殊家庭、托幼提供活动场所</w:t>
            </w:r>
          </w:p>
          <w:p>
            <w:pPr>
              <w:pStyle w:val="12"/>
            </w:pPr>
            <w:r>
              <w:t>4.目标内容1为农村、城镇低保、军人计生家庭、计生特殊家庭入意外伤害保险，减少风险。为计生特殊家庭入护工保险，保障生活。</w:t>
            </w:r>
          </w:p>
          <w:p>
            <w:pPr>
              <w:pStyle w:val="12"/>
            </w:pPr>
            <w:r>
              <w:t>5.目标内容3对贫困女孩圆大学梦提供帮扶。对计生工作者因病因灾贫困提供救助。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帮扶计生特殊家庭人数</w:t>
            </w:r>
          </w:p>
        </w:tc>
        <w:tc>
          <w:tcPr>
            <w:tcW w:w="5386" w:type="dxa"/>
            <w:vAlign w:val="center"/>
          </w:tcPr>
          <w:p>
            <w:pPr>
              <w:pStyle w:val="12"/>
            </w:pPr>
            <w:r>
              <w:t>帮扶计生特殊家庭人数</w:t>
            </w:r>
          </w:p>
        </w:tc>
        <w:tc>
          <w:tcPr>
            <w:tcW w:w="2268" w:type="dxa"/>
            <w:vAlign w:val="center"/>
          </w:tcPr>
          <w:p>
            <w:pPr>
              <w:pStyle w:val="12"/>
            </w:pPr>
            <w:r>
              <w:t>全区计生特殊家庭老人100人左右</w:t>
            </w:r>
          </w:p>
        </w:tc>
        <w:tc>
          <w:tcPr>
            <w:tcW w:w="1276" w:type="dxa"/>
            <w:vAlign w:val="center"/>
          </w:tcPr>
          <w:p>
            <w:pPr>
              <w:pStyle w:val="12"/>
            </w:pPr>
            <w:r>
              <w:t>鹿办字[2014]5号和石计生协[2025]1号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圆梦女孩人数</w:t>
            </w:r>
          </w:p>
        </w:tc>
        <w:tc>
          <w:tcPr>
            <w:tcW w:w="5386" w:type="dxa"/>
            <w:vAlign w:val="center"/>
          </w:tcPr>
          <w:p>
            <w:pPr>
              <w:pStyle w:val="12"/>
            </w:pPr>
            <w:r>
              <w:t>为考入大学女孩圆大学梦人数</w:t>
            </w:r>
          </w:p>
        </w:tc>
        <w:tc>
          <w:tcPr>
            <w:tcW w:w="2268" w:type="dxa"/>
            <w:vAlign w:val="center"/>
          </w:tcPr>
          <w:p>
            <w:pPr>
              <w:pStyle w:val="12"/>
            </w:pPr>
            <w:r>
              <w:t>根据实际摸底人数</w:t>
            </w:r>
          </w:p>
        </w:tc>
        <w:tc>
          <w:tcPr>
            <w:tcW w:w="1276" w:type="dxa"/>
            <w:vAlign w:val="center"/>
          </w:tcPr>
          <w:p>
            <w:pPr>
              <w:pStyle w:val="12"/>
            </w:pPr>
            <w:r>
              <w:t>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对计生协秘书长、宣传员、健康指导员培训次数</w:t>
            </w:r>
          </w:p>
        </w:tc>
        <w:tc>
          <w:tcPr>
            <w:tcW w:w="2268" w:type="dxa"/>
            <w:vAlign w:val="center"/>
          </w:tcPr>
          <w:p>
            <w:pPr>
              <w:pStyle w:val="12"/>
            </w:pPr>
            <w:r>
              <w:t>≥3次</w:t>
            </w:r>
          </w:p>
        </w:tc>
        <w:tc>
          <w:tcPr>
            <w:tcW w:w="1276" w:type="dxa"/>
            <w:vAlign w:val="center"/>
          </w:tcPr>
          <w:p>
            <w:pPr>
              <w:pStyle w:val="12"/>
            </w:pPr>
            <w:r>
              <w:t>石计生协[2025]1号和省市要求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暖心家园、向日葵小屋项目受益人数</w:t>
            </w:r>
          </w:p>
        </w:tc>
        <w:tc>
          <w:tcPr>
            <w:tcW w:w="5386" w:type="dxa"/>
            <w:vAlign w:val="center"/>
          </w:tcPr>
          <w:p>
            <w:pPr>
              <w:pStyle w:val="12"/>
            </w:pPr>
            <w:r>
              <w:t>暖心家园受益人数</w:t>
            </w:r>
          </w:p>
        </w:tc>
        <w:tc>
          <w:tcPr>
            <w:tcW w:w="2268" w:type="dxa"/>
            <w:vAlign w:val="center"/>
          </w:tcPr>
          <w:p>
            <w:pPr>
              <w:pStyle w:val="12"/>
            </w:pPr>
            <w:r>
              <w:t>≥1000人次</w:t>
            </w:r>
          </w:p>
        </w:tc>
        <w:tc>
          <w:tcPr>
            <w:tcW w:w="1276" w:type="dxa"/>
            <w:vAlign w:val="center"/>
          </w:tcPr>
          <w:p>
            <w:pPr>
              <w:pStyle w:val="12"/>
            </w:pPr>
            <w:r>
              <w:t>省项目要求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保险保障人数</w:t>
            </w:r>
          </w:p>
        </w:tc>
        <w:tc>
          <w:tcPr>
            <w:tcW w:w="5386" w:type="dxa"/>
            <w:vAlign w:val="center"/>
          </w:tcPr>
          <w:p>
            <w:pPr>
              <w:pStyle w:val="12"/>
            </w:pPr>
            <w:r>
              <w:t>投保意外伤害保险、护工险保障人数</w:t>
            </w:r>
          </w:p>
        </w:tc>
        <w:tc>
          <w:tcPr>
            <w:tcW w:w="2268" w:type="dxa"/>
            <w:vAlign w:val="center"/>
          </w:tcPr>
          <w:p>
            <w:pPr>
              <w:pStyle w:val="12"/>
            </w:pPr>
            <w:r>
              <w:t>按照文件要求，做到应保尽保</w:t>
            </w:r>
          </w:p>
        </w:tc>
        <w:tc>
          <w:tcPr>
            <w:tcW w:w="1276" w:type="dxa"/>
            <w:vAlign w:val="center"/>
          </w:tcPr>
          <w:p>
            <w:pPr>
              <w:pStyle w:val="12"/>
            </w:pPr>
            <w:r>
              <w:t>鹿办字[2014]5号和石计生协[2025]1号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各项工作完成率</w:t>
            </w:r>
          </w:p>
        </w:tc>
        <w:tc>
          <w:tcPr>
            <w:tcW w:w="2268" w:type="dxa"/>
            <w:vAlign w:val="center"/>
          </w:tcPr>
          <w:p>
            <w:pPr>
              <w:pStyle w:val="12"/>
            </w:pPr>
            <w:r>
              <w:t>≥90%</w:t>
            </w:r>
          </w:p>
        </w:tc>
        <w:tc>
          <w:tcPr>
            <w:tcW w:w="1276" w:type="dxa"/>
            <w:vAlign w:val="center"/>
          </w:tcPr>
          <w:p>
            <w:pPr>
              <w:pStyle w:val="12"/>
            </w:pPr>
            <w:r>
              <w:t>鹿办字[2014]5号和石计生协[2025]1号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各类活动受益覆盖人群</w:t>
            </w:r>
          </w:p>
        </w:tc>
        <w:tc>
          <w:tcPr>
            <w:tcW w:w="5386" w:type="dxa"/>
            <w:vAlign w:val="center"/>
          </w:tcPr>
          <w:p>
            <w:pPr>
              <w:pStyle w:val="12"/>
            </w:pPr>
            <w:r>
              <w:t>符合补助条件、可以受益人群</w:t>
            </w:r>
          </w:p>
        </w:tc>
        <w:tc>
          <w:tcPr>
            <w:tcW w:w="2268" w:type="dxa"/>
            <w:vAlign w:val="center"/>
          </w:tcPr>
          <w:p>
            <w:pPr>
              <w:pStyle w:val="12"/>
            </w:pPr>
            <w:r>
              <w:t>≥2000人次</w:t>
            </w:r>
          </w:p>
        </w:tc>
        <w:tc>
          <w:tcPr>
            <w:tcW w:w="1276" w:type="dxa"/>
            <w:vAlign w:val="center"/>
          </w:tcPr>
          <w:p>
            <w:pPr>
              <w:pStyle w:val="12"/>
            </w:pPr>
            <w:r>
              <w:t>鹿办字[2014]5号和石计生协[2025]1号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补助、补贴及时率</w:t>
            </w:r>
          </w:p>
        </w:tc>
        <w:tc>
          <w:tcPr>
            <w:tcW w:w="5386" w:type="dxa"/>
            <w:vAlign w:val="center"/>
          </w:tcPr>
          <w:p>
            <w:pPr>
              <w:pStyle w:val="12"/>
            </w:pPr>
            <w:r>
              <w:t>保险投保及时率、补助发放时间</w:t>
            </w:r>
          </w:p>
        </w:tc>
        <w:tc>
          <w:tcPr>
            <w:tcW w:w="2268" w:type="dxa"/>
            <w:vAlign w:val="center"/>
          </w:tcPr>
          <w:p>
            <w:pPr>
              <w:pStyle w:val="12"/>
            </w:pPr>
            <w:r>
              <w:t>按规定时间及时投保、发放</w:t>
            </w:r>
          </w:p>
        </w:tc>
        <w:tc>
          <w:tcPr>
            <w:tcW w:w="1276" w:type="dxa"/>
            <w:vAlign w:val="center"/>
          </w:tcPr>
          <w:p>
            <w:pPr>
              <w:pStyle w:val="12"/>
            </w:pPr>
            <w:r>
              <w:t>鹿办字[2014]5号和石计生协[2025]1号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计生特殊家庭人均补贴标准</w:t>
            </w:r>
          </w:p>
        </w:tc>
        <w:tc>
          <w:tcPr>
            <w:tcW w:w="5386" w:type="dxa"/>
            <w:vAlign w:val="center"/>
          </w:tcPr>
          <w:p>
            <w:pPr>
              <w:pStyle w:val="12"/>
            </w:pPr>
            <w:r>
              <w:t>计生特殊家庭七项帮扶措施人均补助标准</w:t>
            </w:r>
          </w:p>
        </w:tc>
        <w:tc>
          <w:tcPr>
            <w:tcW w:w="2268" w:type="dxa"/>
            <w:vAlign w:val="center"/>
          </w:tcPr>
          <w:p>
            <w:pPr>
              <w:pStyle w:val="12"/>
            </w:pPr>
            <w:r>
              <w:t>&gt;3000元</w:t>
            </w:r>
          </w:p>
        </w:tc>
        <w:tc>
          <w:tcPr>
            <w:tcW w:w="1276" w:type="dxa"/>
            <w:vAlign w:val="center"/>
          </w:tcPr>
          <w:p>
            <w:pPr>
              <w:pStyle w:val="12"/>
            </w:pPr>
            <w:r>
              <w:t>鹿办字[2014]5号和石计生协[2025]1号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圆梦女孩救助标准</w:t>
            </w:r>
          </w:p>
        </w:tc>
        <w:tc>
          <w:tcPr>
            <w:tcW w:w="5386" w:type="dxa"/>
            <w:vAlign w:val="center"/>
          </w:tcPr>
          <w:p>
            <w:pPr>
              <w:pStyle w:val="12"/>
            </w:pPr>
            <w:r>
              <w:t>对贫困女孩救助标准</w:t>
            </w:r>
          </w:p>
        </w:tc>
        <w:tc>
          <w:tcPr>
            <w:tcW w:w="2268" w:type="dxa"/>
            <w:vAlign w:val="center"/>
          </w:tcPr>
          <w:p>
            <w:pPr>
              <w:pStyle w:val="12"/>
            </w:pPr>
            <w:r>
              <w:t>≤2000元</w:t>
            </w:r>
          </w:p>
        </w:tc>
        <w:tc>
          <w:tcPr>
            <w:tcW w:w="1276" w:type="dxa"/>
            <w:vAlign w:val="center"/>
          </w:tcPr>
          <w:p>
            <w:pPr>
              <w:pStyle w:val="12"/>
            </w:pPr>
            <w:r>
              <w:t>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开展每场培训活动成本</w:t>
            </w:r>
          </w:p>
        </w:tc>
        <w:tc>
          <w:tcPr>
            <w:tcW w:w="2268" w:type="dxa"/>
            <w:vAlign w:val="center"/>
          </w:tcPr>
          <w:p>
            <w:pPr>
              <w:pStyle w:val="12"/>
            </w:pPr>
            <w:r>
              <w:t>≤5000元</w:t>
            </w:r>
          </w:p>
        </w:tc>
        <w:tc>
          <w:tcPr>
            <w:tcW w:w="1276" w:type="dxa"/>
            <w:vAlign w:val="center"/>
          </w:tcPr>
          <w:p>
            <w:pPr>
              <w:pStyle w:val="12"/>
            </w:pPr>
            <w:r>
              <w:t>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保险投保标准</w:t>
            </w:r>
          </w:p>
        </w:tc>
        <w:tc>
          <w:tcPr>
            <w:tcW w:w="5386" w:type="dxa"/>
            <w:vAlign w:val="center"/>
          </w:tcPr>
          <w:p>
            <w:pPr>
              <w:pStyle w:val="12"/>
            </w:pPr>
            <w:r>
              <w:t>失独家庭意外险、护工险</w:t>
            </w:r>
          </w:p>
        </w:tc>
        <w:tc>
          <w:tcPr>
            <w:tcW w:w="2268" w:type="dxa"/>
            <w:vAlign w:val="center"/>
          </w:tcPr>
          <w:p>
            <w:pPr>
              <w:pStyle w:val="12"/>
            </w:pPr>
            <w:r>
              <w:t>200人次</w:t>
            </w:r>
          </w:p>
        </w:tc>
        <w:tc>
          <w:tcPr>
            <w:tcW w:w="1276" w:type="dxa"/>
            <w:vAlign w:val="center"/>
          </w:tcPr>
          <w:p>
            <w:pPr>
              <w:pStyle w:val="12"/>
            </w:pPr>
            <w:r>
              <w:t>鹿办字[2014]5号和石计生协[2025]1号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提高受助人群抵御风险能力程度</w:t>
            </w:r>
          </w:p>
        </w:tc>
        <w:tc>
          <w:tcPr>
            <w:tcW w:w="5386" w:type="dxa"/>
            <w:vAlign w:val="center"/>
          </w:tcPr>
          <w:p>
            <w:pPr>
              <w:pStyle w:val="12"/>
            </w:pPr>
            <w:r>
              <w:t>提高受助人员家庭抗风险能力、生活水平</w:t>
            </w:r>
          </w:p>
        </w:tc>
        <w:tc>
          <w:tcPr>
            <w:tcW w:w="2268" w:type="dxa"/>
            <w:vAlign w:val="center"/>
          </w:tcPr>
          <w:p>
            <w:pPr>
              <w:pStyle w:val="12"/>
            </w:pPr>
            <w:r>
              <w:t>生活水平提高</w:t>
            </w:r>
          </w:p>
        </w:tc>
        <w:tc>
          <w:tcPr>
            <w:tcW w:w="1276" w:type="dxa"/>
            <w:vAlign w:val="center"/>
          </w:tcPr>
          <w:p>
            <w:pPr>
              <w:pStyle w:val="12"/>
            </w:pPr>
            <w:r>
              <w:t>鹿办字[2014]5号和石计生协[2025]1号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接受救助家庭满意度</w:t>
            </w:r>
          </w:p>
        </w:tc>
        <w:tc>
          <w:tcPr>
            <w:tcW w:w="5386" w:type="dxa"/>
            <w:vAlign w:val="center"/>
          </w:tcPr>
          <w:p>
            <w:pPr>
              <w:pStyle w:val="12"/>
            </w:pPr>
            <w:r>
              <w:t>接受救助家庭满意度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2、2026年计生宣传服务及组织建设经费绩效目标表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13011026P003259100574</w:t>
            </w:r>
          </w:p>
        </w:tc>
        <w:tc>
          <w:tcPr>
            <w:tcW w:w="2835" w:type="dxa"/>
            <w:vAlign w:val="center"/>
          </w:tcPr>
          <w:p>
            <w:pPr>
              <w:pStyle w:val="10"/>
            </w:pPr>
            <w:r>
              <w:t>项目名称</w:t>
            </w:r>
          </w:p>
        </w:tc>
        <w:tc>
          <w:tcPr>
            <w:tcW w:w="6095" w:type="dxa"/>
            <w:gridSpan w:val="3"/>
            <w:vAlign w:val="center"/>
          </w:tcPr>
          <w:p>
            <w:pPr>
              <w:pStyle w:val="12"/>
            </w:pPr>
            <w:r>
              <w:t>2026年计生宣传服务及组织建设经费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扩大宣传覆盖面，宣传计生卫生政策、知识，按时完成换届大会，产生优质领导班子，资料齐全。新班子带动组织活力提升。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1.扩大宣传覆盖面，宣传计生卫生政策、知识，通过5.29、7.11等时间节点开展5次以上宣传活动，提高广大群众健康意识。</w:t>
            </w:r>
          </w:p>
          <w:p>
            <w:pPr>
              <w:pStyle w:val="12"/>
            </w:pPr>
            <w:r>
              <w:t>2.按时完成换届大会，产生优质领导班子，资料齐全。新班子带动组织活力提升。</w:t>
            </w:r>
          </w:p>
          <w:p>
            <w:pPr>
              <w:pStyle w:val="12"/>
            </w:pPr>
            <w:r>
              <w:t>3.开展流动人口宣传服务和青春健康进校园、进家庭、进社区活动，举办3次以上讲座，提升新市民健康素养和提高青少年青春期知识水平。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开展集中宣传服务活动场次</w:t>
            </w:r>
          </w:p>
        </w:tc>
        <w:tc>
          <w:tcPr>
            <w:tcW w:w="5386" w:type="dxa"/>
            <w:vAlign w:val="center"/>
          </w:tcPr>
          <w:p>
            <w:pPr>
              <w:pStyle w:val="12"/>
            </w:pPr>
            <w:r>
              <w:t>反映5.29、12.1等重大纪念日开展集中宣传服务活动场次</w:t>
            </w:r>
          </w:p>
        </w:tc>
        <w:tc>
          <w:tcPr>
            <w:tcW w:w="2268" w:type="dxa"/>
            <w:vAlign w:val="center"/>
          </w:tcPr>
          <w:p>
            <w:pPr>
              <w:pStyle w:val="12"/>
            </w:pPr>
            <w:r>
              <w:t>≥5次</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活动举办及时性</w:t>
            </w:r>
          </w:p>
        </w:tc>
        <w:tc>
          <w:tcPr>
            <w:tcW w:w="5386" w:type="dxa"/>
            <w:vAlign w:val="center"/>
          </w:tcPr>
          <w:p>
            <w:pPr>
              <w:pStyle w:val="12"/>
            </w:pPr>
            <w:r>
              <w:t>活动举办的及时性</w:t>
            </w:r>
          </w:p>
        </w:tc>
        <w:tc>
          <w:tcPr>
            <w:tcW w:w="2268" w:type="dxa"/>
            <w:vAlign w:val="center"/>
          </w:tcPr>
          <w:p>
            <w:pPr>
              <w:pStyle w:val="12"/>
            </w:pPr>
            <w:r>
              <w:t>按时举办</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时间节点举办活动占应举办活动率</w:t>
            </w:r>
          </w:p>
        </w:tc>
        <w:tc>
          <w:tcPr>
            <w:tcW w:w="2268" w:type="dxa"/>
            <w:vAlign w:val="center"/>
          </w:tcPr>
          <w:p>
            <w:pPr>
              <w:pStyle w:val="12"/>
            </w:pPr>
            <w:r>
              <w:t>100%</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培训覆盖率（%）</w:t>
            </w:r>
          </w:p>
        </w:tc>
        <w:tc>
          <w:tcPr>
            <w:tcW w:w="5386" w:type="dxa"/>
            <w:vAlign w:val="center"/>
          </w:tcPr>
          <w:p>
            <w:pPr>
              <w:pStyle w:val="12"/>
            </w:pPr>
            <w:r>
              <w:t>培训覆盖率（%）</w:t>
            </w:r>
          </w:p>
        </w:tc>
        <w:tc>
          <w:tcPr>
            <w:tcW w:w="2268" w:type="dxa"/>
            <w:vAlign w:val="center"/>
          </w:tcPr>
          <w:p>
            <w:pPr>
              <w:pStyle w:val="12"/>
            </w:pPr>
            <w:r>
              <w:t>≥90%</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开展讲座数量</w:t>
            </w:r>
          </w:p>
        </w:tc>
        <w:tc>
          <w:tcPr>
            <w:tcW w:w="5386" w:type="dxa"/>
            <w:vAlign w:val="center"/>
          </w:tcPr>
          <w:p>
            <w:pPr>
              <w:pStyle w:val="12"/>
            </w:pPr>
            <w:r>
              <w:t>开展流动人口宣传服务和青春健康、优生优育专题、家庭健康促进讲座次数</w:t>
            </w:r>
          </w:p>
        </w:tc>
        <w:tc>
          <w:tcPr>
            <w:tcW w:w="2268" w:type="dxa"/>
            <w:vAlign w:val="center"/>
          </w:tcPr>
          <w:p>
            <w:pPr>
              <w:pStyle w:val="12"/>
            </w:pPr>
            <w:r>
              <w:t>≥3次</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宣传活动成本和换届成本</w:t>
            </w:r>
          </w:p>
        </w:tc>
        <w:tc>
          <w:tcPr>
            <w:tcW w:w="5386" w:type="dxa"/>
            <w:vAlign w:val="center"/>
          </w:tcPr>
          <w:p>
            <w:pPr>
              <w:pStyle w:val="12"/>
            </w:pPr>
            <w:r>
              <w:t>宣传活动和换届成本</w:t>
            </w:r>
          </w:p>
        </w:tc>
        <w:tc>
          <w:tcPr>
            <w:tcW w:w="2268" w:type="dxa"/>
            <w:vAlign w:val="center"/>
          </w:tcPr>
          <w:p>
            <w:pPr>
              <w:pStyle w:val="12"/>
            </w:pPr>
            <w:r>
              <w:t>≤5万元</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宣传品数量</w:t>
            </w:r>
          </w:p>
        </w:tc>
        <w:tc>
          <w:tcPr>
            <w:tcW w:w="5386" w:type="dxa"/>
            <w:vAlign w:val="center"/>
          </w:tcPr>
          <w:p>
            <w:pPr>
              <w:pStyle w:val="12"/>
            </w:pPr>
            <w:r>
              <w:t>宣传品数量</w:t>
            </w:r>
          </w:p>
        </w:tc>
        <w:tc>
          <w:tcPr>
            <w:tcW w:w="2268" w:type="dxa"/>
            <w:vAlign w:val="center"/>
          </w:tcPr>
          <w:p>
            <w:pPr>
              <w:pStyle w:val="12"/>
            </w:pPr>
            <w:r>
              <w:t>&gt;1000份</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宣传折页数量和换届资料</w:t>
            </w:r>
          </w:p>
        </w:tc>
        <w:tc>
          <w:tcPr>
            <w:tcW w:w="5386" w:type="dxa"/>
            <w:vAlign w:val="center"/>
          </w:tcPr>
          <w:p>
            <w:pPr>
              <w:pStyle w:val="12"/>
            </w:pPr>
            <w:r>
              <w:t>印制信息采集宣传折页、各种政策折页。换届资料等</w:t>
            </w:r>
          </w:p>
        </w:tc>
        <w:tc>
          <w:tcPr>
            <w:tcW w:w="2268" w:type="dxa"/>
            <w:vAlign w:val="center"/>
          </w:tcPr>
          <w:p>
            <w:pPr>
              <w:pStyle w:val="12"/>
            </w:pPr>
            <w:r>
              <w:t>≥3500份</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换届次数</w:t>
            </w:r>
          </w:p>
        </w:tc>
        <w:tc>
          <w:tcPr>
            <w:tcW w:w="5386" w:type="dxa"/>
            <w:vAlign w:val="center"/>
          </w:tcPr>
          <w:p>
            <w:pPr>
              <w:pStyle w:val="12"/>
            </w:pPr>
            <w:r>
              <w:t>换届会议次数</w:t>
            </w:r>
          </w:p>
        </w:tc>
        <w:tc>
          <w:tcPr>
            <w:tcW w:w="2268" w:type="dxa"/>
            <w:vAlign w:val="center"/>
          </w:tcPr>
          <w:p>
            <w:pPr>
              <w:pStyle w:val="12"/>
            </w:pPr>
            <w:r>
              <w:t>1次</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换届人数</w:t>
            </w:r>
          </w:p>
        </w:tc>
        <w:tc>
          <w:tcPr>
            <w:tcW w:w="5386" w:type="dxa"/>
            <w:vAlign w:val="center"/>
          </w:tcPr>
          <w:p>
            <w:pPr>
              <w:pStyle w:val="12"/>
            </w:pPr>
            <w:r>
              <w:t>换届代表人数</w:t>
            </w:r>
          </w:p>
        </w:tc>
        <w:tc>
          <w:tcPr>
            <w:tcW w:w="2268" w:type="dxa"/>
            <w:vAlign w:val="center"/>
          </w:tcPr>
          <w:p>
            <w:pPr>
              <w:pStyle w:val="12"/>
            </w:pPr>
            <w:r>
              <w:t>≥50名</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换届完成时间</w:t>
            </w:r>
          </w:p>
        </w:tc>
        <w:tc>
          <w:tcPr>
            <w:tcW w:w="5386" w:type="dxa"/>
            <w:vAlign w:val="center"/>
          </w:tcPr>
          <w:p>
            <w:pPr>
              <w:pStyle w:val="12"/>
            </w:pPr>
            <w:r>
              <w:t>换届完成时间</w:t>
            </w:r>
          </w:p>
        </w:tc>
        <w:tc>
          <w:tcPr>
            <w:tcW w:w="2268" w:type="dxa"/>
            <w:vAlign w:val="center"/>
          </w:tcPr>
          <w:p>
            <w:pPr>
              <w:pStyle w:val="12"/>
            </w:pPr>
            <w:r>
              <w:t>2026年底之前完成</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接受服务人次</w:t>
            </w:r>
          </w:p>
        </w:tc>
        <w:tc>
          <w:tcPr>
            <w:tcW w:w="5386" w:type="dxa"/>
            <w:vAlign w:val="center"/>
          </w:tcPr>
          <w:p>
            <w:pPr>
              <w:pStyle w:val="12"/>
            </w:pPr>
            <w:r>
              <w:t>年内接受计生政策、优生优育、青春健康宣传受益人员</w:t>
            </w:r>
          </w:p>
        </w:tc>
        <w:tc>
          <w:tcPr>
            <w:tcW w:w="2268" w:type="dxa"/>
            <w:vAlign w:val="center"/>
          </w:tcPr>
          <w:p>
            <w:pPr>
              <w:pStyle w:val="12"/>
            </w:pPr>
            <w:r>
              <w:t>≥2000人次</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扩大群众对生育政策知晓率</w:t>
            </w:r>
          </w:p>
        </w:tc>
        <w:tc>
          <w:tcPr>
            <w:tcW w:w="5386" w:type="dxa"/>
            <w:vAlign w:val="center"/>
          </w:tcPr>
          <w:p>
            <w:pPr>
              <w:pStyle w:val="12"/>
            </w:pPr>
            <w:r>
              <w:t>扩大群众对生育政策知晓率</w:t>
            </w:r>
          </w:p>
        </w:tc>
        <w:tc>
          <w:tcPr>
            <w:tcW w:w="2268" w:type="dxa"/>
            <w:vAlign w:val="center"/>
          </w:tcPr>
          <w:p>
            <w:pPr>
              <w:pStyle w:val="12"/>
            </w:pPr>
            <w:r>
              <w:t>≥90%</w:t>
            </w:r>
          </w:p>
        </w:tc>
        <w:tc>
          <w:tcPr>
            <w:tcW w:w="1276" w:type="dxa"/>
            <w:vAlign w:val="center"/>
          </w:tcPr>
          <w:p>
            <w:pPr>
              <w:pStyle w:val="12"/>
            </w:pPr>
            <w:r>
              <w:t>石市计生协重点工作、《中国计生协章程》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群众对当年计生集中宣传服务和换届工作整体满意度</w:t>
            </w:r>
          </w:p>
        </w:tc>
        <w:tc>
          <w:tcPr>
            <w:tcW w:w="2268" w:type="dxa"/>
            <w:vAlign w:val="center"/>
          </w:tcPr>
          <w:p>
            <w:pPr>
              <w:pStyle w:val="12"/>
            </w:pPr>
            <w:r>
              <w:t>历史经验</w:t>
            </w:r>
          </w:p>
        </w:tc>
        <w:tc>
          <w:tcPr>
            <w:tcW w:w="1276" w:type="dxa"/>
            <w:vAlign w:val="center"/>
          </w:tcPr>
          <w:p>
            <w:pPr>
              <w:pStyle w:val="12"/>
            </w:pPr>
            <w:r>
              <w:t>石市计生协重点工作、《中国计生协章程》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13011026P00325910055W</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6.33</w:t>
            </w:r>
          </w:p>
        </w:tc>
        <w:tc>
          <w:tcPr>
            <w:tcW w:w="2835" w:type="dxa"/>
            <w:vAlign w:val="center"/>
          </w:tcPr>
          <w:p>
            <w:pPr>
              <w:pStyle w:val="10"/>
            </w:pPr>
            <w:r>
              <w:t>其中：财政    资金</w:t>
            </w:r>
          </w:p>
        </w:tc>
        <w:tc>
          <w:tcPr>
            <w:tcW w:w="2551" w:type="dxa"/>
            <w:vAlign w:val="center"/>
          </w:tcPr>
          <w:p>
            <w:pPr>
              <w:pStyle w:val="12"/>
            </w:pPr>
            <w:r>
              <w:t>6.33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我单位对符合条件的涉军公益岗进行每月工资支出，社保正常缴纳，保障办公正常运转。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1.为退役军人发放补贴和取暖费，缴纳保险等。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享受退役军人补贴人员数量</w:t>
            </w:r>
          </w:p>
        </w:tc>
        <w:tc>
          <w:tcPr>
            <w:tcW w:w="5386" w:type="dxa"/>
            <w:vAlign w:val="center"/>
          </w:tcPr>
          <w:p>
            <w:pPr>
              <w:pStyle w:val="12"/>
            </w:pPr>
            <w:r>
              <w:t>享受退役军人补贴人员数量</w:t>
            </w:r>
          </w:p>
        </w:tc>
        <w:tc>
          <w:tcPr>
            <w:tcW w:w="2268" w:type="dxa"/>
            <w:vAlign w:val="center"/>
          </w:tcPr>
          <w:p>
            <w:pPr>
              <w:pStyle w:val="12"/>
            </w:pPr>
            <w:r>
              <w:t>1人</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退役军人补贴发放准确率</w:t>
            </w:r>
          </w:p>
        </w:tc>
        <w:tc>
          <w:tcPr>
            <w:tcW w:w="5386" w:type="dxa"/>
            <w:vAlign w:val="center"/>
          </w:tcPr>
          <w:p>
            <w:pPr>
              <w:pStyle w:val="12"/>
            </w:pPr>
            <w:r>
              <w:t>退役军人补贴发放准确率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退役军人补贴人均标准</w:t>
            </w:r>
          </w:p>
        </w:tc>
        <w:tc>
          <w:tcPr>
            <w:tcW w:w="5386" w:type="dxa"/>
            <w:vAlign w:val="center"/>
          </w:tcPr>
          <w:p>
            <w:pPr>
              <w:pStyle w:val="12"/>
            </w:pPr>
            <w:r>
              <w:t>退役军人补贴月人均标准</w:t>
            </w:r>
          </w:p>
        </w:tc>
        <w:tc>
          <w:tcPr>
            <w:tcW w:w="2268" w:type="dxa"/>
            <w:vAlign w:val="center"/>
          </w:tcPr>
          <w:p>
            <w:pPr>
              <w:pStyle w:val="12"/>
            </w:pPr>
            <w:r>
              <w:t>3850元</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退役军人补贴发放时间</w:t>
            </w:r>
          </w:p>
        </w:tc>
        <w:tc>
          <w:tcPr>
            <w:tcW w:w="5386" w:type="dxa"/>
            <w:vAlign w:val="center"/>
          </w:tcPr>
          <w:p>
            <w:pPr>
              <w:pStyle w:val="12"/>
            </w:pPr>
            <w:r>
              <w:t>退役军人补贴发放时间</w:t>
            </w:r>
          </w:p>
        </w:tc>
        <w:tc>
          <w:tcPr>
            <w:tcW w:w="2268" w:type="dxa"/>
            <w:vAlign w:val="center"/>
          </w:tcPr>
          <w:p>
            <w:pPr>
              <w:pStyle w:val="12"/>
            </w:pPr>
            <w:r>
              <w:t>按时发放</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退役军人安置率</w:t>
            </w:r>
          </w:p>
        </w:tc>
        <w:tc>
          <w:tcPr>
            <w:tcW w:w="5386" w:type="dxa"/>
            <w:vAlign w:val="center"/>
          </w:tcPr>
          <w:p>
            <w:pPr>
              <w:pStyle w:val="12"/>
            </w:pPr>
            <w:r>
              <w:t>单位退役军人安置人数占退役军人总数的比率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享受退役军人补贴人员的满意度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2.13</w:t>
            </w:r>
          </w:p>
        </w:tc>
        <w:tc>
          <w:tcPr>
            <w:tcW w:w="964" w:type="dxa"/>
            <w:vAlign w:val="center"/>
          </w:tcPr>
          <w:p>
            <w:pPr>
              <w:pStyle w:val="15"/>
            </w:pPr>
            <w:r>
              <w:t>2.13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石家庄市鹿泉区计划生育协会本级小计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2.13</w:t>
            </w:r>
          </w:p>
        </w:tc>
        <w:tc>
          <w:tcPr>
            <w:tcW w:w="964" w:type="dxa"/>
            <w:vAlign w:val="center"/>
          </w:tcPr>
          <w:p>
            <w:pPr>
              <w:pStyle w:val="15"/>
            </w:pPr>
            <w:r>
              <w:t>2.13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21.02</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21.02</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1.40</w:t>
            </w:r>
          </w:p>
        </w:tc>
        <w:tc>
          <w:tcPr>
            <w:tcW w:w="964" w:type="dxa"/>
            <w:vAlign w:val="center"/>
          </w:tcPr>
          <w:p>
            <w:pPr>
              <w:pStyle w:val="11"/>
            </w:pPr>
            <w:r>
              <w:t>1.40</w:t>
            </w:r>
          </w:p>
        </w:tc>
        <w:tc>
          <w:tcPr>
            <w:tcW w:w="964" w:type="dxa"/>
            <w:vAlign w:val="center"/>
          </w:tcPr>
          <w:p>
            <w:pPr>
              <w:pStyle w:val="11"/>
            </w:pPr>
            <w:r>
              <w:t>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21.02</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80</w:t>
            </w:r>
          </w:p>
        </w:tc>
        <w:tc>
          <w:tcPr>
            <w:tcW w:w="850" w:type="dxa"/>
            <w:vAlign w:val="center"/>
          </w:tcPr>
          <w:p>
            <w:pPr>
              <w:pStyle w:val="11"/>
            </w:pPr>
            <w:r>
              <w:t>0.00</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石家庄市鹿泉区计划生育协会本级上年末固定资产金额为20.67万元（详见下表）。本年度拟购置固定资产总额为0.20万元，已按要求列入政府采购预算，详见政府采购预算表。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72</w:t>
            </w:r>
          </w:p>
        </w:tc>
        <w:tc>
          <w:tcPr>
            <w:tcW w:w="2835" w:type="dxa"/>
            <w:vAlign w:val="center"/>
          </w:tcPr>
          <w:p>
            <w:pPr>
              <w:pStyle w:val="11"/>
            </w:pPr>
            <w:r>
              <w:t>13.67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黑体">
    <w:altName w:val="宋体"/>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17A66B6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7925</Words>
  <Characters>9803</Characters>
  <TotalTime>0</TotalTime>
  <ScaleCrop>false</ScaleCrop>
  <LinksUpToDate>false</LinksUpToDate>
  <CharactersWithSpaces>9962</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2026-03-06T10:18:00Z</dcterms:created>
  <dc:creator>Administrator</dc:creator>
  <cp:lastModifiedBy>团委</cp:lastModifiedBy>
  <dcterms:modified xsi:type="dcterms:W3CDTF">2026-03-06T02:37:28Z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76CBADB88530450AA197E2ADC65349AF</vt:lpwstr>
  </property>
</Properties>
</file>