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217.73</w:t>
            </w:r>
          </w:p>
        </w:tc>
        <w:tc>
          <w:tcPr>
            <w:tcW w:w="4535" w:type="dxa"/>
            <w:vAlign w:val="center"/>
          </w:tcPr>
          <w:p>
            <w:pPr>
              <w:pStyle w:val="12"/>
            </w:pPr>
            <w:r>
              <w:t>一、一般公共服务支出</w:t>
            </w:r>
          </w:p>
        </w:tc>
        <w:tc>
          <w:tcPr>
            <w:tcW w:w="2126" w:type="dxa"/>
            <w:vAlign w:val="center"/>
          </w:tcPr>
          <w:p>
            <w:pPr>
              <w:pStyle w:val="11"/>
            </w:pPr>
            <w:r>
              <w:t>149.90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217.73</w:t>
            </w:r>
          </w:p>
        </w:tc>
        <w:tc>
          <w:tcPr>
            <w:tcW w:w="4535" w:type="dxa"/>
            <w:vAlign w:val="center"/>
          </w:tcPr>
          <w:p>
            <w:pPr>
              <w:pStyle w:val="14"/>
            </w:pPr>
            <w:r>
              <w:t>本年支出合计</w:t>
            </w:r>
          </w:p>
        </w:tc>
        <w:tc>
          <w:tcPr>
            <w:tcW w:w="2126" w:type="dxa"/>
            <w:vAlign w:val="center"/>
          </w:tcPr>
          <w:p>
            <w:pPr>
              <w:pStyle w:val="15"/>
            </w:pPr>
            <w:r>
              <w:t>217.73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217.73</w:t>
            </w:r>
          </w:p>
        </w:tc>
        <w:tc>
          <w:tcPr>
            <w:tcW w:w="4535" w:type="dxa"/>
            <w:vAlign w:val="center"/>
          </w:tcPr>
          <w:p>
            <w:pPr>
              <w:pStyle w:val="14"/>
            </w:pPr>
            <w:r>
              <w:t>支出总计</w:t>
            </w:r>
          </w:p>
        </w:tc>
        <w:tc>
          <w:tcPr>
            <w:tcW w:w="2126" w:type="dxa"/>
            <w:vAlign w:val="center"/>
          </w:tcPr>
          <w:p>
            <w:pPr>
              <w:pStyle w:val="15"/>
            </w:pPr>
            <w:r>
              <w:t>217.73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217.73</w:t>
            </w:r>
          </w:p>
        </w:tc>
        <w:tc>
          <w:tcPr>
            <w:tcW w:w="1134" w:type="dxa"/>
            <w:vAlign w:val="center"/>
          </w:tcPr>
          <w:p>
            <w:pPr>
              <w:pStyle w:val="15"/>
            </w:pPr>
            <w:r>
              <w:t>217.73</w:t>
            </w:r>
          </w:p>
        </w:tc>
        <w:tc>
          <w:tcPr>
            <w:tcW w:w="1134" w:type="dxa"/>
            <w:vAlign w:val="center"/>
          </w:tcPr>
          <w:p>
            <w:pPr>
              <w:pStyle w:val="15"/>
            </w:pPr>
            <w:r>
              <w:t>217.73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149.90</w:t>
            </w:r>
          </w:p>
        </w:tc>
        <w:tc>
          <w:tcPr>
            <w:tcW w:w="1134" w:type="dxa"/>
            <w:vAlign w:val="center"/>
          </w:tcPr>
          <w:p>
            <w:pPr>
              <w:pStyle w:val="11"/>
            </w:pPr>
            <w:r>
              <w:t>149.90</w:t>
            </w:r>
          </w:p>
        </w:tc>
        <w:tc>
          <w:tcPr>
            <w:tcW w:w="1134" w:type="dxa"/>
            <w:vAlign w:val="center"/>
          </w:tcPr>
          <w:p>
            <w:pPr>
              <w:pStyle w:val="11"/>
            </w:pPr>
            <w:r>
              <w:t>149.90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146.90</w:t>
            </w:r>
          </w:p>
        </w:tc>
        <w:tc>
          <w:tcPr>
            <w:tcW w:w="1134" w:type="dxa"/>
            <w:vAlign w:val="center"/>
          </w:tcPr>
          <w:p>
            <w:pPr>
              <w:pStyle w:val="11"/>
            </w:pPr>
            <w:r>
              <w:t>146.90</w:t>
            </w:r>
          </w:p>
        </w:tc>
        <w:tc>
          <w:tcPr>
            <w:tcW w:w="1134" w:type="dxa"/>
            <w:vAlign w:val="center"/>
          </w:tcPr>
          <w:p>
            <w:pPr>
              <w:pStyle w:val="11"/>
            </w:pPr>
            <w:r>
              <w:t>146.90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125.90</w:t>
            </w:r>
          </w:p>
        </w:tc>
        <w:tc>
          <w:tcPr>
            <w:tcW w:w="1134" w:type="dxa"/>
            <w:vAlign w:val="center"/>
          </w:tcPr>
          <w:p>
            <w:pPr>
              <w:pStyle w:val="11"/>
            </w:pPr>
            <w:r>
              <w:t>125.90</w:t>
            </w:r>
          </w:p>
        </w:tc>
        <w:tc>
          <w:tcPr>
            <w:tcW w:w="1134" w:type="dxa"/>
            <w:vAlign w:val="center"/>
          </w:tcPr>
          <w:p>
            <w:pPr>
              <w:pStyle w:val="11"/>
            </w:pPr>
            <w:r>
              <w:t>125.90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50.82</w:t>
            </w:r>
          </w:p>
        </w:tc>
        <w:tc>
          <w:tcPr>
            <w:tcW w:w="1134" w:type="dxa"/>
            <w:vAlign w:val="center"/>
          </w:tcPr>
          <w:p>
            <w:pPr>
              <w:pStyle w:val="11"/>
            </w:pPr>
            <w:r>
              <w:t>50.82</w:t>
            </w:r>
          </w:p>
        </w:tc>
        <w:tc>
          <w:tcPr>
            <w:tcW w:w="1134" w:type="dxa"/>
            <w:vAlign w:val="center"/>
          </w:tcPr>
          <w:p>
            <w:pPr>
              <w:pStyle w:val="11"/>
            </w:pPr>
            <w:r>
              <w:t>50.82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45.07</w:t>
            </w:r>
          </w:p>
        </w:tc>
        <w:tc>
          <w:tcPr>
            <w:tcW w:w="1134" w:type="dxa"/>
            <w:vAlign w:val="center"/>
          </w:tcPr>
          <w:p>
            <w:pPr>
              <w:pStyle w:val="11"/>
            </w:pPr>
            <w:r>
              <w:t>45.07</w:t>
            </w:r>
          </w:p>
        </w:tc>
        <w:tc>
          <w:tcPr>
            <w:tcW w:w="1134" w:type="dxa"/>
            <w:vAlign w:val="center"/>
          </w:tcPr>
          <w:p>
            <w:pPr>
              <w:pStyle w:val="11"/>
            </w:pPr>
            <w:r>
              <w:t>45.07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34.74</w:t>
            </w:r>
          </w:p>
        </w:tc>
        <w:tc>
          <w:tcPr>
            <w:tcW w:w="1134" w:type="dxa"/>
            <w:vAlign w:val="center"/>
          </w:tcPr>
          <w:p>
            <w:pPr>
              <w:pStyle w:val="11"/>
            </w:pPr>
            <w:r>
              <w:t>34.74</w:t>
            </w:r>
          </w:p>
        </w:tc>
        <w:tc>
          <w:tcPr>
            <w:tcW w:w="1134" w:type="dxa"/>
            <w:vAlign w:val="center"/>
          </w:tcPr>
          <w:p>
            <w:pPr>
              <w:pStyle w:val="11"/>
            </w:pPr>
            <w:r>
              <w:t>34.74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5.75</w:t>
            </w:r>
          </w:p>
        </w:tc>
        <w:tc>
          <w:tcPr>
            <w:tcW w:w="1134" w:type="dxa"/>
            <w:vAlign w:val="center"/>
          </w:tcPr>
          <w:p>
            <w:pPr>
              <w:pStyle w:val="11"/>
            </w:pPr>
            <w:r>
              <w:t>5.75</w:t>
            </w:r>
          </w:p>
        </w:tc>
        <w:tc>
          <w:tcPr>
            <w:tcW w:w="1134" w:type="dxa"/>
            <w:vAlign w:val="center"/>
          </w:tcPr>
          <w:p>
            <w:pPr>
              <w:pStyle w:val="11"/>
            </w:pPr>
            <w:r>
              <w:t>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5.75</w:t>
            </w:r>
          </w:p>
        </w:tc>
        <w:tc>
          <w:tcPr>
            <w:tcW w:w="1134" w:type="dxa"/>
            <w:vAlign w:val="center"/>
          </w:tcPr>
          <w:p>
            <w:pPr>
              <w:pStyle w:val="11"/>
            </w:pPr>
            <w:r>
              <w:t>5.75</w:t>
            </w:r>
          </w:p>
        </w:tc>
        <w:tc>
          <w:tcPr>
            <w:tcW w:w="1134" w:type="dxa"/>
            <w:vAlign w:val="center"/>
          </w:tcPr>
          <w:p>
            <w:pPr>
              <w:pStyle w:val="11"/>
            </w:pPr>
            <w:r>
              <w:t>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10.31</w:t>
            </w:r>
          </w:p>
        </w:tc>
        <w:tc>
          <w:tcPr>
            <w:tcW w:w="1134" w:type="dxa"/>
            <w:vAlign w:val="center"/>
          </w:tcPr>
          <w:p>
            <w:pPr>
              <w:pStyle w:val="11"/>
            </w:pPr>
            <w:r>
              <w:t>10.31</w:t>
            </w:r>
          </w:p>
        </w:tc>
        <w:tc>
          <w:tcPr>
            <w:tcW w:w="1134" w:type="dxa"/>
            <w:vAlign w:val="center"/>
          </w:tcPr>
          <w:p>
            <w:pPr>
              <w:pStyle w:val="11"/>
            </w:pPr>
            <w:r>
              <w:t>10.31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10.31</w:t>
            </w:r>
          </w:p>
        </w:tc>
        <w:tc>
          <w:tcPr>
            <w:tcW w:w="1134" w:type="dxa"/>
            <w:vAlign w:val="center"/>
          </w:tcPr>
          <w:p>
            <w:pPr>
              <w:pStyle w:val="11"/>
            </w:pPr>
            <w:r>
              <w:t>10.31</w:t>
            </w:r>
          </w:p>
        </w:tc>
        <w:tc>
          <w:tcPr>
            <w:tcW w:w="1134" w:type="dxa"/>
            <w:vAlign w:val="center"/>
          </w:tcPr>
          <w:p>
            <w:pPr>
              <w:pStyle w:val="11"/>
            </w:pPr>
            <w:r>
              <w:t>10.31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10.31</w:t>
            </w:r>
          </w:p>
        </w:tc>
        <w:tc>
          <w:tcPr>
            <w:tcW w:w="1134" w:type="dxa"/>
            <w:vAlign w:val="center"/>
          </w:tcPr>
          <w:p>
            <w:pPr>
              <w:pStyle w:val="11"/>
            </w:pPr>
            <w:r>
              <w:t>10.31</w:t>
            </w:r>
          </w:p>
        </w:tc>
        <w:tc>
          <w:tcPr>
            <w:tcW w:w="1134" w:type="dxa"/>
            <w:vAlign w:val="center"/>
          </w:tcPr>
          <w:p>
            <w:pPr>
              <w:pStyle w:val="11"/>
            </w:pPr>
            <w:r>
              <w:t>10.31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217.73</w:t>
            </w:r>
          </w:p>
        </w:tc>
        <w:tc>
          <w:tcPr>
            <w:tcW w:w="1361" w:type="dxa"/>
            <w:vAlign w:val="center"/>
          </w:tcPr>
          <w:p>
            <w:pPr>
              <w:pStyle w:val="15"/>
            </w:pPr>
            <w:r>
              <w:t>179.98</w:t>
            </w:r>
          </w:p>
        </w:tc>
        <w:tc>
          <w:tcPr>
            <w:tcW w:w="1361" w:type="dxa"/>
            <w:vAlign w:val="center"/>
          </w:tcPr>
          <w:p>
            <w:pPr>
              <w:pStyle w:val="15"/>
            </w:pPr>
            <w:r>
              <w:t>37.75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149.90</w:t>
            </w:r>
          </w:p>
        </w:tc>
        <w:tc>
          <w:tcPr>
            <w:tcW w:w="1361" w:type="dxa"/>
            <w:vAlign w:val="center"/>
          </w:tcPr>
          <w:p>
            <w:pPr>
              <w:pStyle w:val="11"/>
            </w:pPr>
            <w:r>
              <w:t>117.90</w:t>
            </w: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146.90</w:t>
            </w:r>
          </w:p>
        </w:tc>
        <w:tc>
          <w:tcPr>
            <w:tcW w:w="1361" w:type="dxa"/>
            <w:vAlign w:val="center"/>
          </w:tcPr>
          <w:p>
            <w:pPr>
              <w:pStyle w:val="11"/>
            </w:pPr>
            <w:r>
              <w:t>117.90</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125.90</w:t>
            </w:r>
          </w:p>
        </w:tc>
        <w:tc>
          <w:tcPr>
            <w:tcW w:w="1361" w:type="dxa"/>
            <w:vAlign w:val="center"/>
          </w:tcPr>
          <w:p>
            <w:pPr>
              <w:pStyle w:val="11"/>
            </w:pPr>
            <w:r>
              <w:t>117.90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50.82</w:t>
            </w:r>
          </w:p>
        </w:tc>
        <w:tc>
          <w:tcPr>
            <w:tcW w:w="1361" w:type="dxa"/>
            <w:vAlign w:val="center"/>
          </w:tcPr>
          <w:p>
            <w:pPr>
              <w:pStyle w:val="11"/>
            </w:pPr>
            <w:r>
              <w:t>45.07</w:t>
            </w: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45.07</w:t>
            </w:r>
          </w:p>
        </w:tc>
        <w:tc>
          <w:tcPr>
            <w:tcW w:w="1361" w:type="dxa"/>
            <w:vAlign w:val="center"/>
          </w:tcPr>
          <w:p>
            <w:pPr>
              <w:pStyle w:val="11"/>
            </w:pPr>
            <w:r>
              <w:t>45.07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34.74</w:t>
            </w:r>
          </w:p>
        </w:tc>
        <w:tc>
          <w:tcPr>
            <w:tcW w:w="1361" w:type="dxa"/>
            <w:vAlign w:val="center"/>
          </w:tcPr>
          <w:p>
            <w:pPr>
              <w:pStyle w:val="11"/>
            </w:pPr>
            <w:r>
              <w:t>34.74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10.33</w:t>
            </w:r>
          </w:p>
        </w:tc>
        <w:tc>
          <w:tcPr>
            <w:tcW w:w="1361" w:type="dxa"/>
            <w:vAlign w:val="center"/>
          </w:tcPr>
          <w:p>
            <w:pPr>
              <w:pStyle w:val="11"/>
            </w:pPr>
            <w:r>
              <w:t>10.33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6.70</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6.70</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6.70</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10.31</w:t>
            </w:r>
          </w:p>
        </w:tc>
        <w:tc>
          <w:tcPr>
            <w:tcW w:w="1361" w:type="dxa"/>
            <w:vAlign w:val="center"/>
          </w:tcPr>
          <w:p>
            <w:pPr>
              <w:pStyle w:val="11"/>
            </w:pPr>
            <w:r>
              <w:t>10.31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10.31</w:t>
            </w:r>
          </w:p>
        </w:tc>
        <w:tc>
          <w:tcPr>
            <w:tcW w:w="1361" w:type="dxa"/>
            <w:vAlign w:val="center"/>
          </w:tcPr>
          <w:p>
            <w:pPr>
              <w:pStyle w:val="11"/>
            </w:pPr>
            <w:r>
              <w:t>10.31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10.31</w:t>
            </w:r>
          </w:p>
        </w:tc>
        <w:tc>
          <w:tcPr>
            <w:tcW w:w="1361" w:type="dxa"/>
            <w:vAlign w:val="center"/>
          </w:tcPr>
          <w:p>
            <w:pPr>
              <w:pStyle w:val="11"/>
            </w:pPr>
            <w:r>
              <w:t>10.31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217.73</w:t>
            </w:r>
          </w:p>
        </w:tc>
        <w:tc>
          <w:tcPr>
            <w:tcW w:w="3402" w:type="dxa"/>
            <w:vAlign w:val="center"/>
          </w:tcPr>
          <w:p>
            <w:pPr>
              <w:pStyle w:val="12"/>
            </w:pPr>
            <w:r>
              <w:t>一、一般公共服务支出</w:t>
            </w:r>
          </w:p>
        </w:tc>
        <w:tc>
          <w:tcPr>
            <w:tcW w:w="1474" w:type="dxa"/>
            <w:vAlign w:val="center"/>
          </w:tcPr>
          <w:p>
            <w:pPr>
              <w:pStyle w:val="11"/>
            </w:pPr>
            <w:r>
              <w:t>149.90</w:t>
            </w:r>
          </w:p>
        </w:tc>
        <w:tc>
          <w:tcPr>
            <w:tcW w:w="1474" w:type="dxa"/>
            <w:vAlign w:val="center"/>
          </w:tcPr>
          <w:p>
            <w:pPr>
              <w:pStyle w:val="11"/>
            </w:pPr>
            <w:r>
              <w:t>149.90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50.82</w:t>
            </w:r>
          </w:p>
        </w:tc>
        <w:tc>
          <w:tcPr>
            <w:tcW w:w="1474" w:type="dxa"/>
            <w:vAlign w:val="center"/>
          </w:tcPr>
          <w:p>
            <w:pPr>
              <w:pStyle w:val="11"/>
            </w:pPr>
            <w:r>
              <w:t>50.82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6.70</w:t>
            </w:r>
          </w:p>
        </w:tc>
        <w:tc>
          <w:tcPr>
            <w:tcW w:w="1474" w:type="dxa"/>
            <w:vAlign w:val="center"/>
          </w:tcPr>
          <w:p>
            <w:pPr>
              <w:pStyle w:val="11"/>
            </w:pPr>
            <w:r>
              <w:t>6.70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10.31</w:t>
            </w:r>
          </w:p>
        </w:tc>
        <w:tc>
          <w:tcPr>
            <w:tcW w:w="1474" w:type="dxa"/>
            <w:vAlign w:val="center"/>
          </w:tcPr>
          <w:p>
            <w:pPr>
              <w:pStyle w:val="11"/>
            </w:pPr>
            <w:r>
              <w:t>10.31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217.73</w:t>
            </w:r>
          </w:p>
        </w:tc>
        <w:tc>
          <w:tcPr>
            <w:tcW w:w="3402" w:type="dxa"/>
            <w:vAlign w:val="center"/>
          </w:tcPr>
          <w:p>
            <w:pPr>
              <w:pStyle w:val="14"/>
            </w:pPr>
            <w:r>
              <w:t>本年支出合计</w:t>
            </w:r>
          </w:p>
        </w:tc>
        <w:tc>
          <w:tcPr>
            <w:tcW w:w="1474" w:type="dxa"/>
            <w:vAlign w:val="center"/>
          </w:tcPr>
          <w:p>
            <w:pPr>
              <w:pStyle w:val="15"/>
            </w:pPr>
            <w:r>
              <w:t>217.73</w:t>
            </w:r>
          </w:p>
        </w:tc>
        <w:tc>
          <w:tcPr>
            <w:tcW w:w="1474" w:type="dxa"/>
            <w:vAlign w:val="center"/>
          </w:tcPr>
          <w:p>
            <w:pPr>
              <w:pStyle w:val="15"/>
            </w:pPr>
            <w:r>
              <w:t>217.73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217.73</w:t>
            </w:r>
          </w:p>
        </w:tc>
        <w:tc>
          <w:tcPr>
            <w:tcW w:w="3402" w:type="dxa"/>
            <w:vAlign w:val="center"/>
          </w:tcPr>
          <w:p>
            <w:pPr>
              <w:pStyle w:val="14"/>
            </w:pPr>
            <w:r>
              <w:t>支出总计</w:t>
            </w:r>
          </w:p>
        </w:tc>
        <w:tc>
          <w:tcPr>
            <w:tcW w:w="1474" w:type="dxa"/>
            <w:vAlign w:val="center"/>
          </w:tcPr>
          <w:p>
            <w:pPr>
              <w:pStyle w:val="15"/>
            </w:pPr>
            <w:r>
              <w:t>217.73</w:t>
            </w:r>
          </w:p>
        </w:tc>
        <w:tc>
          <w:tcPr>
            <w:tcW w:w="1474" w:type="dxa"/>
            <w:vAlign w:val="center"/>
          </w:tcPr>
          <w:p>
            <w:pPr>
              <w:pStyle w:val="15"/>
            </w:pPr>
            <w:r>
              <w:t>217.73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217.73</w:t>
            </w:r>
          </w:p>
        </w:tc>
        <w:tc>
          <w:tcPr>
            <w:tcW w:w="2551" w:type="dxa"/>
            <w:vAlign w:val="center"/>
          </w:tcPr>
          <w:p>
            <w:pPr>
              <w:pStyle w:val="15"/>
            </w:pPr>
            <w:r>
              <w:t>179.98</w:t>
            </w:r>
          </w:p>
        </w:tc>
        <w:tc>
          <w:tcPr>
            <w:tcW w:w="2551" w:type="dxa"/>
            <w:vAlign w:val="center"/>
          </w:tcPr>
          <w:p>
            <w:pPr>
              <w:pStyle w:val="15"/>
            </w:pPr>
            <w:r>
              <w:t>37.75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149.90</w:t>
            </w:r>
          </w:p>
        </w:tc>
        <w:tc>
          <w:tcPr>
            <w:tcW w:w="2551" w:type="dxa"/>
            <w:vAlign w:val="center"/>
          </w:tcPr>
          <w:p>
            <w:pPr>
              <w:pStyle w:val="11"/>
            </w:pPr>
            <w:r>
              <w:t>117.90</w:t>
            </w: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146.90</w:t>
            </w:r>
          </w:p>
        </w:tc>
        <w:tc>
          <w:tcPr>
            <w:tcW w:w="2551" w:type="dxa"/>
            <w:vAlign w:val="center"/>
          </w:tcPr>
          <w:p>
            <w:pPr>
              <w:pStyle w:val="11"/>
            </w:pPr>
            <w:r>
              <w:t>117.90</w:t>
            </w:r>
          </w:p>
        </w:tc>
        <w:tc>
          <w:tcPr>
            <w:tcW w:w="2551" w:type="dxa"/>
            <w:vAlign w:val="center"/>
          </w:tcPr>
          <w:p>
            <w:pPr>
              <w:pStyle w:val="11"/>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125.90</w:t>
            </w:r>
          </w:p>
        </w:tc>
        <w:tc>
          <w:tcPr>
            <w:tcW w:w="2551" w:type="dxa"/>
            <w:vAlign w:val="center"/>
          </w:tcPr>
          <w:p>
            <w:pPr>
              <w:pStyle w:val="11"/>
            </w:pPr>
            <w:r>
              <w:t>117.90</w:t>
            </w: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50.82</w:t>
            </w:r>
          </w:p>
        </w:tc>
        <w:tc>
          <w:tcPr>
            <w:tcW w:w="2551" w:type="dxa"/>
            <w:vAlign w:val="center"/>
          </w:tcPr>
          <w:p>
            <w:pPr>
              <w:pStyle w:val="11"/>
            </w:pPr>
            <w:r>
              <w:t>45.07</w:t>
            </w:r>
          </w:p>
        </w:tc>
        <w:tc>
          <w:tcPr>
            <w:tcW w:w="2551" w:type="dxa"/>
            <w:vAlign w:val="center"/>
          </w:tcPr>
          <w:p>
            <w:pPr>
              <w:pStyle w:val="11"/>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45.07</w:t>
            </w:r>
          </w:p>
        </w:tc>
        <w:tc>
          <w:tcPr>
            <w:tcW w:w="2551" w:type="dxa"/>
            <w:vAlign w:val="center"/>
          </w:tcPr>
          <w:p>
            <w:pPr>
              <w:pStyle w:val="11"/>
            </w:pPr>
            <w:r>
              <w:t>45.07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34.74</w:t>
            </w:r>
          </w:p>
        </w:tc>
        <w:tc>
          <w:tcPr>
            <w:tcW w:w="2551" w:type="dxa"/>
            <w:vAlign w:val="center"/>
          </w:tcPr>
          <w:p>
            <w:pPr>
              <w:pStyle w:val="11"/>
            </w:pPr>
            <w:r>
              <w:t>34.74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10.33</w:t>
            </w:r>
          </w:p>
        </w:tc>
        <w:tc>
          <w:tcPr>
            <w:tcW w:w="2551" w:type="dxa"/>
            <w:vAlign w:val="center"/>
          </w:tcPr>
          <w:p>
            <w:pPr>
              <w:pStyle w:val="11"/>
            </w:pPr>
            <w:r>
              <w:t>10.33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5.75</w:t>
            </w:r>
          </w:p>
        </w:tc>
        <w:tc>
          <w:tcPr>
            <w:tcW w:w="2551" w:type="dxa"/>
            <w:vAlign w:val="center"/>
          </w:tcPr>
          <w:p>
            <w:pPr>
              <w:pStyle w:val="11"/>
            </w:pPr>
          </w:p>
        </w:tc>
        <w:tc>
          <w:tcPr>
            <w:tcW w:w="2551" w:type="dxa"/>
            <w:vAlign w:val="center"/>
          </w:tcPr>
          <w:p>
            <w:pPr>
              <w:pStyle w:val="11"/>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5.75</w:t>
            </w:r>
          </w:p>
        </w:tc>
        <w:tc>
          <w:tcPr>
            <w:tcW w:w="2551" w:type="dxa"/>
            <w:vAlign w:val="center"/>
          </w:tcPr>
          <w:p>
            <w:pPr>
              <w:pStyle w:val="11"/>
            </w:pPr>
          </w:p>
        </w:tc>
        <w:tc>
          <w:tcPr>
            <w:tcW w:w="2551" w:type="dxa"/>
            <w:vAlign w:val="center"/>
          </w:tcPr>
          <w:p>
            <w:pPr>
              <w:pStyle w:val="11"/>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10.31</w:t>
            </w:r>
          </w:p>
        </w:tc>
        <w:tc>
          <w:tcPr>
            <w:tcW w:w="2551" w:type="dxa"/>
            <w:vAlign w:val="center"/>
          </w:tcPr>
          <w:p>
            <w:pPr>
              <w:pStyle w:val="11"/>
            </w:pPr>
            <w:r>
              <w:t>10.31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10.31</w:t>
            </w:r>
          </w:p>
        </w:tc>
        <w:tc>
          <w:tcPr>
            <w:tcW w:w="2551" w:type="dxa"/>
            <w:vAlign w:val="center"/>
          </w:tcPr>
          <w:p>
            <w:pPr>
              <w:pStyle w:val="11"/>
            </w:pPr>
            <w:r>
              <w:t>10.31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10.31</w:t>
            </w:r>
          </w:p>
        </w:tc>
        <w:tc>
          <w:tcPr>
            <w:tcW w:w="2551" w:type="dxa"/>
            <w:vAlign w:val="center"/>
          </w:tcPr>
          <w:p>
            <w:pPr>
              <w:pStyle w:val="11"/>
            </w:pPr>
            <w:r>
              <w:t>10.31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179.98</w:t>
            </w:r>
          </w:p>
        </w:tc>
        <w:tc>
          <w:tcPr>
            <w:tcW w:w="2551" w:type="dxa"/>
            <w:vAlign w:val="center"/>
          </w:tcPr>
          <w:p>
            <w:pPr>
              <w:pStyle w:val="15"/>
            </w:pPr>
            <w:r>
              <w:t>140.73</w:t>
            </w:r>
          </w:p>
        </w:tc>
        <w:tc>
          <w:tcPr>
            <w:tcW w:w="2551" w:type="dxa"/>
            <w:vAlign w:val="center"/>
          </w:tcPr>
          <w:p>
            <w:pPr>
              <w:pStyle w:val="15"/>
            </w:pPr>
            <w:r>
              <w:t>39.26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106.33</w:t>
            </w:r>
          </w:p>
        </w:tc>
        <w:tc>
          <w:tcPr>
            <w:tcW w:w="2551" w:type="dxa"/>
            <w:vAlign w:val="center"/>
          </w:tcPr>
          <w:p>
            <w:pPr>
              <w:pStyle w:val="11"/>
            </w:pPr>
            <w:r>
              <w:t>106.33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29.29</w:t>
            </w:r>
          </w:p>
        </w:tc>
        <w:tc>
          <w:tcPr>
            <w:tcW w:w="2551" w:type="dxa"/>
            <w:vAlign w:val="center"/>
          </w:tcPr>
          <w:p>
            <w:pPr>
              <w:pStyle w:val="11"/>
            </w:pPr>
            <w:r>
              <w:t>29.29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23.19</w:t>
            </w:r>
          </w:p>
        </w:tc>
        <w:tc>
          <w:tcPr>
            <w:tcW w:w="2551" w:type="dxa"/>
            <w:vAlign w:val="center"/>
          </w:tcPr>
          <w:p>
            <w:pPr>
              <w:pStyle w:val="11"/>
            </w:pPr>
            <w:r>
              <w:t>23.19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26.26</w:t>
            </w:r>
          </w:p>
        </w:tc>
        <w:tc>
          <w:tcPr>
            <w:tcW w:w="2551" w:type="dxa"/>
            <w:vAlign w:val="center"/>
          </w:tcPr>
          <w:p>
            <w:pPr>
              <w:pStyle w:val="11"/>
            </w:pPr>
            <w:r>
              <w:t>26.26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10.33</w:t>
            </w:r>
          </w:p>
        </w:tc>
        <w:tc>
          <w:tcPr>
            <w:tcW w:w="2551" w:type="dxa"/>
            <w:vAlign w:val="center"/>
          </w:tcPr>
          <w:p>
            <w:pPr>
              <w:pStyle w:val="11"/>
            </w:pPr>
            <w:r>
              <w:t>10.33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3.45</w:t>
            </w:r>
          </w:p>
        </w:tc>
        <w:tc>
          <w:tcPr>
            <w:tcW w:w="2551" w:type="dxa"/>
            <w:vAlign w:val="center"/>
          </w:tcPr>
          <w:p>
            <w:pPr>
              <w:pStyle w:val="11"/>
            </w:pPr>
            <w:r>
              <w:t>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3.25</w:t>
            </w:r>
          </w:p>
        </w:tc>
        <w:tc>
          <w:tcPr>
            <w:tcW w:w="2551" w:type="dxa"/>
            <w:vAlign w:val="center"/>
          </w:tcPr>
          <w:p>
            <w:pPr>
              <w:pStyle w:val="11"/>
            </w:pPr>
            <w:r>
              <w:t>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0.25</w:t>
            </w:r>
          </w:p>
        </w:tc>
        <w:tc>
          <w:tcPr>
            <w:tcW w:w="2551" w:type="dxa"/>
            <w:vAlign w:val="center"/>
          </w:tcPr>
          <w:p>
            <w:pPr>
              <w:pStyle w:val="11"/>
            </w:pPr>
            <w:r>
              <w:t>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10.31</w:t>
            </w:r>
          </w:p>
        </w:tc>
        <w:tc>
          <w:tcPr>
            <w:tcW w:w="2551" w:type="dxa"/>
            <w:vAlign w:val="center"/>
          </w:tcPr>
          <w:p>
            <w:pPr>
              <w:pStyle w:val="11"/>
            </w:pPr>
            <w:r>
              <w:t>10.31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38.97</w:t>
            </w:r>
          </w:p>
        </w:tc>
        <w:tc>
          <w:tcPr>
            <w:tcW w:w="2551" w:type="dxa"/>
            <w:vAlign w:val="center"/>
          </w:tcPr>
          <w:p>
            <w:pPr>
              <w:pStyle w:val="11"/>
            </w:pPr>
          </w:p>
        </w:tc>
        <w:tc>
          <w:tcPr>
            <w:tcW w:w="2551" w:type="dxa"/>
            <w:vAlign w:val="center"/>
          </w:tcPr>
          <w:p>
            <w:pPr>
              <w:pStyle w:val="11"/>
            </w:pPr>
            <w:r>
              <w:t>38.97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3.02</w:t>
            </w:r>
          </w:p>
        </w:tc>
        <w:tc>
          <w:tcPr>
            <w:tcW w:w="2551" w:type="dxa"/>
            <w:vAlign w:val="center"/>
          </w:tcPr>
          <w:p>
            <w:pPr>
              <w:pStyle w:val="11"/>
            </w:pPr>
          </w:p>
        </w:tc>
        <w:tc>
          <w:tcPr>
            <w:tcW w:w="2551" w:type="dxa"/>
            <w:vAlign w:val="center"/>
          </w:tcPr>
          <w:p>
            <w:pPr>
              <w:pStyle w:val="11"/>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23.12</w:t>
            </w:r>
          </w:p>
        </w:tc>
        <w:tc>
          <w:tcPr>
            <w:tcW w:w="2551" w:type="dxa"/>
            <w:vAlign w:val="center"/>
          </w:tcPr>
          <w:p>
            <w:pPr>
              <w:pStyle w:val="11"/>
            </w:pPr>
          </w:p>
        </w:tc>
        <w:tc>
          <w:tcPr>
            <w:tcW w:w="2551" w:type="dxa"/>
            <w:vAlign w:val="center"/>
          </w:tcPr>
          <w:p>
            <w:pPr>
              <w:pStyle w:val="11"/>
            </w:pPr>
            <w:r>
              <w:t>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4.02</w:t>
            </w:r>
          </w:p>
        </w:tc>
        <w:tc>
          <w:tcPr>
            <w:tcW w:w="2551" w:type="dxa"/>
            <w:vAlign w:val="center"/>
          </w:tcPr>
          <w:p>
            <w:pPr>
              <w:pStyle w:val="11"/>
            </w:pPr>
          </w:p>
        </w:tc>
        <w:tc>
          <w:tcPr>
            <w:tcW w:w="2551" w:type="dxa"/>
            <w:vAlign w:val="center"/>
          </w:tcPr>
          <w:p>
            <w:pPr>
              <w:pStyle w:val="11"/>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1.86</w:t>
            </w:r>
          </w:p>
        </w:tc>
        <w:tc>
          <w:tcPr>
            <w:tcW w:w="2551" w:type="dxa"/>
            <w:vAlign w:val="center"/>
          </w:tcPr>
          <w:p>
            <w:pPr>
              <w:pStyle w:val="11"/>
            </w:pPr>
          </w:p>
        </w:tc>
        <w:tc>
          <w:tcPr>
            <w:tcW w:w="2551"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34.40</w:t>
            </w:r>
          </w:p>
        </w:tc>
        <w:tc>
          <w:tcPr>
            <w:tcW w:w="2551" w:type="dxa"/>
            <w:vAlign w:val="center"/>
          </w:tcPr>
          <w:p>
            <w:pPr>
              <w:pStyle w:val="11"/>
            </w:pPr>
            <w:r>
              <w:t>34.40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34.40</w:t>
            </w:r>
          </w:p>
        </w:tc>
        <w:tc>
          <w:tcPr>
            <w:tcW w:w="2551" w:type="dxa"/>
            <w:vAlign w:val="center"/>
          </w:tcPr>
          <w:p>
            <w:pPr>
              <w:pStyle w:val="11"/>
            </w:pPr>
            <w:r>
              <w:t>34.40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0.29</w:t>
            </w:r>
          </w:p>
        </w:tc>
        <w:tc>
          <w:tcPr>
            <w:tcW w:w="2551" w:type="dxa"/>
            <w:vAlign w:val="center"/>
          </w:tcPr>
          <w:p>
            <w:pPr>
              <w:pStyle w:val="11"/>
            </w:pPr>
          </w:p>
        </w:tc>
        <w:tc>
          <w:tcPr>
            <w:tcW w:w="2551" w:type="dxa"/>
            <w:vAlign w:val="center"/>
          </w:tcPr>
          <w:p>
            <w:pPr>
              <w:pStyle w:val="11"/>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0.29</w:t>
            </w:r>
          </w:p>
        </w:tc>
        <w:tc>
          <w:tcPr>
            <w:tcW w:w="2551" w:type="dxa"/>
            <w:vAlign w:val="center"/>
          </w:tcPr>
          <w:p>
            <w:pPr>
              <w:pStyle w:val="11"/>
            </w:pPr>
          </w:p>
        </w:tc>
        <w:tc>
          <w:tcPr>
            <w:tcW w:w="2551" w:type="dxa"/>
            <w:vAlign w:val="center"/>
          </w:tcPr>
          <w:p>
            <w:pPr>
              <w:pStyle w:val="11"/>
            </w:pPr>
            <w:r>
              <w:t>0.29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石家庄市鹿泉区妇女联合会本级2026年单位预算信息公开情况说明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按照《中华人民共和国预算法》、《地方预决算公开操作规程》和《关于进一步推进预算公开工作的实施意见》规定，现将石家庄市鹿泉区妇女联合会本级2026年单位预算公开如下：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根据《石家庄市鹿泉区妇女联合会职能配置、内设机构和人员编制规定》， 鹿泉区妇女联合会是党领导下的全区各族各界妇女的群众团体组织，是党和政府联系妇女群众的桥梁和纽带，是国家政权的重要社会支柱之一。其机关主要职责是：</w:t>
      </w:r>
    </w:p>
    <w:p>
      <w:pPr>
        <w:pStyle w:val="17"/>
      </w:pPr>
      <w:r>
        <w:t>（一）坚持正确的政治方向，团结、教育全区各族各界妇女以及各类妇女组织同党中央在思想上政治上行动上保持高度一致。</w:t>
      </w:r>
    </w:p>
    <w:p>
      <w:pPr>
        <w:pStyle w:val="17"/>
      </w:pPr>
      <w:r>
        <w:t>（二）紧密围绕区委和区政府的中心任务开展工作。团结、动员和组织妇女群众投身改革开放和社会主义物质文明、精神文明建设，积极促进我区经济发展和社会进步，为维护改革、发展、稳定的大局服务。</w:t>
      </w:r>
    </w:p>
    <w:p>
      <w:pPr>
        <w:pStyle w:val="17"/>
      </w:pPr>
      <w:r>
        <w:t>（三）宣传马克思主义妇女观和男女平等思想，教育、引导妇女树立正确的世界观、人生观、价值观，弘扬“自尊、自信、自立、自强”的精神，积极推动和开展对妇女科技文化及生产劳动技能教育，全面提高妇女素质。</w:t>
      </w:r>
    </w:p>
    <w:p>
      <w:pPr>
        <w:pStyle w:val="17"/>
      </w:pPr>
      <w:r>
        <w:t>（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pPr>
        <w:pStyle w:val="17"/>
      </w:pPr>
      <w:r>
        <w:t>（五）坚持为妇女儿童服务，为基层服务，加强与社会各界联系，协调推动全社会为妇女儿童办实事、办好事。</w:t>
      </w:r>
    </w:p>
    <w:p>
      <w:pPr>
        <w:pStyle w:val="17"/>
      </w:pPr>
      <w:r>
        <w:t>（六）指导乡、镇（街道办事处）、高新技术产业开发区妇联会、区直妇委会，依据《中华全国妇女联合会章程》和妇女代表大会的任务，开展妇女儿童工作。</w:t>
      </w:r>
    </w:p>
    <w:p>
      <w:pPr>
        <w:pStyle w:val="17"/>
      </w:pPr>
      <w:r>
        <w:t>（七）承担鹿泉区妇女儿童工作委员会办公室工作。</w:t>
      </w:r>
    </w:p>
    <w:p>
      <w:pPr>
        <w:pStyle w:val="17"/>
      </w:pPr>
      <w:r>
        <w:t>（八）承办区委、区政府交办的有关工作。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217.73万元，其中：一般公共预算收入217.73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妇女联合会本级年度单位预算中支出预算的总体情况。2026年支出预算217.73万元，其中基本支出179.98万元，包括人员经费140.73万元和日常公用经费39.26万元；项目支出37.75万元，主要为2026年妇女儿童发展专项、2026年三八国际妇女节活动、2026年换届资金、2026年省级妇女之家建设专项资金、2026年涉军人员工资及社保、2026年美丽庭院新建及巩固提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217.73万元，较2025年预算增加28.00万元，其中：基本支出增加24.48万元，主要为人员增加。项目支出增加3.52万元，主要为增加2026年省级妇女之家建设专项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2026年，我单位机关运行经费共计安排39.26万元，主要用于日常维修、办公用房水电费、办公用房取暖费、办公用房物业管理费等日常运行支出。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1、2026年妇女儿童发展专项绩效目标表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13011026P003223100555</w:t>
            </w:r>
          </w:p>
        </w:tc>
        <w:tc>
          <w:tcPr>
            <w:tcW w:w="2835" w:type="dxa"/>
            <w:vAlign w:val="center"/>
          </w:tcPr>
          <w:p>
            <w:pPr>
              <w:pStyle w:val="10"/>
            </w:pPr>
            <w:r>
              <w:t>项目名称</w:t>
            </w:r>
          </w:p>
        </w:tc>
        <w:tc>
          <w:tcPr>
            <w:tcW w:w="6095" w:type="dxa"/>
            <w:gridSpan w:val="3"/>
            <w:vAlign w:val="center"/>
          </w:tcPr>
          <w:p>
            <w:pPr>
              <w:pStyle w:val="12"/>
            </w:pPr>
            <w:r>
              <w:t>2026年妇女儿童发展专项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根据关于开展巾帼家政服务的工作要求，妇联工作经费更多直接服务于妇女儿童和家庭，切实为妇女儿童办实事、办好事。并在法定节假日组织和开展活动，组织妇联干部等妇女参加培训提高业务能力。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1.根据关于开展巾帼家政服务的工作要求，妇联工作经费更多直接服务于妇女儿童和家庭，切实为妇女儿童办实事、办好事。并在法定节假日组织和开展活动，组织妇联干部等妇女参加培训提高业务能力。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六一关爱慰问活动次数</w:t>
            </w:r>
          </w:p>
        </w:tc>
        <w:tc>
          <w:tcPr>
            <w:tcW w:w="5386" w:type="dxa"/>
            <w:vAlign w:val="center"/>
          </w:tcPr>
          <w:p>
            <w:pPr>
              <w:pStyle w:val="12"/>
            </w:pPr>
            <w:r>
              <w:t>六一关爱慰问活动次数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“河北福嫂.燕赵家政”活动次数</w:t>
            </w:r>
          </w:p>
        </w:tc>
        <w:tc>
          <w:tcPr>
            <w:tcW w:w="5386" w:type="dxa"/>
            <w:vAlign w:val="center"/>
          </w:tcPr>
          <w:p>
            <w:pPr>
              <w:pStyle w:val="12"/>
            </w:pPr>
            <w:r>
              <w:t>“河北福嫂.燕赵家政”活动次数</w:t>
            </w:r>
          </w:p>
        </w:tc>
        <w:tc>
          <w:tcPr>
            <w:tcW w:w="2268" w:type="dxa"/>
            <w:vAlign w:val="center"/>
          </w:tcPr>
          <w:p>
            <w:pPr>
              <w:pStyle w:val="12"/>
            </w:pPr>
            <w:r>
              <w:t>≥20次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爱心爸妈志愿活动次数</w:t>
            </w:r>
          </w:p>
        </w:tc>
        <w:tc>
          <w:tcPr>
            <w:tcW w:w="5386" w:type="dxa"/>
            <w:vAlign w:val="center"/>
          </w:tcPr>
          <w:p>
            <w:pPr>
              <w:pStyle w:val="12"/>
            </w:pPr>
            <w:r>
              <w:t>爱心爸妈志愿活动次数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反家暴宣传活动次数</w:t>
            </w:r>
          </w:p>
        </w:tc>
        <w:tc>
          <w:tcPr>
            <w:tcW w:w="5386" w:type="dxa"/>
            <w:vAlign w:val="center"/>
          </w:tcPr>
          <w:p>
            <w:pPr>
              <w:pStyle w:val="12"/>
            </w:pPr>
            <w:r>
              <w:t>反家暴宣传活动次数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宣传活动完成率</w:t>
            </w:r>
          </w:p>
        </w:tc>
        <w:tc>
          <w:tcPr>
            <w:tcW w:w="5386" w:type="dxa"/>
            <w:vAlign w:val="center"/>
          </w:tcPr>
          <w:p>
            <w:pPr>
              <w:pStyle w:val="12"/>
            </w:pPr>
            <w:r>
              <w:t>宣传活动完成率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活动完成时间</w:t>
            </w:r>
          </w:p>
        </w:tc>
        <w:tc>
          <w:tcPr>
            <w:tcW w:w="2268" w:type="dxa"/>
            <w:vAlign w:val="center"/>
          </w:tcPr>
          <w:p>
            <w:pPr>
              <w:pStyle w:val="12"/>
            </w:pPr>
            <w:r>
              <w:t>年底前完成所有活动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宣传活动成本</w:t>
            </w:r>
          </w:p>
        </w:tc>
        <w:tc>
          <w:tcPr>
            <w:tcW w:w="5386" w:type="dxa"/>
            <w:vAlign w:val="center"/>
          </w:tcPr>
          <w:p>
            <w:pPr>
              <w:pStyle w:val="12"/>
            </w:pPr>
            <w:r>
              <w:t>宣传活动成本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提高妇女儿童生活质量</w:t>
            </w:r>
          </w:p>
        </w:tc>
        <w:tc>
          <w:tcPr>
            <w:tcW w:w="5386" w:type="dxa"/>
            <w:vAlign w:val="center"/>
          </w:tcPr>
          <w:p>
            <w:pPr>
              <w:pStyle w:val="12"/>
            </w:pPr>
            <w:r>
              <w:t>提高妇女儿童生活质量</w:t>
            </w:r>
          </w:p>
        </w:tc>
        <w:tc>
          <w:tcPr>
            <w:tcW w:w="2268" w:type="dxa"/>
            <w:vAlign w:val="center"/>
          </w:tcPr>
          <w:p>
            <w:pPr>
              <w:pStyle w:val="12"/>
            </w:pPr>
            <w:r>
              <w:t>提高居民生活质量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项目持续期限为全年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服务妇女儿童满意度</w:t>
            </w:r>
          </w:p>
        </w:tc>
        <w:tc>
          <w:tcPr>
            <w:tcW w:w="5386" w:type="dxa"/>
            <w:vAlign w:val="center"/>
          </w:tcPr>
          <w:p>
            <w:pPr>
              <w:pStyle w:val="12"/>
            </w:pPr>
            <w:r>
              <w:t>服务妇女儿童满意度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2、2026年换届资金绩效目标表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13011026P00322310059K</w:t>
            </w:r>
          </w:p>
        </w:tc>
        <w:tc>
          <w:tcPr>
            <w:tcW w:w="2835" w:type="dxa"/>
            <w:vAlign w:val="center"/>
          </w:tcPr>
          <w:p>
            <w:pPr>
              <w:pStyle w:val="10"/>
            </w:pPr>
            <w:r>
              <w:t>项目名称</w:t>
            </w:r>
          </w:p>
        </w:tc>
        <w:tc>
          <w:tcPr>
            <w:tcW w:w="6095" w:type="dxa"/>
            <w:gridSpan w:val="3"/>
            <w:vAlign w:val="center"/>
          </w:tcPr>
          <w:p>
            <w:pPr>
              <w:pStyle w:val="12"/>
            </w:pPr>
            <w:r>
              <w:t>2026年换届资金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按时完成换届大会，产生优质领导班子，资料齐全。新班子带动组织活力提升，总结全区妇女工作的主要成绩和经验，安排部署今后五年我区妇女工作的奋斗目标和主要任务。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按时完成换届大会，产生优质领导班子，资料齐全。新班子带动组织活力提升，总结全区妇女工作的主要成绩和经验，安排部署今后五年我区妇女工作的奋斗目标和主要任务。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换届会议次数</w:t>
            </w:r>
          </w:p>
        </w:tc>
        <w:tc>
          <w:tcPr>
            <w:tcW w:w="5386" w:type="dxa"/>
            <w:vAlign w:val="center"/>
          </w:tcPr>
          <w:p>
            <w:pPr>
              <w:pStyle w:val="12"/>
            </w:pPr>
            <w:r>
              <w:t>换届会议次数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成功选出妇联执委</w:t>
            </w:r>
          </w:p>
        </w:tc>
        <w:tc>
          <w:tcPr>
            <w:tcW w:w="5386" w:type="dxa"/>
            <w:vAlign w:val="center"/>
          </w:tcPr>
          <w:p>
            <w:pPr>
              <w:pStyle w:val="12"/>
            </w:pPr>
            <w:r>
              <w:t>成功选出妇联执委</w:t>
            </w:r>
          </w:p>
        </w:tc>
        <w:tc>
          <w:tcPr>
            <w:tcW w:w="2268" w:type="dxa"/>
            <w:vAlign w:val="center"/>
          </w:tcPr>
          <w:p>
            <w:pPr>
              <w:pStyle w:val="12"/>
            </w:pPr>
            <w:r>
              <w:t>≥42名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换届代表人数</w:t>
            </w:r>
          </w:p>
        </w:tc>
        <w:tc>
          <w:tcPr>
            <w:tcW w:w="5386" w:type="dxa"/>
            <w:vAlign w:val="center"/>
          </w:tcPr>
          <w:p>
            <w:pPr>
              <w:pStyle w:val="12"/>
            </w:pPr>
            <w:r>
              <w:t>换届代表人数</w:t>
            </w:r>
          </w:p>
        </w:tc>
        <w:tc>
          <w:tcPr>
            <w:tcW w:w="2268" w:type="dxa"/>
            <w:vAlign w:val="center"/>
          </w:tcPr>
          <w:p>
            <w:pPr>
              <w:pStyle w:val="12"/>
            </w:pPr>
            <w:r>
              <w:t>≥170名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形成换届全套文件资料</w:t>
            </w:r>
          </w:p>
        </w:tc>
        <w:tc>
          <w:tcPr>
            <w:tcW w:w="5386" w:type="dxa"/>
            <w:vAlign w:val="center"/>
          </w:tcPr>
          <w:p>
            <w:pPr>
              <w:pStyle w:val="12"/>
            </w:pPr>
            <w:r>
              <w:t>形成换届全套文件资料</w:t>
            </w:r>
          </w:p>
        </w:tc>
        <w:tc>
          <w:tcPr>
            <w:tcW w:w="2268" w:type="dxa"/>
            <w:vAlign w:val="center"/>
          </w:tcPr>
          <w:p>
            <w:pPr>
              <w:pStyle w:val="12"/>
            </w:pPr>
            <w:r>
              <w:t>≥170套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新当选妇联成员政治素质高、服务意识强、有能力推动妇女工作</w:t>
            </w:r>
          </w:p>
        </w:tc>
        <w:tc>
          <w:tcPr>
            <w:tcW w:w="5386" w:type="dxa"/>
            <w:vAlign w:val="center"/>
          </w:tcPr>
          <w:p>
            <w:pPr>
              <w:pStyle w:val="12"/>
            </w:pPr>
            <w:r>
              <w:t>新当选妇联成员政治素质高、服务意识强、有能力推动妇女工作</w:t>
            </w:r>
          </w:p>
        </w:tc>
        <w:tc>
          <w:tcPr>
            <w:tcW w:w="2268" w:type="dxa"/>
            <w:vAlign w:val="center"/>
          </w:tcPr>
          <w:p>
            <w:pPr>
              <w:pStyle w:val="12"/>
            </w:pPr>
            <w:r>
              <w:t>新当选妇联成员政治素质高、服务意识强、有能力推动妇女工作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换届资料文件内容准确、完整</w:t>
            </w:r>
          </w:p>
        </w:tc>
        <w:tc>
          <w:tcPr>
            <w:tcW w:w="5386" w:type="dxa"/>
            <w:vAlign w:val="center"/>
          </w:tcPr>
          <w:p>
            <w:pPr>
              <w:pStyle w:val="12"/>
            </w:pPr>
            <w:r>
              <w:t>换届资料文件内容准确、完整</w:t>
            </w:r>
          </w:p>
        </w:tc>
        <w:tc>
          <w:tcPr>
            <w:tcW w:w="2268" w:type="dxa"/>
            <w:vAlign w:val="center"/>
          </w:tcPr>
          <w:p>
            <w:pPr>
              <w:pStyle w:val="12"/>
            </w:pPr>
            <w:r>
              <w:t>换届资料文件内容准确、完整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换届完成时间</w:t>
            </w:r>
          </w:p>
        </w:tc>
        <w:tc>
          <w:tcPr>
            <w:tcW w:w="5386" w:type="dxa"/>
            <w:vAlign w:val="center"/>
          </w:tcPr>
          <w:p>
            <w:pPr>
              <w:pStyle w:val="12"/>
            </w:pPr>
            <w:r>
              <w:t>换届完成时间</w:t>
            </w:r>
          </w:p>
        </w:tc>
        <w:tc>
          <w:tcPr>
            <w:tcW w:w="2268" w:type="dxa"/>
            <w:vAlign w:val="center"/>
          </w:tcPr>
          <w:p>
            <w:pPr>
              <w:pStyle w:val="12"/>
            </w:pPr>
            <w:r>
              <w:t>2026年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换届成本</w:t>
            </w:r>
          </w:p>
        </w:tc>
        <w:tc>
          <w:tcPr>
            <w:tcW w:w="5386" w:type="dxa"/>
            <w:vAlign w:val="center"/>
          </w:tcPr>
          <w:p>
            <w:pPr>
              <w:pStyle w:val="12"/>
            </w:pPr>
            <w:r>
              <w:t>换届成本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妇女能力提升延续、工作传承</w:t>
            </w:r>
          </w:p>
        </w:tc>
        <w:tc>
          <w:tcPr>
            <w:tcW w:w="5386" w:type="dxa"/>
            <w:vAlign w:val="center"/>
          </w:tcPr>
          <w:p>
            <w:pPr>
              <w:pStyle w:val="12"/>
            </w:pPr>
            <w:r>
              <w:t>妇女能力提升延续、工作传承</w:t>
            </w:r>
          </w:p>
        </w:tc>
        <w:tc>
          <w:tcPr>
            <w:tcW w:w="2268" w:type="dxa"/>
            <w:vAlign w:val="center"/>
          </w:tcPr>
          <w:p>
            <w:pPr>
              <w:pStyle w:val="12"/>
            </w:pPr>
            <w:r>
              <w:t>使妇女能力提升具有连贯性，保障妇女长期发展，制定五年发展规划并有效执行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榜样示范作用</w:t>
            </w:r>
          </w:p>
        </w:tc>
        <w:tc>
          <w:tcPr>
            <w:tcW w:w="5386" w:type="dxa"/>
            <w:vAlign w:val="center"/>
          </w:tcPr>
          <w:p>
            <w:pPr>
              <w:pStyle w:val="12"/>
            </w:pPr>
            <w:r>
              <w:t>榜样示范作用</w:t>
            </w:r>
          </w:p>
        </w:tc>
        <w:tc>
          <w:tcPr>
            <w:tcW w:w="2268" w:type="dxa"/>
            <w:vAlign w:val="center"/>
          </w:tcPr>
          <w:p>
            <w:pPr>
              <w:pStyle w:val="12"/>
            </w:pPr>
            <w:r>
              <w:t>激励更多妇女积极向上，成为妇女榜样人物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妇女代表对换届工作满意度</w:t>
            </w:r>
          </w:p>
        </w:tc>
        <w:tc>
          <w:tcPr>
            <w:tcW w:w="5386" w:type="dxa"/>
            <w:vAlign w:val="center"/>
          </w:tcPr>
          <w:p>
            <w:pPr>
              <w:pStyle w:val="12"/>
            </w:pPr>
            <w:r>
              <w:t>妇女代表对换届工作满意度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3、2026年美丽庭院新建及巩固提升绩效目标表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13011026P00322310057C</w:t>
            </w:r>
          </w:p>
        </w:tc>
        <w:tc>
          <w:tcPr>
            <w:tcW w:w="2835" w:type="dxa"/>
            <w:vAlign w:val="center"/>
          </w:tcPr>
          <w:p>
            <w:pPr>
              <w:pStyle w:val="10"/>
            </w:pPr>
            <w:r>
              <w:t>项目名称</w:t>
            </w:r>
          </w:p>
        </w:tc>
        <w:tc>
          <w:tcPr>
            <w:tcW w:w="6095" w:type="dxa"/>
            <w:gridSpan w:val="3"/>
            <w:vAlign w:val="center"/>
          </w:tcPr>
          <w:p>
            <w:pPr>
              <w:pStyle w:val="12"/>
            </w:pPr>
            <w:r>
              <w:t>2026年美丽庭院新建及巩固提升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打造美丽庭院示范街数量</w:t>
            </w:r>
          </w:p>
        </w:tc>
        <w:tc>
          <w:tcPr>
            <w:tcW w:w="5386" w:type="dxa"/>
            <w:vAlign w:val="center"/>
          </w:tcPr>
          <w:p>
            <w:pPr>
              <w:pStyle w:val="12"/>
            </w:pPr>
            <w:r>
              <w:t>打造美丽庭院示范街数量</w:t>
            </w:r>
          </w:p>
        </w:tc>
        <w:tc>
          <w:tcPr>
            <w:tcW w:w="2268" w:type="dxa"/>
            <w:vAlign w:val="center"/>
          </w:tcPr>
          <w:p>
            <w:pPr>
              <w:pStyle w:val="12"/>
            </w:pPr>
            <w:r>
              <w:t>≥10条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打造美丽庭院示范户数量</w:t>
            </w:r>
          </w:p>
        </w:tc>
        <w:tc>
          <w:tcPr>
            <w:tcW w:w="5386" w:type="dxa"/>
            <w:vAlign w:val="center"/>
          </w:tcPr>
          <w:p>
            <w:pPr>
              <w:pStyle w:val="12"/>
            </w:pPr>
            <w:r>
              <w:t>打造美丽庭院示范户数量</w:t>
            </w:r>
          </w:p>
          <w:p>
            <w:pPr>
              <w:pStyle w:val="12"/>
            </w:pPr>
          </w:p>
        </w:tc>
        <w:tc>
          <w:tcPr>
            <w:tcW w:w="2268" w:type="dxa"/>
            <w:vAlign w:val="center"/>
          </w:tcPr>
          <w:p>
            <w:pPr>
              <w:pStyle w:val="12"/>
            </w:pPr>
            <w:r>
              <w:t>≥3185户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成立帮帮团数量</w:t>
            </w:r>
          </w:p>
        </w:tc>
        <w:tc>
          <w:tcPr>
            <w:tcW w:w="5386" w:type="dxa"/>
            <w:vAlign w:val="center"/>
          </w:tcPr>
          <w:p>
            <w:pPr>
              <w:pStyle w:val="12"/>
            </w:pPr>
            <w:r>
              <w:t>成立帮帮团数量</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开展观摩会次数</w:t>
            </w:r>
          </w:p>
        </w:tc>
        <w:tc>
          <w:tcPr>
            <w:tcW w:w="5386" w:type="dxa"/>
            <w:vAlign w:val="center"/>
          </w:tcPr>
          <w:p>
            <w:pPr>
              <w:pStyle w:val="12"/>
            </w:pPr>
            <w:r>
              <w:t>开展观摩会次数</w:t>
            </w:r>
          </w:p>
        </w:tc>
        <w:tc>
          <w:tcPr>
            <w:tcW w:w="2268" w:type="dxa"/>
            <w:vAlign w:val="center"/>
          </w:tcPr>
          <w:p>
            <w:pPr>
              <w:pStyle w:val="12"/>
            </w:pPr>
            <w:r>
              <w:t>≥13次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美丽庭院新建及巩固完成时间</w:t>
            </w:r>
          </w:p>
        </w:tc>
        <w:tc>
          <w:tcPr>
            <w:tcW w:w="5386" w:type="dxa"/>
            <w:vAlign w:val="center"/>
          </w:tcPr>
          <w:p>
            <w:pPr>
              <w:pStyle w:val="12"/>
            </w:pPr>
            <w:r>
              <w:t>2026年完成</w:t>
            </w:r>
          </w:p>
        </w:tc>
        <w:tc>
          <w:tcPr>
            <w:tcW w:w="2268" w:type="dxa"/>
            <w:vAlign w:val="center"/>
          </w:tcPr>
          <w:p>
            <w:pPr>
              <w:pStyle w:val="12"/>
            </w:pPr>
            <w:r>
              <w:t>2026年完成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美丽庭院活动成本</w:t>
            </w:r>
          </w:p>
        </w:tc>
        <w:tc>
          <w:tcPr>
            <w:tcW w:w="5386" w:type="dxa"/>
            <w:vAlign w:val="center"/>
          </w:tcPr>
          <w:p>
            <w:pPr>
              <w:pStyle w:val="12"/>
            </w:pPr>
            <w:r>
              <w:t>美丽庭院活动成本</w:t>
            </w:r>
          </w:p>
        </w:tc>
        <w:tc>
          <w:tcPr>
            <w:tcW w:w="2268" w:type="dxa"/>
            <w:vAlign w:val="center"/>
          </w:tcPr>
          <w:p>
            <w:pPr>
              <w:pStyle w:val="12"/>
            </w:pPr>
            <w:r>
              <w:t>活动经费控制在预算内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提高人民生活水平</w:t>
            </w:r>
          </w:p>
        </w:tc>
        <w:tc>
          <w:tcPr>
            <w:tcW w:w="5386" w:type="dxa"/>
            <w:vAlign w:val="center"/>
          </w:tcPr>
          <w:p>
            <w:pPr>
              <w:pStyle w:val="12"/>
            </w:pPr>
            <w:r>
              <w:t>提高人民生活水平</w:t>
            </w:r>
          </w:p>
        </w:tc>
        <w:tc>
          <w:tcPr>
            <w:tcW w:w="2268" w:type="dxa"/>
            <w:vAlign w:val="center"/>
          </w:tcPr>
          <w:p>
            <w:pPr>
              <w:pStyle w:val="12"/>
            </w:pPr>
            <w:r>
              <w:t>提高人民生活水平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项目期限为全年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美丽庭院示范户满意度</w:t>
            </w:r>
          </w:p>
        </w:tc>
        <w:tc>
          <w:tcPr>
            <w:tcW w:w="5386" w:type="dxa"/>
            <w:vAlign w:val="center"/>
          </w:tcPr>
          <w:p>
            <w:pPr>
              <w:pStyle w:val="12"/>
            </w:pPr>
            <w:r>
              <w:t>美丽庭院示范户满意度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4、2026年三八国际妇女节活动绩效目标表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13011026P00322310056Q</w:t>
            </w:r>
          </w:p>
        </w:tc>
        <w:tc>
          <w:tcPr>
            <w:tcW w:w="2835" w:type="dxa"/>
            <w:vAlign w:val="center"/>
          </w:tcPr>
          <w:p>
            <w:pPr>
              <w:pStyle w:val="10"/>
            </w:pPr>
            <w:r>
              <w:t>项目名称</w:t>
            </w:r>
          </w:p>
        </w:tc>
        <w:tc>
          <w:tcPr>
            <w:tcW w:w="6095" w:type="dxa"/>
            <w:gridSpan w:val="3"/>
            <w:vAlign w:val="center"/>
          </w:tcPr>
          <w:p>
            <w:pPr>
              <w:pStyle w:val="12"/>
            </w:pPr>
            <w:r>
              <w:t>2026年三八国际妇女节活动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在我区举行三八妇女活动，对 20名一线妇女职工进行慰问，充分调动各行各业妇女干事创业积极性、主动性、和创造性，发挥典型榜样引领作用。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1.在我区举行三八妇女活动，对 20名一线妇女职工进行慰问，充分调动各行各业妇女干事创业积极性、主动性、和创造性，发挥典型榜样引领作用。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制作宣传片数量</w:t>
            </w:r>
          </w:p>
        </w:tc>
        <w:tc>
          <w:tcPr>
            <w:tcW w:w="5386" w:type="dxa"/>
            <w:vAlign w:val="center"/>
          </w:tcPr>
          <w:p>
            <w:pPr>
              <w:pStyle w:val="12"/>
            </w:pPr>
            <w:r>
              <w:t>制作宣传片数量</w:t>
            </w:r>
          </w:p>
        </w:tc>
        <w:tc>
          <w:tcPr>
            <w:tcW w:w="2268" w:type="dxa"/>
            <w:vAlign w:val="center"/>
          </w:tcPr>
          <w:p>
            <w:pPr>
              <w:pStyle w:val="12"/>
            </w:pPr>
            <w:r>
              <w:t>1条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慰问人数</w:t>
            </w:r>
          </w:p>
        </w:tc>
        <w:tc>
          <w:tcPr>
            <w:tcW w:w="5386" w:type="dxa"/>
            <w:vAlign w:val="center"/>
          </w:tcPr>
          <w:p>
            <w:pPr>
              <w:pStyle w:val="12"/>
            </w:pPr>
            <w:r>
              <w:t>慰问人数</w:t>
            </w:r>
          </w:p>
        </w:tc>
        <w:tc>
          <w:tcPr>
            <w:tcW w:w="2268" w:type="dxa"/>
            <w:vAlign w:val="center"/>
          </w:tcPr>
          <w:p>
            <w:pPr>
              <w:pStyle w:val="12"/>
            </w:pPr>
            <w:r>
              <w:t>20人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表彰慰问完成率</w:t>
            </w:r>
          </w:p>
        </w:tc>
        <w:tc>
          <w:tcPr>
            <w:tcW w:w="5386" w:type="dxa"/>
            <w:vAlign w:val="center"/>
          </w:tcPr>
          <w:p>
            <w:pPr>
              <w:pStyle w:val="12"/>
            </w:pPr>
            <w:r>
              <w:t>表彰慰问完成率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表彰慰问完成时间</w:t>
            </w:r>
          </w:p>
        </w:tc>
        <w:tc>
          <w:tcPr>
            <w:tcW w:w="5386" w:type="dxa"/>
            <w:vAlign w:val="center"/>
          </w:tcPr>
          <w:p>
            <w:pPr>
              <w:pStyle w:val="12"/>
            </w:pPr>
            <w:r>
              <w:t>表彰慰问完成时间</w:t>
            </w:r>
          </w:p>
        </w:tc>
        <w:tc>
          <w:tcPr>
            <w:tcW w:w="2268" w:type="dxa"/>
            <w:vAlign w:val="center"/>
          </w:tcPr>
          <w:p>
            <w:pPr>
              <w:pStyle w:val="12"/>
            </w:pPr>
            <w:r>
              <w:t>2026年3月8日之前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活动成本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充分调动妇女干事创业积极性</w:t>
            </w:r>
          </w:p>
        </w:tc>
        <w:tc>
          <w:tcPr>
            <w:tcW w:w="5386" w:type="dxa"/>
            <w:vAlign w:val="center"/>
          </w:tcPr>
          <w:p>
            <w:pPr>
              <w:pStyle w:val="12"/>
            </w:pPr>
            <w:r>
              <w:t>充分调动妇女干事创业积极性</w:t>
            </w:r>
          </w:p>
        </w:tc>
        <w:tc>
          <w:tcPr>
            <w:tcW w:w="2268" w:type="dxa"/>
            <w:vAlign w:val="center"/>
          </w:tcPr>
          <w:p>
            <w:pPr>
              <w:pStyle w:val="12"/>
            </w:pPr>
            <w:r>
              <w:t>带动就业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三八表彰活动影响</w:t>
            </w:r>
          </w:p>
        </w:tc>
        <w:tc>
          <w:tcPr>
            <w:tcW w:w="5386" w:type="dxa"/>
            <w:vAlign w:val="center"/>
          </w:tcPr>
          <w:p>
            <w:pPr>
              <w:pStyle w:val="12"/>
            </w:pPr>
            <w:r>
              <w:t>对我区可持续影响人数</w:t>
            </w:r>
          </w:p>
        </w:tc>
        <w:tc>
          <w:tcPr>
            <w:tcW w:w="2268" w:type="dxa"/>
            <w:vAlign w:val="center"/>
          </w:tcPr>
          <w:p>
            <w:pPr>
              <w:pStyle w:val="12"/>
            </w:pPr>
            <w:r>
              <w:t>≥19万人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参加活动妇女满意度</w:t>
            </w:r>
          </w:p>
        </w:tc>
        <w:tc>
          <w:tcPr>
            <w:tcW w:w="5386" w:type="dxa"/>
            <w:vAlign w:val="center"/>
          </w:tcPr>
          <w:p>
            <w:pPr>
              <w:pStyle w:val="12"/>
            </w:pPr>
            <w:r>
              <w:t>参加活动妇女满意和较满意人数占参加活动人数的比例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13011026P00322310060Y</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5.75</w:t>
            </w:r>
          </w:p>
        </w:tc>
        <w:tc>
          <w:tcPr>
            <w:tcW w:w="2835" w:type="dxa"/>
            <w:vAlign w:val="center"/>
          </w:tcPr>
          <w:p>
            <w:pPr>
              <w:pStyle w:val="10"/>
            </w:pPr>
            <w:r>
              <w:t>其中：财政    资金</w:t>
            </w:r>
          </w:p>
        </w:tc>
        <w:tc>
          <w:tcPr>
            <w:tcW w:w="2551" w:type="dxa"/>
            <w:vAlign w:val="center"/>
          </w:tcPr>
          <w:p>
            <w:pPr>
              <w:pStyle w:val="12"/>
            </w:pPr>
            <w:r>
              <w:t>5.75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我单位对符合条件的涉军公益岗进行每月工资支出，社保正常缴纳，保障办公正常运转。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1.我单位对符合条件的涉军公益岗进行每月工资支出，社保正常缴纳，保障办公正常运转。</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退役军人工资发放人数</w:t>
            </w:r>
          </w:p>
        </w:tc>
        <w:tc>
          <w:tcPr>
            <w:tcW w:w="2268" w:type="dxa"/>
            <w:vAlign w:val="center"/>
          </w:tcPr>
          <w:p>
            <w:pPr>
              <w:pStyle w:val="12"/>
            </w:pPr>
            <w:r>
              <w:t>1人</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5386" w:type="dxa"/>
            <w:vAlign w:val="center"/>
          </w:tcPr>
          <w:p>
            <w:pPr>
              <w:pStyle w:val="12"/>
            </w:pPr>
            <w:r>
              <w:t>退役军人工资发放完成率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工资发放完成及时率</w:t>
            </w:r>
          </w:p>
        </w:tc>
        <w:tc>
          <w:tcPr>
            <w:tcW w:w="5386" w:type="dxa"/>
            <w:vAlign w:val="center"/>
          </w:tcPr>
          <w:p>
            <w:pPr>
              <w:pStyle w:val="12"/>
            </w:pPr>
            <w:r>
              <w:t>工资发放完成及时率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5386" w:type="dxa"/>
            <w:vAlign w:val="center"/>
          </w:tcPr>
          <w:p>
            <w:pPr>
              <w:pStyle w:val="12"/>
            </w:pPr>
            <w:r>
              <w:t>工资成本</w:t>
            </w:r>
          </w:p>
        </w:tc>
        <w:tc>
          <w:tcPr>
            <w:tcW w:w="2268" w:type="dxa"/>
            <w:vAlign w:val="center"/>
          </w:tcPr>
          <w:p>
            <w:pPr>
              <w:pStyle w:val="12"/>
            </w:pPr>
            <w:r>
              <w:t>5.75万元</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退役军人生活水平提高</w:t>
            </w:r>
          </w:p>
        </w:tc>
        <w:tc>
          <w:tcPr>
            <w:tcW w:w="5386" w:type="dxa"/>
            <w:vAlign w:val="center"/>
          </w:tcPr>
          <w:p>
            <w:pPr>
              <w:pStyle w:val="12"/>
            </w:pPr>
            <w:r>
              <w:t>退役军人生活水平提高</w:t>
            </w:r>
          </w:p>
        </w:tc>
        <w:tc>
          <w:tcPr>
            <w:tcW w:w="2268" w:type="dxa"/>
            <w:vAlign w:val="center"/>
          </w:tcPr>
          <w:p>
            <w:pPr>
              <w:pStyle w:val="12"/>
            </w:pPr>
            <w:r>
              <w:t>提高生活水平</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提高就业率</w:t>
            </w:r>
          </w:p>
        </w:tc>
        <w:tc>
          <w:tcPr>
            <w:tcW w:w="5386" w:type="dxa"/>
            <w:vAlign w:val="center"/>
          </w:tcPr>
          <w:p>
            <w:pPr>
              <w:pStyle w:val="12"/>
            </w:pPr>
            <w:r>
              <w:t>提高就业率</w:t>
            </w:r>
          </w:p>
        </w:tc>
        <w:tc>
          <w:tcPr>
            <w:tcW w:w="2268" w:type="dxa"/>
            <w:vAlign w:val="center"/>
          </w:tcPr>
          <w:p>
            <w:pPr>
              <w:pStyle w:val="12"/>
            </w:pPr>
            <w:r>
              <w:t>提高就业率</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退役军人安置满意度</w:t>
            </w:r>
          </w:p>
        </w:tc>
        <w:tc>
          <w:tcPr>
            <w:tcW w:w="5386" w:type="dxa"/>
            <w:vAlign w:val="center"/>
          </w:tcPr>
          <w:p>
            <w:pPr>
              <w:pStyle w:val="12"/>
            </w:pPr>
            <w:r>
              <w:t>退役军人安置满意度</w:t>
            </w:r>
          </w:p>
        </w:tc>
        <w:tc>
          <w:tcPr>
            <w:tcW w:w="2268" w:type="dxa"/>
            <w:vAlign w:val="center"/>
          </w:tcPr>
          <w:p>
            <w:pPr>
              <w:pStyle w:val="12"/>
            </w:pPr>
            <w:r>
              <w:t>≥95%</w:t>
            </w:r>
          </w:p>
        </w:tc>
        <w:tc>
          <w:tcPr>
            <w:tcW w:w="1276" w:type="dxa"/>
            <w:vAlign w:val="center"/>
          </w:tcPr>
          <w:p>
            <w:pPr>
              <w:pStyle w:val="12"/>
            </w:pPr>
            <w:r>
              <w:t>鹿泉区关于进一步做好部分部队退役人员帮扶救助的若干措施</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6、2026年省级妇女之家建设专项资金绩效目标表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13011026P00003710002M</w:t>
            </w:r>
          </w:p>
        </w:tc>
        <w:tc>
          <w:tcPr>
            <w:tcW w:w="2835" w:type="dxa"/>
            <w:vAlign w:val="center"/>
          </w:tcPr>
          <w:p>
            <w:pPr>
              <w:pStyle w:val="10"/>
            </w:pPr>
            <w:r>
              <w:t>项目名称</w:t>
            </w:r>
          </w:p>
        </w:tc>
        <w:tc>
          <w:tcPr>
            <w:tcW w:w="6095" w:type="dxa"/>
            <w:gridSpan w:val="3"/>
            <w:vAlign w:val="center"/>
          </w:tcPr>
          <w:p>
            <w:pPr>
              <w:pStyle w:val="12"/>
            </w:pPr>
            <w:r>
              <w:t>2026年省级妇女之家建设专项资金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2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2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围绕乡村振兴，在妇女之家举办活动次数</w:t>
            </w:r>
          </w:p>
        </w:tc>
        <w:tc>
          <w:tcPr>
            <w:tcW w:w="5386" w:type="dxa"/>
            <w:vAlign w:val="center"/>
          </w:tcPr>
          <w:p>
            <w:pPr>
              <w:pStyle w:val="12"/>
            </w:pPr>
            <w:r>
              <w:t>围绕乡村振兴，在妇女之家举办活动次数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搭建妇女之家阵地数量</w:t>
            </w:r>
          </w:p>
        </w:tc>
        <w:tc>
          <w:tcPr>
            <w:tcW w:w="5386" w:type="dxa"/>
            <w:vAlign w:val="center"/>
          </w:tcPr>
          <w:p>
            <w:pPr>
              <w:pStyle w:val="12"/>
            </w:pPr>
            <w:r>
              <w:t>搭建妇女之家阵地数量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完成省级“示范妇女之家”建设任务的时间</w:t>
            </w:r>
          </w:p>
        </w:tc>
        <w:tc>
          <w:tcPr>
            <w:tcW w:w="5386" w:type="dxa"/>
            <w:vAlign w:val="center"/>
          </w:tcPr>
          <w:p>
            <w:pPr>
              <w:pStyle w:val="12"/>
            </w:pPr>
            <w:r>
              <w:t>完成省级“示范妇女之家”建设任务的时间</w:t>
            </w:r>
          </w:p>
        </w:tc>
        <w:tc>
          <w:tcPr>
            <w:tcW w:w="2268" w:type="dxa"/>
            <w:vAlign w:val="center"/>
          </w:tcPr>
          <w:p>
            <w:pPr>
              <w:pStyle w:val="12"/>
            </w:pPr>
            <w:r>
              <w:t>年底前完成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建设成本资金</w:t>
            </w:r>
          </w:p>
        </w:tc>
        <w:tc>
          <w:tcPr>
            <w:tcW w:w="5386" w:type="dxa"/>
            <w:vAlign w:val="center"/>
          </w:tcPr>
          <w:p>
            <w:pPr>
              <w:pStyle w:val="12"/>
            </w:pPr>
            <w:r>
              <w:t>建设成本资金</w:t>
            </w:r>
          </w:p>
        </w:tc>
        <w:tc>
          <w:tcPr>
            <w:tcW w:w="2268" w:type="dxa"/>
            <w:vAlign w:val="center"/>
          </w:tcPr>
          <w:p>
            <w:pPr>
              <w:pStyle w:val="12"/>
            </w:pPr>
            <w:r>
              <w:t>≤17万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可全年持续使用妇女之家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基层妇女群众和妇联干部满意度</w:t>
            </w:r>
          </w:p>
        </w:tc>
        <w:tc>
          <w:tcPr>
            <w:tcW w:w="5386" w:type="dxa"/>
            <w:vAlign w:val="center"/>
          </w:tcPr>
          <w:p>
            <w:pPr>
              <w:pStyle w:val="12"/>
            </w:pPr>
            <w:r>
              <w:t>基层妇女群众和妇联干部满意度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2.65</w:t>
            </w:r>
          </w:p>
        </w:tc>
        <w:tc>
          <w:tcPr>
            <w:tcW w:w="964" w:type="dxa"/>
            <w:vAlign w:val="center"/>
          </w:tcPr>
          <w:p>
            <w:pPr>
              <w:pStyle w:val="15"/>
            </w:pPr>
            <w:r>
              <w:t>2.65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石家庄市鹿泉区妇女联合会本级小计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2.65</w:t>
            </w:r>
          </w:p>
        </w:tc>
        <w:tc>
          <w:tcPr>
            <w:tcW w:w="964" w:type="dxa"/>
            <w:vAlign w:val="center"/>
          </w:tcPr>
          <w:p>
            <w:pPr>
              <w:pStyle w:val="15"/>
            </w:pPr>
            <w:r>
              <w:t>2.65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35.66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35.66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1.40</w:t>
            </w:r>
          </w:p>
        </w:tc>
        <w:tc>
          <w:tcPr>
            <w:tcW w:w="964" w:type="dxa"/>
            <w:vAlign w:val="center"/>
          </w:tcPr>
          <w:p>
            <w:pPr>
              <w:pStyle w:val="11"/>
            </w:pPr>
            <w:r>
              <w:t>1.40</w:t>
            </w:r>
          </w:p>
        </w:tc>
        <w:tc>
          <w:tcPr>
            <w:tcW w:w="964" w:type="dxa"/>
            <w:vAlign w:val="center"/>
          </w:tcPr>
          <w:p>
            <w:pPr>
              <w:pStyle w:val="11"/>
            </w:pPr>
            <w:r>
              <w:t>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35.66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0.13</w:t>
            </w:r>
          </w:p>
        </w:tc>
        <w:tc>
          <w:tcPr>
            <w:tcW w:w="964" w:type="dxa"/>
            <w:vAlign w:val="center"/>
          </w:tcPr>
          <w:p>
            <w:pPr>
              <w:pStyle w:val="11"/>
            </w:pPr>
            <w:r>
              <w:t>0.13</w:t>
            </w:r>
          </w:p>
        </w:tc>
        <w:tc>
          <w:tcPr>
            <w:tcW w:w="964" w:type="dxa"/>
            <w:vAlign w:val="center"/>
          </w:tcPr>
          <w:p>
            <w:pPr>
              <w:pStyle w:val="11"/>
            </w:pPr>
            <w:r>
              <w:t>0.13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0.06</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0.22</w:t>
            </w:r>
          </w:p>
        </w:tc>
        <w:tc>
          <w:tcPr>
            <w:tcW w:w="964" w:type="dxa"/>
            <w:vAlign w:val="center"/>
          </w:tcPr>
          <w:p>
            <w:pPr>
              <w:pStyle w:val="11"/>
            </w:pPr>
            <w:r>
              <w:t>0.22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石家庄市鹿泉区妇女联合会本级上年末固定资产金额为27.47万元（详见下表）。本年度拟购置固定资产总额为0.29万元，已按要求列入政府采购预算，详见政府采购预算表。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86</w:t>
            </w:r>
          </w:p>
        </w:tc>
        <w:tc>
          <w:tcPr>
            <w:tcW w:w="2835" w:type="dxa"/>
            <w:vAlign w:val="center"/>
          </w:tcPr>
          <w:p>
            <w:pPr>
              <w:pStyle w:val="11"/>
            </w:pPr>
            <w:r>
              <w:t>13.17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黑体">
    <w:altName w:val="宋体"/>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19614D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9707</Words>
  <Characters>11752</Characters>
  <TotalTime>0</TotalTime>
  <ScaleCrop>false</ScaleCrop>
  <LinksUpToDate>false</LinksUpToDate>
  <CharactersWithSpaces>11930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2026-03-05T14:30:00Z</dcterms:created>
  <dc:creator>Administrator</dc:creator>
  <cp:lastModifiedBy>团委</cp:lastModifiedBy>
  <dcterms:modified xsi:type="dcterms:W3CDTF">2026-03-05T06:44:58Z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CD45B63F192142459302B35637D4589A</vt:lpwstr>
  </property>
</Properties>
</file>