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jc w:val="center"/>
        <w:outlineLvl w:val="0"/>
        <w:rPr>
          <w:rFonts w:ascii="方正小标宋_GBK" w:hAnsi="方正小标宋_GBK" w:eastAsia="方正小标宋_GBK" w:cs="方正小标宋_GBK"/>
          <w:b/>
          <w:color w:val="000000"/>
          <w:spacing w:val="8"/>
          <w:sz w:val="100"/>
          <w:szCs w:val="100"/>
          <w:lang w:eastAsia="zh-CN"/>
        </w:rPr>
      </w:pPr>
      <w:r>
        <w:rPr>
          <w:rFonts w:hint="eastAsia" w:ascii="方正小标宋_GBK" w:hAnsi="方正小标宋_GBK" w:eastAsia="方正小标宋_GBK" w:cs="方正小标宋_GBK"/>
          <w:b/>
          <w:color w:val="000000"/>
          <w:spacing w:val="8"/>
          <w:sz w:val="100"/>
          <w:szCs w:val="100"/>
          <w:lang w:eastAsia="zh-CN"/>
        </w:rPr>
        <w:t>中国共产党石家庄市鹿泉区</w:t>
      </w:r>
    </w:p>
    <w:p>
      <w:pPr>
        <w:jc w:val="center"/>
        <w:outlineLvl w:val="0"/>
        <w:rPr>
          <w:rFonts w:ascii="方正小标宋简体" w:hAnsi="方正小标宋简体" w:eastAsia="方正小标宋简体" w:cs="方正小标宋简体"/>
          <w:b/>
          <w:color w:val="000000"/>
          <w:sz w:val="112"/>
          <w:szCs w:val="112"/>
          <w:lang w:eastAsia="zh-CN"/>
        </w:rPr>
      </w:pPr>
      <w:r>
        <w:rPr>
          <w:rFonts w:hint="eastAsia" w:ascii="方正小标宋_GBK" w:hAnsi="方正小标宋_GBK" w:eastAsia="方正小标宋_GBK" w:cs="方正小标宋_GBK"/>
          <w:b/>
          <w:color w:val="000000"/>
          <w:spacing w:val="8"/>
          <w:sz w:val="100"/>
          <w:szCs w:val="100"/>
          <w:lang w:eastAsia="zh-CN"/>
        </w:rPr>
        <w:t>纪律检查委员会</w:t>
      </w:r>
    </w:p>
    <w:p>
      <w:pPr>
        <w:jc w:val="center"/>
        <w:outlineLvl w:val="0"/>
        <w:rPr>
          <w:rFonts w:ascii="方正小标宋简体" w:hAnsi="方正小标宋简体" w:eastAsia="方正小标宋简体" w:cs="方正小标宋简体"/>
          <w:b/>
          <w:color w:val="000000"/>
          <w:sz w:val="94"/>
          <w:szCs w:val="94"/>
          <w:lang w:eastAsia="zh-CN"/>
        </w:rPr>
      </w:pPr>
      <w:r>
        <w:rPr>
          <w:rFonts w:hint="eastAsia" w:ascii="方正小标宋简体" w:hAnsi="方正小标宋简体" w:eastAsia="方正小标宋简体" w:cs="方正小标宋简体"/>
          <w:b/>
          <w:color w:val="000000"/>
          <w:sz w:val="94"/>
          <w:szCs w:val="94"/>
          <w:lang w:eastAsia="zh-CN"/>
        </w:rPr>
        <w:t>202</w:t>
      </w:r>
      <w:r>
        <w:rPr>
          <w:rFonts w:hint="eastAsia" w:ascii="方正小标宋简体" w:hAnsi="方正小标宋简体" w:eastAsia="方正小标宋简体" w:cs="方正小标宋简体"/>
          <w:b/>
          <w:color w:val="000000"/>
          <w:sz w:val="94"/>
          <w:szCs w:val="94"/>
          <w:lang w:val="en-US" w:eastAsia="zh-CN"/>
        </w:rPr>
        <w:t>6</w:t>
      </w:r>
      <w:r>
        <w:rPr>
          <w:rFonts w:hint="eastAsia" w:ascii="方正小标宋简体" w:hAnsi="方正小标宋简体" w:eastAsia="方正小标宋简体" w:cs="方正小标宋简体"/>
          <w:b/>
          <w:color w:val="000000"/>
          <w:sz w:val="94"/>
          <w:szCs w:val="94"/>
          <w:lang w:eastAsia="zh-CN"/>
        </w:rPr>
        <w:t>年度所属单位预算信息公开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一、中国共产党石家庄市鹿泉区纪律检查委员会本级收支预算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一、中国共产党石家庄市鹿泉区纪律检查委员会本级收支预算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2467.94</w:t>
            </w:r>
          </w:p>
        </w:tc>
        <w:tc>
          <w:tcPr>
            <w:tcW w:w="4535" w:type="dxa"/>
            <w:vAlign w:val="center"/>
          </w:tcPr>
          <w:p>
            <w:pPr>
              <w:pStyle w:val="12"/>
            </w:pPr>
            <w:r>
              <w:t>一、一般公共服务支出</w:t>
            </w:r>
          </w:p>
        </w:tc>
        <w:tc>
          <w:tcPr>
            <w:tcW w:w="2126" w:type="dxa"/>
            <w:vAlign w:val="center"/>
          </w:tcPr>
          <w:p>
            <w:pPr>
              <w:pStyle w:val="11"/>
            </w:pPr>
            <w:r>
              <w:t>1871.57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2467.94</w:t>
            </w:r>
          </w:p>
        </w:tc>
        <w:tc>
          <w:tcPr>
            <w:tcW w:w="4535" w:type="dxa"/>
            <w:vAlign w:val="center"/>
          </w:tcPr>
          <w:p>
            <w:pPr>
              <w:pStyle w:val="14"/>
            </w:pPr>
            <w:r>
              <w:t>本年支出合计</w:t>
            </w:r>
          </w:p>
        </w:tc>
        <w:tc>
          <w:tcPr>
            <w:tcW w:w="2126" w:type="dxa"/>
            <w:vAlign w:val="center"/>
          </w:tcPr>
          <w:p>
            <w:pPr>
              <w:pStyle w:val="15"/>
            </w:pPr>
            <w:r>
              <w:t>2467.94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2467.94</w:t>
            </w:r>
          </w:p>
        </w:tc>
        <w:tc>
          <w:tcPr>
            <w:tcW w:w="4535" w:type="dxa"/>
            <w:vAlign w:val="center"/>
          </w:tcPr>
          <w:p>
            <w:pPr>
              <w:pStyle w:val="14"/>
            </w:pPr>
            <w:r>
              <w:t>支出总计</w:t>
            </w:r>
          </w:p>
        </w:tc>
        <w:tc>
          <w:tcPr>
            <w:tcW w:w="2126" w:type="dxa"/>
            <w:vAlign w:val="center"/>
          </w:tcPr>
          <w:p>
            <w:pPr>
              <w:pStyle w:val="15"/>
            </w:pPr>
            <w:r>
              <w:t>2467.94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2467.94</w:t>
            </w:r>
          </w:p>
        </w:tc>
        <w:tc>
          <w:tcPr>
            <w:tcW w:w="1134" w:type="dxa"/>
            <w:vAlign w:val="center"/>
          </w:tcPr>
          <w:p>
            <w:pPr>
              <w:pStyle w:val="15"/>
            </w:pPr>
            <w:r>
              <w:t>2467.94</w:t>
            </w:r>
          </w:p>
        </w:tc>
        <w:tc>
          <w:tcPr>
            <w:tcW w:w="1134" w:type="dxa"/>
            <w:vAlign w:val="center"/>
          </w:tcPr>
          <w:p>
            <w:pPr>
              <w:pStyle w:val="15"/>
            </w:pPr>
            <w:r>
              <w:t>2467.94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1871.57</w:t>
            </w:r>
          </w:p>
        </w:tc>
        <w:tc>
          <w:tcPr>
            <w:tcW w:w="1134" w:type="dxa"/>
            <w:vAlign w:val="center"/>
          </w:tcPr>
          <w:p>
            <w:pPr>
              <w:pStyle w:val="11"/>
            </w:pPr>
            <w:r>
              <w:t>1871.57</w:t>
            </w:r>
          </w:p>
        </w:tc>
        <w:tc>
          <w:tcPr>
            <w:tcW w:w="1134" w:type="dxa"/>
            <w:vAlign w:val="center"/>
          </w:tcPr>
          <w:p>
            <w:pPr>
              <w:pStyle w:val="11"/>
            </w:pPr>
            <w:r>
              <w:t>1871.57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1871.57</w:t>
            </w:r>
          </w:p>
        </w:tc>
        <w:tc>
          <w:tcPr>
            <w:tcW w:w="1134" w:type="dxa"/>
            <w:vAlign w:val="center"/>
          </w:tcPr>
          <w:p>
            <w:pPr>
              <w:pStyle w:val="11"/>
            </w:pPr>
            <w:r>
              <w:t>1871.57</w:t>
            </w:r>
          </w:p>
        </w:tc>
        <w:tc>
          <w:tcPr>
            <w:tcW w:w="1134" w:type="dxa"/>
            <w:vAlign w:val="center"/>
          </w:tcPr>
          <w:p>
            <w:pPr>
              <w:pStyle w:val="11"/>
            </w:pPr>
            <w:r>
              <w:t>1871.57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1561.37</w:t>
            </w:r>
          </w:p>
        </w:tc>
        <w:tc>
          <w:tcPr>
            <w:tcW w:w="1134" w:type="dxa"/>
            <w:vAlign w:val="center"/>
          </w:tcPr>
          <w:p>
            <w:pPr>
              <w:pStyle w:val="11"/>
            </w:pPr>
            <w:r>
              <w:t>1561.37</w:t>
            </w:r>
          </w:p>
        </w:tc>
        <w:tc>
          <w:tcPr>
            <w:tcW w:w="1134" w:type="dxa"/>
            <w:vAlign w:val="center"/>
          </w:tcPr>
          <w:p>
            <w:pPr>
              <w:pStyle w:val="11"/>
            </w:pPr>
            <w:r>
              <w:t>1561.37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2011102</w:t>
            </w:r>
          </w:p>
        </w:tc>
        <w:tc>
          <w:tcPr>
            <w:tcW w:w="1559" w:type="dxa"/>
            <w:vAlign w:val="center"/>
          </w:tcPr>
          <w:p>
            <w:pPr>
              <w:pStyle w:val="12"/>
            </w:pPr>
            <w:r>
              <w:t>一般行政管理事务</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2011199</w:t>
            </w:r>
          </w:p>
        </w:tc>
        <w:tc>
          <w:tcPr>
            <w:tcW w:w="1559" w:type="dxa"/>
            <w:vAlign w:val="center"/>
          </w:tcPr>
          <w:p>
            <w:pPr>
              <w:pStyle w:val="12"/>
            </w:pPr>
            <w:r>
              <w:t>其他纪检监察事务支出</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327.80</w:t>
            </w:r>
          </w:p>
        </w:tc>
        <w:tc>
          <w:tcPr>
            <w:tcW w:w="1134" w:type="dxa"/>
            <w:vAlign w:val="center"/>
          </w:tcPr>
          <w:p>
            <w:pPr>
              <w:pStyle w:val="11"/>
            </w:pPr>
            <w:r>
              <w:t>327.80</w:t>
            </w:r>
          </w:p>
        </w:tc>
        <w:tc>
          <w:tcPr>
            <w:tcW w:w="1134" w:type="dxa"/>
            <w:vAlign w:val="center"/>
          </w:tcPr>
          <w:p>
            <w:pPr>
              <w:pStyle w:val="11"/>
            </w:pPr>
            <w:r>
              <w:t>327.80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327.80</w:t>
            </w:r>
          </w:p>
        </w:tc>
        <w:tc>
          <w:tcPr>
            <w:tcW w:w="1134" w:type="dxa"/>
            <w:vAlign w:val="center"/>
          </w:tcPr>
          <w:p>
            <w:pPr>
              <w:pStyle w:val="11"/>
            </w:pPr>
            <w:r>
              <w:t>327.80</w:t>
            </w:r>
          </w:p>
        </w:tc>
        <w:tc>
          <w:tcPr>
            <w:tcW w:w="1134" w:type="dxa"/>
            <w:vAlign w:val="center"/>
          </w:tcPr>
          <w:p>
            <w:pPr>
              <w:pStyle w:val="11"/>
            </w:pPr>
            <w:r>
              <w:t>327.80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165.32</w:t>
            </w:r>
          </w:p>
        </w:tc>
        <w:tc>
          <w:tcPr>
            <w:tcW w:w="1134" w:type="dxa"/>
            <w:vAlign w:val="center"/>
          </w:tcPr>
          <w:p>
            <w:pPr>
              <w:pStyle w:val="11"/>
            </w:pPr>
            <w:r>
              <w:t>165.32</w:t>
            </w:r>
          </w:p>
        </w:tc>
        <w:tc>
          <w:tcPr>
            <w:tcW w:w="1134" w:type="dxa"/>
            <w:vAlign w:val="center"/>
          </w:tcPr>
          <w:p>
            <w:pPr>
              <w:pStyle w:val="11"/>
            </w:pPr>
            <w:r>
              <w:t>165.32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162.48</w:t>
            </w:r>
          </w:p>
        </w:tc>
        <w:tc>
          <w:tcPr>
            <w:tcW w:w="1134" w:type="dxa"/>
            <w:vAlign w:val="center"/>
          </w:tcPr>
          <w:p>
            <w:pPr>
              <w:pStyle w:val="11"/>
            </w:pPr>
            <w:r>
              <w:t>162.48</w:t>
            </w:r>
          </w:p>
        </w:tc>
        <w:tc>
          <w:tcPr>
            <w:tcW w:w="1134" w:type="dxa"/>
            <w:vAlign w:val="center"/>
          </w:tcPr>
          <w:p>
            <w:pPr>
              <w:pStyle w:val="11"/>
            </w:pPr>
            <w:r>
              <w:t>162.48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106.17</w:t>
            </w:r>
          </w:p>
        </w:tc>
        <w:tc>
          <w:tcPr>
            <w:tcW w:w="1134" w:type="dxa"/>
            <w:vAlign w:val="center"/>
          </w:tcPr>
          <w:p>
            <w:pPr>
              <w:pStyle w:val="11"/>
            </w:pPr>
            <w:r>
              <w:t>106.17</w:t>
            </w:r>
          </w:p>
        </w:tc>
        <w:tc>
          <w:tcPr>
            <w:tcW w:w="1134" w:type="dxa"/>
            <w:vAlign w:val="center"/>
          </w:tcPr>
          <w:p>
            <w:pPr>
              <w:pStyle w:val="11"/>
            </w:pPr>
            <w:r>
              <w:t>106.17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106.17</w:t>
            </w:r>
          </w:p>
        </w:tc>
        <w:tc>
          <w:tcPr>
            <w:tcW w:w="1134" w:type="dxa"/>
            <w:vAlign w:val="center"/>
          </w:tcPr>
          <w:p>
            <w:pPr>
              <w:pStyle w:val="11"/>
            </w:pPr>
            <w:r>
              <w:t>106.17</w:t>
            </w:r>
          </w:p>
        </w:tc>
        <w:tc>
          <w:tcPr>
            <w:tcW w:w="1134" w:type="dxa"/>
            <w:vAlign w:val="center"/>
          </w:tcPr>
          <w:p>
            <w:pPr>
              <w:pStyle w:val="11"/>
            </w:pPr>
            <w:r>
              <w:t>106.17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106.17</w:t>
            </w:r>
          </w:p>
        </w:tc>
        <w:tc>
          <w:tcPr>
            <w:tcW w:w="1134" w:type="dxa"/>
            <w:vAlign w:val="center"/>
          </w:tcPr>
          <w:p>
            <w:pPr>
              <w:pStyle w:val="11"/>
            </w:pPr>
            <w:r>
              <w:t>106.17</w:t>
            </w:r>
          </w:p>
        </w:tc>
        <w:tc>
          <w:tcPr>
            <w:tcW w:w="1134" w:type="dxa"/>
            <w:vAlign w:val="center"/>
          </w:tcPr>
          <w:p>
            <w:pPr>
              <w:pStyle w:val="11"/>
            </w:pPr>
            <w:r>
              <w:t>106.17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162.41</w:t>
            </w:r>
          </w:p>
        </w:tc>
        <w:tc>
          <w:tcPr>
            <w:tcW w:w="1134" w:type="dxa"/>
            <w:vAlign w:val="center"/>
          </w:tcPr>
          <w:p>
            <w:pPr>
              <w:pStyle w:val="11"/>
            </w:pPr>
            <w:r>
              <w:t>162.41</w:t>
            </w:r>
          </w:p>
        </w:tc>
        <w:tc>
          <w:tcPr>
            <w:tcW w:w="1134" w:type="dxa"/>
            <w:vAlign w:val="center"/>
          </w:tcPr>
          <w:p>
            <w:pPr>
              <w:pStyle w:val="11"/>
            </w:pPr>
            <w:r>
              <w:t>162.41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162.41</w:t>
            </w:r>
          </w:p>
        </w:tc>
        <w:tc>
          <w:tcPr>
            <w:tcW w:w="1134" w:type="dxa"/>
            <w:vAlign w:val="center"/>
          </w:tcPr>
          <w:p>
            <w:pPr>
              <w:pStyle w:val="11"/>
            </w:pPr>
            <w:r>
              <w:t>162.41</w:t>
            </w:r>
          </w:p>
        </w:tc>
        <w:tc>
          <w:tcPr>
            <w:tcW w:w="1134" w:type="dxa"/>
            <w:vAlign w:val="center"/>
          </w:tcPr>
          <w:p>
            <w:pPr>
              <w:pStyle w:val="11"/>
            </w:pPr>
            <w:r>
              <w:t>162.41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162.41</w:t>
            </w:r>
          </w:p>
        </w:tc>
        <w:tc>
          <w:tcPr>
            <w:tcW w:w="1134" w:type="dxa"/>
            <w:vAlign w:val="center"/>
          </w:tcPr>
          <w:p>
            <w:pPr>
              <w:pStyle w:val="11"/>
            </w:pPr>
            <w:r>
              <w:t>162.41</w:t>
            </w:r>
          </w:p>
        </w:tc>
        <w:tc>
          <w:tcPr>
            <w:tcW w:w="1134" w:type="dxa"/>
            <w:vAlign w:val="center"/>
          </w:tcPr>
          <w:p>
            <w:pPr>
              <w:pStyle w:val="11"/>
            </w:pPr>
            <w:r>
              <w:t>162.41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2467.94</w:t>
            </w:r>
          </w:p>
        </w:tc>
        <w:tc>
          <w:tcPr>
            <w:tcW w:w="1361" w:type="dxa"/>
            <w:vAlign w:val="center"/>
          </w:tcPr>
          <w:p>
            <w:pPr>
              <w:pStyle w:val="15"/>
            </w:pPr>
            <w:r>
              <w:t>2157.74</w:t>
            </w:r>
          </w:p>
        </w:tc>
        <w:tc>
          <w:tcPr>
            <w:tcW w:w="1361" w:type="dxa"/>
            <w:vAlign w:val="center"/>
          </w:tcPr>
          <w:p>
            <w:pPr>
              <w:pStyle w:val="15"/>
            </w:pPr>
            <w:r>
              <w:t>310.20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1871.57</w:t>
            </w:r>
          </w:p>
        </w:tc>
        <w:tc>
          <w:tcPr>
            <w:tcW w:w="1361" w:type="dxa"/>
            <w:vAlign w:val="center"/>
          </w:tcPr>
          <w:p>
            <w:pPr>
              <w:pStyle w:val="11"/>
            </w:pPr>
            <w:r>
              <w:t>1561.37</w:t>
            </w:r>
          </w:p>
        </w:tc>
        <w:tc>
          <w:tcPr>
            <w:tcW w:w="1361" w:type="dxa"/>
            <w:vAlign w:val="center"/>
          </w:tcPr>
          <w:p>
            <w:pPr>
              <w:pStyle w:val="11"/>
            </w:pPr>
            <w:r>
              <w:t>310.20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1871.57</w:t>
            </w:r>
          </w:p>
        </w:tc>
        <w:tc>
          <w:tcPr>
            <w:tcW w:w="1361" w:type="dxa"/>
            <w:vAlign w:val="center"/>
          </w:tcPr>
          <w:p>
            <w:pPr>
              <w:pStyle w:val="11"/>
            </w:pPr>
            <w:r>
              <w:t>1561.37</w:t>
            </w:r>
          </w:p>
        </w:tc>
        <w:tc>
          <w:tcPr>
            <w:tcW w:w="1361" w:type="dxa"/>
            <w:vAlign w:val="center"/>
          </w:tcPr>
          <w:p>
            <w:pPr>
              <w:pStyle w:val="11"/>
            </w:pPr>
            <w:r>
              <w:t>310.20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1561.37</w:t>
            </w:r>
          </w:p>
        </w:tc>
        <w:tc>
          <w:tcPr>
            <w:tcW w:w="1361" w:type="dxa"/>
            <w:vAlign w:val="center"/>
          </w:tcPr>
          <w:p>
            <w:pPr>
              <w:pStyle w:val="11"/>
            </w:pPr>
            <w:r>
              <w:t>1561.37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2011102</w:t>
            </w:r>
          </w:p>
        </w:tc>
        <w:tc>
          <w:tcPr>
            <w:tcW w:w="4535" w:type="dxa"/>
            <w:vAlign w:val="center"/>
          </w:tcPr>
          <w:p>
            <w:pPr>
              <w:pStyle w:val="12"/>
            </w:pPr>
            <w:r>
              <w:t>一般行政管理事务</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2011199</w:t>
            </w:r>
          </w:p>
        </w:tc>
        <w:tc>
          <w:tcPr>
            <w:tcW w:w="4535" w:type="dxa"/>
            <w:vAlign w:val="center"/>
          </w:tcPr>
          <w:p>
            <w:pPr>
              <w:pStyle w:val="12"/>
            </w:pPr>
            <w:r>
              <w:t>其他纪检监察事务支出</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327.80</w:t>
            </w:r>
          </w:p>
        </w:tc>
        <w:tc>
          <w:tcPr>
            <w:tcW w:w="1361" w:type="dxa"/>
            <w:vAlign w:val="center"/>
          </w:tcPr>
          <w:p>
            <w:pPr>
              <w:pStyle w:val="11"/>
            </w:pPr>
            <w:r>
              <w:t>327.80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327.80</w:t>
            </w:r>
          </w:p>
        </w:tc>
        <w:tc>
          <w:tcPr>
            <w:tcW w:w="1361" w:type="dxa"/>
            <w:vAlign w:val="center"/>
          </w:tcPr>
          <w:p>
            <w:pPr>
              <w:pStyle w:val="11"/>
            </w:pPr>
            <w:r>
              <w:t>327.80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165.32</w:t>
            </w:r>
          </w:p>
        </w:tc>
        <w:tc>
          <w:tcPr>
            <w:tcW w:w="1361" w:type="dxa"/>
            <w:vAlign w:val="center"/>
          </w:tcPr>
          <w:p>
            <w:pPr>
              <w:pStyle w:val="11"/>
            </w:pPr>
            <w:r>
              <w:t>165.32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162.48</w:t>
            </w:r>
          </w:p>
        </w:tc>
        <w:tc>
          <w:tcPr>
            <w:tcW w:w="1361" w:type="dxa"/>
            <w:vAlign w:val="center"/>
          </w:tcPr>
          <w:p>
            <w:pPr>
              <w:pStyle w:val="11"/>
            </w:pPr>
            <w:r>
              <w:t>162.48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106.17</w:t>
            </w:r>
          </w:p>
        </w:tc>
        <w:tc>
          <w:tcPr>
            <w:tcW w:w="1361" w:type="dxa"/>
            <w:vAlign w:val="center"/>
          </w:tcPr>
          <w:p>
            <w:pPr>
              <w:pStyle w:val="11"/>
            </w:pPr>
            <w:r>
              <w:t>106.17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106.17</w:t>
            </w:r>
          </w:p>
        </w:tc>
        <w:tc>
          <w:tcPr>
            <w:tcW w:w="1361" w:type="dxa"/>
            <w:vAlign w:val="center"/>
          </w:tcPr>
          <w:p>
            <w:pPr>
              <w:pStyle w:val="11"/>
            </w:pPr>
            <w:r>
              <w:t>106.17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106.17</w:t>
            </w:r>
          </w:p>
        </w:tc>
        <w:tc>
          <w:tcPr>
            <w:tcW w:w="1361" w:type="dxa"/>
            <w:vAlign w:val="center"/>
          </w:tcPr>
          <w:p>
            <w:pPr>
              <w:pStyle w:val="11"/>
            </w:pPr>
            <w:r>
              <w:t>106.17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162.41</w:t>
            </w:r>
          </w:p>
        </w:tc>
        <w:tc>
          <w:tcPr>
            <w:tcW w:w="1361" w:type="dxa"/>
            <w:vAlign w:val="center"/>
          </w:tcPr>
          <w:p>
            <w:pPr>
              <w:pStyle w:val="11"/>
            </w:pPr>
            <w:r>
              <w:t>162.41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162.41</w:t>
            </w:r>
          </w:p>
        </w:tc>
        <w:tc>
          <w:tcPr>
            <w:tcW w:w="1361" w:type="dxa"/>
            <w:vAlign w:val="center"/>
          </w:tcPr>
          <w:p>
            <w:pPr>
              <w:pStyle w:val="11"/>
            </w:pPr>
            <w:r>
              <w:t>162.41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162.41</w:t>
            </w:r>
          </w:p>
        </w:tc>
        <w:tc>
          <w:tcPr>
            <w:tcW w:w="1361" w:type="dxa"/>
            <w:vAlign w:val="center"/>
          </w:tcPr>
          <w:p>
            <w:pPr>
              <w:pStyle w:val="11"/>
            </w:pPr>
            <w:r>
              <w:t>162.41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2467.94</w:t>
            </w:r>
          </w:p>
        </w:tc>
        <w:tc>
          <w:tcPr>
            <w:tcW w:w="3402" w:type="dxa"/>
            <w:vAlign w:val="center"/>
          </w:tcPr>
          <w:p>
            <w:pPr>
              <w:pStyle w:val="12"/>
            </w:pPr>
            <w:r>
              <w:t>一、一般公共服务支出</w:t>
            </w:r>
          </w:p>
        </w:tc>
        <w:tc>
          <w:tcPr>
            <w:tcW w:w="1474" w:type="dxa"/>
            <w:vAlign w:val="center"/>
          </w:tcPr>
          <w:p>
            <w:pPr>
              <w:pStyle w:val="11"/>
            </w:pPr>
            <w:r>
              <w:t>1871.57</w:t>
            </w:r>
          </w:p>
        </w:tc>
        <w:tc>
          <w:tcPr>
            <w:tcW w:w="1474" w:type="dxa"/>
            <w:vAlign w:val="center"/>
          </w:tcPr>
          <w:p>
            <w:pPr>
              <w:pStyle w:val="11"/>
            </w:pPr>
            <w:r>
              <w:t>1871.57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327.80</w:t>
            </w:r>
          </w:p>
        </w:tc>
        <w:tc>
          <w:tcPr>
            <w:tcW w:w="1474" w:type="dxa"/>
            <w:vAlign w:val="center"/>
          </w:tcPr>
          <w:p>
            <w:pPr>
              <w:pStyle w:val="11"/>
            </w:pPr>
            <w:r>
              <w:t>327.80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106.17</w:t>
            </w:r>
          </w:p>
        </w:tc>
        <w:tc>
          <w:tcPr>
            <w:tcW w:w="1474" w:type="dxa"/>
            <w:vAlign w:val="center"/>
          </w:tcPr>
          <w:p>
            <w:pPr>
              <w:pStyle w:val="11"/>
            </w:pPr>
            <w:r>
              <w:t>106.17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162.41</w:t>
            </w:r>
          </w:p>
        </w:tc>
        <w:tc>
          <w:tcPr>
            <w:tcW w:w="1474" w:type="dxa"/>
            <w:vAlign w:val="center"/>
          </w:tcPr>
          <w:p>
            <w:pPr>
              <w:pStyle w:val="11"/>
            </w:pPr>
            <w:r>
              <w:t>162.41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2467.94</w:t>
            </w:r>
          </w:p>
        </w:tc>
        <w:tc>
          <w:tcPr>
            <w:tcW w:w="3402" w:type="dxa"/>
            <w:vAlign w:val="center"/>
          </w:tcPr>
          <w:p>
            <w:pPr>
              <w:pStyle w:val="14"/>
            </w:pPr>
            <w:r>
              <w:t>本年支出合计</w:t>
            </w:r>
          </w:p>
        </w:tc>
        <w:tc>
          <w:tcPr>
            <w:tcW w:w="1474" w:type="dxa"/>
            <w:vAlign w:val="center"/>
          </w:tcPr>
          <w:p>
            <w:pPr>
              <w:pStyle w:val="15"/>
            </w:pPr>
            <w:r>
              <w:t>2467.94</w:t>
            </w:r>
          </w:p>
        </w:tc>
        <w:tc>
          <w:tcPr>
            <w:tcW w:w="1474" w:type="dxa"/>
            <w:vAlign w:val="center"/>
          </w:tcPr>
          <w:p>
            <w:pPr>
              <w:pStyle w:val="15"/>
            </w:pPr>
            <w:r>
              <w:t>2467.94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2467.94</w:t>
            </w:r>
          </w:p>
        </w:tc>
        <w:tc>
          <w:tcPr>
            <w:tcW w:w="3402" w:type="dxa"/>
            <w:vAlign w:val="center"/>
          </w:tcPr>
          <w:p>
            <w:pPr>
              <w:pStyle w:val="14"/>
            </w:pPr>
            <w:r>
              <w:t>支出总计</w:t>
            </w:r>
          </w:p>
        </w:tc>
        <w:tc>
          <w:tcPr>
            <w:tcW w:w="1474" w:type="dxa"/>
            <w:vAlign w:val="center"/>
          </w:tcPr>
          <w:p>
            <w:pPr>
              <w:pStyle w:val="15"/>
            </w:pPr>
            <w:r>
              <w:t>2467.94</w:t>
            </w:r>
          </w:p>
        </w:tc>
        <w:tc>
          <w:tcPr>
            <w:tcW w:w="1474" w:type="dxa"/>
            <w:vAlign w:val="center"/>
          </w:tcPr>
          <w:p>
            <w:pPr>
              <w:pStyle w:val="15"/>
            </w:pPr>
            <w:r>
              <w:t>2467.94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2467.94</w:t>
            </w:r>
          </w:p>
        </w:tc>
        <w:tc>
          <w:tcPr>
            <w:tcW w:w="2551" w:type="dxa"/>
            <w:vAlign w:val="center"/>
          </w:tcPr>
          <w:p>
            <w:pPr>
              <w:pStyle w:val="15"/>
            </w:pPr>
            <w:r>
              <w:t>2157.74</w:t>
            </w:r>
          </w:p>
        </w:tc>
        <w:tc>
          <w:tcPr>
            <w:tcW w:w="2551" w:type="dxa"/>
            <w:vAlign w:val="center"/>
          </w:tcPr>
          <w:p>
            <w:pPr>
              <w:pStyle w:val="15"/>
            </w:pPr>
            <w:r>
              <w:t>310.20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1871.57</w:t>
            </w:r>
          </w:p>
        </w:tc>
        <w:tc>
          <w:tcPr>
            <w:tcW w:w="2551" w:type="dxa"/>
            <w:vAlign w:val="center"/>
          </w:tcPr>
          <w:p>
            <w:pPr>
              <w:pStyle w:val="11"/>
            </w:pPr>
            <w:r>
              <w:t>1561.37</w:t>
            </w:r>
          </w:p>
        </w:tc>
        <w:tc>
          <w:tcPr>
            <w:tcW w:w="2551" w:type="dxa"/>
            <w:vAlign w:val="center"/>
          </w:tcPr>
          <w:p>
            <w:pPr>
              <w:pStyle w:val="11"/>
            </w:pPr>
            <w:r>
              <w:t>310.20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1871.57</w:t>
            </w:r>
          </w:p>
        </w:tc>
        <w:tc>
          <w:tcPr>
            <w:tcW w:w="2551" w:type="dxa"/>
            <w:vAlign w:val="center"/>
          </w:tcPr>
          <w:p>
            <w:pPr>
              <w:pStyle w:val="11"/>
            </w:pPr>
            <w:r>
              <w:t>1561.37</w:t>
            </w:r>
          </w:p>
        </w:tc>
        <w:tc>
          <w:tcPr>
            <w:tcW w:w="2551" w:type="dxa"/>
            <w:vAlign w:val="center"/>
          </w:tcPr>
          <w:p>
            <w:pPr>
              <w:pStyle w:val="11"/>
            </w:pPr>
            <w:r>
              <w:t>310.20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1561.37</w:t>
            </w:r>
          </w:p>
        </w:tc>
        <w:tc>
          <w:tcPr>
            <w:tcW w:w="2551" w:type="dxa"/>
            <w:vAlign w:val="center"/>
          </w:tcPr>
          <w:p>
            <w:pPr>
              <w:pStyle w:val="11"/>
            </w:pPr>
            <w:r>
              <w:t>1561.37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2011102</w:t>
            </w:r>
          </w:p>
        </w:tc>
        <w:tc>
          <w:tcPr>
            <w:tcW w:w="4535" w:type="dxa"/>
            <w:vAlign w:val="center"/>
          </w:tcPr>
          <w:p>
            <w:pPr>
              <w:pStyle w:val="12"/>
            </w:pPr>
            <w:r>
              <w:t>一般行政管理事务</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2011199</w:t>
            </w:r>
          </w:p>
        </w:tc>
        <w:tc>
          <w:tcPr>
            <w:tcW w:w="4535" w:type="dxa"/>
            <w:vAlign w:val="center"/>
          </w:tcPr>
          <w:p>
            <w:pPr>
              <w:pStyle w:val="12"/>
            </w:pPr>
            <w:r>
              <w:t>其他纪检监察事务支出</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327.80</w:t>
            </w:r>
          </w:p>
        </w:tc>
        <w:tc>
          <w:tcPr>
            <w:tcW w:w="2551" w:type="dxa"/>
            <w:vAlign w:val="center"/>
          </w:tcPr>
          <w:p>
            <w:pPr>
              <w:pStyle w:val="11"/>
            </w:pPr>
            <w:r>
              <w:t>327.80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327.80</w:t>
            </w:r>
          </w:p>
        </w:tc>
        <w:tc>
          <w:tcPr>
            <w:tcW w:w="2551" w:type="dxa"/>
            <w:vAlign w:val="center"/>
          </w:tcPr>
          <w:p>
            <w:pPr>
              <w:pStyle w:val="11"/>
            </w:pPr>
            <w:r>
              <w:t>327.80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165.32</w:t>
            </w:r>
          </w:p>
        </w:tc>
        <w:tc>
          <w:tcPr>
            <w:tcW w:w="2551" w:type="dxa"/>
            <w:vAlign w:val="center"/>
          </w:tcPr>
          <w:p>
            <w:pPr>
              <w:pStyle w:val="11"/>
            </w:pPr>
            <w:r>
              <w:t>165.32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162.48</w:t>
            </w:r>
          </w:p>
        </w:tc>
        <w:tc>
          <w:tcPr>
            <w:tcW w:w="2551" w:type="dxa"/>
            <w:vAlign w:val="center"/>
          </w:tcPr>
          <w:p>
            <w:pPr>
              <w:pStyle w:val="11"/>
            </w:pPr>
            <w:r>
              <w:t>162.48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106.17</w:t>
            </w:r>
          </w:p>
        </w:tc>
        <w:tc>
          <w:tcPr>
            <w:tcW w:w="2551" w:type="dxa"/>
            <w:vAlign w:val="center"/>
          </w:tcPr>
          <w:p>
            <w:pPr>
              <w:pStyle w:val="11"/>
            </w:pPr>
            <w:r>
              <w:t>106.17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106.17</w:t>
            </w:r>
          </w:p>
        </w:tc>
        <w:tc>
          <w:tcPr>
            <w:tcW w:w="2551" w:type="dxa"/>
            <w:vAlign w:val="center"/>
          </w:tcPr>
          <w:p>
            <w:pPr>
              <w:pStyle w:val="11"/>
            </w:pPr>
            <w:r>
              <w:t>106.17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106.17</w:t>
            </w:r>
          </w:p>
        </w:tc>
        <w:tc>
          <w:tcPr>
            <w:tcW w:w="2551" w:type="dxa"/>
            <w:vAlign w:val="center"/>
          </w:tcPr>
          <w:p>
            <w:pPr>
              <w:pStyle w:val="11"/>
            </w:pPr>
            <w:r>
              <w:t>106.17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162.41</w:t>
            </w:r>
          </w:p>
        </w:tc>
        <w:tc>
          <w:tcPr>
            <w:tcW w:w="2551" w:type="dxa"/>
            <w:vAlign w:val="center"/>
          </w:tcPr>
          <w:p>
            <w:pPr>
              <w:pStyle w:val="11"/>
            </w:pPr>
            <w:r>
              <w:t>162.41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162.41</w:t>
            </w:r>
          </w:p>
        </w:tc>
        <w:tc>
          <w:tcPr>
            <w:tcW w:w="2551" w:type="dxa"/>
            <w:vAlign w:val="center"/>
          </w:tcPr>
          <w:p>
            <w:pPr>
              <w:pStyle w:val="11"/>
            </w:pPr>
            <w:r>
              <w:t>162.41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162.41</w:t>
            </w:r>
          </w:p>
        </w:tc>
        <w:tc>
          <w:tcPr>
            <w:tcW w:w="2551" w:type="dxa"/>
            <w:vAlign w:val="center"/>
          </w:tcPr>
          <w:p>
            <w:pPr>
              <w:pStyle w:val="11"/>
            </w:pPr>
            <w:r>
              <w:t>162.41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2157.74</w:t>
            </w:r>
          </w:p>
        </w:tc>
        <w:tc>
          <w:tcPr>
            <w:tcW w:w="2551" w:type="dxa"/>
            <w:vAlign w:val="center"/>
          </w:tcPr>
          <w:p>
            <w:pPr>
              <w:pStyle w:val="15"/>
            </w:pPr>
            <w:r>
              <w:t>1878.29</w:t>
            </w:r>
          </w:p>
        </w:tc>
        <w:tc>
          <w:tcPr>
            <w:tcW w:w="2551" w:type="dxa"/>
            <w:vAlign w:val="center"/>
          </w:tcPr>
          <w:p>
            <w:pPr>
              <w:pStyle w:val="15"/>
            </w:pPr>
            <w:r>
              <w:t>279.46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1714.83</w:t>
            </w:r>
          </w:p>
        </w:tc>
        <w:tc>
          <w:tcPr>
            <w:tcW w:w="2551" w:type="dxa"/>
            <w:vAlign w:val="center"/>
          </w:tcPr>
          <w:p>
            <w:pPr>
              <w:pStyle w:val="11"/>
            </w:pPr>
            <w:r>
              <w:t>1714.83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458.21</w:t>
            </w:r>
          </w:p>
        </w:tc>
        <w:tc>
          <w:tcPr>
            <w:tcW w:w="2551" w:type="dxa"/>
            <w:vAlign w:val="center"/>
          </w:tcPr>
          <w:p>
            <w:pPr>
              <w:pStyle w:val="11"/>
            </w:pPr>
            <w:r>
              <w:t>458.21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384.32</w:t>
            </w:r>
          </w:p>
        </w:tc>
        <w:tc>
          <w:tcPr>
            <w:tcW w:w="2551" w:type="dxa"/>
            <w:vAlign w:val="center"/>
          </w:tcPr>
          <w:p>
            <w:pPr>
              <w:pStyle w:val="11"/>
            </w:pPr>
            <w:r>
              <w:t>384.32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394.44</w:t>
            </w:r>
          </w:p>
        </w:tc>
        <w:tc>
          <w:tcPr>
            <w:tcW w:w="2551" w:type="dxa"/>
            <w:vAlign w:val="center"/>
          </w:tcPr>
          <w:p>
            <w:pPr>
              <w:pStyle w:val="11"/>
            </w:pPr>
            <w:r>
              <w:t>394.44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42.60</w:t>
            </w:r>
          </w:p>
        </w:tc>
        <w:tc>
          <w:tcPr>
            <w:tcW w:w="2551" w:type="dxa"/>
            <w:vAlign w:val="center"/>
          </w:tcPr>
          <w:p>
            <w:pPr>
              <w:pStyle w:val="11"/>
            </w:pPr>
            <w:r>
              <w:t>42.60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162.48</w:t>
            </w:r>
          </w:p>
        </w:tc>
        <w:tc>
          <w:tcPr>
            <w:tcW w:w="2551" w:type="dxa"/>
            <w:vAlign w:val="center"/>
          </w:tcPr>
          <w:p>
            <w:pPr>
              <w:pStyle w:val="11"/>
            </w:pPr>
            <w:r>
              <w:t>162.48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54.67</w:t>
            </w:r>
          </w:p>
        </w:tc>
        <w:tc>
          <w:tcPr>
            <w:tcW w:w="2551" w:type="dxa"/>
            <w:vAlign w:val="center"/>
          </w:tcPr>
          <w:p>
            <w:pPr>
              <w:pStyle w:val="11"/>
            </w:pPr>
            <w:r>
              <w:t>54.67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51.50</w:t>
            </w:r>
          </w:p>
        </w:tc>
        <w:tc>
          <w:tcPr>
            <w:tcW w:w="2551" w:type="dxa"/>
            <w:vAlign w:val="center"/>
          </w:tcPr>
          <w:p>
            <w:pPr>
              <w:pStyle w:val="11"/>
            </w:pPr>
            <w:r>
              <w:t>51.50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4.21</w:t>
            </w:r>
          </w:p>
        </w:tc>
        <w:tc>
          <w:tcPr>
            <w:tcW w:w="2551" w:type="dxa"/>
            <w:vAlign w:val="center"/>
          </w:tcPr>
          <w:p>
            <w:pPr>
              <w:pStyle w:val="11"/>
            </w:pPr>
            <w:r>
              <w:t>4.21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162.41</w:t>
            </w:r>
          </w:p>
        </w:tc>
        <w:tc>
          <w:tcPr>
            <w:tcW w:w="2551" w:type="dxa"/>
            <w:vAlign w:val="center"/>
          </w:tcPr>
          <w:p>
            <w:pPr>
              <w:pStyle w:val="11"/>
            </w:pPr>
            <w:r>
              <w:t>162.41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279.46</w:t>
            </w:r>
          </w:p>
        </w:tc>
        <w:tc>
          <w:tcPr>
            <w:tcW w:w="2551" w:type="dxa"/>
            <w:vAlign w:val="center"/>
          </w:tcPr>
          <w:p>
            <w:pPr>
              <w:pStyle w:val="11"/>
            </w:pPr>
          </w:p>
        </w:tc>
        <w:tc>
          <w:tcPr>
            <w:tcW w:w="2551" w:type="dxa"/>
            <w:vAlign w:val="center"/>
          </w:tcPr>
          <w:p>
            <w:pPr>
              <w:pStyle w:val="11"/>
            </w:pPr>
            <w:r>
              <w:t>279.46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55.60</w:t>
            </w:r>
          </w:p>
        </w:tc>
        <w:tc>
          <w:tcPr>
            <w:tcW w:w="2551" w:type="dxa"/>
            <w:vAlign w:val="center"/>
          </w:tcPr>
          <w:p>
            <w:pPr>
              <w:pStyle w:val="11"/>
            </w:pPr>
          </w:p>
        </w:tc>
        <w:tc>
          <w:tcPr>
            <w:tcW w:w="2551" w:type="dxa"/>
            <w:vAlign w:val="center"/>
          </w:tcPr>
          <w:p>
            <w:pPr>
              <w:pStyle w:val="11"/>
            </w:pPr>
            <w:r>
              <w:t>55.60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49.84</w:t>
            </w:r>
          </w:p>
        </w:tc>
        <w:tc>
          <w:tcPr>
            <w:tcW w:w="2551" w:type="dxa"/>
            <w:vAlign w:val="center"/>
          </w:tcPr>
          <w:p>
            <w:pPr>
              <w:pStyle w:val="11"/>
            </w:pPr>
          </w:p>
        </w:tc>
        <w:tc>
          <w:tcPr>
            <w:tcW w:w="2551" w:type="dxa"/>
            <w:vAlign w:val="center"/>
          </w:tcPr>
          <w:p>
            <w:pPr>
              <w:pStyle w:val="11"/>
            </w:pPr>
            <w:r>
              <w:t>49.84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70.69</w:t>
            </w:r>
          </w:p>
        </w:tc>
        <w:tc>
          <w:tcPr>
            <w:tcW w:w="2551" w:type="dxa"/>
            <w:vAlign w:val="center"/>
          </w:tcPr>
          <w:p>
            <w:pPr>
              <w:pStyle w:val="11"/>
            </w:pPr>
          </w:p>
        </w:tc>
        <w:tc>
          <w:tcPr>
            <w:tcW w:w="2551" w:type="dxa"/>
            <w:vAlign w:val="center"/>
          </w:tcPr>
          <w:p>
            <w:pPr>
              <w:pStyle w:val="11"/>
            </w:pPr>
            <w:r>
              <w:t>70.69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9.29</w:t>
            </w:r>
          </w:p>
        </w:tc>
        <w:tc>
          <w:tcPr>
            <w:tcW w:w="2551" w:type="dxa"/>
            <w:vAlign w:val="center"/>
          </w:tcPr>
          <w:p>
            <w:pPr>
              <w:pStyle w:val="11"/>
            </w:pPr>
          </w:p>
        </w:tc>
        <w:tc>
          <w:tcPr>
            <w:tcW w:w="2551" w:type="dxa"/>
            <w:vAlign w:val="center"/>
          </w:tcPr>
          <w:p>
            <w:pPr>
              <w:pStyle w:val="11"/>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59.94</w:t>
            </w:r>
          </w:p>
        </w:tc>
        <w:tc>
          <w:tcPr>
            <w:tcW w:w="2551" w:type="dxa"/>
            <w:vAlign w:val="center"/>
          </w:tcPr>
          <w:p>
            <w:pPr>
              <w:pStyle w:val="11"/>
            </w:pPr>
          </w:p>
        </w:tc>
        <w:tc>
          <w:tcPr>
            <w:tcW w:w="2551" w:type="dxa"/>
            <w:vAlign w:val="center"/>
          </w:tcPr>
          <w:p>
            <w:pPr>
              <w:pStyle w:val="11"/>
            </w:pPr>
            <w:r>
              <w:t>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18.60</w:t>
            </w:r>
          </w:p>
        </w:tc>
        <w:tc>
          <w:tcPr>
            <w:tcW w:w="2551" w:type="dxa"/>
            <w:vAlign w:val="center"/>
          </w:tcPr>
          <w:p>
            <w:pPr>
              <w:pStyle w:val="11"/>
            </w:pPr>
          </w:p>
        </w:tc>
        <w:tc>
          <w:tcPr>
            <w:tcW w:w="2551" w:type="dxa"/>
            <w:vAlign w:val="center"/>
          </w:tcPr>
          <w:p>
            <w:pPr>
              <w:pStyle w:val="11"/>
            </w:pPr>
            <w:r>
              <w:t>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163.46</w:t>
            </w:r>
          </w:p>
        </w:tc>
        <w:tc>
          <w:tcPr>
            <w:tcW w:w="2551" w:type="dxa"/>
            <w:vAlign w:val="center"/>
          </w:tcPr>
          <w:p>
            <w:pPr>
              <w:pStyle w:val="11"/>
            </w:pPr>
            <w:r>
              <w:t>163.46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163.46</w:t>
            </w:r>
          </w:p>
        </w:tc>
        <w:tc>
          <w:tcPr>
            <w:tcW w:w="2551" w:type="dxa"/>
            <w:vAlign w:val="center"/>
          </w:tcPr>
          <w:p>
            <w:pPr>
              <w:pStyle w:val="11"/>
            </w:pPr>
            <w:r>
              <w:t>163.46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29.00</w:t>
            </w:r>
          </w:p>
        </w:tc>
        <w:tc>
          <w:tcPr>
            <w:tcW w:w="2381" w:type="dxa"/>
            <w:vAlign w:val="center"/>
          </w:tcPr>
          <w:p>
            <w:pPr>
              <w:pStyle w:val="15"/>
            </w:pPr>
            <w:r>
              <w:t>29.00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29.00</w:t>
            </w:r>
          </w:p>
        </w:tc>
        <w:tc>
          <w:tcPr>
            <w:tcW w:w="2381" w:type="dxa"/>
            <w:vAlign w:val="center"/>
          </w:tcPr>
          <w:p>
            <w:pPr>
              <w:pStyle w:val="11"/>
            </w:pPr>
            <w:r>
              <w:t>29.00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27.00</w:t>
            </w:r>
          </w:p>
        </w:tc>
        <w:tc>
          <w:tcPr>
            <w:tcW w:w="2381" w:type="dxa"/>
            <w:vAlign w:val="center"/>
          </w:tcPr>
          <w:p>
            <w:pPr>
              <w:pStyle w:val="11"/>
            </w:pPr>
            <w:r>
              <w:t>27.00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27.00</w:t>
            </w:r>
          </w:p>
        </w:tc>
        <w:tc>
          <w:tcPr>
            <w:tcW w:w="2381" w:type="dxa"/>
            <w:vAlign w:val="center"/>
          </w:tcPr>
          <w:p>
            <w:pPr>
              <w:pStyle w:val="11"/>
            </w:pPr>
            <w:r>
              <w:t>27.00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中国共产党石家庄市鹿泉区纪律检查委员会本级2026年单位预算信息公开情况说明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按照《中华人民共和国预算法》、《地方预决算公开操作规程》和《关于进一步推进预算公开工作的实施意见》规定，现将中国共产党石家庄市鹿泉区纪律检查委员会本级2026年单位预算公开如下：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p>
    <w:p>
      <w:pPr>
        <w:pStyle w:val="17"/>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17"/>
      </w:pPr>
      <w:r>
        <w:t>（三）支持配合巡视、巡察工作。承担巡视、巡察整改日常监督责任，做好巡视、巡察整改督查督办工作，依规依纪依法处置巡视、巡察移交的反映领导干部问题线索。</w:t>
      </w:r>
    </w:p>
    <w:p>
      <w:pPr>
        <w:pStyle w:val="17"/>
      </w:pPr>
      <w:r>
        <w:t>（四）负责全区监察工作。贯彻落实党中央和省委、市委、区委关于监察工作的决策部署，维护宪法法律，依法对区委管理的行使公权力的公职人员进行监察，调查职务违法和职务犯罪，开展廉政建设和反腐败工作。</w:t>
      </w:r>
    </w:p>
    <w:p>
      <w:pPr>
        <w:pStyle w:val="17"/>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17"/>
      </w:pPr>
      <w:r>
        <w:t>（六）负责组织协调全面从严治党、党风廉政建设和反腐败宣传教育工作。</w:t>
      </w:r>
    </w:p>
    <w:p>
      <w:pPr>
        <w:pStyle w:val="17"/>
      </w:pPr>
      <w:r>
        <w:t>（七）负责综合分析全面从严治党、党风廉政建设和反腐败工作情况，对纪检监察工作重要理论及实践问题进行调查研究；制定或者修改全区纪检监察制度规定，参与起草有关规范性文件。</w:t>
      </w:r>
    </w:p>
    <w:p>
      <w:pPr>
        <w:pStyle w:val="17"/>
      </w:pPr>
      <w:r>
        <w:t>（八）负责组织协调全区反腐败追逃追赃和防逃工作，督促有关单位做好相关工作。</w:t>
      </w:r>
    </w:p>
    <w:p>
      <w:pPr>
        <w:pStyle w:val="17"/>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17"/>
      </w:pPr>
      <w:r>
        <w:t>（十）完成市纪委监委、区委交办的其他任务。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中国共产党石家庄市鹿泉区纪律检查委员会本级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firstLineChars="200"/>
        <w:jc w:val="left"/>
        <w:outlineLvl w:val="5"/>
      </w:pPr>
      <w:bookmarkStart w:id="1" w:name="_GoBack"/>
      <w:bookmarkEnd w:id="1"/>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2467.94万元，其中：一般公共预算收入2467.94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石家庄市鹿泉区纪律检查委员会本级年度单位预算中支出预算的总体情况。2026年支出预算2467.94万元，其中基本支出2157.74万元，包括人员经费1878.29万元和日常公用经费279.46万元；项目支出310.20万元，主要为纪检监察业务费、巡视巡察专项经费、乡镇纪检业务费；预计下年使用的单位资金结余0.00万元。委托业务费共计安排0.00万元。</w:t>
      </w:r>
    </w:p>
    <w:p>
      <w:pPr>
        <w:pStyle w:val="18"/>
      </w:pPr>
      <w:r>
        <w:t>3、比上年增减情况</w:t>
      </w:r>
    </w:p>
    <w:p>
      <w:pPr>
        <w:pStyle w:val="18"/>
      </w:pPr>
      <w:r>
        <w:t>2026年预算收支安排2467.94万元，较2025年预算增加14.13万元，其中：基本支出增加180.93万元，主要为人员工资调整、社保缴费基数调等，基本支出增加。项目支出减少166.80万元，主要为主要为纪检监察业务费，巡视巡察专项经费、乡镇纪检业务费减少，巡察信息化建设费用、外查办案点费用今年未列预算。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2026年，我单位机关运行经费共计安排279.46万元，主要用于日常维修、办公用房水电费、办公用房取暖费、办公用房物业管理费等日常运行支出。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29.00万元，其中因公出国（境）费0.00万元；公务用车购置及运维费27.00万元（其中：公务用车购置费为0.00万元，公务用车运维费27.00万元)；公务接待费2.00万元。与2025年相比增加0.00万元，与2025年相比持平，无增减变化。</w:t>
      </w:r>
    </w:p>
    <w:p>
      <w:pPr>
        <w:spacing w:before="10" w:after="10" w:line="240" w:lineRule="auto"/>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val="en-US" w:eastAsia="zh-CN"/>
        </w:rPr>
        <w:t xml:space="preserve">                                                      </w:t>
      </w:r>
    </w:p>
    <w:p>
      <w:pPr>
        <w:numPr>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1、2026年纪检监察业务费绩效目标表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13011026P00151710007J</w:t>
            </w:r>
          </w:p>
        </w:tc>
        <w:tc>
          <w:tcPr>
            <w:tcW w:w="2835" w:type="dxa"/>
            <w:vAlign w:val="center"/>
          </w:tcPr>
          <w:p>
            <w:pPr>
              <w:pStyle w:val="10"/>
            </w:pPr>
            <w:r>
              <w:t>项目名称</w:t>
            </w:r>
          </w:p>
        </w:tc>
        <w:tc>
          <w:tcPr>
            <w:tcW w:w="6095" w:type="dxa"/>
            <w:gridSpan w:val="3"/>
            <w:vAlign w:val="center"/>
          </w:tcPr>
          <w:p>
            <w:pPr>
              <w:pStyle w:val="12"/>
            </w:pPr>
            <w:r>
              <w:t>2026年纪检监察业务费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ab/>
            </w:r>
            <w:r>
              <w:tab/>
            </w:r>
          </w:p>
          <w:p>
            <w:pPr>
              <w:pStyle w:val="12"/>
            </w:pPr>
            <w:r>
              <w:tab/>
            </w:r>
            <w:r>
              <w:tab/>
            </w:r>
          </w:p>
          <w:p>
            <w:pPr>
              <w:pStyle w:val="12"/>
            </w:pPr>
            <w:r>
              <w:t>保障96人办案业务经费，维护党纪国法尊严，惩处腐败分子，有效遏制腐败现象。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1.保障96人办案业务经费，维护党纪国法尊严，惩处腐败分子，有效遏制腐败现象。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经费保障人数</w:t>
            </w:r>
          </w:p>
        </w:tc>
        <w:tc>
          <w:tcPr>
            <w:tcW w:w="5386" w:type="dxa"/>
            <w:vAlign w:val="center"/>
          </w:tcPr>
          <w:p>
            <w:pPr>
              <w:pStyle w:val="12"/>
            </w:pPr>
            <w:r>
              <w:t>经费保障人数</w:t>
            </w:r>
          </w:p>
        </w:tc>
        <w:tc>
          <w:tcPr>
            <w:tcW w:w="2268" w:type="dxa"/>
            <w:vAlign w:val="center"/>
          </w:tcPr>
          <w:p>
            <w:pPr>
              <w:pStyle w:val="12"/>
            </w:pPr>
            <w:r>
              <w:t>≥96人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案件办结时限</w:t>
            </w:r>
          </w:p>
        </w:tc>
        <w:tc>
          <w:tcPr>
            <w:tcW w:w="5386" w:type="dxa"/>
            <w:vAlign w:val="center"/>
          </w:tcPr>
          <w:p>
            <w:pPr>
              <w:pStyle w:val="12"/>
            </w:pPr>
            <w:r>
              <w:t>案件办结时限</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预算资金执行率</w:t>
            </w:r>
          </w:p>
        </w:tc>
        <w:tc>
          <w:tcPr>
            <w:tcW w:w="5386" w:type="dxa"/>
            <w:vAlign w:val="center"/>
          </w:tcPr>
          <w:p>
            <w:pPr>
              <w:pStyle w:val="12"/>
            </w:pPr>
            <w:r>
              <w:t>预算资金执行率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省内办案伙食标准</w:t>
            </w:r>
          </w:p>
        </w:tc>
        <w:tc>
          <w:tcPr>
            <w:tcW w:w="5386" w:type="dxa"/>
            <w:vAlign w:val="center"/>
          </w:tcPr>
          <w:p>
            <w:pPr>
              <w:pStyle w:val="12"/>
            </w:pPr>
            <w:r>
              <w:t>省内办案伙食标准</w:t>
            </w:r>
          </w:p>
        </w:tc>
        <w:tc>
          <w:tcPr>
            <w:tcW w:w="2268" w:type="dxa"/>
            <w:vAlign w:val="center"/>
          </w:tcPr>
          <w:p>
            <w:pPr>
              <w:pStyle w:val="12"/>
            </w:pPr>
            <w:r>
              <w:t>≤100元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省内办案住宿标准</w:t>
            </w:r>
          </w:p>
        </w:tc>
        <w:tc>
          <w:tcPr>
            <w:tcW w:w="5386" w:type="dxa"/>
            <w:vAlign w:val="center"/>
          </w:tcPr>
          <w:p>
            <w:pPr>
              <w:pStyle w:val="12"/>
            </w:pPr>
            <w:r>
              <w:t>省内办案住宿标准</w:t>
            </w:r>
          </w:p>
        </w:tc>
        <w:tc>
          <w:tcPr>
            <w:tcW w:w="2268" w:type="dxa"/>
            <w:vAlign w:val="center"/>
          </w:tcPr>
          <w:p>
            <w:pPr>
              <w:pStyle w:val="12"/>
            </w:pPr>
            <w:r>
              <w:t>≤350元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挽回经济损失</w:t>
            </w:r>
          </w:p>
        </w:tc>
        <w:tc>
          <w:tcPr>
            <w:tcW w:w="5386" w:type="dxa"/>
            <w:vAlign w:val="center"/>
          </w:tcPr>
          <w:p>
            <w:pPr>
              <w:pStyle w:val="12"/>
            </w:pPr>
            <w:r>
              <w:t>挽回经济损失</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不断提升</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2、2026年乡镇纪检监察业务费绩效目标表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13011026P001517100086</w:t>
            </w:r>
          </w:p>
        </w:tc>
        <w:tc>
          <w:tcPr>
            <w:tcW w:w="2835" w:type="dxa"/>
            <w:vAlign w:val="center"/>
          </w:tcPr>
          <w:p>
            <w:pPr>
              <w:pStyle w:val="10"/>
            </w:pPr>
            <w:r>
              <w:t>项目名称</w:t>
            </w:r>
          </w:p>
        </w:tc>
        <w:tc>
          <w:tcPr>
            <w:tcW w:w="6095" w:type="dxa"/>
            <w:gridSpan w:val="3"/>
            <w:vAlign w:val="center"/>
          </w:tcPr>
          <w:p>
            <w:pPr>
              <w:pStyle w:val="12"/>
            </w:pPr>
            <w:r>
              <w:t>2026年乡镇纪检监察业务费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该经费用于保障45名乡镇纪检人员办案业务经费，不断提高纪检监察人员办案水平，使监督执纪工作向纵深发展，全覆盖。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1.该经费用于保障45名乡镇纪检人员办案业务经费，不断提高纪检监察人员办案水平，使监督执纪工作向纵深发展，全覆盖。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经费保障人数</w:t>
            </w:r>
          </w:p>
        </w:tc>
        <w:tc>
          <w:tcPr>
            <w:tcW w:w="5386" w:type="dxa"/>
            <w:vAlign w:val="center"/>
          </w:tcPr>
          <w:p>
            <w:pPr>
              <w:pStyle w:val="12"/>
            </w:pPr>
            <w:r>
              <w:t>经费保障人数</w:t>
            </w:r>
          </w:p>
        </w:tc>
        <w:tc>
          <w:tcPr>
            <w:tcW w:w="2268" w:type="dxa"/>
            <w:vAlign w:val="center"/>
          </w:tcPr>
          <w:p>
            <w:pPr>
              <w:pStyle w:val="12"/>
            </w:pPr>
            <w:r>
              <w:t>45人</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≥85百分之</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案件办理时间</w:t>
            </w:r>
          </w:p>
        </w:tc>
        <w:tc>
          <w:tcPr>
            <w:tcW w:w="5386" w:type="dxa"/>
            <w:vAlign w:val="center"/>
          </w:tcPr>
          <w:p>
            <w:pPr>
              <w:pStyle w:val="12"/>
            </w:pPr>
            <w:r>
              <w:t>案件办理时间</w:t>
            </w:r>
          </w:p>
        </w:tc>
        <w:tc>
          <w:tcPr>
            <w:tcW w:w="2268" w:type="dxa"/>
            <w:vAlign w:val="center"/>
          </w:tcPr>
          <w:p>
            <w:pPr>
              <w:pStyle w:val="12"/>
            </w:pPr>
            <w:r>
              <w:t>≤3月</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完成工作需要费用成本</w:t>
            </w:r>
          </w:p>
        </w:tc>
        <w:tc>
          <w:tcPr>
            <w:tcW w:w="5386" w:type="dxa"/>
            <w:vAlign w:val="center"/>
          </w:tcPr>
          <w:p>
            <w:pPr>
              <w:pStyle w:val="12"/>
            </w:pPr>
            <w:r>
              <w:t>完成工作需要费用成本</w:t>
            </w:r>
          </w:p>
        </w:tc>
        <w:tc>
          <w:tcPr>
            <w:tcW w:w="2268" w:type="dxa"/>
            <w:vAlign w:val="center"/>
          </w:tcPr>
          <w:p>
            <w:pPr>
              <w:pStyle w:val="12"/>
            </w:pPr>
            <w:r>
              <w:t>≤27万元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挽回经济损失</w:t>
            </w:r>
          </w:p>
        </w:tc>
        <w:tc>
          <w:tcPr>
            <w:tcW w:w="5386" w:type="dxa"/>
            <w:vAlign w:val="center"/>
          </w:tcPr>
          <w:p>
            <w:pPr>
              <w:pStyle w:val="12"/>
            </w:pPr>
            <w:r>
              <w:t>挽回经济损失</w:t>
            </w:r>
          </w:p>
        </w:tc>
        <w:tc>
          <w:tcPr>
            <w:tcW w:w="2268" w:type="dxa"/>
            <w:vAlign w:val="center"/>
          </w:tcPr>
          <w:p>
            <w:pPr>
              <w:pStyle w:val="12"/>
            </w:pPr>
            <w:r>
              <w:t>≥10万元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项目持续发生作用</w:t>
            </w:r>
          </w:p>
        </w:tc>
        <w:tc>
          <w:tcPr>
            <w:tcW w:w="5386" w:type="dxa"/>
            <w:vAlign w:val="center"/>
          </w:tcPr>
          <w:p>
            <w:pPr>
              <w:pStyle w:val="12"/>
            </w:pPr>
            <w:r>
              <w:t>项目持续发生作用</w:t>
            </w:r>
          </w:p>
        </w:tc>
        <w:tc>
          <w:tcPr>
            <w:tcW w:w="2268" w:type="dxa"/>
            <w:vAlign w:val="center"/>
          </w:tcPr>
          <w:p>
            <w:pPr>
              <w:pStyle w:val="12"/>
            </w:pPr>
            <w:r>
              <w:t>≥1年</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3、2026年巡视巡察专项经费绩效目标表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13011026P00151710011Q</w:t>
            </w:r>
          </w:p>
        </w:tc>
        <w:tc>
          <w:tcPr>
            <w:tcW w:w="2835" w:type="dxa"/>
            <w:vAlign w:val="center"/>
          </w:tcPr>
          <w:p>
            <w:pPr>
              <w:pStyle w:val="10"/>
            </w:pPr>
            <w:r>
              <w:t>项目名称</w:t>
            </w:r>
          </w:p>
        </w:tc>
        <w:tc>
          <w:tcPr>
            <w:tcW w:w="6095" w:type="dxa"/>
            <w:gridSpan w:val="3"/>
            <w:vAlign w:val="center"/>
          </w:tcPr>
          <w:p>
            <w:pPr>
              <w:pStyle w:val="12"/>
            </w:pPr>
            <w:r>
              <w:t>2026年巡视巡察专项经费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保障平均每轮12人，全年三轮本级巡察，两轮提级巡察，每轮两个月的巡察经费，通过巡察发现问题、形成震慑，推动党中央、省委、市委和县（区）党委重大决策部署，从严治党，遏制腐败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1.保障平均每轮12人，全年三轮本级巡察，两轮提级巡察，每轮两个月的巡察经费，通过巡察发现问题、形成震慑，推动党中央、省委、市委和县（区）党委重大决策部署，从严治党，遏制腐败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巡察轮次</w:t>
            </w:r>
          </w:p>
        </w:tc>
        <w:tc>
          <w:tcPr>
            <w:tcW w:w="5386" w:type="dxa"/>
            <w:vAlign w:val="center"/>
          </w:tcPr>
          <w:p>
            <w:pPr>
              <w:pStyle w:val="12"/>
            </w:pPr>
            <w:r>
              <w:t>巡察轮次</w:t>
            </w:r>
          </w:p>
        </w:tc>
        <w:tc>
          <w:tcPr>
            <w:tcW w:w="2268" w:type="dxa"/>
            <w:vAlign w:val="center"/>
          </w:tcPr>
          <w:p>
            <w:pPr>
              <w:pStyle w:val="12"/>
            </w:pPr>
            <w:r>
              <w:t>≥3轮</w:t>
            </w:r>
          </w:p>
        </w:tc>
        <w:tc>
          <w:tcPr>
            <w:tcW w:w="1276" w:type="dxa"/>
            <w:vAlign w:val="center"/>
          </w:tcPr>
          <w:p>
            <w:pPr>
              <w:pStyle w:val="12"/>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日常巡察平均人力</w:t>
            </w:r>
          </w:p>
        </w:tc>
        <w:tc>
          <w:tcPr>
            <w:tcW w:w="5386" w:type="dxa"/>
            <w:vAlign w:val="center"/>
          </w:tcPr>
          <w:p>
            <w:pPr>
              <w:pStyle w:val="12"/>
            </w:pPr>
            <w:r>
              <w:t>日常巡察平均人力</w:t>
            </w:r>
          </w:p>
        </w:tc>
        <w:tc>
          <w:tcPr>
            <w:tcW w:w="2268" w:type="dxa"/>
            <w:vAlign w:val="center"/>
          </w:tcPr>
          <w:p>
            <w:pPr>
              <w:pStyle w:val="12"/>
            </w:pPr>
            <w:r>
              <w:t>≥12人</w:t>
            </w:r>
          </w:p>
        </w:tc>
        <w:tc>
          <w:tcPr>
            <w:tcW w:w="1276" w:type="dxa"/>
            <w:vAlign w:val="center"/>
          </w:tcPr>
          <w:p>
            <w:pPr>
              <w:pStyle w:val="12"/>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发现问题数量</w:t>
            </w:r>
          </w:p>
        </w:tc>
        <w:tc>
          <w:tcPr>
            <w:tcW w:w="5386" w:type="dxa"/>
            <w:vAlign w:val="center"/>
          </w:tcPr>
          <w:p>
            <w:pPr>
              <w:pStyle w:val="12"/>
            </w:pPr>
            <w:r>
              <w:t>发现问题数量</w:t>
            </w:r>
          </w:p>
        </w:tc>
        <w:tc>
          <w:tcPr>
            <w:tcW w:w="2268" w:type="dxa"/>
            <w:vAlign w:val="center"/>
          </w:tcPr>
          <w:p>
            <w:pPr>
              <w:pStyle w:val="12"/>
            </w:pPr>
            <w:r>
              <w:t>≥40个</w:t>
            </w:r>
          </w:p>
        </w:tc>
        <w:tc>
          <w:tcPr>
            <w:tcW w:w="1276" w:type="dxa"/>
            <w:vAlign w:val="center"/>
          </w:tcPr>
          <w:p>
            <w:pPr>
              <w:pStyle w:val="12"/>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每轮巡察时间</w:t>
            </w:r>
          </w:p>
        </w:tc>
        <w:tc>
          <w:tcPr>
            <w:tcW w:w="5386" w:type="dxa"/>
            <w:vAlign w:val="center"/>
          </w:tcPr>
          <w:p>
            <w:pPr>
              <w:pStyle w:val="12"/>
            </w:pPr>
            <w:r>
              <w:t xml:space="preserve"> 每轮巡察时间</w:t>
            </w:r>
          </w:p>
        </w:tc>
        <w:tc>
          <w:tcPr>
            <w:tcW w:w="2268" w:type="dxa"/>
            <w:vAlign w:val="center"/>
          </w:tcPr>
          <w:p>
            <w:pPr>
              <w:pStyle w:val="12"/>
            </w:pPr>
            <w:r>
              <w:t>≤2月</w:t>
            </w:r>
          </w:p>
        </w:tc>
        <w:tc>
          <w:tcPr>
            <w:tcW w:w="1276" w:type="dxa"/>
            <w:vAlign w:val="center"/>
          </w:tcPr>
          <w:p>
            <w:pPr>
              <w:pStyle w:val="12"/>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巡察期间每日平均费用</w:t>
            </w:r>
          </w:p>
        </w:tc>
        <w:tc>
          <w:tcPr>
            <w:tcW w:w="5386" w:type="dxa"/>
            <w:vAlign w:val="center"/>
          </w:tcPr>
          <w:p>
            <w:pPr>
              <w:pStyle w:val="12"/>
            </w:pPr>
            <w:r>
              <w:t>巡察期间每日平均费用</w:t>
            </w:r>
          </w:p>
        </w:tc>
        <w:tc>
          <w:tcPr>
            <w:tcW w:w="2268" w:type="dxa"/>
            <w:vAlign w:val="center"/>
          </w:tcPr>
          <w:p>
            <w:pPr>
              <w:pStyle w:val="12"/>
            </w:pPr>
            <w:r>
              <w:t>≤400元</w:t>
            </w:r>
          </w:p>
        </w:tc>
        <w:tc>
          <w:tcPr>
            <w:tcW w:w="1276" w:type="dxa"/>
            <w:vAlign w:val="center"/>
          </w:tcPr>
          <w:p>
            <w:pPr>
              <w:pStyle w:val="12"/>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可持续影响力</w:t>
            </w:r>
          </w:p>
        </w:tc>
        <w:tc>
          <w:tcPr>
            <w:tcW w:w="5386" w:type="dxa"/>
            <w:vAlign w:val="center"/>
          </w:tcPr>
          <w:p>
            <w:pPr>
              <w:pStyle w:val="12"/>
            </w:pPr>
            <w:r>
              <w:t>可持续影响力</w:t>
            </w:r>
          </w:p>
        </w:tc>
        <w:tc>
          <w:tcPr>
            <w:tcW w:w="2268" w:type="dxa"/>
            <w:vAlign w:val="center"/>
          </w:tcPr>
          <w:p>
            <w:pPr>
              <w:pStyle w:val="12"/>
            </w:pPr>
            <w:r>
              <w:t>≥1年</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持续提升</w:t>
            </w:r>
          </w:p>
        </w:tc>
        <w:tc>
          <w:tcPr>
            <w:tcW w:w="1276" w:type="dxa"/>
            <w:vAlign w:val="center"/>
          </w:tcPr>
          <w:p>
            <w:pPr>
              <w:pStyle w:val="12"/>
            </w:pPr>
            <w:r>
              <w:t>历史经验</w:t>
            </w:r>
          </w:p>
        </w:tc>
      </w:tr>
    </w:tbl>
    <w:p>
      <w:pPr>
        <w:rPr>
          <w:rFonts w:hint="default" w:eastAsiaTheme="minorEastAsia"/>
          <w:lang w:val="en-US" w:eastAsia="zh-CN"/>
        </w:rPr>
        <w:sectPr>
          <w:pgSz w:w="16840" w:h="11900" w:orient="landscape"/>
          <w:pgMar w:top="1361" w:right="1020" w:bottom="1134" w:left="1020" w:header="720" w:footer="720" w:gutter="0"/>
          <w:cols w:space="720" w:num="1"/>
        </w:sectPr>
      </w:pPr>
    </w:p>
    <w:p>
      <w:pPr>
        <w:spacing w:before="10" w:after="10" w:line="240" w:lineRule="auto"/>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67.05</w:t>
            </w:r>
          </w:p>
        </w:tc>
        <w:tc>
          <w:tcPr>
            <w:tcW w:w="964" w:type="dxa"/>
            <w:vAlign w:val="center"/>
          </w:tcPr>
          <w:p>
            <w:pPr>
              <w:pStyle w:val="15"/>
            </w:pPr>
            <w:r>
              <w:t>67.05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中国共产党石家庄市鹿泉区纪律检查委员会本级小计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67.05</w:t>
            </w:r>
          </w:p>
        </w:tc>
        <w:tc>
          <w:tcPr>
            <w:tcW w:w="964" w:type="dxa"/>
            <w:vAlign w:val="center"/>
          </w:tcPr>
          <w:p>
            <w:pPr>
              <w:pStyle w:val="15"/>
            </w:pPr>
            <w:r>
              <w:t>67.05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223.86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223.86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0.80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223.86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1.20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55.60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200</w:t>
            </w:r>
          </w:p>
        </w:tc>
        <w:tc>
          <w:tcPr>
            <w:tcW w:w="850" w:type="dxa"/>
            <w:vAlign w:val="center"/>
          </w:tcPr>
          <w:p>
            <w:pPr>
              <w:pStyle w:val="11"/>
            </w:pPr>
            <w:r>
              <w:t>0.03</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55.60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55.60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执法记录仪</w:t>
            </w:r>
          </w:p>
        </w:tc>
        <w:tc>
          <w:tcPr>
            <w:tcW w:w="1134" w:type="dxa"/>
            <w:vAlign w:val="center"/>
          </w:tcPr>
          <w:p>
            <w:pPr>
              <w:pStyle w:val="12"/>
            </w:pPr>
            <w:r>
              <w:t>A02020600</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0.11</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其他会计机械</w:t>
            </w:r>
          </w:p>
        </w:tc>
        <w:tc>
          <w:tcPr>
            <w:tcW w:w="1134" w:type="dxa"/>
            <w:vAlign w:val="center"/>
          </w:tcPr>
          <w:p>
            <w:pPr>
              <w:pStyle w:val="12"/>
            </w:pPr>
            <w:r>
              <w:t>A02021499</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0.15</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10</w:t>
            </w:r>
          </w:p>
        </w:tc>
        <w:tc>
          <w:tcPr>
            <w:tcW w:w="850" w:type="dxa"/>
            <w:vAlign w:val="center"/>
          </w:tcPr>
          <w:p>
            <w:pPr>
              <w:pStyle w:val="11"/>
            </w:pPr>
            <w:r>
              <w:t>0.04</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0.16</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200</w:t>
            </w:r>
          </w:p>
        </w:tc>
        <w:tc>
          <w:tcPr>
            <w:tcW w:w="850" w:type="dxa"/>
            <w:vAlign w:val="center"/>
          </w:tcPr>
          <w:p>
            <w:pPr>
              <w:pStyle w:val="11"/>
            </w:pPr>
            <w:r>
              <w:t>0.03</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硬件运维服务</w:t>
            </w:r>
          </w:p>
        </w:tc>
        <w:tc>
          <w:tcPr>
            <w:tcW w:w="1134" w:type="dxa"/>
            <w:vAlign w:val="center"/>
          </w:tcPr>
          <w:p>
            <w:pPr>
              <w:pStyle w:val="12"/>
            </w:pPr>
            <w:r>
              <w:t>C16070200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0.80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2026年纪检监察业务费</w:t>
            </w:r>
          </w:p>
        </w:tc>
        <w:tc>
          <w:tcPr>
            <w:tcW w:w="964" w:type="dxa"/>
            <w:vAlign w:val="center"/>
          </w:tcPr>
          <w:p>
            <w:pPr>
              <w:pStyle w:val="11"/>
            </w:pPr>
            <w:r>
              <w:t>180.00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1.20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2026年巡视巡察专项经费</w:t>
            </w:r>
          </w:p>
        </w:tc>
        <w:tc>
          <w:tcPr>
            <w:tcW w:w="964" w:type="dxa"/>
            <w:vAlign w:val="center"/>
          </w:tcPr>
          <w:p>
            <w:pPr>
              <w:pStyle w:val="11"/>
            </w:pPr>
            <w:r>
              <w:t>100.00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60</w:t>
            </w:r>
          </w:p>
        </w:tc>
        <w:tc>
          <w:tcPr>
            <w:tcW w:w="850" w:type="dxa"/>
            <w:vAlign w:val="center"/>
          </w:tcPr>
          <w:p>
            <w:pPr>
              <w:pStyle w:val="11"/>
            </w:pPr>
            <w:r>
              <w:t>0.03</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2026年巡视巡察专项经费</w:t>
            </w:r>
          </w:p>
        </w:tc>
        <w:tc>
          <w:tcPr>
            <w:tcW w:w="964" w:type="dxa"/>
            <w:vAlign w:val="center"/>
          </w:tcPr>
          <w:p>
            <w:pPr>
              <w:pStyle w:val="11"/>
            </w:pPr>
            <w:r>
              <w:t>100.00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中国共产党石家庄市鹿泉区纪律检查委员会本级上年末固定资产金额为581.44万元（详见下表）。本年度拟购置固定资产总额为8.55万元，已按要求列入政府采购预算，详见政府采购预算表。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581.44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152.51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1264</w:t>
            </w:r>
          </w:p>
        </w:tc>
        <w:tc>
          <w:tcPr>
            <w:tcW w:w="2835" w:type="dxa"/>
            <w:vAlign w:val="center"/>
          </w:tcPr>
          <w:p>
            <w:pPr>
              <w:pStyle w:val="11"/>
            </w:pPr>
            <w:r>
              <w:t>428.93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067A5E"/>
    <w:multiLevelType w:val="singleLevel"/>
    <w:tmpl w:val="A7067A5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46850BA"/>
    <w:rsid w:val="1BB73218"/>
    <w:rsid w:val="2423364C"/>
    <w:rsid w:val="282822FC"/>
    <w:rsid w:val="2DA66F46"/>
    <w:rsid w:val="41E33015"/>
    <w:rsid w:val="68400296"/>
    <w:rsid w:val="6C024097"/>
    <w:rsid w:val="7A53442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6</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2026-02-27T09:26:00Z</dcterms:created>
  <dc:creator>cw</dc:creator>
  <cp:lastModifiedBy>Administrator</cp:lastModifiedBy>
  <dcterms:modified xsi:type="dcterms:W3CDTF">2026-02-27T06:24:56Z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DE1FF02189B54582BC52EF4A1DB1F74F</vt:lpwstr>
  </property>
</Properties>
</file>