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414.31</w:t>
            </w:r>
          </w:p>
        </w:tc>
        <w:tc>
          <w:tcPr>
            <w:tcW w:w="4535" w:type="dxa"/>
            <w:vAlign w:val="center"/>
          </w:tcPr>
          <w:p>
            <w:pPr>
              <w:pStyle w:val="12"/>
            </w:pPr>
            <w:r>
              <w:t>一、一般公共服务支出</w:t>
            </w:r>
          </w:p>
        </w:tc>
        <w:tc>
          <w:tcPr>
            <w:tcW w:w="2126" w:type="dxa"/>
            <w:vAlign w:val="center"/>
          </w:tcPr>
          <w:p>
            <w:pPr>
              <w:pStyle w:val="11"/>
            </w:pPr>
            <w:r>
              <w:t>325.46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414.31</w:t>
            </w:r>
          </w:p>
        </w:tc>
        <w:tc>
          <w:tcPr>
            <w:tcW w:w="4535" w:type="dxa"/>
            <w:vAlign w:val="center"/>
          </w:tcPr>
          <w:p>
            <w:pPr>
              <w:pStyle w:val="14"/>
            </w:pPr>
            <w:r>
              <w:t>本年支出合计</w:t>
            </w:r>
          </w:p>
        </w:tc>
        <w:tc>
          <w:tcPr>
            <w:tcW w:w="2126" w:type="dxa"/>
            <w:vAlign w:val="center"/>
          </w:tcPr>
          <w:p>
            <w:pPr>
              <w:pStyle w:val="15"/>
            </w:pPr>
            <w:r>
              <w:t>414.31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414.31</w:t>
            </w:r>
          </w:p>
        </w:tc>
        <w:tc>
          <w:tcPr>
            <w:tcW w:w="4535" w:type="dxa"/>
            <w:vAlign w:val="center"/>
          </w:tcPr>
          <w:p>
            <w:pPr>
              <w:pStyle w:val="14"/>
            </w:pPr>
            <w:r>
              <w:t>支出总计</w:t>
            </w:r>
          </w:p>
        </w:tc>
        <w:tc>
          <w:tcPr>
            <w:tcW w:w="2126" w:type="dxa"/>
            <w:vAlign w:val="center"/>
          </w:tcPr>
          <w:p>
            <w:pPr>
              <w:pStyle w:val="15"/>
            </w:pPr>
            <w:r>
              <w:t>414.31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414.31</w:t>
            </w:r>
          </w:p>
        </w:tc>
        <w:tc>
          <w:tcPr>
            <w:tcW w:w="1134" w:type="dxa"/>
            <w:vAlign w:val="center"/>
          </w:tcPr>
          <w:p>
            <w:pPr>
              <w:pStyle w:val="15"/>
            </w:pPr>
            <w:r>
              <w:t>414.31</w:t>
            </w:r>
          </w:p>
        </w:tc>
        <w:tc>
          <w:tcPr>
            <w:tcW w:w="1134" w:type="dxa"/>
            <w:vAlign w:val="center"/>
          </w:tcPr>
          <w:p>
            <w:pPr>
              <w:pStyle w:val="15"/>
            </w:pPr>
            <w:r>
              <w:t>414.31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325.46</w:t>
            </w:r>
          </w:p>
        </w:tc>
        <w:tc>
          <w:tcPr>
            <w:tcW w:w="1134" w:type="dxa"/>
            <w:vAlign w:val="center"/>
          </w:tcPr>
          <w:p>
            <w:pPr>
              <w:pStyle w:val="11"/>
            </w:pPr>
            <w:r>
              <w:t>325.46</w:t>
            </w:r>
          </w:p>
        </w:tc>
        <w:tc>
          <w:tcPr>
            <w:tcW w:w="1134" w:type="dxa"/>
            <w:vAlign w:val="center"/>
          </w:tcPr>
          <w:p>
            <w:pPr>
              <w:pStyle w:val="11"/>
            </w:pPr>
            <w:r>
              <w:t>325.46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225.46</w:t>
            </w:r>
          </w:p>
        </w:tc>
        <w:tc>
          <w:tcPr>
            <w:tcW w:w="1134" w:type="dxa"/>
            <w:vAlign w:val="center"/>
          </w:tcPr>
          <w:p>
            <w:pPr>
              <w:pStyle w:val="11"/>
            </w:pPr>
            <w:r>
              <w:t>225.46</w:t>
            </w:r>
          </w:p>
        </w:tc>
        <w:tc>
          <w:tcPr>
            <w:tcW w:w="1134" w:type="dxa"/>
            <w:vAlign w:val="center"/>
          </w:tcPr>
          <w:p>
            <w:pPr>
              <w:pStyle w:val="11"/>
            </w:pPr>
            <w:r>
              <w:t>225.46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225.46</w:t>
            </w:r>
          </w:p>
        </w:tc>
        <w:tc>
          <w:tcPr>
            <w:tcW w:w="1134" w:type="dxa"/>
            <w:vAlign w:val="center"/>
          </w:tcPr>
          <w:p>
            <w:pPr>
              <w:pStyle w:val="11"/>
            </w:pPr>
            <w:r>
              <w:t>225.46</w:t>
            </w:r>
          </w:p>
        </w:tc>
        <w:tc>
          <w:tcPr>
            <w:tcW w:w="1134" w:type="dxa"/>
            <w:vAlign w:val="center"/>
          </w:tcPr>
          <w:p>
            <w:pPr>
              <w:pStyle w:val="11"/>
            </w:pPr>
            <w:r>
              <w:t>225.46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2013704</w:t>
            </w:r>
          </w:p>
        </w:tc>
        <w:tc>
          <w:tcPr>
            <w:tcW w:w="1559" w:type="dxa"/>
            <w:vAlign w:val="center"/>
          </w:tcPr>
          <w:p>
            <w:pPr>
              <w:pStyle w:val="12"/>
            </w:pPr>
            <w:r>
              <w:t>信息安全事务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50.01</w:t>
            </w:r>
          </w:p>
        </w:tc>
        <w:tc>
          <w:tcPr>
            <w:tcW w:w="1134" w:type="dxa"/>
            <w:vAlign w:val="center"/>
          </w:tcPr>
          <w:p>
            <w:pPr>
              <w:pStyle w:val="11"/>
            </w:pPr>
            <w:r>
              <w:t>50.01</w:t>
            </w:r>
          </w:p>
        </w:tc>
        <w:tc>
          <w:tcPr>
            <w:tcW w:w="1134" w:type="dxa"/>
            <w:vAlign w:val="center"/>
          </w:tcPr>
          <w:p>
            <w:pPr>
              <w:pStyle w:val="11"/>
            </w:pPr>
            <w:r>
              <w:t>50.01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38.47</w:t>
            </w:r>
          </w:p>
        </w:tc>
        <w:tc>
          <w:tcPr>
            <w:tcW w:w="1134" w:type="dxa"/>
            <w:vAlign w:val="center"/>
          </w:tcPr>
          <w:p>
            <w:pPr>
              <w:pStyle w:val="11"/>
            </w:pPr>
            <w:r>
              <w:t>38.47</w:t>
            </w:r>
          </w:p>
        </w:tc>
        <w:tc>
          <w:tcPr>
            <w:tcW w:w="1134" w:type="dxa"/>
            <w:vAlign w:val="center"/>
          </w:tcPr>
          <w:p>
            <w:pPr>
              <w:pStyle w:val="11"/>
            </w:pPr>
            <w:r>
              <w:t>38.47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14.37</w:t>
            </w:r>
          </w:p>
        </w:tc>
        <w:tc>
          <w:tcPr>
            <w:tcW w:w="1134" w:type="dxa"/>
            <w:vAlign w:val="center"/>
          </w:tcPr>
          <w:p>
            <w:pPr>
              <w:pStyle w:val="11"/>
            </w:pPr>
            <w:r>
              <w:t>14.37</w:t>
            </w:r>
          </w:p>
        </w:tc>
        <w:tc>
          <w:tcPr>
            <w:tcW w:w="1134" w:type="dxa"/>
            <w:vAlign w:val="center"/>
          </w:tcPr>
          <w:p>
            <w:pPr>
              <w:pStyle w:val="11"/>
            </w:pPr>
            <w:r>
              <w:t>14.37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24.10</w:t>
            </w:r>
          </w:p>
        </w:tc>
        <w:tc>
          <w:tcPr>
            <w:tcW w:w="1134" w:type="dxa"/>
            <w:vAlign w:val="center"/>
          </w:tcPr>
          <w:p>
            <w:pPr>
              <w:pStyle w:val="11"/>
            </w:pPr>
            <w:r>
              <w:t>24.10</w:t>
            </w:r>
          </w:p>
        </w:tc>
        <w:tc>
          <w:tcPr>
            <w:tcW w:w="1134" w:type="dxa"/>
            <w:vAlign w:val="center"/>
          </w:tcPr>
          <w:p>
            <w:pPr>
              <w:pStyle w:val="11"/>
            </w:pPr>
            <w:r>
              <w:t>24.10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r>
              <w:t>15.58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r>
              <w:t>23.25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414.31</w:t>
            </w:r>
          </w:p>
        </w:tc>
        <w:tc>
          <w:tcPr>
            <w:tcW w:w="1361" w:type="dxa"/>
            <w:vAlign w:val="center"/>
          </w:tcPr>
          <w:p>
            <w:pPr>
              <w:pStyle w:val="15"/>
            </w:pPr>
            <w:r>
              <w:t>302.77</w:t>
            </w:r>
          </w:p>
        </w:tc>
        <w:tc>
          <w:tcPr>
            <w:tcW w:w="1361" w:type="dxa"/>
            <w:vAlign w:val="center"/>
          </w:tcPr>
          <w:p>
            <w:pPr>
              <w:pStyle w:val="15"/>
            </w:pPr>
            <w:r>
              <w:t>111.54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325.46</w:t>
            </w:r>
          </w:p>
        </w:tc>
        <w:tc>
          <w:tcPr>
            <w:tcW w:w="1361" w:type="dxa"/>
            <w:vAlign w:val="center"/>
          </w:tcPr>
          <w:p>
            <w:pPr>
              <w:pStyle w:val="11"/>
            </w:pPr>
            <w:r>
              <w:t>225.46</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225.46</w:t>
            </w:r>
          </w:p>
        </w:tc>
        <w:tc>
          <w:tcPr>
            <w:tcW w:w="1361" w:type="dxa"/>
            <w:vAlign w:val="center"/>
          </w:tcPr>
          <w:p>
            <w:pPr>
              <w:pStyle w:val="11"/>
            </w:pPr>
            <w:r>
              <w:t>225.46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225.46</w:t>
            </w:r>
          </w:p>
        </w:tc>
        <w:tc>
          <w:tcPr>
            <w:tcW w:w="1361" w:type="dxa"/>
            <w:vAlign w:val="center"/>
          </w:tcPr>
          <w:p>
            <w:pPr>
              <w:pStyle w:val="11"/>
            </w:pPr>
            <w:r>
              <w:t>225.46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2013704</w:t>
            </w:r>
          </w:p>
        </w:tc>
        <w:tc>
          <w:tcPr>
            <w:tcW w:w="4535" w:type="dxa"/>
            <w:vAlign w:val="center"/>
          </w:tcPr>
          <w:p>
            <w:pPr>
              <w:pStyle w:val="12"/>
            </w:pPr>
            <w:r>
              <w:t>信息安全事务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50.01</w:t>
            </w:r>
          </w:p>
        </w:tc>
        <w:tc>
          <w:tcPr>
            <w:tcW w:w="1361" w:type="dxa"/>
            <w:vAlign w:val="center"/>
          </w:tcPr>
          <w:p>
            <w:pPr>
              <w:pStyle w:val="11"/>
            </w:pPr>
            <w:r>
              <w:t>38.47</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38.47</w:t>
            </w:r>
          </w:p>
        </w:tc>
        <w:tc>
          <w:tcPr>
            <w:tcW w:w="1361" w:type="dxa"/>
            <w:vAlign w:val="center"/>
          </w:tcPr>
          <w:p>
            <w:pPr>
              <w:pStyle w:val="11"/>
            </w:pPr>
            <w:r>
              <w:t>38.47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14.37</w:t>
            </w:r>
          </w:p>
        </w:tc>
        <w:tc>
          <w:tcPr>
            <w:tcW w:w="1361" w:type="dxa"/>
            <w:vAlign w:val="center"/>
          </w:tcPr>
          <w:p>
            <w:pPr>
              <w:pStyle w:val="11"/>
            </w:pPr>
            <w:r>
              <w:t>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24.10</w:t>
            </w:r>
          </w:p>
        </w:tc>
        <w:tc>
          <w:tcPr>
            <w:tcW w:w="1361" w:type="dxa"/>
            <w:vAlign w:val="center"/>
          </w:tcPr>
          <w:p>
            <w:pPr>
              <w:pStyle w:val="11"/>
            </w:pPr>
            <w:r>
              <w:t>24.10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15.58</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15.58</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15.58</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23.25</w:t>
            </w:r>
          </w:p>
        </w:tc>
        <w:tc>
          <w:tcPr>
            <w:tcW w:w="1361" w:type="dxa"/>
            <w:vAlign w:val="center"/>
          </w:tcPr>
          <w:p>
            <w:pPr>
              <w:pStyle w:val="11"/>
            </w:pPr>
            <w:r>
              <w:t>23.25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23.25</w:t>
            </w:r>
          </w:p>
        </w:tc>
        <w:tc>
          <w:tcPr>
            <w:tcW w:w="1361" w:type="dxa"/>
            <w:vAlign w:val="center"/>
          </w:tcPr>
          <w:p>
            <w:pPr>
              <w:pStyle w:val="11"/>
            </w:pPr>
            <w:r>
              <w:t>23.25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23.25</w:t>
            </w:r>
          </w:p>
        </w:tc>
        <w:tc>
          <w:tcPr>
            <w:tcW w:w="1361" w:type="dxa"/>
            <w:vAlign w:val="center"/>
          </w:tcPr>
          <w:p>
            <w:pPr>
              <w:pStyle w:val="11"/>
            </w:pPr>
            <w:r>
              <w:t>23.25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414.31</w:t>
            </w:r>
          </w:p>
        </w:tc>
        <w:tc>
          <w:tcPr>
            <w:tcW w:w="3402" w:type="dxa"/>
            <w:vAlign w:val="center"/>
          </w:tcPr>
          <w:p>
            <w:pPr>
              <w:pStyle w:val="12"/>
            </w:pPr>
            <w:r>
              <w:t>一、一般公共服务支出</w:t>
            </w:r>
          </w:p>
        </w:tc>
        <w:tc>
          <w:tcPr>
            <w:tcW w:w="1474" w:type="dxa"/>
            <w:vAlign w:val="center"/>
          </w:tcPr>
          <w:p>
            <w:pPr>
              <w:pStyle w:val="11"/>
            </w:pPr>
            <w:r>
              <w:t>325.46</w:t>
            </w:r>
          </w:p>
        </w:tc>
        <w:tc>
          <w:tcPr>
            <w:tcW w:w="1474" w:type="dxa"/>
            <w:vAlign w:val="center"/>
          </w:tcPr>
          <w:p>
            <w:pPr>
              <w:pStyle w:val="11"/>
            </w:pPr>
            <w:r>
              <w:t>325.46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50.01</w:t>
            </w:r>
          </w:p>
        </w:tc>
        <w:tc>
          <w:tcPr>
            <w:tcW w:w="1474" w:type="dxa"/>
            <w:vAlign w:val="center"/>
          </w:tcPr>
          <w:p>
            <w:pPr>
              <w:pStyle w:val="11"/>
            </w:pPr>
            <w:r>
              <w:t>50.01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15.58</w:t>
            </w:r>
          </w:p>
        </w:tc>
        <w:tc>
          <w:tcPr>
            <w:tcW w:w="1474" w:type="dxa"/>
            <w:vAlign w:val="center"/>
          </w:tcPr>
          <w:p>
            <w:pPr>
              <w:pStyle w:val="11"/>
            </w:pPr>
            <w:r>
              <w:t>15.58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23.25</w:t>
            </w:r>
          </w:p>
        </w:tc>
        <w:tc>
          <w:tcPr>
            <w:tcW w:w="1474" w:type="dxa"/>
            <w:vAlign w:val="center"/>
          </w:tcPr>
          <w:p>
            <w:pPr>
              <w:pStyle w:val="11"/>
            </w:pPr>
            <w:r>
              <w:t>23.25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414.31</w:t>
            </w:r>
          </w:p>
        </w:tc>
        <w:tc>
          <w:tcPr>
            <w:tcW w:w="3402" w:type="dxa"/>
            <w:vAlign w:val="center"/>
          </w:tcPr>
          <w:p>
            <w:pPr>
              <w:pStyle w:val="14"/>
            </w:pPr>
            <w:r>
              <w:t>本年支出合计</w:t>
            </w:r>
          </w:p>
        </w:tc>
        <w:tc>
          <w:tcPr>
            <w:tcW w:w="1474" w:type="dxa"/>
            <w:vAlign w:val="center"/>
          </w:tcPr>
          <w:p>
            <w:pPr>
              <w:pStyle w:val="15"/>
            </w:pPr>
            <w:r>
              <w:t>414.31</w:t>
            </w:r>
          </w:p>
        </w:tc>
        <w:tc>
          <w:tcPr>
            <w:tcW w:w="1474" w:type="dxa"/>
            <w:vAlign w:val="center"/>
          </w:tcPr>
          <w:p>
            <w:pPr>
              <w:pStyle w:val="15"/>
            </w:pPr>
            <w:r>
              <w:t>414.31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414.31</w:t>
            </w:r>
          </w:p>
        </w:tc>
        <w:tc>
          <w:tcPr>
            <w:tcW w:w="3402" w:type="dxa"/>
            <w:vAlign w:val="center"/>
          </w:tcPr>
          <w:p>
            <w:pPr>
              <w:pStyle w:val="14"/>
            </w:pPr>
            <w:r>
              <w:t>支出总计</w:t>
            </w:r>
          </w:p>
        </w:tc>
        <w:tc>
          <w:tcPr>
            <w:tcW w:w="1474" w:type="dxa"/>
            <w:vAlign w:val="center"/>
          </w:tcPr>
          <w:p>
            <w:pPr>
              <w:pStyle w:val="15"/>
            </w:pPr>
            <w:r>
              <w:t>414.31</w:t>
            </w:r>
          </w:p>
        </w:tc>
        <w:tc>
          <w:tcPr>
            <w:tcW w:w="1474" w:type="dxa"/>
            <w:vAlign w:val="center"/>
          </w:tcPr>
          <w:p>
            <w:pPr>
              <w:pStyle w:val="15"/>
            </w:pPr>
            <w:r>
              <w:t>414.31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414.31</w:t>
            </w:r>
          </w:p>
        </w:tc>
        <w:tc>
          <w:tcPr>
            <w:tcW w:w="2551" w:type="dxa"/>
            <w:vAlign w:val="center"/>
          </w:tcPr>
          <w:p>
            <w:pPr>
              <w:pStyle w:val="15"/>
            </w:pPr>
            <w:r>
              <w:t>302.77</w:t>
            </w:r>
          </w:p>
        </w:tc>
        <w:tc>
          <w:tcPr>
            <w:tcW w:w="2551" w:type="dxa"/>
            <w:vAlign w:val="center"/>
          </w:tcPr>
          <w:p>
            <w:pPr>
              <w:pStyle w:val="15"/>
            </w:pPr>
            <w:r>
              <w:t>111.54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325.46</w:t>
            </w:r>
          </w:p>
        </w:tc>
        <w:tc>
          <w:tcPr>
            <w:tcW w:w="2551" w:type="dxa"/>
            <w:vAlign w:val="center"/>
          </w:tcPr>
          <w:p>
            <w:pPr>
              <w:pStyle w:val="11"/>
            </w:pPr>
            <w:r>
              <w:t>225.46</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225.46</w:t>
            </w:r>
          </w:p>
        </w:tc>
        <w:tc>
          <w:tcPr>
            <w:tcW w:w="2551" w:type="dxa"/>
            <w:vAlign w:val="center"/>
          </w:tcPr>
          <w:p>
            <w:pPr>
              <w:pStyle w:val="11"/>
            </w:pPr>
            <w:r>
              <w:t>225.46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225.46</w:t>
            </w:r>
          </w:p>
        </w:tc>
        <w:tc>
          <w:tcPr>
            <w:tcW w:w="2551" w:type="dxa"/>
            <w:vAlign w:val="center"/>
          </w:tcPr>
          <w:p>
            <w:pPr>
              <w:pStyle w:val="11"/>
            </w:pPr>
            <w:r>
              <w:t>225.46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2013704</w:t>
            </w:r>
          </w:p>
        </w:tc>
        <w:tc>
          <w:tcPr>
            <w:tcW w:w="4535" w:type="dxa"/>
            <w:vAlign w:val="center"/>
          </w:tcPr>
          <w:p>
            <w:pPr>
              <w:pStyle w:val="12"/>
            </w:pPr>
            <w:r>
              <w:t>信息安全事务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50.01</w:t>
            </w:r>
          </w:p>
        </w:tc>
        <w:tc>
          <w:tcPr>
            <w:tcW w:w="2551" w:type="dxa"/>
            <w:vAlign w:val="center"/>
          </w:tcPr>
          <w:p>
            <w:pPr>
              <w:pStyle w:val="11"/>
            </w:pPr>
            <w:r>
              <w:t>38.47</w:t>
            </w:r>
          </w:p>
        </w:tc>
        <w:tc>
          <w:tcPr>
            <w:tcW w:w="2551" w:type="dxa"/>
            <w:vAlign w:val="center"/>
          </w:tcPr>
          <w:p>
            <w:pPr>
              <w:pStyle w:val="11"/>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38.47</w:t>
            </w:r>
          </w:p>
        </w:tc>
        <w:tc>
          <w:tcPr>
            <w:tcW w:w="2551" w:type="dxa"/>
            <w:vAlign w:val="center"/>
          </w:tcPr>
          <w:p>
            <w:pPr>
              <w:pStyle w:val="11"/>
            </w:pPr>
            <w:r>
              <w:t>38.47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14.37</w:t>
            </w:r>
          </w:p>
        </w:tc>
        <w:tc>
          <w:tcPr>
            <w:tcW w:w="2551" w:type="dxa"/>
            <w:vAlign w:val="center"/>
          </w:tcPr>
          <w:p>
            <w:pPr>
              <w:pStyle w:val="11"/>
            </w:pPr>
            <w:r>
              <w:t>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11.54</w:t>
            </w:r>
          </w:p>
        </w:tc>
        <w:tc>
          <w:tcPr>
            <w:tcW w:w="2551" w:type="dxa"/>
            <w:vAlign w:val="center"/>
          </w:tcPr>
          <w:p>
            <w:pPr>
              <w:pStyle w:val="11"/>
            </w:pPr>
          </w:p>
        </w:tc>
        <w:tc>
          <w:tcPr>
            <w:tcW w:w="2551" w:type="dxa"/>
            <w:vAlign w:val="center"/>
          </w:tcPr>
          <w:p>
            <w:pPr>
              <w:pStyle w:val="11"/>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11.54</w:t>
            </w:r>
          </w:p>
        </w:tc>
        <w:tc>
          <w:tcPr>
            <w:tcW w:w="2551" w:type="dxa"/>
            <w:vAlign w:val="center"/>
          </w:tcPr>
          <w:p>
            <w:pPr>
              <w:pStyle w:val="11"/>
            </w:pPr>
          </w:p>
        </w:tc>
        <w:tc>
          <w:tcPr>
            <w:tcW w:w="2551" w:type="dxa"/>
            <w:vAlign w:val="center"/>
          </w:tcPr>
          <w:p>
            <w:pPr>
              <w:pStyle w:val="11"/>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15.58</w:t>
            </w:r>
          </w:p>
        </w:tc>
        <w:tc>
          <w:tcPr>
            <w:tcW w:w="2551" w:type="dxa"/>
            <w:vAlign w:val="center"/>
          </w:tcPr>
          <w:p>
            <w:pPr>
              <w:pStyle w:val="11"/>
            </w:pPr>
            <w:r>
              <w:t>15.58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15.58</w:t>
            </w:r>
          </w:p>
        </w:tc>
        <w:tc>
          <w:tcPr>
            <w:tcW w:w="2551" w:type="dxa"/>
            <w:vAlign w:val="center"/>
          </w:tcPr>
          <w:p>
            <w:pPr>
              <w:pStyle w:val="11"/>
            </w:pPr>
            <w:r>
              <w:t>15.58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15.58</w:t>
            </w:r>
          </w:p>
        </w:tc>
        <w:tc>
          <w:tcPr>
            <w:tcW w:w="2551" w:type="dxa"/>
            <w:vAlign w:val="center"/>
          </w:tcPr>
          <w:p>
            <w:pPr>
              <w:pStyle w:val="11"/>
            </w:pPr>
            <w:r>
              <w:t>15.58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302.77</w:t>
            </w:r>
          </w:p>
        </w:tc>
        <w:tc>
          <w:tcPr>
            <w:tcW w:w="2551" w:type="dxa"/>
            <w:vAlign w:val="center"/>
          </w:tcPr>
          <w:p>
            <w:pPr>
              <w:pStyle w:val="15"/>
            </w:pPr>
            <w:r>
              <w:t>261.60</w:t>
            </w:r>
          </w:p>
        </w:tc>
        <w:tc>
          <w:tcPr>
            <w:tcW w:w="2551" w:type="dxa"/>
            <w:vAlign w:val="center"/>
          </w:tcPr>
          <w:p>
            <w:pPr>
              <w:pStyle w:val="15"/>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247.35</w:t>
            </w:r>
          </w:p>
        </w:tc>
        <w:tc>
          <w:tcPr>
            <w:tcW w:w="2551" w:type="dxa"/>
            <w:vAlign w:val="center"/>
          </w:tcPr>
          <w:p>
            <w:pPr>
              <w:pStyle w:val="11"/>
            </w:pPr>
            <w:r>
              <w:t>247.35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68.97</w:t>
            </w:r>
          </w:p>
        </w:tc>
        <w:tc>
          <w:tcPr>
            <w:tcW w:w="2551" w:type="dxa"/>
            <w:vAlign w:val="center"/>
          </w:tcPr>
          <w:p>
            <w:pPr>
              <w:pStyle w:val="11"/>
            </w:pPr>
            <w:r>
              <w:t>68.97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36.14</w:t>
            </w:r>
          </w:p>
        </w:tc>
        <w:tc>
          <w:tcPr>
            <w:tcW w:w="2551" w:type="dxa"/>
            <w:vAlign w:val="center"/>
          </w:tcPr>
          <w:p>
            <w:pPr>
              <w:pStyle w:val="11"/>
            </w:pPr>
            <w:r>
              <w:t>36.14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34.86</w:t>
            </w:r>
          </w:p>
        </w:tc>
        <w:tc>
          <w:tcPr>
            <w:tcW w:w="2551" w:type="dxa"/>
            <w:vAlign w:val="center"/>
          </w:tcPr>
          <w:p>
            <w:pPr>
              <w:pStyle w:val="11"/>
            </w:pPr>
            <w:r>
              <w:t>34.86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43.53</w:t>
            </w:r>
          </w:p>
        </w:tc>
        <w:tc>
          <w:tcPr>
            <w:tcW w:w="2551" w:type="dxa"/>
            <w:vAlign w:val="center"/>
          </w:tcPr>
          <w:p>
            <w:pPr>
              <w:pStyle w:val="11"/>
            </w:pPr>
            <w:r>
              <w:t>43.53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8.02</w:t>
            </w:r>
          </w:p>
        </w:tc>
        <w:tc>
          <w:tcPr>
            <w:tcW w:w="2551" w:type="dxa"/>
            <w:vAlign w:val="center"/>
          </w:tcPr>
          <w:p>
            <w:pPr>
              <w:pStyle w:val="11"/>
            </w:pPr>
            <w:r>
              <w:t>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7.56</w:t>
            </w:r>
          </w:p>
        </w:tc>
        <w:tc>
          <w:tcPr>
            <w:tcW w:w="2551" w:type="dxa"/>
            <w:vAlign w:val="center"/>
          </w:tcPr>
          <w:p>
            <w:pPr>
              <w:pStyle w:val="11"/>
            </w:pPr>
            <w:r>
              <w:t>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23.25</w:t>
            </w:r>
          </w:p>
        </w:tc>
        <w:tc>
          <w:tcPr>
            <w:tcW w:w="2551" w:type="dxa"/>
            <w:vAlign w:val="center"/>
          </w:tcPr>
          <w:p>
            <w:pPr>
              <w:pStyle w:val="11"/>
            </w:pPr>
            <w:r>
              <w:t>23.25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39.16</w:t>
            </w:r>
          </w:p>
        </w:tc>
        <w:tc>
          <w:tcPr>
            <w:tcW w:w="2551" w:type="dxa"/>
            <w:vAlign w:val="center"/>
          </w:tcPr>
          <w:p>
            <w:pPr>
              <w:pStyle w:val="11"/>
            </w:pPr>
          </w:p>
        </w:tc>
        <w:tc>
          <w:tcPr>
            <w:tcW w:w="2551" w:type="dxa"/>
            <w:vAlign w:val="center"/>
          </w:tcPr>
          <w:p>
            <w:pPr>
              <w:pStyle w:val="11"/>
            </w:pPr>
            <w:r>
              <w:t>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18.50</w:t>
            </w:r>
          </w:p>
        </w:tc>
        <w:tc>
          <w:tcPr>
            <w:tcW w:w="2551" w:type="dxa"/>
            <w:vAlign w:val="center"/>
          </w:tcPr>
          <w:p>
            <w:pPr>
              <w:pStyle w:val="11"/>
            </w:pPr>
          </w:p>
        </w:tc>
        <w:tc>
          <w:tcPr>
            <w:tcW w:w="2551" w:type="dxa"/>
            <w:vAlign w:val="center"/>
          </w:tcPr>
          <w:p>
            <w:pPr>
              <w:pStyle w:val="11"/>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2.39</w:t>
            </w:r>
          </w:p>
        </w:tc>
        <w:tc>
          <w:tcPr>
            <w:tcW w:w="2551" w:type="dxa"/>
            <w:vAlign w:val="center"/>
          </w:tcPr>
          <w:p>
            <w:pPr>
              <w:pStyle w:val="11"/>
            </w:pPr>
          </w:p>
        </w:tc>
        <w:tc>
          <w:tcPr>
            <w:tcW w:w="2551" w:type="dxa"/>
            <w:vAlign w:val="center"/>
          </w:tcPr>
          <w:p>
            <w:pPr>
              <w:pStyle w:val="11"/>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14.26</w:t>
            </w:r>
          </w:p>
        </w:tc>
        <w:tc>
          <w:tcPr>
            <w:tcW w:w="2551" w:type="dxa"/>
            <w:vAlign w:val="center"/>
          </w:tcPr>
          <w:p>
            <w:pPr>
              <w:pStyle w:val="11"/>
            </w:pPr>
            <w:r>
              <w:t>14.26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14.26</w:t>
            </w:r>
          </w:p>
        </w:tc>
        <w:tc>
          <w:tcPr>
            <w:tcW w:w="2551" w:type="dxa"/>
            <w:vAlign w:val="center"/>
          </w:tcPr>
          <w:p>
            <w:pPr>
              <w:pStyle w:val="11"/>
            </w:pPr>
            <w:r>
              <w:t>14.26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统筹协调网络数据开发、利用的安全管理，统筹协调网络数据安全和个人信息保护工作，指导协调网络数据跨区域流动安全管理；负责全区网络安全和信息化重大专项任务的统筹协调、组织推动、督促落实；统筹协调全区网络综合治理体系建设，协调推进网络信息内容生态治理工作，推动落实网络意识形态工作责任制，统筹推进技术治网体系规划建设；协调推进上下协同的网信工作体系建设；统筹协调全区网络安全工作和相关监督管理工作，统筹协调网络安全监测预警和应急处置；统筹协调关键信息基础设施安全保护工作，制定网络安全审查相关制度规范，组织开展网络安全审查；协同推进数字经济发展。</w:t>
      </w:r>
    </w:p>
    <w:p>
      <w:pPr>
        <w:pStyle w:val="17"/>
      </w:pPr>
      <w:r>
        <w:t>负责机关日常工作的协调和督查，负责机关文电、会务、机要、保密、档案、后勤保障等工作；负责机关和所属单位的财务、国有资产管理以及互联网专项资金管理工作；承办人大代表建议、政协委员提案答复工作；承担全区网络安全和信息化重大专项任务的统筹协调、组织推动、督促落实等工作。</w:t>
      </w:r>
    </w:p>
    <w:p>
      <w:pPr>
        <w:pStyle w:val="17"/>
      </w:pPr>
      <w:r>
        <w:t>负责网络安全和信息化法治、标准建设工作；拟定全区网络安全和信息化中长期发展规划、年度计划并组织实施；贯彻落实网络安全和信息化方面地方性法规、规章；负责起草机关重要文件、综合文稿，编印综合类简报、信息报送、对外联络、督查督办工作，承担机关规范性文件的合法性审核工作；负责执法监督管理工作，开展法制宣传教育，承担行政复议、行政应诉等工作。</w:t>
      </w:r>
    </w:p>
    <w:p>
      <w:pPr>
        <w:pStyle w:val="17"/>
      </w:pPr>
      <w:r>
        <w:t>负责机关及所属单位党建、宣传、思想政治、精神文明建设及群团等工作，负责机关及所属单位党风廉政建设具体工作；负责机关及所属单位内部审计相关工作；负责机关和所属单位的机构编制、人事管理、教育培训、队伍建设、老干部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414.31万元，其中：一般公共预算收入414.31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网络安全和信息化委员会办公室本级年度单位预算中支出预算的总体情况。2026年支出预算414.31万元，其中基本支出302.77万元，包括人员经费261.60万元和日常公用经费41.16万元；项目支出111.54万元，主要为舆情中心运行费项目25万，网络安全技术支持项目20万，网络文明建设服务项目20万，网络舆情监测直报项目20万，网络重点平台宣传项目15万，涉军岗位工资11.54万。；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414.31万元，较2025年预算减少0.28万元，其中：基本支出增加29.70万元，主要为人员变动，社保调整基数，故基本支出增加29.7万项目支出减少29.98万元，主要为舆情中心运行费项目减少5万，网络安全技术支持项目减少5万，网络文明建设服务项目减少10万，网络舆情监测直报项目减少5万，网络重点平台宣传项目减少5万，涉军岗位工资增加0.02万。。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0.00万元，其中因公出国（境）费0.00万元；公务用车购置及运维费0.00万元（其中：公务用车购置费为0.00万元，公务用车运维费0.00万元)；公务接待费0.00万元。与2025年相比增加0.00万元，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1、2026年区网络文明建设服务项目绩效目标表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13011026P00322810023N</w:t>
            </w:r>
          </w:p>
        </w:tc>
        <w:tc>
          <w:tcPr>
            <w:tcW w:w="2835" w:type="dxa"/>
            <w:vAlign w:val="center"/>
          </w:tcPr>
          <w:p>
            <w:pPr>
              <w:pStyle w:val="10"/>
            </w:pPr>
            <w:r>
              <w:t>项目名称</w:t>
            </w:r>
          </w:p>
        </w:tc>
        <w:tc>
          <w:tcPr>
            <w:tcW w:w="6095" w:type="dxa"/>
            <w:gridSpan w:val="3"/>
            <w:vAlign w:val="center"/>
          </w:tcPr>
          <w:p>
            <w:pPr>
              <w:pStyle w:val="12"/>
            </w:pPr>
            <w:r>
              <w:t>2026年区网络文明建设服务项目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根据省市安排，积极组织开展网络中国节、燕赵好网民等宣传活动，组织自媒体采风活动，网络安全法律法规、净网系列专项行动主题宣传，组织开展活动次数不少于3次，增强全民网络文明意识。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1.根据省市安排，积极组织开展网络中国节、燕赵好网民等宣传活动，组织自媒体采风活动，网络安全法律法规、净网系列专项行动主题宣传，组织开展活动次数不少于3次，增强全民网络文明意识。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组织开展网络主题宣传活动次数</w:t>
            </w:r>
          </w:p>
        </w:tc>
        <w:tc>
          <w:tcPr>
            <w:tcW w:w="5386" w:type="dxa"/>
            <w:vAlign w:val="center"/>
          </w:tcPr>
          <w:p>
            <w:pPr>
              <w:pStyle w:val="12"/>
            </w:pPr>
            <w:r>
              <w:t>组织开展网络主题宣传活动次数</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开展宣传活动次数完成率</w:t>
            </w:r>
          </w:p>
        </w:tc>
        <w:tc>
          <w:tcPr>
            <w:tcW w:w="5386" w:type="dxa"/>
            <w:vAlign w:val="center"/>
          </w:tcPr>
          <w:p>
            <w:pPr>
              <w:pStyle w:val="12"/>
            </w:pPr>
            <w:r>
              <w:t>开展宣传活动次数完成率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之前年度旧欠</w:t>
            </w:r>
          </w:p>
        </w:tc>
        <w:tc>
          <w:tcPr>
            <w:tcW w:w="5386" w:type="dxa"/>
            <w:vAlign w:val="center"/>
          </w:tcPr>
          <w:p>
            <w:pPr>
              <w:pStyle w:val="12"/>
            </w:pPr>
            <w:r>
              <w:t>之前年度旧欠</w:t>
            </w:r>
          </w:p>
        </w:tc>
        <w:tc>
          <w:tcPr>
            <w:tcW w:w="2268" w:type="dxa"/>
            <w:vAlign w:val="center"/>
          </w:tcPr>
          <w:p>
            <w:pPr>
              <w:pStyle w:val="12"/>
            </w:pPr>
            <w:r>
              <w:t>14.66万</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网络文明建设服务成本</w:t>
            </w:r>
          </w:p>
        </w:tc>
        <w:tc>
          <w:tcPr>
            <w:tcW w:w="5386" w:type="dxa"/>
            <w:vAlign w:val="center"/>
          </w:tcPr>
          <w:p>
            <w:pPr>
              <w:pStyle w:val="12"/>
            </w:pPr>
            <w:r>
              <w:t>网络文明建设服务成本</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增强全民网络文明意识</w:t>
            </w:r>
          </w:p>
        </w:tc>
        <w:tc>
          <w:tcPr>
            <w:tcW w:w="5386" w:type="dxa"/>
            <w:vAlign w:val="center"/>
          </w:tcPr>
          <w:p>
            <w:pPr>
              <w:pStyle w:val="12"/>
            </w:pPr>
            <w:r>
              <w:t>增强全民网络文明意识</w:t>
            </w:r>
          </w:p>
        </w:tc>
        <w:tc>
          <w:tcPr>
            <w:tcW w:w="2268" w:type="dxa"/>
            <w:vAlign w:val="center"/>
          </w:tcPr>
          <w:p>
            <w:pPr>
              <w:pStyle w:val="12"/>
            </w:pPr>
            <w:r>
              <w:t>增强全民网络文明意识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网络使用人员满意度</w:t>
            </w:r>
          </w:p>
        </w:tc>
        <w:tc>
          <w:tcPr>
            <w:tcW w:w="5386" w:type="dxa"/>
            <w:vAlign w:val="center"/>
          </w:tcPr>
          <w:p>
            <w:pPr>
              <w:pStyle w:val="12"/>
            </w:pPr>
            <w:r>
              <w:t>网络使用人员满意度</w:t>
            </w:r>
          </w:p>
        </w:tc>
        <w:tc>
          <w:tcPr>
            <w:tcW w:w="2268" w:type="dxa"/>
            <w:vAlign w:val="center"/>
          </w:tcPr>
          <w:p>
            <w:pPr>
              <w:pStyle w:val="12"/>
            </w:pPr>
            <w:r>
              <w:t>≥85%</w:t>
            </w:r>
          </w:p>
        </w:tc>
        <w:tc>
          <w:tcPr>
            <w:tcW w:w="1276" w:type="dxa"/>
            <w:vAlign w:val="center"/>
          </w:tcPr>
          <w:p>
            <w:pPr>
              <w:pStyle w:val="12"/>
            </w:pPr>
            <w:r>
              <w:t>历史指标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13011026P00154010042X</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11.54</w:t>
            </w:r>
          </w:p>
        </w:tc>
        <w:tc>
          <w:tcPr>
            <w:tcW w:w="2835" w:type="dxa"/>
            <w:vAlign w:val="center"/>
          </w:tcPr>
          <w:p>
            <w:pPr>
              <w:pStyle w:val="10"/>
            </w:pPr>
            <w:r>
              <w:t>其中：财政    资金</w:t>
            </w:r>
          </w:p>
        </w:tc>
        <w:tc>
          <w:tcPr>
            <w:tcW w:w="2551" w:type="dxa"/>
            <w:vAlign w:val="center"/>
          </w:tcPr>
          <w:p>
            <w:pPr>
              <w:pStyle w:val="12"/>
            </w:pPr>
            <w:r>
              <w:t>11.54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根据鹿办文（2017）31号，对符合政府安排工作条件的退役士兵，帮扶救助，加大就业援助，我单位共有两人，工资标准3400元/人，取暖补贴2200元/人所需经费11.54万，并列入2026年预算。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根据鹿办文（2017）31号，对符合政府安排工作条件的退役士兵，帮扶救助，加大就业援助，我单位共有两人，工资标准3400元/人，取暖补贴2200元/人所需经费11.54万，并列入2026年预算。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涉军岗位人数</w:t>
            </w:r>
          </w:p>
        </w:tc>
        <w:tc>
          <w:tcPr>
            <w:tcW w:w="5386" w:type="dxa"/>
            <w:vAlign w:val="center"/>
          </w:tcPr>
          <w:p>
            <w:pPr>
              <w:pStyle w:val="12"/>
            </w:pPr>
            <w:r>
              <w:t>涉军岗位人数</w:t>
            </w:r>
          </w:p>
        </w:tc>
        <w:tc>
          <w:tcPr>
            <w:tcW w:w="2268" w:type="dxa"/>
            <w:vAlign w:val="center"/>
          </w:tcPr>
          <w:p>
            <w:pPr>
              <w:pStyle w:val="12"/>
            </w:pPr>
            <w:r>
              <w:t>2名</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涉军岗位补贴发放准确率</w:t>
            </w:r>
          </w:p>
        </w:tc>
        <w:tc>
          <w:tcPr>
            <w:tcW w:w="5386" w:type="dxa"/>
            <w:vAlign w:val="center"/>
          </w:tcPr>
          <w:p>
            <w:pPr>
              <w:pStyle w:val="12"/>
            </w:pPr>
            <w:r>
              <w:t>涉军岗位补贴发放准确率</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涉军岗位工资及时发放率</w:t>
            </w:r>
          </w:p>
        </w:tc>
        <w:tc>
          <w:tcPr>
            <w:tcW w:w="5386" w:type="dxa"/>
            <w:vAlign w:val="center"/>
          </w:tcPr>
          <w:p>
            <w:pPr>
              <w:pStyle w:val="12"/>
            </w:pPr>
            <w:r>
              <w:t>涉军岗位工资及时发放率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涉军岗位取暖费</w:t>
            </w:r>
          </w:p>
        </w:tc>
        <w:tc>
          <w:tcPr>
            <w:tcW w:w="5386" w:type="dxa"/>
            <w:vAlign w:val="center"/>
          </w:tcPr>
          <w:p>
            <w:pPr>
              <w:pStyle w:val="12"/>
            </w:pPr>
            <w:r>
              <w:t>涉军岗位取暖费</w:t>
            </w:r>
          </w:p>
        </w:tc>
        <w:tc>
          <w:tcPr>
            <w:tcW w:w="2268" w:type="dxa"/>
            <w:vAlign w:val="center"/>
          </w:tcPr>
          <w:p>
            <w:pPr>
              <w:pStyle w:val="12"/>
            </w:pPr>
            <w:r>
              <w:t>2200元</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涉军岗位工资</w:t>
            </w:r>
          </w:p>
        </w:tc>
        <w:tc>
          <w:tcPr>
            <w:tcW w:w="5386" w:type="dxa"/>
            <w:vAlign w:val="center"/>
          </w:tcPr>
          <w:p>
            <w:pPr>
              <w:pStyle w:val="12"/>
            </w:pPr>
            <w:r>
              <w:t>涉军岗位工资</w:t>
            </w:r>
          </w:p>
        </w:tc>
        <w:tc>
          <w:tcPr>
            <w:tcW w:w="2268" w:type="dxa"/>
            <w:vAlign w:val="center"/>
          </w:tcPr>
          <w:p>
            <w:pPr>
              <w:pStyle w:val="12"/>
            </w:pPr>
            <w:r>
              <w:t>3400元</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提升社会稳定性</w:t>
            </w:r>
          </w:p>
        </w:tc>
        <w:tc>
          <w:tcPr>
            <w:tcW w:w="5386" w:type="dxa"/>
            <w:vAlign w:val="center"/>
          </w:tcPr>
          <w:p>
            <w:pPr>
              <w:pStyle w:val="12"/>
            </w:pPr>
            <w:r>
              <w:t>提升社会稳定性</w:t>
            </w:r>
          </w:p>
        </w:tc>
        <w:tc>
          <w:tcPr>
            <w:tcW w:w="2268" w:type="dxa"/>
            <w:vAlign w:val="center"/>
          </w:tcPr>
          <w:p>
            <w:pPr>
              <w:pStyle w:val="12"/>
            </w:pPr>
            <w:r>
              <w:t>≥90%</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涉军岗位人员满意度</w:t>
            </w:r>
          </w:p>
        </w:tc>
        <w:tc>
          <w:tcPr>
            <w:tcW w:w="5386" w:type="dxa"/>
            <w:vAlign w:val="center"/>
          </w:tcPr>
          <w:p>
            <w:pPr>
              <w:pStyle w:val="12"/>
            </w:pPr>
            <w:r>
              <w:t>涉军岗位人员满意度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3、2026年网络安全技术支持项目绩效目标表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13011026P000034100038</w:t>
            </w:r>
          </w:p>
        </w:tc>
        <w:tc>
          <w:tcPr>
            <w:tcW w:w="2835" w:type="dxa"/>
            <w:vAlign w:val="center"/>
          </w:tcPr>
          <w:p>
            <w:pPr>
              <w:pStyle w:val="10"/>
            </w:pPr>
            <w:r>
              <w:t>项目名称</w:t>
            </w:r>
          </w:p>
        </w:tc>
        <w:tc>
          <w:tcPr>
            <w:tcW w:w="6095" w:type="dxa"/>
            <w:gridSpan w:val="3"/>
            <w:vAlign w:val="center"/>
          </w:tcPr>
          <w:p>
            <w:pPr>
              <w:pStyle w:val="12"/>
            </w:pPr>
            <w:r>
              <w:t>2026年网络安全技术支持项目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组织开展网络安全、网络主题宣传等活动次数</w:t>
            </w:r>
          </w:p>
        </w:tc>
        <w:tc>
          <w:tcPr>
            <w:tcW w:w="5386" w:type="dxa"/>
            <w:vAlign w:val="center"/>
          </w:tcPr>
          <w:p>
            <w:pPr>
              <w:pStyle w:val="12"/>
            </w:pPr>
            <w:r>
              <w:t>组织开展网络安全、网络主题宣传等活动次数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网络安全技术监测工作完成率</w:t>
            </w:r>
          </w:p>
        </w:tc>
        <w:tc>
          <w:tcPr>
            <w:tcW w:w="5386" w:type="dxa"/>
            <w:vAlign w:val="center"/>
          </w:tcPr>
          <w:p>
            <w:pPr>
              <w:pStyle w:val="12"/>
            </w:pPr>
            <w:r>
              <w:t>网络安全技术监测工作完成率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对全区不少于16个官方网站、系统、APP、终端等监测次数</w:t>
            </w:r>
          </w:p>
        </w:tc>
        <w:tc>
          <w:tcPr>
            <w:tcW w:w="5386" w:type="dxa"/>
            <w:vAlign w:val="center"/>
          </w:tcPr>
          <w:p>
            <w:pPr>
              <w:pStyle w:val="12"/>
            </w:pPr>
            <w:r>
              <w:t>对全区不少于16个官方网站、系统、APP、终端等监测次数</w:t>
            </w:r>
          </w:p>
        </w:tc>
        <w:tc>
          <w:tcPr>
            <w:tcW w:w="2268" w:type="dxa"/>
            <w:vAlign w:val="center"/>
          </w:tcPr>
          <w:p>
            <w:pPr>
              <w:pStyle w:val="12"/>
            </w:pPr>
            <w:r>
              <w:t>对所有监测站点实行7*24小时监测</w:t>
            </w:r>
          </w:p>
        </w:tc>
        <w:tc>
          <w:tcPr>
            <w:tcW w:w="1276" w:type="dxa"/>
            <w:vAlign w:val="center"/>
          </w:tcPr>
          <w:p>
            <w:pPr>
              <w:pStyle w:val="12"/>
            </w:pPr>
            <w:r>
              <w:t>历史指标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≥90%</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网络安全技术支持成本及网络作品成本</w:t>
            </w:r>
          </w:p>
        </w:tc>
        <w:tc>
          <w:tcPr>
            <w:tcW w:w="5386" w:type="dxa"/>
            <w:vAlign w:val="center"/>
          </w:tcPr>
          <w:p>
            <w:pPr>
              <w:pStyle w:val="12"/>
            </w:pPr>
            <w:r>
              <w:t>网络安全技术支持成本及网络作品成本</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还之前年度旧欠</w:t>
            </w:r>
          </w:p>
        </w:tc>
        <w:tc>
          <w:tcPr>
            <w:tcW w:w="5386" w:type="dxa"/>
            <w:vAlign w:val="center"/>
          </w:tcPr>
          <w:p>
            <w:pPr>
              <w:pStyle w:val="12"/>
            </w:pPr>
            <w:r>
              <w:t>还之前年度旧欠</w:t>
            </w:r>
          </w:p>
        </w:tc>
        <w:tc>
          <w:tcPr>
            <w:tcW w:w="2268" w:type="dxa"/>
            <w:vAlign w:val="center"/>
          </w:tcPr>
          <w:p>
            <w:pPr>
              <w:pStyle w:val="12"/>
            </w:pPr>
            <w:r>
              <w:t>25.9万</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对全区网络安全进行宣传和技术支持</w:t>
            </w:r>
          </w:p>
        </w:tc>
        <w:tc>
          <w:tcPr>
            <w:tcW w:w="2268" w:type="dxa"/>
            <w:vAlign w:val="center"/>
          </w:tcPr>
          <w:p>
            <w:pPr>
              <w:pStyle w:val="12"/>
            </w:pPr>
            <w:r>
              <w:t>做好全区网络安全进行宣传和技术支持</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4、2026年网络舆情监测直报项目绩效目标表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13011026P00003210004G</w:t>
            </w:r>
          </w:p>
        </w:tc>
        <w:tc>
          <w:tcPr>
            <w:tcW w:w="2835" w:type="dxa"/>
            <w:vAlign w:val="center"/>
          </w:tcPr>
          <w:p>
            <w:pPr>
              <w:pStyle w:val="10"/>
            </w:pPr>
            <w:r>
              <w:t>项目名称</w:t>
            </w:r>
          </w:p>
        </w:tc>
        <w:tc>
          <w:tcPr>
            <w:tcW w:w="6095" w:type="dxa"/>
            <w:gridSpan w:val="3"/>
            <w:vAlign w:val="center"/>
          </w:tcPr>
          <w:p>
            <w:pPr>
              <w:pStyle w:val="12"/>
            </w:pPr>
            <w:r>
              <w:t>2026年网络舆情监测直报项目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根据省市安排，对政治类信息举报进行重点监测，同时配合石家庄市舆情监测并进行推送等技术服务，并做好网信办视频会议室信息技术维护工作。提供省直报数量不少于3000条。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 根据省市安排，对政治类信息举报进行重点监测，同时配合石家庄市舆情监测并进行推送等技术服务，并做好网信办视频会议室信息技术维护工作。提供省直报数量不少于3000条。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提供省直报数量</w:t>
            </w:r>
          </w:p>
        </w:tc>
        <w:tc>
          <w:tcPr>
            <w:tcW w:w="5386" w:type="dxa"/>
            <w:vAlign w:val="center"/>
          </w:tcPr>
          <w:p>
            <w:pPr>
              <w:pStyle w:val="12"/>
            </w:pPr>
            <w:r>
              <w:t>提供省直报数量</w:t>
            </w:r>
          </w:p>
        </w:tc>
        <w:tc>
          <w:tcPr>
            <w:tcW w:w="2268" w:type="dxa"/>
            <w:vAlign w:val="center"/>
          </w:tcPr>
          <w:p>
            <w:pPr>
              <w:pStyle w:val="12"/>
            </w:pPr>
            <w:r>
              <w:t>≥3000条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省直报采纳率</w:t>
            </w:r>
          </w:p>
        </w:tc>
        <w:tc>
          <w:tcPr>
            <w:tcW w:w="5386" w:type="dxa"/>
            <w:vAlign w:val="center"/>
          </w:tcPr>
          <w:p>
            <w:pPr>
              <w:pStyle w:val="12"/>
            </w:pPr>
            <w:r>
              <w:t>省直报采纳率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报送舆情时间按时完成率</w:t>
            </w:r>
          </w:p>
        </w:tc>
        <w:tc>
          <w:tcPr>
            <w:tcW w:w="5386" w:type="dxa"/>
            <w:vAlign w:val="center"/>
          </w:tcPr>
          <w:p>
            <w:pPr>
              <w:pStyle w:val="12"/>
            </w:pPr>
            <w:r>
              <w:t>报送舆情时间按时完成率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还之前年度旧欠</w:t>
            </w:r>
          </w:p>
        </w:tc>
        <w:tc>
          <w:tcPr>
            <w:tcW w:w="5386" w:type="dxa"/>
            <w:vAlign w:val="center"/>
          </w:tcPr>
          <w:p>
            <w:pPr>
              <w:pStyle w:val="12"/>
            </w:pPr>
            <w:r>
              <w:t>还之前年度旧欠</w:t>
            </w:r>
          </w:p>
        </w:tc>
        <w:tc>
          <w:tcPr>
            <w:tcW w:w="2268" w:type="dxa"/>
            <w:vAlign w:val="center"/>
          </w:tcPr>
          <w:p>
            <w:pPr>
              <w:pStyle w:val="12"/>
            </w:pPr>
            <w:r>
              <w:t>39.75万元</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舆情监测直报成本</w:t>
            </w:r>
          </w:p>
        </w:tc>
        <w:tc>
          <w:tcPr>
            <w:tcW w:w="5386" w:type="dxa"/>
            <w:vAlign w:val="center"/>
          </w:tcPr>
          <w:p>
            <w:pPr>
              <w:pStyle w:val="12"/>
            </w:pPr>
            <w:r>
              <w:t>舆情监测直报成本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网络安全稳定运行</w:t>
            </w:r>
          </w:p>
        </w:tc>
        <w:tc>
          <w:tcPr>
            <w:tcW w:w="5386" w:type="dxa"/>
            <w:vAlign w:val="center"/>
          </w:tcPr>
          <w:p>
            <w:pPr>
              <w:pStyle w:val="12"/>
            </w:pPr>
            <w:r>
              <w:t>网络安全稳定运行</w:t>
            </w:r>
          </w:p>
        </w:tc>
        <w:tc>
          <w:tcPr>
            <w:tcW w:w="2268" w:type="dxa"/>
            <w:vAlign w:val="center"/>
          </w:tcPr>
          <w:p>
            <w:pPr>
              <w:pStyle w:val="12"/>
            </w:pPr>
            <w:r>
              <w:t>网络安全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使用单位成员满意度</w:t>
            </w:r>
          </w:p>
        </w:tc>
        <w:tc>
          <w:tcPr>
            <w:tcW w:w="5386" w:type="dxa"/>
            <w:vAlign w:val="center"/>
          </w:tcPr>
          <w:p>
            <w:pPr>
              <w:pStyle w:val="12"/>
            </w:pPr>
            <w:r>
              <w:t>使用单位成员满意度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5、2026年网络重点平台宣传项目绩效目标表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13011026P00322810024A</w:t>
            </w:r>
          </w:p>
        </w:tc>
        <w:tc>
          <w:tcPr>
            <w:tcW w:w="2835" w:type="dxa"/>
            <w:vAlign w:val="center"/>
          </w:tcPr>
          <w:p>
            <w:pPr>
              <w:pStyle w:val="10"/>
            </w:pPr>
            <w:r>
              <w:t>项目名称</w:t>
            </w:r>
          </w:p>
        </w:tc>
        <w:tc>
          <w:tcPr>
            <w:tcW w:w="6095" w:type="dxa"/>
            <w:gridSpan w:val="3"/>
            <w:vAlign w:val="center"/>
          </w:tcPr>
          <w:p>
            <w:pPr>
              <w:pStyle w:val="12"/>
            </w:pPr>
            <w:r>
              <w:t>2026年网络重点平台宣传项目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提升鹿泉网络宣传效果，有效引导网上舆论，树立鹿泉区正面形象，充分发挥新媒体传播速度快、覆盖范围广的优势，开展网信培训工作，专题培训次数不少于2次，在新华网等重点平台宣传文旅、电子信息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升鹿泉网络宣传效果，有效引导网上舆论，树立鹿泉区正面形象，充分发挥新媒体传播速度快、覆盖范围广的优势，开展网信培训工作，专题培训次数不少于2次，在新华网等重点平台宣传文旅、电子信息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专题培训次数</w:t>
            </w:r>
          </w:p>
        </w:tc>
        <w:tc>
          <w:tcPr>
            <w:tcW w:w="5386" w:type="dxa"/>
            <w:vAlign w:val="center"/>
          </w:tcPr>
          <w:p>
            <w:pPr>
              <w:pStyle w:val="12"/>
            </w:pPr>
            <w:r>
              <w:t>专题培训次数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网络宣传工作完成率</w:t>
            </w:r>
          </w:p>
        </w:tc>
        <w:tc>
          <w:tcPr>
            <w:tcW w:w="5386" w:type="dxa"/>
            <w:vAlign w:val="center"/>
          </w:tcPr>
          <w:p>
            <w:pPr>
              <w:pStyle w:val="12"/>
            </w:pPr>
            <w:r>
              <w:t>网络宣传工作完成率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平台宣传数量成本</w:t>
            </w:r>
          </w:p>
        </w:tc>
        <w:tc>
          <w:tcPr>
            <w:tcW w:w="5386" w:type="dxa"/>
            <w:vAlign w:val="center"/>
          </w:tcPr>
          <w:p>
            <w:pPr>
              <w:pStyle w:val="12"/>
            </w:pPr>
            <w:r>
              <w:t>平台宣传数量成本</w:t>
            </w:r>
          </w:p>
        </w:tc>
        <w:tc>
          <w:tcPr>
            <w:tcW w:w="2268" w:type="dxa"/>
            <w:vAlign w:val="center"/>
          </w:tcPr>
          <w:p>
            <w:pPr>
              <w:pStyle w:val="12"/>
            </w:pPr>
            <w:r>
              <w:t>≤15万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还上年度旧欠</w:t>
            </w:r>
          </w:p>
        </w:tc>
        <w:tc>
          <w:tcPr>
            <w:tcW w:w="5386" w:type="dxa"/>
            <w:vAlign w:val="center"/>
          </w:tcPr>
          <w:p>
            <w:pPr>
              <w:pStyle w:val="12"/>
            </w:pPr>
            <w:r>
              <w:t>还上年度旧欠</w:t>
            </w:r>
          </w:p>
        </w:tc>
        <w:tc>
          <w:tcPr>
            <w:tcW w:w="2268" w:type="dxa"/>
            <w:vAlign w:val="center"/>
          </w:tcPr>
          <w:p>
            <w:pPr>
              <w:pStyle w:val="12"/>
            </w:pPr>
            <w:r>
              <w:t>9.9万</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有效引导网上舆论，树立我区正面形象</w:t>
            </w:r>
          </w:p>
        </w:tc>
        <w:tc>
          <w:tcPr>
            <w:tcW w:w="2268" w:type="dxa"/>
            <w:vAlign w:val="center"/>
          </w:tcPr>
          <w:p>
            <w:pPr>
              <w:pStyle w:val="12"/>
            </w:pPr>
            <w:r>
              <w:t>做好宣传网络</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历史指标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6、2026年舆情中心运行费项目绩效目标表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13011026P00003210003W</w:t>
            </w:r>
          </w:p>
        </w:tc>
        <w:tc>
          <w:tcPr>
            <w:tcW w:w="2835" w:type="dxa"/>
            <w:vAlign w:val="center"/>
          </w:tcPr>
          <w:p>
            <w:pPr>
              <w:pStyle w:val="10"/>
            </w:pPr>
            <w:r>
              <w:t>项目名称</w:t>
            </w:r>
          </w:p>
        </w:tc>
        <w:tc>
          <w:tcPr>
            <w:tcW w:w="6095" w:type="dxa"/>
            <w:gridSpan w:val="3"/>
            <w:vAlign w:val="center"/>
          </w:tcPr>
          <w:p>
            <w:pPr>
              <w:pStyle w:val="12"/>
            </w:pPr>
            <w:r>
              <w:t>2026年舆情中心运行费项目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报送网络舆情时间</w:t>
            </w:r>
          </w:p>
        </w:tc>
        <w:tc>
          <w:tcPr>
            <w:tcW w:w="5386" w:type="dxa"/>
            <w:vAlign w:val="center"/>
          </w:tcPr>
          <w:p>
            <w:pPr>
              <w:pStyle w:val="12"/>
            </w:pPr>
            <w:r>
              <w:t>报送网络舆情时间</w:t>
            </w:r>
          </w:p>
        </w:tc>
        <w:tc>
          <w:tcPr>
            <w:tcW w:w="2268" w:type="dxa"/>
            <w:vAlign w:val="center"/>
          </w:tcPr>
          <w:p>
            <w:pPr>
              <w:pStyle w:val="12"/>
            </w:pPr>
            <w:r>
              <w:t>≤2小时</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系统维护成本</w:t>
            </w:r>
          </w:p>
        </w:tc>
        <w:tc>
          <w:tcPr>
            <w:tcW w:w="5386" w:type="dxa"/>
            <w:vAlign w:val="center"/>
          </w:tcPr>
          <w:p>
            <w:pPr>
              <w:pStyle w:val="12"/>
            </w:pPr>
            <w:r>
              <w:t>系统维护成本</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设置搜索关键词</w:t>
            </w:r>
          </w:p>
        </w:tc>
        <w:tc>
          <w:tcPr>
            <w:tcW w:w="5386" w:type="dxa"/>
            <w:vAlign w:val="center"/>
          </w:tcPr>
          <w:p>
            <w:pPr>
              <w:pStyle w:val="12"/>
            </w:pPr>
            <w:r>
              <w:t>设置搜索关键词</w:t>
            </w:r>
          </w:p>
        </w:tc>
        <w:tc>
          <w:tcPr>
            <w:tcW w:w="2268" w:type="dxa"/>
            <w:vAlign w:val="center"/>
          </w:tcPr>
          <w:p>
            <w:pPr>
              <w:pStyle w:val="12"/>
            </w:pPr>
            <w:r>
              <w:t>≥200条</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全网舆情推送次数</w:t>
            </w:r>
          </w:p>
        </w:tc>
        <w:tc>
          <w:tcPr>
            <w:tcW w:w="5386" w:type="dxa"/>
            <w:vAlign w:val="center"/>
          </w:tcPr>
          <w:p>
            <w:pPr>
              <w:pStyle w:val="12"/>
            </w:pPr>
            <w:r>
              <w:t>全网舆情推送次数</w:t>
            </w:r>
          </w:p>
        </w:tc>
        <w:tc>
          <w:tcPr>
            <w:tcW w:w="2268" w:type="dxa"/>
            <w:vAlign w:val="center"/>
          </w:tcPr>
          <w:p>
            <w:pPr>
              <w:pStyle w:val="12"/>
            </w:pPr>
            <w:r>
              <w:t>≥8000条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化解舆情风险</w:t>
            </w:r>
          </w:p>
        </w:tc>
        <w:tc>
          <w:tcPr>
            <w:tcW w:w="5386" w:type="dxa"/>
            <w:vAlign w:val="center"/>
          </w:tcPr>
          <w:p>
            <w:pPr>
              <w:pStyle w:val="12"/>
            </w:pPr>
            <w:r>
              <w:t>使我区舆情总体平稳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使用单位成员满意度</w:t>
            </w:r>
          </w:p>
        </w:tc>
        <w:tc>
          <w:tcPr>
            <w:tcW w:w="5386" w:type="dxa"/>
            <w:vAlign w:val="center"/>
          </w:tcPr>
          <w:p>
            <w:pPr>
              <w:pStyle w:val="12"/>
            </w:pPr>
            <w:r>
              <w:t>使用单位成员满意度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w:t>
            </w:r>
          </w:p>
        </w:tc>
        <w:tc>
          <w:tcPr>
            <w:tcW w:w="964" w:type="dxa"/>
            <w:vAlign w:val="center"/>
          </w:tcPr>
          <w:p>
            <w:pPr>
              <w:pStyle w:val="15"/>
            </w:pPr>
            <w:r>
              <w:t>1.72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中共石家庄市鹿泉区委网络安全和信息化委员会办公室本级小计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w:t>
            </w:r>
          </w:p>
        </w:tc>
        <w:tc>
          <w:tcPr>
            <w:tcW w:w="964" w:type="dxa"/>
            <w:vAlign w:val="center"/>
          </w:tcPr>
          <w:p>
            <w:pPr>
              <w:pStyle w:val="15"/>
            </w:pPr>
            <w:r>
              <w:t>1.72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9</w:t>
            </w:r>
          </w:p>
        </w:tc>
        <w:tc>
          <w:tcPr>
            <w:tcW w:w="850" w:type="dxa"/>
            <w:vAlign w:val="center"/>
          </w:tcPr>
          <w:p>
            <w:pPr>
              <w:pStyle w:val="11"/>
            </w:pPr>
            <w:r>
              <w:t>0.08</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27</w:t>
            </w:r>
          </w:p>
        </w:tc>
        <w:tc>
          <w:tcPr>
            <w:tcW w:w="850" w:type="dxa"/>
            <w:vAlign w:val="center"/>
          </w:tcPr>
          <w:p>
            <w:pPr>
              <w:pStyle w:val="11"/>
            </w:pPr>
            <w:r>
              <w:t>0.02</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中共石家庄市鹿泉区委网络安全和信息化委员会办公室本级上年末固定资产金额为25.14万元（详见下表）。本年度拟购置固定资产总额为2.00万元，已按要求列入政府采购预算，详见政府采购预算表。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158</w:t>
            </w:r>
          </w:p>
        </w:tc>
        <w:tc>
          <w:tcPr>
            <w:tcW w:w="2835" w:type="dxa"/>
            <w:vAlign w:val="center"/>
          </w:tcPr>
          <w:p>
            <w:pPr>
              <w:pStyle w:val="11"/>
            </w:pPr>
            <w:r>
              <w:t>25.14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0969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2026-03-04T10:02:00Z</dcterms:created>
  <dc:creator>Administrator</dc:creator>
  <cp:lastModifiedBy>Administrator</cp:lastModifiedBy>
  <dcterms:modified xsi:type="dcterms:W3CDTF">2026-03-04T02:10:07Z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