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410石家庄市鹿泉区统计局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919.86</w:t>
            </w:r>
          </w:p>
        </w:tc>
        <w:tc>
          <w:tcPr>
            <w:tcW w:w="4535" w:type="dxa"/>
            <w:vAlign w:val="center"/>
          </w:tcPr>
          <w:p>
            <w:pPr>
              <w:pStyle w:val="13"/>
            </w:pPr>
            <w:r>
              <w:t>一、一般公共服务支出</w:t>
            </w:r>
          </w:p>
        </w:tc>
        <w:tc>
          <w:tcPr>
            <w:tcW w:w="2126" w:type="dxa"/>
            <w:vAlign w:val="center"/>
          </w:tcPr>
          <w:p>
            <w:pPr>
              <w:pStyle w:val="12"/>
            </w:pPr>
            <w:r>
              <w:t>687.11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919.86</w:t>
            </w:r>
          </w:p>
        </w:tc>
        <w:tc>
          <w:tcPr>
            <w:tcW w:w="4535" w:type="dxa"/>
            <w:vAlign w:val="center"/>
          </w:tcPr>
          <w:p>
            <w:pPr>
              <w:pStyle w:val="15"/>
            </w:pPr>
            <w:r>
              <w:t>本年支出合计</w:t>
            </w:r>
          </w:p>
        </w:tc>
        <w:tc>
          <w:tcPr>
            <w:tcW w:w="2126" w:type="dxa"/>
            <w:vAlign w:val="center"/>
          </w:tcPr>
          <w:p>
            <w:pPr>
              <w:pStyle w:val="16"/>
            </w:pPr>
            <w:r>
              <w:t>919.86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919.86</w:t>
            </w:r>
          </w:p>
        </w:tc>
        <w:tc>
          <w:tcPr>
            <w:tcW w:w="4535" w:type="dxa"/>
            <w:vAlign w:val="center"/>
          </w:tcPr>
          <w:p>
            <w:pPr>
              <w:pStyle w:val="15"/>
            </w:pPr>
            <w:r>
              <w:t>支出总计</w:t>
            </w:r>
          </w:p>
        </w:tc>
        <w:tc>
          <w:tcPr>
            <w:tcW w:w="2126" w:type="dxa"/>
            <w:vAlign w:val="center"/>
          </w:tcPr>
          <w:p>
            <w:pPr>
              <w:pStyle w:val="16"/>
            </w:pPr>
            <w:r>
              <w:t>919.86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410石家庄市鹿泉区统计局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919.86</w:t>
            </w:r>
          </w:p>
        </w:tc>
        <w:tc>
          <w:tcPr>
            <w:tcW w:w="1134" w:type="dxa"/>
            <w:vAlign w:val="center"/>
          </w:tcPr>
          <w:p>
            <w:pPr>
              <w:pStyle w:val="16"/>
            </w:pPr>
            <w:r>
              <w:t>919.86</w:t>
            </w:r>
          </w:p>
        </w:tc>
        <w:tc>
          <w:tcPr>
            <w:tcW w:w="1134" w:type="dxa"/>
            <w:vAlign w:val="center"/>
          </w:tcPr>
          <w:p>
            <w:pPr>
              <w:pStyle w:val="16"/>
            </w:pPr>
            <w:r>
              <w:t>919.86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687.11</w:t>
            </w:r>
          </w:p>
        </w:tc>
        <w:tc>
          <w:tcPr>
            <w:tcW w:w="1134" w:type="dxa"/>
            <w:vAlign w:val="center"/>
          </w:tcPr>
          <w:p>
            <w:pPr>
              <w:pStyle w:val="12"/>
            </w:pPr>
            <w:r>
              <w:t>687.11</w:t>
            </w:r>
          </w:p>
        </w:tc>
        <w:tc>
          <w:tcPr>
            <w:tcW w:w="1134" w:type="dxa"/>
            <w:vAlign w:val="center"/>
          </w:tcPr>
          <w:p>
            <w:pPr>
              <w:pStyle w:val="12"/>
            </w:pPr>
            <w:r>
              <w:t>687.11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687.11</w:t>
            </w:r>
          </w:p>
        </w:tc>
        <w:tc>
          <w:tcPr>
            <w:tcW w:w="1134" w:type="dxa"/>
            <w:vAlign w:val="center"/>
          </w:tcPr>
          <w:p>
            <w:pPr>
              <w:pStyle w:val="12"/>
            </w:pPr>
            <w:r>
              <w:t>687.11</w:t>
            </w:r>
          </w:p>
        </w:tc>
        <w:tc>
          <w:tcPr>
            <w:tcW w:w="1134" w:type="dxa"/>
            <w:vAlign w:val="center"/>
          </w:tcPr>
          <w:p>
            <w:pPr>
              <w:pStyle w:val="12"/>
            </w:pPr>
            <w:r>
              <w:t>687.11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489.11</w:t>
            </w:r>
          </w:p>
        </w:tc>
        <w:tc>
          <w:tcPr>
            <w:tcW w:w="1134" w:type="dxa"/>
            <w:vAlign w:val="center"/>
          </w:tcPr>
          <w:p>
            <w:pPr>
              <w:pStyle w:val="12"/>
            </w:pPr>
            <w:r>
              <w:t>489.11</w:t>
            </w:r>
          </w:p>
        </w:tc>
        <w:tc>
          <w:tcPr>
            <w:tcW w:w="1134" w:type="dxa"/>
            <w:vAlign w:val="center"/>
          </w:tcPr>
          <w:p>
            <w:pPr>
              <w:pStyle w:val="12"/>
            </w:pPr>
            <w:r>
              <w:t>489.11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198.00</w:t>
            </w:r>
          </w:p>
        </w:tc>
        <w:tc>
          <w:tcPr>
            <w:tcW w:w="1134" w:type="dxa"/>
            <w:vAlign w:val="center"/>
          </w:tcPr>
          <w:p>
            <w:pPr>
              <w:pStyle w:val="12"/>
            </w:pPr>
            <w:r>
              <w:t>198.00</w:t>
            </w:r>
          </w:p>
        </w:tc>
        <w:tc>
          <w:tcPr>
            <w:tcW w:w="1134" w:type="dxa"/>
            <w:vAlign w:val="center"/>
          </w:tcPr>
          <w:p>
            <w:pPr>
              <w:pStyle w:val="12"/>
            </w:pPr>
            <w:r>
              <w:t>198.00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158.38</w:t>
            </w:r>
          </w:p>
        </w:tc>
        <w:tc>
          <w:tcPr>
            <w:tcW w:w="1134" w:type="dxa"/>
            <w:vAlign w:val="center"/>
          </w:tcPr>
          <w:p>
            <w:pPr>
              <w:pStyle w:val="12"/>
            </w:pPr>
            <w:r>
              <w:t>158.38</w:t>
            </w:r>
          </w:p>
        </w:tc>
        <w:tc>
          <w:tcPr>
            <w:tcW w:w="1134" w:type="dxa"/>
            <w:vAlign w:val="center"/>
          </w:tcPr>
          <w:p>
            <w:pPr>
              <w:pStyle w:val="12"/>
            </w:pPr>
            <w:r>
              <w:t>158.38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158.38</w:t>
            </w:r>
          </w:p>
        </w:tc>
        <w:tc>
          <w:tcPr>
            <w:tcW w:w="1134" w:type="dxa"/>
            <w:vAlign w:val="center"/>
          </w:tcPr>
          <w:p>
            <w:pPr>
              <w:pStyle w:val="12"/>
            </w:pPr>
            <w:r>
              <w:t>158.38</w:t>
            </w:r>
          </w:p>
        </w:tc>
        <w:tc>
          <w:tcPr>
            <w:tcW w:w="1134" w:type="dxa"/>
            <w:vAlign w:val="center"/>
          </w:tcPr>
          <w:p>
            <w:pPr>
              <w:pStyle w:val="12"/>
            </w:pPr>
            <w:r>
              <w:t>158.38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112.77</w:t>
            </w:r>
          </w:p>
        </w:tc>
        <w:tc>
          <w:tcPr>
            <w:tcW w:w="1134" w:type="dxa"/>
            <w:vAlign w:val="center"/>
          </w:tcPr>
          <w:p>
            <w:pPr>
              <w:pStyle w:val="12"/>
            </w:pPr>
            <w:r>
              <w:t>112.77</w:t>
            </w:r>
          </w:p>
        </w:tc>
        <w:tc>
          <w:tcPr>
            <w:tcW w:w="1134" w:type="dxa"/>
            <w:vAlign w:val="center"/>
          </w:tcPr>
          <w:p>
            <w:pPr>
              <w:pStyle w:val="12"/>
            </w:pPr>
            <w:r>
              <w:t>112.77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45.61</w:t>
            </w:r>
          </w:p>
        </w:tc>
        <w:tc>
          <w:tcPr>
            <w:tcW w:w="1134" w:type="dxa"/>
            <w:vAlign w:val="center"/>
          </w:tcPr>
          <w:p>
            <w:pPr>
              <w:pStyle w:val="12"/>
            </w:pPr>
            <w:r>
              <w:t>45.61</w:t>
            </w:r>
          </w:p>
        </w:tc>
        <w:tc>
          <w:tcPr>
            <w:tcW w:w="1134" w:type="dxa"/>
            <w:vAlign w:val="center"/>
          </w:tcPr>
          <w:p>
            <w:pPr>
              <w:pStyle w:val="12"/>
            </w:pPr>
            <w:r>
              <w:t>45.61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29.67</w:t>
            </w:r>
          </w:p>
        </w:tc>
        <w:tc>
          <w:tcPr>
            <w:tcW w:w="1134" w:type="dxa"/>
            <w:vAlign w:val="center"/>
          </w:tcPr>
          <w:p>
            <w:pPr>
              <w:pStyle w:val="12"/>
            </w:pPr>
            <w:r>
              <w:t>29.67</w:t>
            </w:r>
          </w:p>
        </w:tc>
        <w:tc>
          <w:tcPr>
            <w:tcW w:w="1134" w:type="dxa"/>
            <w:vAlign w:val="center"/>
          </w:tcPr>
          <w:p>
            <w:pPr>
              <w:pStyle w:val="12"/>
            </w:pPr>
            <w:r>
              <w:t>29.67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29.67</w:t>
            </w:r>
          </w:p>
        </w:tc>
        <w:tc>
          <w:tcPr>
            <w:tcW w:w="1134" w:type="dxa"/>
            <w:vAlign w:val="center"/>
          </w:tcPr>
          <w:p>
            <w:pPr>
              <w:pStyle w:val="12"/>
            </w:pPr>
            <w:r>
              <w:t>29.67</w:t>
            </w:r>
          </w:p>
        </w:tc>
        <w:tc>
          <w:tcPr>
            <w:tcW w:w="1134" w:type="dxa"/>
            <w:vAlign w:val="center"/>
          </w:tcPr>
          <w:p>
            <w:pPr>
              <w:pStyle w:val="12"/>
            </w:pPr>
            <w:r>
              <w:t>29.67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29.67</w:t>
            </w:r>
          </w:p>
        </w:tc>
        <w:tc>
          <w:tcPr>
            <w:tcW w:w="1134" w:type="dxa"/>
            <w:vAlign w:val="center"/>
          </w:tcPr>
          <w:p>
            <w:pPr>
              <w:pStyle w:val="12"/>
            </w:pPr>
            <w:r>
              <w:t>29.67</w:t>
            </w:r>
          </w:p>
        </w:tc>
        <w:tc>
          <w:tcPr>
            <w:tcW w:w="1134" w:type="dxa"/>
            <w:vAlign w:val="center"/>
          </w:tcPr>
          <w:p>
            <w:pPr>
              <w:pStyle w:val="12"/>
            </w:pPr>
            <w:r>
              <w:t>29.67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44.70</w:t>
            </w:r>
          </w:p>
        </w:tc>
        <w:tc>
          <w:tcPr>
            <w:tcW w:w="1134" w:type="dxa"/>
            <w:vAlign w:val="center"/>
          </w:tcPr>
          <w:p>
            <w:pPr>
              <w:pStyle w:val="12"/>
            </w:pPr>
            <w:r>
              <w:t>44.70</w:t>
            </w:r>
          </w:p>
        </w:tc>
        <w:tc>
          <w:tcPr>
            <w:tcW w:w="1134" w:type="dxa"/>
            <w:vAlign w:val="center"/>
          </w:tcPr>
          <w:p>
            <w:pPr>
              <w:pStyle w:val="12"/>
            </w:pPr>
            <w:r>
              <w:t>44.70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44.70</w:t>
            </w:r>
          </w:p>
        </w:tc>
        <w:tc>
          <w:tcPr>
            <w:tcW w:w="1134" w:type="dxa"/>
            <w:vAlign w:val="center"/>
          </w:tcPr>
          <w:p>
            <w:pPr>
              <w:pStyle w:val="12"/>
            </w:pPr>
            <w:r>
              <w:t>44.70</w:t>
            </w:r>
          </w:p>
        </w:tc>
        <w:tc>
          <w:tcPr>
            <w:tcW w:w="1134" w:type="dxa"/>
            <w:vAlign w:val="center"/>
          </w:tcPr>
          <w:p>
            <w:pPr>
              <w:pStyle w:val="12"/>
            </w:pPr>
            <w:r>
              <w:t>44.70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44.70</w:t>
            </w:r>
          </w:p>
        </w:tc>
        <w:tc>
          <w:tcPr>
            <w:tcW w:w="1134" w:type="dxa"/>
            <w:vAlign w:val="center"/>
          </w:tcPr>
          <w:p>
            <w:pPr>
              <w:pStyle w:val="12"/>
            </w:pPr>
            <w:r>
              <w:t>44.70</w:t>
            </w:r>
          </w:p>
        </w:tc>
        <w:tc>
          <w:tcPr>
            <w:tcW w:w="1134" w:type="dxa"/>
            <w:vAlign w:val="center"/>
          </w:tcPr>
          <w:p>
            <w:pPr>
              <w:pStyle w:val="12"/>
            </w:pPr>
            <w:r>
              <w:t>44.70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919.86</w:t>
            </w:r>
          </w:p>
        </w:tc>
        <w:tc>
          <w:tcPr>
            <w:tcW w:w="1361" w:type="dxa"/>
            <w:vAlign w:val="center"/>
          </w:tcPr>
          <w:p>
            <w:pPr>
              <w:pStyle w:val="16"/>
            </w:pPr>
            <w:r>
              <w:t>721.86</w:t>
            </w:r>
          </w:p>
        </w:tc>
        <w:tc>
          <w:tcPr>
            <w:tcW w:w="1361" w:type="dxa"/>
            <w:vAlign w:val="center"/>
          </w:tcPr>
          <w:p>
            <w:pPr>
              <w:pStyle w:val="16"/>
            </w:pPr>
            <w:r>
              <w:t>198.00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687.11</w:t>
            </w:r>
          </w:p>
        </w:tc>
        <w:tc>
          <w:tcPr>
            <w:tcW w:w="1361" w:type="dxa"/>
            <w:vAlign w:val="center"/>
          </w:tcPr>
          <w:p>
            <w:pPr>
              <w:pStyle w:val="12"/>
            </w:pPr>
            <w:r>
              <w:t>489.11</w:t>
            </w: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687.11</w:t>
            </w:r>
          </w:p>
        </w:tc>
        <w:tc>
          <w:tcPr>
            <w:tcW w:w="1361" w:type="dxa"/>
            <w:vAlign w:val="center"/>
          </w:tcPr>
          <w:p>
            <w:pPr>
              <w:pStyle w:val="12"/>
            </w:pPr>
            <w:r>
              <w:t>489.11</w:t>
            </w: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489.11</w:t>
            </w:r>
          </w:p>
        </w:tc>
        <w:tc>
          <w:tcPr>
            <w:tcW w:w="1361" w:type="dxa"/>
            <w:vAlign w:val="center"/>
          </w:tcPr>
          <w:p>
            <w:pPr>
              <w:pStyle w:val="12"/>
            </w:pPr>
            <w:r>
              <w:t>489.11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2010505</w:t>
            </w:r>
          </w:p>
        </w:tc>
        <w:tc>
          <w:tcPr>
            <w:tcW w:w="4535" w:type="dxa"/>
            <w:vAlign w:val="center"/>
          </w:tcPr>
          <w:p>
            <w:pPr>
              <w:pStyle w:val="13"/>
            </w:pPr>
            <w:r>
              <w:t>专项统计业务</w:t>
            </w: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158.38</w:t>
            </w:r>
          </w:p>
        </w:tc>
        <w:tc>
          <w:tcPr>
            <w:tcW w:w="1361" w:type="dxa"/>
            <w:vAlign w:val="center"/>
          </w:tcPr>
          <w:p>
            <w:pPr>
              <w:pStyle w:val="12"/>
            </w:pPr>
            <w:r>
              <w:t>158.38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158.38</w:t>
            </w:r>
          </w:p>
        </w:tc>
        <w:tc>
          <w:tcPr>
            <w:tcW w:w="1361" w:type="dxa"/>
            <w:vAlign w:val="center"/>
          </w:tcPr>
          <w:p>
            <w:pPr>
              <w:pStyle w:val="12"/>
            </w:pPr>
            <w:r>
              <w:t>158.38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112.77</w:t>
            </w:r>
          </w:p>
        </w:tc>
        <w:tc>
          <w:tcPr>
            <w:tcW w:w="1361" w:type="dxa"/>
            <w:vAlign w:val="center"/>
          </w:tcPr>
          <w:p>
            <w:pPr>
              <w:pStyle w:val="12"/>
            </w:pPr>
            <w:r>
              <w:t>112.77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45.61</w:t>
            </w:r>
          </w:p>
        </w:tc>
        <w:tc>
          <w:tcPr>
            <w:tcW w:w="1361" w:type="dxa"/>
            <w:vAlign w:val="center"/>
          </w:tcPr>
          <w:p>
            <w:pPr>
              <w:pStyle w:val="12"/>
            </w:pPr>
            <w:r>
              <w:t>45.61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29.67</w:t>
            </w:r>
          </w:p>
        </w:tc>
        <w:tc>
          <w:tcPr>
            <w:tcW w:w="1361" w:type="dxa"/>
            <w:vAlign w:val="center"/>
          </w:tcPr>
          <w:p>
            <w:pPr>
              <w:pStyle w:val="12"/>
            </w:pPr>
            <w:r>
              <w:t>29.67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29.67</w:t>
            </w:r>
          </w:p>
        </w:tc>
        <w:tc>
          <w:tcPr>
            <w:tcW w:w="1361" w:type="dxa"/>
            <w:vAlign w:val="center"/>
          </w:tcPr>
          <w:p>
            <w:pPr>
              <w:pStyle w:val="12"/>
            </w:pPr>
            <w:r>
              <w:t>29.67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29.67</w:t>
            </w:r>
          </w:p>
        </w:tc>
        <w:tc>
          <w:tcPr>
            <w:tcW w:w="1361" w:type="dxa"/>
            <w:vAlign w:val="center"/>
          </w:tcPr>
          <w:p>
            <w:pPr>
              <w:pStyle w:val="12"/>
            </w:pPr>
            <w:r>
              <w:t>29.67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44.70</w:t>
            </w:r>
          </w:p>
        </w:tc>
        <w:tc>
          <w:tcPr>
            <w:tcW w:w="1361" w:type="dxa"/>
            <w:vAlign w:val="center"/>
          </w:tcPr>
          <w:p>
            <w:pPr>
              <w:pStyle w:val="12"/>
            </w:pPr>
            <w:r>
              <w:t>44.70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44.70</w:t>
            </w:r>
          </w:p>
        </w:tc>
        <w:tc>
          <w:tcPr>
            <w:tcW w:w="1361" w:type="dxa"/>
            <w:vAlign w:val="center"/>
          </w:tcPr>
          <w:p>
            <w:pPr>
              <w:pStyle w:val="12"/>
            </w:pPr>
            <w:r>
              <w:t>44.70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44.70</w:t>
            </w:r>
          </w:p>
        </w:tc>
        <w:tc>
          <w:tcPr>
            <w:tcW w:w="1361" w:type="dxa"/>
            <w:vAlign w:val="center"/>
          </w:tcPr>
          <w:p>
            <w:pPr>
              <w:pStyle w:val="12"/>
            </w:pPr>
            <w:r>
              <w:t>44.70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919.86</w:t>
            </w:r>
          </w:p>
        </w:tc>
        <w:tc>
          <w:tcPr>
            <w:tcW w:w="3402" w:type="dxa"/>
            <w:vAlign w:val="center"/>
          </w:tcPr>
          <w:p>
            <w:pPr>
              <w:pStyle w:val="13"/>
            </w:pPr>
            <w:r>
              <w:t>一、一般公共服务支出</w:t>
            </w:r>
          </w:p>
        </w:tc>
        <w:tc>
          <w:tcPr>
            <w:tcW w:w="1474" w:type="dxa"/>
            <w:vAlign w:val="center"/>
          </w:tcPr>
          <w:p>
            <w:pPr>
              <w:pStyle w:val="12"/>
            </w:pPr>
            <w:r>
              <w:t>687.11</w:t>
            </w:r>
          </w:p>
        </w:tc>
        <w:tc>
          <w:tcPr>
            <w:tcW w:w="1474" w:type="dxa"/>
            <w:vAlign w:val="center"/>
          </w:tcPr>
          <w:p>
            <w:pPr>
              <w:pStyle w:val="12"/>
            </w:pPr>
            <w:r>
              <w:t>687.11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158.38</w:t>
            </w:r>
          </w:p>
        </w:tc>
        <w:tc>
          <w:tcPr>
            <w:tcW w:w="1474" w:type="dxa"/>
            <w:vAlign w:val="center"/>
          </w:tcPr>
          <w:p>
            <w:pPr>
              <w:pStyle w:val="12"/>
            </w:pPr>
            <w:r>
              <w:t>158.38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29.67</w:t>
            </w:r>
          </w:p>
        </w:tc>
        <w:tc>
          <w:tcPr>
            <w:tcW w:w="1474" w:type="dxa"/>
            <w:vAlign w:val="center"/>
          </w:tcPr>
          <w:p>
            <w:pPr>
              <w:pStyle w:val="12"/>
            </w:pPr>
            <w:r>
              <w:t>29.67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44.70</w:t>
            </w:r>
          </w:p>
        </w:tc>
        <w:tc>
          <w:tcPr>
            <w:tcW w:w="1474" w:type="dxa"/>
            <w:vAlign w:val="center"/>
          </w:tcPr>
          <w:p>
            <w:pPr>
              <w:pStyle w:val="12"/>
            </w:pPr>
            <w:r>
              <w:t>44.70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919.86</w:t>
            </w:r>
          </w:p>
        </w:tc>
        <w:tc>
          <w:tcPr>
            <w:tcW w:w="3402" w:type="dxa"/>
            <w:vAlign w:val="center"/>
          </w:tcPr>
          <w:p>
            <w:pPr>
              <w:pStyle w:val="15"/>
            </w:pPr>
            <w:r>
              <w:t>本年支出合计</w:t>
            </w:r>
          </w:p>
        </w:tc>
        <w:tc>
          <w:tcPr>
            <w:tcW w:w="1474" w:type="dxa"/>
            <w:vAlign w:val="center"/>
          </w:tcPr>
          <w:p>
            <w:pPr>
              <w:pStyle w:val="16"/>
            </w:pPr>
            <w:r>
              <w:t>919.86</w:t>
            </w:r>
          </w:p>
        </w:tc>
        <w:tc>
          <w:tcPr>
            <w:tcW w:w="1474" w:type="dxa"/>
            <w:vAlign w:val="center"/>
          </w:tcPr>
          <w:p>
            <w:pPr>
              <w:pStyle w:val="16"/>
            </w:pPr>
            <w:r>
              <w:t>919.86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919.86</w:t>
            </w:r>
          </w:p>
        </w:tc>
        <w:tc>
          <w:tcPr>
            <w:tcW w:w="3402" w:type="dxa"/>
            <w:vAlign w:val="center"/>
          </w:tcPr>
          <w:p>
            <w:pPr>
              <w:pStyle w:val="15"/>
            </w:pPr>
            <w:r>
              <w:t>支出总计</w:t>
            </w:r>
          </w:p>
        </w:tc>
        <w:tc>
          <w:tcPr>
            <w:tcW w:w="1474" w:type="dxa"/>
            <w:vAlign w:val="center"/>
          </w:tcPr>
          <w:p>
            <w:pPr>
              <w:pStyle w:val="16"/>
            </w:pPr>
            <w:r>
              <w:t>919.86</w:t>
            </w:r>
          </w:p>
        </w:tc>
        <w:tc>
          <w:tcPr>
            <w:tcW w:w="1474" w:type="dxa"/>
            <w:vAlign w:val="center"/>
          </w:tcPr>
          <w:p>
            <w:pPr>
              <w:pStyle w:val="16"/>
            </w:pPr>
            <w:r>
              <w:t>919.86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919.86</w:t>
            </w:r>
          </w:p>
        </w:tc>
        <w:tc>
          <w:tcPr>
            <w:tcW w:w="2551" w:type="dxa"/>
            <w:vAlign w:val="center"/>
          </w:tcPr>
          <w:p>
            <w:pPr>
              <w:pStyle w:val="16"/>
            </w:pPr>
            <w:r>
              <w:t>721.86</w:t>
            </w:r>
          </w:p>
        </w:tc>
        <w:tc>
          <w:tcPr>
            <w:tcW w:w="2551" w:type="dxa"/>
            <w:vAlign w:val="center"/>
          </w:tcPr>
          <w:p>
            <w:pPr>
              <w:pStyle w:val="16"/>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687.11</w:t>
            </w:r>
          </w:p>
        </w:tc>
        <w:tc>
          <w:tcPr>
            <w:tcW w:w="2551" w:type="dxa"/>
            <w:vAlign w:val="center"/>
          </w:tcPr>
          <w:p>
            <w:pPr>
              <w:pStyle w:val="12"/>
            </w:pPr>
            <w:r>
              <w:t>489.11</w:t>
            </w:r>
          </w:p>
        </w:tc>
        <w:tc>
          <w:tcPr>
            <w:tcW w:w="2551" w:type="dxa"/>
            <w:vAlign w:val="center"/>
          </w:tcPr>
          <w:p>
            <w:pPr>
              <w:pStyle w:val="12"/>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687.11</w:t>
            </w:r>
          </w:p>
        </w:tc>
        <w:tc>
          <w:tcPr>
            <w:tcW w:w="2551" w:type="dxa"/>
            <w:vAlign w:val="center"/>
          </w:tcPr>
          <w:p>
            <w:pPr>
              <w:pStyle w:val="12"/>
            </w:pPr>
            <w:r>
              <w:t>489.11</w:t>
            </w:r>
          </w:p>
        </w:tc>
        <w:tc>
          <w:tcPr>
            <w:tcW w:w="2551" w:type="dxa"/>
            <w:vAlign w:val="center"/>
          </w:tcPr>
          <w:p>
            <w:pPr>
              <w:pStyle w:val="12"/>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489.11</w:t>
            </w:r>
          </w:p>
        </w:tc>
        <w:tc>
          <w:tcPr>
            <w:tcW w:w="2551" w:type="dxa"/>
            <w:vAlign w:val="center"/>
          </w:tcPr>
          <w:p>
            <w:pPr>
              <w:pStyle w:val="12"/>
            </w:pPr>
            <w:r>
              <w:t>489.11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198.00</w:t>
            </w:r>
          </w:p>
        </w:tc>
        <w:tc>
          <w:tcPr>
            <w:tcW w:w="2551" w:type="dxa"/>
            <w:vAlign w:val="center"/>
          </w:tcPr>
          <w:p>
            <w:pPr>
              <w:pStyle w:val="12"/>
            </w:pPr>
          </w:p>
        </w:tc>
        <w:tc>
          <w:tcPr>
            <w:tcW w:w="2551" w:type="dxa"/>
            <w:vAlign w:val="center"/>
          </w:tcPr>
          <w:p>
            <w:pPr>
              <w:pStyle w:val="12"/>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158.38</w:t>
            </w:r>
          </w:p>
        </w:tc>
        <w:tc>
          <w:tcPr>
            <w:tcW w:w="2551" w:type="dxa"/>
            <w:vAlign w:val="center"/>
          </w:tcPr>
          <w:p>
            <w:pPr>
              <w:pStyle w:val="12"/>
            </w:pPr>
            <w:r>
              <w:t>158.38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158.38</w:t>
            </w:r>
          </w:p>
        </w:tc>
        <w:tc>
          <w:tcPr>
            <w:tcW w:w="2551" w:type="dxa"/>
            <w:vAlign w:val="center"/>
          </w:tcPr>
          <w:p>
            <w:pPr>
              <w:pStyle w:val="12"/>
            </w:pPr>
            <w:r>
              <w:t>158.38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112.77</w:t>
            </w:r>
          </w:p>
        </w:tc>
        <w:tc>
          <w:tcPr>
            <w:tcW w:w="2551" w:type="dxa"/>
            <w:vAlign w:val="center"/>
          </w:tcPr>
          <w:p>
            <w:pPr>
              <w:pStyle w:val="12"/>
            </w:pPr>
            <w:r>
              <w:t>112.77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45.61</w:t>
            </w:r>
          </w:p>
        </w:tc>
        <w:tc>
          <w:tcPr>
            <w:tcW w:w="2551" w:type="dxa"/>
            <w:vAlign w:val="center"/>
          </w:tcPr>
          <w:p>
            <w:pPr>
              <w:pStyle w:val="12"/>
            </w:pPr>
            <w:r>
              <w:t>45.61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29.67</w:t>
            </w:r>
          </w:p>
        </w:tc>
        <w:tc>
          <w:tcPr>
            <w:tcW w:w="2551" w:type="dxa"/>
            <w:vAlign w:val="center"/>
          </w:tcPr>
          <w:p>
            <w:pPr>
              <w:pStyle w:val="12"/>
            </w:pPr>
            <w:r>
              <w:t>29.67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29.67</w:t>
            </w:r>
          </w:p>
        </w:tc>
        <w:tc>
          <w:tcPr>
            <w:tcW w:w="2551" w:type="dxa"/>
            <w:vAlign w:val="center"/>
          </w:tcPr>
          <w:p>
            <w:pPr>
              <w:pStyle w:val="12"/>
            </w:pPr>
            <w:r>
              <w:t>29.67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29.67</w:t>
            </w:r>
          </w:p>
        </w:tc>
        <w:tc>
          <w:tcPr>
            <w:tcW w:w="2551" w:type="dxa"/>
            <w:vAlign w:val="center"/>
          </w:tcPr>
          <w:p>
            <w:pPr>
              <w:pStyle w:val="12"/>
            </w:pPr>
            <w:r>
              <w:t>29.67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44.70</w:t>
            </w:r>
          </w:p>
        </w:tc>
        <w:tc>
          <w:tcPr>
            <w:tcW w:w="2551" w:type="dxa"/>
            <w:vAlign w:val="center"/>
          </w:tcPr>
          <w:p>
            <w:pPr>
              <w:pStyle w:val="12"/>
            </w:pPr>
            <w:r>
              <w:t>44.70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44.70</w:t>
            </w:r>
          </w:p>
        </w:tc>
        <w:tc>
          <w:tcPr>
            <w:tcW w:w="2551" w:type="dxa"/>
            <w:vAlign w:val="center"/>
          </w:tcPr>
          <w:p>
            <w:pPr>
              <w:pStyle w:val="12"/>
            </w:pPr>
            <w:r>
              <w:t>44.70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44.70</w:t>
            </w:r>
          </w:p>
        </w:tc>
        <w:tc>
          <w:tcPr>
            <w:tcW w:w="2551" w:type="dxa"/>
            <w:vAlign w:val="center"/>
          </w:tcPr>
          <w:p>
            <w:pPr>
              <w:pStyle w:val="12"/>
            </w:pPr>
            <w:r>
              <w:t>44.70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721.86</w:t>
            </w:r>
          </w:p>
        </w:tc>
        <w:tc>
          <w:tcPr>
            <w:tcW w:w="2551" w:type="dxa"/>
            <w:vAlign w:val="center"/>
          </w:tcPr>
          <w:p>
            <w:pPr>
              <w:pStyle w:val="16"/>
            </w:pPr>
            <w:r>
              <w:t>579.79</w:t>
            </w:r>
          </w:p>
        </w:tc>
        <w:tc>
          <w:tcPr>
            <w:tcW w:w="2551" w:type="dxa"/>
            <w:vAlign w:val="center"/>
          </w:tcPr>
          <w:p>
            <w:pPr>
              <w:pStyle w:val="16"/>
            </w:pPr>
            <w:r>
              <w:t>142.07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467.92</w:t>
            </w:r>
          </w:p>
        </w:tc>
        <w:tc>
          <w:tcPr>
            <w:tcW w:w="2551" w:type="dxa"/>
            <w:vAlign w:val="center"/>
          </w:tcPr>
          <w:p>
            <w:pPr>
              <w:pStyle w:val="12"/>
            </w:pPr>
            <w:r>
              <w:t>467.92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133.16</w:t>
            </w:r>
          </w:p>
        </w:tc>
        <w:tc>
          <w:tcPr>
            <w:tcW w:w="2551" w:type="dxa"/>
            <w:vAlign w:val="center"/>
          </w:tcPr>
          <w:p>
            <w:pPr>
              <w:pStyle w:val="12"/>
            </w:pPr>
            <w:r>
              <w:t>133.16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90.59</w:t>
            </w:r>
          </w:p>
        </w:tc>
        <w:tc>
          <w:tcPr>
            <w:tcW w:w="2551" w:type="dxa"/>
            <w:vAlign w:val="center"/>
          </w:tcPr>
          <w:p>
            <w:pPr>
              <w:pStyle w:val="12"/>
            </w:pPr>
            <w:r>
              <w:t>90.59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100.92</w:t>
            </w:r>
          </w:p>
        </w:tc>
        <w:tc>
          <w:tcPr>
            <w:tcW w:w="2551" w:type="dxa"/>
            <w:vAlign w:val="center"/>
          </w:tcPr>
          <w:p>
            <w:pPr>
              <w:pStyle w:val="12"/>
            </w:pPr>
            <w:r>
              <w:t>100.92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22.01</w:t>
            </w:r>
          </w:p>
        </w:tc>
        <w:tc>
          <w:tcPr>
            <w:tcW w:w="2551" w:type="dxa"/>
            <w:vAlign w:val="center"/>
          </w:tcPr>
          <w:p>
            <w:pPr>
              <w:pStyle w:val="12"/>
            </w:pPr>
            <w:r>
              <w:t>22.01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45.61</w:t>
            </w:r>
          </w:p>
        </w:tc>
        <w:tc>
          <w:tcPr>
            <w:tcW w:w="2551" w:type="dxa"/>
            <w:vAlign w:val="center"/>
          </w:tcPr>
          <w:p>
            <w:pPr>
              <w:pStyle w:val="12"/>
            </w:pPr>
            <w:r>
              <w:t>45.61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15.28</w:t>
            </w:r>
          </w:p>
        </w:tc>
        <w:tc>
          <w:tcPr>
            <w:tcW w:w="2551" w:type="dxa"/>
            <w:vAlign w:val="center"/>
          </w:tcPr>
          <w:p>
            <w:pPr>
              <w:pStyle w:val="12"/>
            </w:pPr>
            <w:r>
              <w:t>15.28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14.39</w:t>
            </w:r>
          </w:p>
        </w:tc>
        <w:tc>
          <w:tcPr>
            <w:tcW w:w="2551" w:type="dxa"/>
            <w:vAlign w:val="center"/>
          </w:tcPr>
          <w:p>
            <w:pPr>
              <w:pStyle w:val="12"/>
            </w:pPr>
            <w:r>
              <w:t>14.39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1.26</w:t>
            </w:r>
          </w:p>
        </w:tc>
        <w:tc>
          <w:tcPr>
            <w:tcW w:w="2551" w:type="dxa"/>
            <w:vAlign w:val="center"/>
          </w:tcPr>
          <w:p>
            <w:pPr>
              <w:pStyle w:val="12"/>
            </w:pPr>
            <w:r>
              <w:t>1.26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44.70</w:t>
            </w:r>
          </w:p>
        </w:tc>
        <w:tc>
          <w:tcPr>
            <w:tcW w:w="2551" w:type="dxa"/>
            <w:vAlign w:val="center"/>
          </w:tcPr>
          <w:p>
            <w:pPr>
              <w:pStyle w:val="12"/>
            </w:pPr>
            <w:r>
              <w:t>44.70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142.07</w:t>
            </w:r>
          </w:p>
        </w:tc>
        <w:tc>
          <w:tcPr>
            <w:tcW w:w="2551" w:type="dxa"/>
            <w:vAlign w:val="center"/>
          </w:tcPr>
          <w:p>
            <w:pPr>
              <w:pStyle w:val="12"/>
            </w:pPr>
          </w:p>
        </w:tc>
        <w:tc>
          <w:tcPr>
            <w:tcW w:w="2551" w:type="dxa"/>
            <w:vAlign w:val="center"/>
          </w:tcPr>
          <w:p>
            <w:pPr>
              <w:pStyle w:val="12"/>
            </w:pPr>
            <w:r>
              <w:t>142.07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15.60</w:t>
            </w:r>
          </w:p>
        </w:tc>
        <w:tc>
          <w:tcPr>
            <w:tcW w:w="2551" w:type="dxa"/>
            <w:vAlign w:val="center"/>
          </w:tcPr>
          <w:p>
            <w:pPr>
              <w:pStyle w:val="12"/>
            </w:pPr>
          </w:p>
        </w:tc>
        <w:tc>
          <w:tcPr>
            <w:tcW w:w="2551" w:type="dxa"/>
            <w:vAlign w:val="center"/>
          </w:tcPr>
          <w:p>
            <w:pPr>
              <w:pStyle w:val="12"/>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12.48</w:t>
            </w:r>
          </w:p>
        </w:tc>
        <w:tc>
          <w:tcPr>
            <w:tcW w:w="2551" w:type="dxa"/>
            <w:vAlign w:val="center"/>
          </w:tcPr>
          <w:p>
            <w:pPr>
              <w:pStyle w:val="12"/>
            </w:pPr>
          </w:p>
        </w:tc>
        <w:tc>
          <w:tcPr>
            <w:tcW w:w="2551" w:type="dxa"/>
            <w:vAlign w:val="center"/>
          </w:tcPr>
          <w:p>
            <w:pPr>
              <w:pStyle w:val="12"/>
            </w:pPr>
            <w:r>
              <w:t>12.48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87.87</w:t>
            </w:r>
          </w:p>
        </w:tc>
        <w:tc>
          <w:tcPr>
            <w:tcW w:w="2551" w:type="dxa"/>
            <w:vAlign w:val="center"/>
          </w:tcPr>
          <w:p>
            <w:pPr>
              <w:pStyle w:val="12"/>
            </w:pPr>
          </w:p>
        </w:tc>
        <w:tc>
          <w:tcPr>
            <w:tcW w:w="2551" w:type="dxa"/>
            <w:vAlign w:val="center"/>
          </w:tcPr>
          <w:p>
            <w:pPr>
              <w:pStyle w:val="12"/>
            </w:pPr>
            <w:r>
              <w:t>87.87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2.62</w:t>
            </w:r>
          </w:p>
        </w:tc>
        <w:tc>
          <w:tcPr>
            <w:tcW w:w="2551" w:type="dxa"/>
            <w:vAlign w:val="center"/>
          </w:tcPr>
          <w:p>
            <w:pPr>
              <w:pStyle w:val="12"/>
            </w:pPr>
          </w:p>
        </w:tc>
        <w:tc>
          <w:tcPr>
            <w:tcW w:w="2551" w:type="dxa"/>
            <w:vAlign w:val="center"/>
          </w:tcPr>
          <w:p>
            <w:pPr>
              <w:pStyle w:val="12"/>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13.86</w:t>
            </w:r>
          </w:p>
        </w:tc>
        <w:tc>
          <w:tcPr>
            <w:tcW w:w="2551" w:type="dxa"/>
            <w:vAlign w:val="center"/>
          </w:tcPr>
          <w:p>
            <w:pPr>
              <w:pStyle w:val="12"/>
            </w:pPr>
          </w:p>
        </w:tc>
        <w:tc>
          <w:tcPr>
            <w:tcW w:w="2551" w:type="dxa"/>
            <w:vAlign w:val="center"/>
          </w:tcPr>
          <w:p>
            <w:pPr>
              <w:pStyle w:val="12"/>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6.94</w:t>
            </w:r>
          </w:p>
        </w:tc>
        <w:tc>
          <w:tcPr>
            <w:tcW w:w="2551" w:type="dxa"/>
            <w:vAlign w:val="center"/>
          </w:tcPr>
          <w:p>
            <w:pPr>
              <w:pStyle w:val="12"/>
            </w:pPr>
          </w:p>
        </w:tc>
        <w:tc>
          <w:tcPr>
            <w:tcW w:w="2551" w:type="dxa"/>
            <w:vAlign w:val="center"/>
          </w:tcPr>
          <w:p>
            <w:pPr>
              <w:pStyle w:val="12"/>
            </w:pPr>
            <w:r>
              <w:t>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111.87</w:t>
            </w:r>
          </w:p>
        </w:tc>
        <w:tc>
          <w:tcPr>
            <w:tcW w:w="2551" w:type="dxa"/>
            <w:vAlign w:val="center"/>
          </w:tcPr>
          <w:p>
            <w:pPr>
              <w:pStyle w:val="12"/>
            </w:pPr>
            <w:r>
              <w:t>111.87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111.87</w:t>
            </w:r>
          </w:p>
        </w:tc>
        <w:tc>
          <w:tcPr>
            <w:tcW w:w="2551" w:type="dxa"/>
            <w:vAlign w:val="center"/>
          </w:tcPr>
          <w:p>
            <w:pPr>
              <w:pStyle w:val="12"/>
            </w:pPr>
            <w:r>
              <w:t>111.87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石家庄市鹿泉区统计局2026年部门预算信息公开情况说明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石家庄市鹿泉区统计局2026年部门预算信息公开情况说明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按照《中华人民共和国预算法》、《地方预决算公开操作规程》和《关于进一步推进预算公开工作的实施意见》规定，现将石家庄市鹿泉区统计局2026年部门预算公开如下：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（一）组织领导和协调全区统计工作，确保统计数据真实、准确、完整、及时。</w:t>
      </w:r>
    </w:p>
    <w:p>
      <w:pPr>
        <w:pStyle w:val="18"/>
      </w:pPr>
      <w: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8"/>
      </w:pPr>
      <w: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pPr>
        <w:pStyle w:val="18"/>
      </w:pPr>
      <w:r>
        <w:t>（四）拟订重大区情区力普查调查计划、方案，组织实施全区人口、经济、农业等重大普查调查；汇总、整理和提供有关区情区力方面的统计数据。</w:t>
      </w:r>
    </w:p>
    <w:p>
      <w:pPr>
        <w:pStyle w:val="18"/>
      </w:pPr>
      <w: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pPr>
        <w:pStyle w:val="18"/>
      </w:pPr>
      <w:r>
        <w:t>（六）组织实施县域经济发展、农业产业化、特色小镇、节能降耗、绿色发展、城镇化发展、妇女儿童监测、新产业新业态新商业模式（以下简称新经济）等统计监测，收集、整理和提供统计数据。</w:t>
      </w:r>
    </w:p>
    <w:p>
      <w:pPr>
        <w:pStyle w:val="18"/>
      </w:pPr>
      <w:r>
        <w:t>（七）综合整理和提供财政、金融、旅游、交通运输、邮政、文化、教育、体育、卫生、社会保障、公用事业、对外经济、收入等基本统计数据。</w:t>
      </w:r>
    </w:p>
    <w:p>
      <w:pPr>
        <w:pStyle w:val="18"/>
      </w:pPr>
      <w:r>
        <w:t>（八）组织各乡（镇、区）和各部门的经济、社会、科技、服务业统计调查，统一核定、管理、公布全区性基本统计资料，定期发布全区国民经济和社会发展情况的统计信息，组织建立统计信息共享制度和发布制度。</w:t>
      </w:r>
    </w:p>
    <w:p>
      <w:pPr>
        <w:pStyle w:val="18"/>
      </w:pPr>
      <w:r>
        <w:t xml:space="preserve">（九）对国民经济、社会发展、科技进步和资源环境等情况进行统计分析、统计预测和统计监督，向区委、区政府及有关部门提供统计信息和咨询建议。 </w:t>
      </w:r>
    </w:p>
    <w:p>
      <w:pPr>
        <w:pStyle w:val="18"/>
      </w:pPr>
      <w: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8"/>
      </w:pPr>
      <w:r>
        <w:t>（十一）负责全区统计信息化系统和统计数据库体系建设工作，管理全区统计数据库网络，组织全区统计信息化系统建设。</w:t>
      </w:r>
    </w:p>
    <w:p>
      <w:pPr>
        <w:pStyle w:val="18"/>
      </w:pPr>
      <w: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pPr>
        <w:pStyle w:val="18"/>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8"/>
      </w:pPr>
      <w:r>
        <w:t>（十四）完成区委、区政府和市统计局交办的其他任务。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按照预算管理有关规定，目前部门预算的编制实行综合预算管理，即全部收入和支出都反映在预算中。石家庄市鹿泉区统计局机关及所属事业单位的收支包含在部门预算中。</w:t>
      </w:r>
    </w:p>
    <w:p>
      <w:pPr>
        <w:pStyle w:val="19"/>
      </w:pPr>
      <w:r>
        <w:t>1、收入说明</w:t>
      </w:r>
    </w:p>
    <w:p>
      <w:pPr>
        <w:pStyle w:val="19"/>
      </w:pPr>
      <w:r>
        <w:t>反映本部门当年全部收入。2026年预算收入919.86万元，其中：一般公共预算收入919.86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统计局年度部门预算中支出预算的总体情况。2026年支出预算919.86万元，其中基本支出721.86万元，包括人员经费579.79万元和日常公用经费142.07万元；项目支出198.00万元，主要为县乡网络视频费、统计调查、统计培训经费、城乡住户调查经费及第四次农业普查等资金支出。</w:t>
      </w:r>
    </w:p>
    <w:p>
      <w:pPr>
        <w:pStyle w:val="19"/>
      </w:pPr>
      <w:r>
        <w:t>3、比上年增减情况</w:t>
      </w:r>
    </w:p>
    <w:p>
      <w:pPr>
        <w:pStyle w:val="19"/>
      </w:pPr>
      <w:r>
        <w:t>2026年预算收支安排919.86万元，较2025年预算增加45.62万元，其中：基本支出增加11.52万元，主要为人员经费支出增加。项目支出增加34.10万元，主要为增加第四次农业普查经费。</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2026年，我部门机关运行经费共计安排142.07万元，主要用于日常维修、办公用房水电费、办公用房取暖费、办公用房物业管理费等日常运行支出。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2.70万元，其中因公出国（境）费0.00万元；公务用车购置及运维费2.70万元（其中：公务用车购置费为0.00万元，公务用车运维费2.70万元)；公务接待费0.00万元。与2025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一、国民经济核算:完成全区年度数据的测算审核认定工作;完成必要分析，对相关经济决策提供重要依据。</w:t>
      </w:r>
    </w:p>
    <w:p>
      <w:pPr>
        <w:pStyle w:val="22"/>
      </w:pPr>
      <w:r>
        <w:t>二、统计普查调查:进行业务培训，组织开展深层次课题研究，发布普查调查数据，进行开发应用，完成普查工作总结和表彰。</w:t>
      </w:r>
    </w:p>
    <w:p>
      <w:pPr>
        <w:pStyle w:val="22"/>
      </w:pPr>
      <w:r>
        <w:t>三、统计政务管理:保障统计信息化建设、统计执法、职称考试等全区统计专业技术队伍建设。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rPr>
          <w:rFonts w:hint="eastAsia"/>
          <w:lang w:val="en-US" w:eastAsia="zh-CN"/>
        </w:rPr>
      </w:pPr>
      <w:r>
        <w:rPr>
          <w:rFonts w:hint="eastAsia"/>
          <w:lang w:val="en-US" w:eastAsia="zh-CN"/>
        </w:rPr>
        <w:t>1.县乡网络视频费</w:t>
      </w:r>
    </w:p>
    <w:p>
      <w:pPr>
        <w:pStyle w:val="23"/>
      </w:pPr>
      <w:r>
        <w:t>绩效目标：通过县乡联网和一套表平台的使用，提高统计报表的时效和质量，提高工作效率。</w:t>
      </w:r>
    </w:p>
    <w:p>
      <w:pPr>
        <w:pStyle w:val="23"/>
      </w:pPr>
      <w:r>
        <w:t>绩效指标：1、保证在报表期间网络通畅，所有企业数据报送及时率100%。2、13个乡镇的统计员都能在线查询本乡镇企业报表情况，并实时进行监测、汇总、和问题反馈。</w:t>
      </w:r>
    </w:p>
    <w:p>
      <w:pPr>
        <w:pStyle w:val="23"/>
        <w:numPr>
          <w:ilvl w:val="0"/>
          <w:numId w:val="0"/>
        </w:numPr>
        <w:ind w:firstLine="560" w:firstLineChars="200"/>
        <w:rPr>
          <w:rFonts w:hint="eastAsia"/>
          <w:lang w:val="en-US" w:eastAsia="zh-CN"/>
        </w:rPr>
      </w:pPr>
      <w:r>
        <w:rPr>
          <w:rFonts w:hint="eastAsia"/>
          <w:lang w:val="en-US" w:eastAsia="zh-CN"/>
        </w:rPr>
        <w:t>2.城乡住户调查</w:t>
      </w:r>
    </w:p>
    <w:p>
      <w:pPr>
        <w:pStyle w:val="23"/>
      </w:pPr>
      <w:r>
        <w:t>绩效目标：组织开展专项统计调查工作，了解基层情况和动态提供统计信息和咨询建议。了解辖区内就业情况、调查我区城镇居民、农村居民人均可支配收入水平。</w:t>
      </w:r>
    </w:p>
    <w:p>
      <w:pPr>
        <w:pStyle w:val="23"/>
        <w:numPr>
          <w:ilvl w:val="0"/>
          <w:numId w:val="0"/>
        </w:numPr>
        <w:ind w:leftChars="200"/>
      </w:pPr>
      <w:r>
        <w:t>绩效指标：1、对各企事业单位、乡镇、村的统计从业人员尤其是新上岗人员进行培训统计制度和统计法规2次以上，培训覆盖率100%，提高从业人员素质。2、抽样调查统计失误率小于5%。3、调查户补贴按季度发放，发放及时、发放到位。4、调查队人员到住户入户走访调查4次以上。</w:t>
      </w:r>
    </w:p>
    <w:p>
      <w:pPr>
        <w:pStyle w:val="23"/>
        <w:numPr>
          <w:ilvl w:val="0"/>
          <w:numId w:val="0"/>
        </w:numPr>
        <w:ind w:leftChars="200"/>
        <w:rPr>
          <w:rFonts w:hint="eastAsia"/>
          <w:lang w:val="en-US" w:eastAsia="zh-CN"/>
        </w:rPr>
      </w:pPr>
      <w:r>
        <w:rPr>
          <w:rFonts w:hint="eastAsia"/>
          <w:lang w:val="en-US" w:eastAsia="zh-CN"/>
        </w:rPr>
        <w:t>3.统计调查、统计培训</w:t>
      </w:r>
    </w:p>
    <w:p>
      <w:pPr>
        <w:pStyle w:val="23"/>
        <w:numPr>
          <w:ilvl w:val="0"/>
          <w:numId w:val="0"/>
        </w:numPr>
        <w:ind w:firstLine="560" w:firstLineChars="200"/>
        <w:rPr>
          <w:rFonts w:hint="eastAsia"/>
          <w:lang w:val="en-US" w:eastAsia="zh-CN"/>
        </w:rPr>
      </w:pPr>
      <w:r>
        <w:rPr>
          <w:rFonts w:hint="eastAsia"/>
          <w:lang w:val="en-US" w:eastAsia="zh-CN"/>
        </w:rPr>
        <w:t>绩效目标：按照统计制度要求开展夏粮监测、遥感测量、农民工调查等统计调查活动，满足国家统计核算要求，并对统计从业人员、调查员进行定期培训，为长期较好开展统计工作服务。</w:t>
      </w:r>
    </w:p>
    <w:p>
      <w:pPr>
        <w:pStyle w:val="23"/>
        <w:rPr>
          <w:rFonts w:hint="eastAsia"/>
          <w:lang w:val="en-US" w:eastAsia="zh-CN"/>
        </w:rPr>
      </w:pPr>
      <w:r>
        <w:rPr>
          <w:rFonts w:hint="eastAsia"/>
          <w:lang w:val="en-US" w:eastAsia="zh-CN"/>
        </w:rPr>
        <w:t>绩效指标：1.各项调查培训总人数大于300人。2.各项调查数据录入正确率在95%以上。3.参加培训后，能够长期较好的完成统计调查工作。</w:t>
      </w:r>
    </w:p>
    <w:p>
      <w:pPr>
        <w:pStyle w:val="23"/>
        <w:numPr>
          <w:ilvl w:val="0"/>
          <w:numId w:val="0"/>
        </w:numPr>
        <w:ind w:firstLine="560" w:firstLineChars="200"/>
        <w:rPr>
          <w:rFonts w:hint="eastAsia" w:eastAsia="方正仿宋_GBK"/>
          <w:lang w:val="en-US" w:eastAsia="zh-CN"/>
        </w:rPr>
      </w:pPr>
      <w:r>
        <w:rPr>
          <w:rFonts w:hint="eastAsia"/>
          <w:lang w:val="en-US" w:eastAsia="zh-CN"/>
        </w:rPr>
        <w:t>4.第四次农业普查</w:t>
      </w:r>
    </w:p>
    <w:p>
      <w:pPr>
        <w:pStyle w:val="23"/>
        <w:rPr>
          <w:rFonts w:hint="eastAsia" w:eastAsia="方正仿宋_GBK"/>
          <w:lang w:eastAsia="zh-CN"/>
        </w:rPr>
      </w:pPr>
      <w:r>
        <w:t>绩效目标：</w:t>
      </w:r>
      <w:r>
        <w:rPr>
          <w:rFonts w:hint="eastAsia"/>
          <w:lang w:eastAsia="zh-CN"/>
        </w:rPr>
        <w:t>全面反映农业和农村的发展状况为政策制定和农业发展提供数据支持。</w:t>
      </w:r>
    </w:p>
    <w:p>
      <w:pPr>
        <w:pStyle w:val="23"/>
        <w:rPr>
          <w:rFonts w:hint="default" w:eastAsia="方正仿宋_GBK"/>
          <w:lang w:val="en-US" w:eastAsia="zh-CN"/>
        </w:rPr>
      </w:pPr>
      <w:r>
        <w:t>绩效指标：</w:t>
      </w:r>
      <w:r>
        <w:rPr>
          <w:rFonts w:hint="eastAsia"/>
          <w:lang w:val="en-US" w:eastAsia="zh-CN"/>
        </w:rPr>
        <w:t>1.土地利用、农业经营活动。2.农业从业人员的数量和状况。3.土地的使用和流转情况。4.农村居民的生活水平和条件。5.农村的基础设施建设和社会服务情况。6.粮食生产的安全性。</w:t>
      </w:r>
      <w:bookmarkStart w:id="20" w:name="_GoBack"/>
      <w:bookmarkEnd w:id="20"/>
    </w:p>
    <w:p>
      <w:pPr>
        <w:pStyle w:val="23"/>
        <w:numPr>
          <w:ilvl w:val="0"/>
          <w:numId w:val="0"/>
        </w:numPr>
        <w:ind w:firstLine="560" w:firstLineChars="200"/>
        <w:rPr>
          <w:rFonts w:hint="eastAsia" w:eastAsia="方正仿宋_GBK"/>
          <w:lang w:val="en-US" w:eastAsia="zh-CN"/>
        </w:rPr>
      </w:pPr>
      <w:r>
        <w:rPr>
          <w:rFonts w:hint="eastAsia"/>
          <w:lang w:val="en-US" w:eastAsia="zh-CN"/>
        </w:rPr>
        <w:t>5.科工楼办公租赁费</w:t>
      </w:r>
    </w:p>
    <w:p>
      <w:pPr>
        <w:pStyle w:val="23"/>
        <w:rPr>
          <w:rFonts w:hint="eastAsia" w:eastAsia="方正仿宋_GBK"/>
          <w:lang w:eastAsia="zh-CN"/>
        </w:rPr>
      </w:pPr>
      <w:r>
        <w:t>绩效目标：</w:t>
      </w:r>
      <w:r>
        <w:rPr>
          <w:rFonts w:hint="eastAsia"/>
          <w:lang w:eastAsia="zh-CN"/>
        </w:rPr>
        <w:t>用于统计工作顺利开展。</w:t>
      </w:r>
    </w:p>
    <w:p>
      <w:pPr>
        <w:pStyle w:val="23"/>
        <w:rPr>
          <w:rFonts w:hint="default" w:eastAsia="方正仿宋_GBK"/>
          <w:lang w:val="en-US" w:eastAsia="zh-CN"/>
        </w:rPr>
      </w:pPr>
      <w:r>
        <w:t>绩效指标：</w:t>
      </w:r>
      <w:r>
        <w:rPr>
          <w:rFonts w:hint="eastAsia"/>
          <w:lang w:val="en-US" w:eastAsia="zh-CN"/>
        </w:rPr>
        <w:t>1.租赁科工局办公场所面积。</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一、认真谋划，严格落实，提速工作进度。结合实际，提出科学、合理、高效的工作方案，加强组织谋划，保障各环节顺利开展。细化责任分工，明确时间节点，抓重点攻难点、抓创新出亮点，集中优势资源，全力提速工作进度，确保全年重点工作早开工、早见效。</w:t>
      </w:r>
    </w:p>
    <w:p>
      <w:pPr>
        <w:pStyle w:val="24"/>
      </w:pPr>
      <w:r>
        <w:t>二、完善制度建设，加强绩效运行监控。</w:t>
      </w:r>
    </w:p>
    <w:p>
      <w:pPr>
        <w:pStyle w:val="22"/>
      </w:pPr>
      <w:r>
        <w:t>进一步完善预算绩效管理制度、财务管理制度、工作保障制度等，为全年预算绩效目标的实现奠定制度基础。</w:t>
      </w:r>
    </w:p>
    <w:p>
      <w:pPr>
        <w:pStyle w:val="24"/>
      </w:pPr>
      <w:r>
        <w:t>按要求开展绩效运行监控，发现问题及时采取措施，确保重点工作按进度完成。</w:t>
      </w:r>
    </w:p>
    <w:p>
      <w:pPr>
        <w:pStyle w:val="24"/>
      </w:pPr>
      <w:r>
        <w:t>三、加强统计业务培训，加强统计执法队伍建设，</w:t>
      </w:r>
    </w:p>
    <w:p>
      <w:pPr>
        <w:pStyle w:val="24"/>
      </w:pPr>
      <w:r>
        <w:t>切实提升全区统计工作人员的业务能力，提升乡镇、企业统计规范化水平，夯实基层基础工作。</w:t>
      </w:r>
    </w:p>
    <w:p>
      <w:pPr>
        <w:pStyle w:val="24"/>
        <w:sectPr>
          <w:pgSz w:w="16840" w:h="11900" w:orient="landscape"/>
          <w:pgMar w:top="1361" w:right="1020" w:bottom="1361" w:left="1020" w:header="720" w:footer="720" w:gutter="0"/>
          <w:cols w:space="720" w:num="1"/>
        </w:sectPr>
      </w:pPr>
      <w:r>
        <w:t>加强统计执法队伍建设，强化监督和执法力度。防范和惩治统计造假、弄虚作假，依法依纪做好统计工作</w:t>
      </w:r>
      <w:r>
        <w:rPr>
          <w:rFonts w:hint="eastAsia"/>
          <w:lang w:eastAsia="zh-CN"/>
        </w:rPr>
        <w:t>。</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r>
        <w:rPr>
          <w:rFonts w:hint="eastAsia" w:ascii="黑体" w:hAnsi="黑体" w:eastAsia="黑体" w:cs="黑体"/>
          <w:color w:val="000000"/>
          <w:sz w:val="32"/>
          <w:lang w:val="en-US" w:eastAsia="zh-CN"/>
        </w:rPr>
        <w:t xml:space="preserve"> </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1、2026城乡住户调查经费绩效目标表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13011026P0066B2100021</w:t>
            </w:r>
          </w:p>
        </w:tc>
        <w:tc>
          <w:tcPr>
            <w:tcW w:w="2835" w:type="dxa"/>
            <w:vAlign w:val="center"/>
          </w:tcPr>
          <w:p>
            <w:pPr>
              <w:pStyle w:val="11"/>
            </w:pPr>
            <w:r>
              <w:t>项目名称</w:t>
            </w:r>
          </w:p>
        </w:tc>
        <w:tc>
          <w:tcPr>
            <w:tcW w:w="6095" w:type="dxa"/>
            <w:gridSpan w:val="3"/>
            <w:vAlign w:val="center"/>
          </w:tcPr>
          <w:p>
            <w:pPr>
              <w:pStyle w:val="13"/>
            </w:pPr>
            <w:r>
              <w:t>2026城乡住户调查经费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用于城乡住户调查经费。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1.抽取110户农村、城镇住户作为记账户，开展统计调查，掌握居民的收入支出情况，为测算城乡居民可支配收入提供依据。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抽取记账户户数</w:t>
            </w:r>
          </w:p>
        </w:tc>
        <w:tc>
          <w:tcPr>
            <w:tcW w:w="5386" w:type="dxa"/>
            <w:vAlign w:val="center"/>
          </w:tcPr>
          <w:p>
            <w:pPr>
              <w:pStyle w:val="13"/>
            </w:pPr>
            <w:r>
              <w:t>农村、城镇居民记账户户数</w:t>
            </w:r>
          </w:p>
        </w:tc>
        <w:tc>
          <w:tcPr>
            <w:tcW w:w="2268" w:type="dxa"/>
            <w:vAlign w:val="center"/>
          </w:tcPr>
          <w:p>
            <w:pPr>
              <w:pStyle w:val="13"/>
            </w:pPr>
            <w:r>
              <w:t>110户</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辅助调查员人数</w:t>
            </w:r>
          </w:p>
        </w:tc>
        <w:tc>
          <w:tcPr>
            <w:tcW w:w="5386" w:type="dxa"/>
            <w:vAlign w:val="center"/>
          </w:tcPr>
          <w:p>
            <w:pPr>
              <w:pStyle w:val="13"/>
            </w:pPr>
            <w:r>
              <w:t>辅助调查员人数</w:t>
            </w:r>
          </w:p>
        </w:tc>
        <w:tc>
          <w:tcPr>
            <w:tcW w:w="2268" w:type="dxa"/>
            <w:vAlign w:val="center"/>
          </w:tcPr>
          <w:p>
            <w:pPr>
              <w:pStyle w:val="13"/>
            </w:pPr>
            <w:r>
              <w:t>11人</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农民工监测调查员人数</w:t>
            </w:r>
          </w:p>
        </w:tc>
        <w:tc>
          <w:tcPr>
            <w:tcW w:w="5386" w:type="dxa"/>
            <w:vAlign w:val="center"/>
          </w:tcPr>
          <w:p>
            <w:pPr>
              <w:pStyle w:val="13"/>
            </w:pPr>
            <w:r>
              <w:t>农民工监测调查员人数</w:t>
            </w:r>
          </w:p>
        </w:tc>
        <w:tc>
          <w:tcPr>
            <w:tcW w:w="2268" w:type="dxa"/>
            <w:vAlign w:val="center"/>
          </w:tcPr>
          <w:p>
            <w:pPr>
              <w:pStyle w:val="13"/>
            </w:pPr>
            <w:r>
              <w:t>3人</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数据录入误差率</w:t>
            </w:r>
          </w:p>
        </w:tc>
        <w:tc>
          <w:tcPr>
            <w:tcW w:w="2268" w:type="dxa"/>
            <w:vAlign w:val="center"/>
          </w:tcPr>
          <w:p>
            <w:pPr>
              <w:pStyle w:val="13"/>
            </w:pPr>
            <w:r>
              <w:t>&lt;5%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调查表按时完成情况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城乡住户调查所需费用</w:t>
            </w:r>
          </w:p>
        </w:tc>
        <w:tc>
          <w:tcPr>
            <w:tcW w:w="2268" w:type="dxa"/>
            <w:vAlign w:val="center"/>
          </w:tcPr>
          <w:p>
            <w:pPr>
              <w:pStyle w:val="13"/>
            </w:pPr>
            <w:r>
              <w:t>95万元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入户走访次数</w:t>
            </w:r>
          </w:p>
        </w:tc>
        <w:tc>
          <w:tcPr>
            <w:tcW w:w="5386" w:type="dxa"/>
            <w:vAlign w:val="center"/>
          </w:tcPr>
          <w:p>
            <w:pPr>
              <w:pStyle w:val="13"/>
            </w:pPr>
            <w:r>
              <w:t>对调查户的填表质量进行指导、完善</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能够长期较好地开展统计调查工作的记账户的比率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记账户满意度</w:t>
            </w:r>
          </w:p>
        </w:tc>
        <w:tc>
          <w:tcPr>
            <w:tcW w:w="5386" w:type="dxa"/>
            <w:vAlign w:val="center"/>
          </w:tcPr>
          <w:p>
            <w:pPr>
              <w:pStyle w:val="13"/>
            </w:pPr>
            <w:r>
              <w:t>记账户满意所占比率</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2、2026第四次农业普查经费绩效目标表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13011026P000P8610003R</w:t>
            </w:r>
          </w:p>
        </w:tc>
        <w:tc>
          <w:tcPr>
            <w:tcW w:w="2835" w:type="dxa"/>
            <w:vAlign w:val="center"/>
          </w:tcPr>
          <w:p>
            <w:pPr>
              <w:pStyle w:val="11"/>
            </w:pPr>
            <w:r>
              <w:t>项目名称</w:t>
            </w:r>
          </w:p>
        </w:tc>
        <w:tc>
          <w:tcPr>
            <w:tcW w:w="6095" w:type="dxa"/>
            <w:gridSpan w:val="3"/>
            <w:vAlign w:val="center"/>
          </w:tcPr>
          <w:p>
            <w:pPr>
              <w:pStyle w:val="13"/>
            </w:pPr>
            <w:r>
              <w:t>2026第四次农业普查经费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用于全国第四次农业普查经费。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1.用于支付全国第四次农业普查经费。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调查个数</w:t>
            </w:r>
          </w:p>
        </w:tc>
        <w:tc>
          <w:tcPr>
            <w:tcW w:w="5386" w:type="dxa"/>
            <w:vAlign w:val="center"/>
          </w:tcPr>
          <w:p>
            <w:pPr>
              <w:pStyle w:val="13"/>
            </w:pPr>
            <w:r>
              <w:t>农业经营单位和农村住户户数</w:t>
            </w:r>
          </w:p>
        </w:tc>
        <w:tc>
          <w:tcPr>
            <w:tcW w:w="2268" w:type="dxa"/>
            <w:vAlign w:val="center"/>
          </w:tcPr>
          <w:p>
            <w:pPr>
              <w:pStyle w:val="13"/>
            </w:pPr>
            <w:r>
              <w:t>14万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数据录入误差率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176.83万元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能够长期较好地开展农业普查工作</w:t>
            </w:r>
          </w:p>
        </w:tc>
        <w:tc>
          <w:tcPr>
            <w:tcW w:w="2268" w:type="dxa"/>
            <w:vAlign w:val="center"/>
          </w:tcPr>
          <w:p>
            <w:pPr>
              <w:pStyle w:val="13"/>
            </w:pPr>
            <w:r>
              <w:t>有效提高农业普查质量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3、2026科工楼办公租赁费绩效目标表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13011026P00321510045D</w:t>
            </w:r>
          </w:p>
        </w:tc>
        <w:tc>
          <w:tcPr>
            <w:tcW w:w="2835" w:type="dxa"/>
            <w:vAlign w:val="center"/>
          </w:tcPr>
          <w:p>
            <w:pPr>
              <w:pStyle w:val="11"/>
            </w:pPr>
            <w:r>
              <w:t>项目名称</w:t>
            </w:r>
          </w:p>
        </w:tc>
        <w:tc>
          <w:tcPr>
            <w:tcW w:w="6095" w:type="dxa"/>
            <w:gridSpan w:val="3"/>
            <w:vAlign w:val="center"/>
          </w:tcPr>
          <w:p>
            <w:pPr>
              <w:pStyle w:val="13"/>
            </w:pPr>
            <w:r>
              <w:t>2026科工楼办公租赁费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用于可供办公场所租赁费。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1.用于科工办公场所租赁费。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租赁房屋面积</w:t>
            </w:r>
          </w:p>
        </w:tc>
        <w:tc>
          <w:tcPr>
            <w:tcW w:w="5386" w:type="dxa"/>
            <w:vAlign w:val="center"/>
          </w:tcPr>
          <w:p>
            <w:pPr>
              <w:pStyle w:val="13"/>
            </w:pPr>
            <w:r>
              <w:t>租赁科工局办公场所面积</w:t>
            </w:r>
          </w:p>
        </w:tc>
        <w:tc>
          <w:tcPr>
            <w:tcW w:w="2268" w:type="dxa"/>
            <w:vAlign w:val="center"/>
          </w:tcPr>
          <w:p>
            <w:pPr>
              <w:pStyle w:val="13"/>
            </w:pPr>
            <w:r>
              <w:t>224.03平方米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租赁费</w:t>
            </w:r>
          </w:p>
        </w:tc>
        <w:tc>
          <w:tcPr>
            <w:tcW w:w="5386" w:type="dxa"/>
            <w:vAlign w:val="center"/>
          </w:tcPr>
          <w:p>
            <w:pPr>
              <w:pStyle w:val="13"/>
            </w:pPr>
            <w:r>
              <w:t>租赁科工局办公场所租赁费</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正常使用率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工作开展及时性</w:t>
            </w:r>
          </w:p>
        </w:tc>
        <w:tc>
          <w:tcPr>
            <w:tcW w:w="5386" w:type="dxa"/>
            <w:vAlign w:val="center"/>
          </w:tcPr>
          <w:p>
            <w:pPr>
              <w:pStyle w:val="13"/>
            </w:pPr>
            <w:r>
              <w:t>工作开展及时性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保障本年度工作顺利开展</w:t>
            </w:r>
          </w:p>
        </w:tc>
        <w:tc>
          <w:tcPr>
            <w:tcW w:w="5386" w:type="dxa"/>
            <w:vAlign w:val="center"/>
          </w:tcPr>
          <w:p>
            <w:pPr>
              <w:pStyle w:val="13"/>
            </w:pPr>
            <w:r>
              <w:t>保障本年度统计工作顺利开展</w:t>
            </w:r>
          </w:p>
        </w:tc>
        <w:tc>
          <w:tcPr>
            <w:tcW w:w="2268" w:type="dxa"/>
            <w:vAlign w:val="center"/>
          </w:tcPr>
          <w:p>
            <w:pPr>
              <w:pStyle w:val="13"/>
            </w:pPr>
            <w:r>
              <w:t>保障本年度统计工作顺利开展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服务对象对项目实施效果的满意程度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4、2026统计调查、统计培训绩效目标表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13011026P000P86100026</w:t>
            </w:r>
          </w:p>
        </w:tc>
        <w:tc>
          <w:tcPr>
            <w:tcW w:w="2835" w:type="dxa"/>
            <w:vAlign w:val="center"/>
          </w:tcPr>
          <w:p>
            <w:pPr>
              <w:pStyle w:val="11"/>
            </w:pPr>
            <w:r>
              <w:t>项目名称</w:t>
            </w:r>
          </w:p>
        </w:tc>
        <w:tc>
          <w:tcPr>
            <w:tcW w:w="6095" w:type="dxa"/>
            <w:gridSpan w:val="3"/>
            <w:vAlign w:val="center"/>
          </w:tcPr>
          <w:p>
            <w:pPr>
              <w:pStyle w:val="13"/>
            </w:pPr>
            <w:r>
              <w:t>2026统计调查、统计培训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用于统计调查、统计培训经费。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1.按照统计制度要求开展夏粮监测、遥感测量、农民工调查等统计调查活动，满足国家统计核算要求，并对统计从业人员、调查员进行定期培训，为长期较好开展统计工作服务。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各项调查培训的总人数</w:t>
            </w:r>
          </w:p>
        </w:tc>
        <w:tc>
          <w:tcPr>
            <w:tcW w:w="2268" w:type="dxa"/>
            <w:vAlign w:val="center"/>
          </w:tcPr>
          <w:p>
            <w:pPr>
              <w:pStyle w:val="13"/>
            </w:pPr>
            <w:r>
              <w:t>≥300人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数据录入正确率</w:t>
            </w:r>
          </w:p>
        </w:tc>
        <w:tc>
          <w:tcPr>
            <w:tcW w:w="5386" w:type="dxa"/>
            <w:vAlign w:val="center"/>
          </w:tcPr>
          <w:p>
            <w:pPr>
              <w:pStyle w:val="13"/>
            </w:pPr>
            <w:r>
              <w:t>调查数据录入正确率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项目按时完成的比率</w:t>
            </w:r>
          </w:p>
        </w:tc>
        <w:tc>
          <w:tcPr>
            <w:tcW w:w="5386" w:type="dxa"/>
            <w:vAlign w:val="center"/>
          </w:tcPr>
          <w:p>
            <w:pPr>
              <w:pStyle w:val="13"/>
            </w:pPr>
            <w:r>
              <w:t>调查按时完成比率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调查、培训成本</w:t>
            </w:r>
          </w:p>
        </w:tc>
        <w:tc>
          <w:tcPr>
            <w:tcW w:w="5386" w:type="dxa"/>
            <w:vAlign w:val="center"/>
          </w:tcPr>
          <w:p>
            <w:pPr>
              <w:pStyle w:val="13"/>
            </w:pPr>
            <w:r>
              <w:t>统计调查、统计培训成本</w:t>
            </w:r>
          </w:p>
        </w:tc>
        <w:tc>
          <w:tcPr>
            <w:tcW w:w="2268" w:type="dxa"/>
            <w:vAlign w:val="center"/>
          </w:tcPr>
          <w:p>
            <w:pPr>
              <w:pStyle w:val="13"/>
            </w:pPr>
            <w:r>
              <w:t>28万元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参加培训后，能长期较好完成统计调查工作人员的比率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各项调查达标率</w:t>
            </w:r>
          </w:p>
        </w:tc>
        <w:tc>
          <w:tcPr>
            <w:tcW w:w="5386" w:type="dxa"/>
            <w:vAlign w:val="center"/>
          </w:tcPr>
          <w:p>
            <w:pPr>
              <w:pStyle w:val="13"/>
            </w:pPr>
            <w:r>
              <w:t>各项调查满足统计制度要求的比率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参培统计人员满意度</w:t>
            </w:r>
          </w:p>
        </w:tc>
        <w:tc>
          <w:tcPr>
            <w:tcW w:w="5386" w:type="dxa"/>
            <w:vAlign w:val="center"/>
          </w:tcPr>
          <w:p>
            <w:pPr>
              <w:pStyle w:val="13"/>
            </w:pPr>
            <w:r>
              <w:t>参培统计人员满意度</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5、2026县乡网络视频费绩效目标表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13011026P00N0D210002A</w:t>
            </w:r>
          </w:p>
        </w:tc>
        <w:tc>
          <w:tcPr>
            <w:tcW w:w="2835" w:type="dxa"/>
            <w:vAlign w:val="center"/>
          </w:tcPr>
          <w:p>
            <w:pPr>
              <w:pStyle w:val="11"/>
            </w:pPr>
            <w:r>
              <w:t>项目名称</w:t>
            </w:r>
          </w:p>
        </w:tc>
        <w:tc>
          <w:tcPr>
            <w:tcW w:w="6095" w:type="dxa"/>
            <w:gridSpan w:val="3"/>
            <w:vAlign w:val="center"/>
          </w:tcPr>
          <w:p>
            <w:pPr>
              <w:pStyle w:val="13"/>
            </w:pPr>
            <w:r>
              <w:t>2026县乡网络视频费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用于支付县乡网络视频费。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1.连接13个乡镇和区统计局，保持网络畅通，各企业能及时完成报表，各乡镇统计员能在线查询企业报表情况，能正常召开视频会议。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连接乡镇数量</w:t>
            </w:r>
          </w:p>
        </w:tc>
        <w:tc>
          <w:tcPr>
            <w:tcW w:w="5386" w:type="dxa"/>
            <w:vAlign w:val="center"/>
          </w:tcPr>
          <w:p>
            <w:pPr>
              <w:pStyle w:val="13"/>
            </w:pPr>
            <w:r>
              <w:t>统计网络系统连接乡镇数量</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信息系统故障发生率</w:t>
            </w:r>
          </w:p>
        </w:tc>
        <w:tc>
          <w:tcPr>
            <w:tcW w:w="5386" w:type="dxa"/>
            <w:vAlign w:val="center"/>
          </w:tcPr>
          <w:p>
            <w:pPr>
              <w:pStyle w:val="13"/>
            </w:pPr>
            <w:r>
              <w:t>信息系统故障发生率</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报表上报及时率</w:t>
            </w:r>
          </w:p>
        </w:tc>
        <w:tc>
          <w:tcPr>
            <w:tcW w:w="5386" w:type="dxa"/>
            <w:vAlign w:val="center"/>
          </w:tcPr>
          <w:p>
            <w:pPr>
              <w:pStyle w:val="13"/>
            </w:pPr>
            <w:r>
              <w:t>报表上报及时率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租赁费、服务费</w:t>
            </w:r>
          </w:p>
        </w:tc>
        <w:tc>
          <w:tcPr>
            <w:tcW w:w="5386" w:type="dxa"/>
            <w:vAlign w:val="center"/>
          </w:tcPr>
          <w:p>
            <w:pPr>
              <w:pStyle w:val="13"/>
            </w:pPr>
            <w:r>
              <w:t>光纤、视频会议系统租赁费、联网服务费</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能够长期较好地开展一套表工作</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统计调查达标率</w:t>
            </w:r>
          </w:p>
        </w:tc>
        <w:tc>
          <w:tcPr>
            <w:tcW w:w="5386" w:type="dxa"/>
            <w:vAlign w:val="center"/>
          </w:tcPr>
          <w:p>
            <w:pPr>
              <w:pStyle w:val="13"/>
            </w:pPr>
            <w:r>
              <w:t>各项统计调查达到制度要求比率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使用该光纤网的统计员对网络服务满意度</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410石家庄市鹿泉区统计局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6.35</w:t>
            </w:r>
          </w:p>
        </w:tc>
        <w:tc>
          <w:tcPr>
            <w:tcW w:w="964" w:type="dxa"/>
            <w:vAlign w:val="center"/>
          </w:tcPr>
          <w:p>
            <w:pPr>
              <w:pStyle w:val="16"/>
            </w:pPr>
            <w:r>
              <w:t>6.35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石家庄市鹿泉区统计局本级小计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6.35</w:t>
            </w:r>
          </w:p>
        </w:tc>
        <w:tc>
          <w:tcPr>
            <w:tcW w:w="964" w:type="dxa"/>
            <w:vAlign w:val="center"/>
          </w:tcPr>
          <w:p>
            <w:pPr>
              <w:pStyle w:val="16"/>
            </w:pPr>
            <w:r>
              <w:t>6.35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126.47</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126.47</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2.25</w:t>
            </w:r>
          </w:p>
        </w:tc>
        <w:tc>
          <w:tcPr>
            <w:tcW w:w="964" w:type="dxa"/>
            <w:vAlign w:val="center"/>
          </w:tcPr>
          <w:p>
            <w:pPr>
              <w:pStyle w:val="12"/>
            </w:pPr>
            <w:r>
              <w:t>2.25</w:t>
            </w:r>
          </w:p>
        </w:tc>
        <w:tc>
          <w:tcPr>
            <w:tcW w:w="964" w:type="dxa"/>
            <w:vAlign w:val="center"/>
          </w:tcPr>
          <w:p>
            <w:pPr>
              <w:pStyle w:val="12"/>
            </w:pPr>
            <w:r>
              <w:t>2.25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126.47</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0.08</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380</w:t>
            </w:r>
          </w:p>
        </w:tc>
        <w:tc>
          <w:tcPr>
            <w:tcW w:w="850" w:type="dxa"/>
            <w:vAlign w:val="center"/>
          </w:tcPr>
          <w:p>
            <w:pPr>
              <w:pStyle w:val="12"/>
            </w:pPr>
            <w:r>
              <w:t>0.00</w:t>
            </w:r>
          </w:p>
        </w:tc>
        <w:tc>
          <w:tcPr>
            <w:tcW w:w="964" w:type="dxa"/>
            <w:vAlign w:val="center"/>
          </w:tcPr>
          <w:p>
            <w:pPr>
              <w:pStyle w:val="12"/>
            </w:pPr>
            <w:r>
              <w:t>0.89</w:t>
            </w:r>
          </w:p>
        </w:tc>
        <w:tc>
          <w:tcPr>
            <w:tcW w:w="964" w:type="dxa"/>
            <w:vAlign w:val="center"/>
          </w:tcPr>
          <w:p>
            <w:pPr>
              <w:pStyle w:val="12"/>
            </w:pPr>
            <w:r>
              <w:t>0.89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石家庄市鹿泉区统计局（含所属单位）上年末固定资产金额为130.10万元（详见下表）。本年度拟购置固定资产总额为0.00万元，已按要求列入政府采购预算，详见政府采购预算表。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410石家庄市鹿泉区统计局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712</w:t>
            </w:r>
          </w:p>
        </w:tc>
        <w:tc>
          <w:tcPr>
            <w:tcW w:w="2835" w:type="dxa"/>
            <w:vAlign w:val="center"/>
          </w:tcPr>
          <w:p>
            <w:pPr>
              <w:pStyle w:val="12"/>
            </w:pPr>
            <w:r>
              <w:t>121.80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1937DF"/>
    <w:multiLevelType w:val="singleLevel"/>
    <w:tmpl w:val="A11937D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47915CC"/>
    <w:rsid w:val="5EBD46B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10</TotalTime>
  <ScaleCrop>false</ScaleCrop>
  <LinksUpToDate>false</LinksUpToDate>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2026-02-26T15:40:00Z</dcterms:created>
  <dc:creator>Administrator</dc:creator>
  <cp:lastModifiedBy>Administrator</cp:lastModifiedBy>
  <dcterms:modified xsi:type="dcterms:W3CDTF">2026-02-26T08:25:24Z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63E1951A47CC47EBB933943165F761FD</vt:lpwstr>
  </property>
</Properties>
</file>