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一、石家庄市鹿泉区统计局本级收支预算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一、石家庄市鹿泉区统计局本级收支预算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919.86</w:t>
            </w:r>
          </w:p>
        </w:tc>
        <w:tc>
          <w:tcPr>
            <w:tcW w:w="4535" w:type="dxa"/>
            <w:vAlign w:val="center"/>
          </w:tcPr>
          <w:p>
            <w:pPr>
              <w:pStyle w:val="12"/>
            </w:pPr>
            <w:r>
              <w:t>一、一般公共服务支出</w:t>
            </w:r>
          </w:p>
        </w:tc>
        <w:tc>
          <w:tcPr>
            <w:tcW w:w="2126" w:type="dxa"/>
            <w:vAlign w:val="center"/>
          </w:tcPr>
          <w:p>
            <w:pPr>
              <w:pStyle w:val="11"/>
            </w:pPr>
            <w:r>
              <w:t>687.11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919.86</w:t>
            </w:r>
          </w:p>
        </w:tc>
        <w:tc>
          <w:tcPr>
            <w:tcW w:w="4535" w:type="dxa"/>
            <w:vAlign w:val="center"/>
          </w:tcPr>
          <w:p>
            <w:pPr>
              <w:pStyle w:val="14"/>
            </w:pPr>
            <w:r>
              <w:t>本年支出合计</w:t>
            </w:r>
          </w:p>
        </w:tc>
        <w:tc>
          <w:tcPr>
            <w:tcW w:w="2126" w:type="dxa"/>
            <w:vAlign w:val="center"/>
          </w:tcPr>
          <w:p>
            <w:pPr>
              <w:pStyle w:val="15"/>
            </w:pPr>
            <w:r>
              <w:t>919.86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919.86</w:t>
            </w:r>
          </w:p>
        </w:tc>
        <w:tc>
          <w:tcPr>
            <w:tcW w:w="4535" w:type="dxa"/>
            <w:vAlign w:val="center"/>
          </w:tcPr>
          <w:p>
            <w:pPr>
              <w:pStyle w:val="14"/>
            </w:pPr>
            <w:r>
              <w:t>支出总计</w:t>
            </w:r>
          </w:p>
        </w:tc>
        <w:tc>
          <w:tcPr>
            <w:tcW w:w="2126" w:type="dxa"/>
            <w:vAlign w:val="center"/>
          </w:tcPr>
          <w:p>
            <w:pPr>
              <w:pStyle w:val="15"/>
            </w:pPr>
            <w:r>
              <w:t>919.86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919.86</w:t>
            </w:r>
          </w:p>
        </w:tc>
        <w:tc>
          <w:tcPr>
            <w:tcW w:w="1134" w:type="dxa"/>
            <w:vAlign w:val="center"/>
          </w:tcPr>
          <w:p>
            <w:pPr>
              <w:pStyle w:val="15"/>
            </w:pPr>
            <w:r>
              <w:t>919.86</w:t>
            </w:r>
          </w:p>
        </w:tc>
        <w:tc>
          <w:tcPr>
            <w:tcW w:w="1134" w:type="dxa"/>
            <w:vAlign w:val="center"/>
          </w:tcPr>
          <w:p>
            <w:pPr>
              <w:pStyle w:val="15"/>
            </w:pPr>
            <w:r>
              <w:t>919.86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687.11</w:t>
            </w:r>
          </w:p>
        </w:tc>
        <w:tc>
          <w:tcPr>
            <w:tcW w:w="1134" w:type="dxa"/>
            <w:vAlign w:val="center"/>
          </w:tcPr>
          <w:p>
            <w:pPr>
              <w:pStyle w:val="11"/>
            </w:pPr>
            <w:r>
              <w:t>687.11</w:t>
            </w:r>
          </w:p>
        </w:tc>
        <w:tc>
          <w:tcPr>
            <w:tcW w:w="1134" w:type="dxa"/>
            <w:vAlign w:val="center"/>
          </w:tcPr>
          <w:p>
            <w:pPr>
              <w:pStyle w:val="11"/>
            </w:pPr>
            <w:r>
              <w:t>687.11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20105</w:t>
            </w:r>
          </w:p>
        </w:tc>
        <w:tc>
          <w:tcPr>
            <w:tcW w:w="1559" w:type="dxa"/>
            <w:vAlign w:val="center"/>
          </w:tcPr>
          <w:p>
            <w:pPr>
              <w:pStyle w:val="12"/>
            </w:pPr>
            <w:r>
              <w:t>统计信息事务</w:t>
            </w:r>
          </w:p>
        </w:tc>
        <w:tc>
          <w:tcPr>
            <w:tcW w:w="1134" w:type="dxa"/>
            <w:vAlign w:val="center"/>
          </w:tcPr>
          <w:p>
            <w:pPr>
              <w:pStyle w:val="11"/>
            </w:pPr>
            <w:r>
              <w:t>687.11</w:t>
            </w:r>
          </w:p>
        </w:tc>
        <w:tc>
          <w:tcPr>
            <w:tcW w:w="1134" w:type="dxa"/>
            <w:vAlign w:val="center"/>
          </w:tcPr>
          <w:p>
            <w:pPr>
              <w:pStyle w:val="11"/>
            </w:pPr>
            <w:r>
              <w:t>687.11</w:t>
            </w:r>
          </w:p>
        </w:tc>
        <w:tc>
          <w:tcPr>
            <w:tcW w:w="1134" w:type="dxa"/>
            <w:vAlign w:val="center"/>
          </w:tcPr>
          <w:p>
            <w:pPr>
              <w:pStyle w:val="11"/>
            </w:pPr>
            <w:r>
              <w:t>687.11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2010501</w:t>
            </w:r>
          </w:p>
        </w:tc>
        <w:tc>
          <w:tcPr>
            <w:tcW w:w="1559" w:type="dxa"/>
            <w:vAlign w:val="center"/>
          </w:tcPr>
          <w:p>
            <w:pPr>
              <w:pStyle w:val="12"/>
            </w:pPr>
            <w:r>
              <w:t>行政运行</w:t>
            </w:r>
          </w:p>
        </w:tc>
        <w:tc>
          <w:tcPr>
            <w:tcW w:w="1134" w:type="dxa"/>
            <w:vAlign w:val="center"/>
          </w:tcPr>
          <w:p>
            <w:pPr>
              <w:pStyle w:val="11"/>
            </w:pPr>
            <w:r>
              <w:t>489.11</w:t>
            </w:r>
          </w:p>
        </w:tc>
        <w:tc>
          <w:tcPr>
            <w:tcW w:w="1134" w:type="dxa"/>
            <w:vAlign w:val="center"/>
          </w:tcPr>
          <w:p>
            <w:pPr>
              <w:pStyle w:val="11"/>
            </w:pPr>
            <w:r>
              <w:t>489.11</w:t>
            </w:r>
          </w:p>
        </w:tc>
        <w:tc>
          <w:tcPr>
            <w:tcW w:w="1134" w:type="dxa"/>
            <w:vAlign w:val="center"/>
          </w:tcPr>
          <w:p>
            <w:pPr>
              <w:pStyle w:val="11"/>
            </w:pPr>
            <w:r>
              <w:t>489.11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2010505</w:t>
            </w:r>
          </w:p>
        </w:tc>
        <w:tc>
          <w:tcPr>
            <w:tcW w:w="1559" w:type="dxa"/>
            <w:vAlign w:val="center"/>
          </w:tcPr>
          <w:p>
            <w:pPr>
              <w:pStyle w:val="12"/>
            </w:pPr>
            <w:r>
              <w:t>专项统计业务</w:t>
            </w:r>
          </w:p>
        </w:tc>
        <w:tc>
          <w:tcPr>
            <w:tcW w:w="1134" w:type="dxa"/>
            <w:vAlign w:val="center"/>
          </w:tcPr>
          <w:p>
            <w:pPr>
              <w:pStyle w:val="11"/>
            </w:pPr>
            <w:r>
              <w:t>198.00</w:t>
            </w:r>
          </w:p>
        </w:tc>
        <w:tc>
          <w:tcPr>
            <w:tcW w:w="1134" w:type="dxa"/>
            <w:vAlign w:val="center"/>
          </w:tcPr>
          <w:p>
            <w:pPr>
              <w:pStyle w:val="11"/>
            </w:pPr>
            <w:r>
              <w:t>198.00</w:t>
            </w:r>
          </w:p>
        </w:tc>
        <w:tc>
          <w:tcPr>
            <w:tcW w:w="1134" w:type="dxa"/>
            <w:vAlign w:val="center"/>
          </w:tcPr>
          <w:p>
            <w:pPr>
              <w:pStyle w:val="11"/>
            </w:pPr>
            <w:r>
              <w:t>198.00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158.38</w:t>
            </w:r>
          </w:p>
        </w:tc>
        <w:tc>
          <w:tcPr>
            <w:tcW w:w="1134" w:type="dxa"/>
            <w:vAlign w:val="center"/>
          </w:tcPr>
          <w:p>
            <w:pPr>
              <w:pStyle w:val="11"/>
            </w:pPr>
            <w:r>
              <w:t>158.38</w:t>
            </w:r>
          </w:p>
        </w:tc>
        <w:tc>
          <w:tcPr>
            <w:tcW w:w="1134" w:type="dxa"/>
            <w:vAlign w:val="center"/>
          </w:tcPr>
          <w:p>
            <w:pPr>
              <w:pStyle w:val="11"/>
            </w:pPr>
            <w:r>
              <w:t>158.38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158.38</w:t>
            </w:r>
          </w:p>
        </w:tc>
        <w:tc>
          <w:tcPr>
            <w:tcW w:w="1134" w:type="dxa"/>
            <w:vAlign w:val="center"/>
          </w:tcPr>
          <w:p>
            <w:pPr>
              <w:pStyle w:val="11"/>
            </w:pPr>
            <w:r>
              <w:t>158.38</w:t>
            </w:r>
          </w:p>
        </w:tc>
        <w:tc>
          <w:tcPr>
            <w:tcW w:w="1134" w:type="dxa"/>
            <w:vAlign w:val="center"/>
          </w:tcPr>
          <w:p>
            <w:pPr>
              <w:pStyle w:val="11"/>
            </w:pPr>
            <w:r>
              <w:t>158.38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112.77</w:t>
            </w:r>
          </w:p>
        </w:tc>
        <w:tc>
          <w:tcPr>
            <w:tcW w:w="1134" w:type="dxa"/>
            <w:vAlign w:val="center"/>
          </w:tcPr>
          <w:p>
            <w:pPr>
              <w:pStyle w:val="11"/>
            </w:pPr>
            <w:r>
              <w:t>112.77</w:t>
            </w:r>
          </w:p>
        </w:tc>
        <w:tc>
          <w:tcPr>
            <w:tcW w:w="1134" w:type="dxa"/>
            <w:vAlign w:val="center"/>
          </w:tcPr>
          <w:p>
            <w:pPr>
              <w:pStyle w:val="11"/>
            </w:pPr>
            <w:r>
              <w:t>112.77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45.61</w:t>
            </w:r>
          </w:p>
        </w:tc>
        <w:tc>
          <w:tcPr>
            <w:tcW w:w="1134" w:type="dxa"/>
            <w:vAlign w:val="center"/>
          </w:tcPr>
          <w:p>
            <w:pPr>
              <w:pStyle w:val="11"/>
            </w:pPr>
            <w:r>
              <w:t>45.61</w:t>
            </w:r>
          </w:p>
        </w:tc>
        <w:tc>
          <w:tcPr>
            <w:tcW w:w="1134" w:type="dxa"/>
            <w:vAlign w:val="center"/>
          </w:tcPr>
          <w:p>
            <w:pPr>
              <w:pStyle w:val="11"/>
            </w:pPr>
            <w:r>
              <w:t>45.61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29.67</w:t>
            </w:r>
          </w:p>
        </w:tc>
        <w:tc>
          <w:tcPr>
            <w:tcW w:w="1134" w:type="dxa"/>
            <w:vAlign w:val="center"/>
          </w:tcPr>
          <w:p>
            <w:pPr>
              <w:pStyle w:val="11"/>
            </w:pPr>
            <w:r>
              <w:t>29.67</w:t>
            </w:r>
          </w:p>
        </w:tc>
        <w:tc>
          <w:tcPr>
            <w:tcW w:w="1134" w:type="dxa"/>
            <w:vAlign w:val="center"/>
          </w:tcPr>
          <w:p>
            <w:pPr>
              <w:pStyle w:val="11"/>
            </w:pPr>
            <w:r>
              <w:t>29.67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29.67</w:t>
            </w:r>
          </w:p>
        </w:tc>
        <w:tc>
          <w:tcPr>
            <w:tcW w:w="1134" w:type="dxa"/>
            <w:vAlign w:val="center"/>
          </w:tcPr>
          <w:p>
            <w:pPr>
              <w:pStyle w:val="11"/>
            </w:pPr>
            <w:r>
              <w:t>29.67</w:t>
            </w:r>
          </w:p>
        </w:tc>
        <w:tc>
          <w:tcPr>
            <w:tcW w:w="1134" w:type="dxa"/>
            <w:vAlign w:val="center"/>
          </w:tcPr>
          <w:p>
            <w:pPr>
              <w:pStyle w:val="11"/>
            </w:pPr>
            <w:r>
              <w:t>29.67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29.67</w:t>
            </w:r>
          </w:p>
        </w:tc>
        <w:tc>
          <w:tcPr>
            <w:tcW w:w="1134" w:type="dxa"/>
            <w:vAlign w:val="center"/>
          </w:tcPr>
          <w:p>
            <w:pPr>
              <w:pStyle w:val="11"/>
            </w:pPr>
            <w:r>
              <w:t>29.67</w:t>
            </w:r>
          </w:p>
        </w:tc>
        <w:tc>
          <w:tcPr>
            <w:tcW w:w="1134" w:type="dxa"/>
            <w:vAlign w:val="center"/>
          </w:tcPr>
          <w:p>
            <w:pPr>
              <w:pStyle w:val="11"/>
            </w:pPr>
            <w:r>
              <w:t>29.67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44.70</w:t>
            </w:r>
          </w:p>
        </w:tc>
        <w:tc>
          <w:tcPr>
            <w:tcW w:w="1134" w:type="dxa"/>
            <w:vAlign w:val="center"/>
          </w:tcPr>
          <w:p>
            <w:pPr>
              <w:pStyle w:val="11"/>
            </w:pPr>
            <w:r>
              <w:t>44.70</w:t>
            </w:r>
          </w:p>
        </w:tc>
        <w:tc>
          <w:tcPr>
            <w:tcW w:w="1134" w:type="dxa"/>
            <w:vAlign w:val="center"/>
          </w:tcPr>
          <w:p>
            <w:pPr>
              <w:pStyle w:val="11"/>
            </w:pPr>
            <w:r>
              <w:t>44.70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44.70</w:t>
            </w:r>
          </w:p>
        </w:tc>
        <w:tc>
          <w:tcPr>
            <w:tcW w:w="1134" w:type="dxa"/>
            <w:vAlign w:val="center"/>
          </w:tcPr>
          <w:p>
            <w:pPr>
              <w:pStyle w:val="11"/>
            </w:pPr>
            <w:r>
              <w:t>44.70</w:t>
            </w:r>
          </w:p>
        </w:tc>
        <w:tc>
          <w:tcPr>
            <w:tcW w:w="1134" w:type="dxa"/>
            <w:vAlign w:val="center"/>
          </w:tcPr>
          <w:p>
            <w:pPr>
              <w:pStyle w:val="11"/>
            </w:pPr>
            <w:r>
              <w:t>44.70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44.70</w:t>
            </w:r>
          </w:p>
        </w:tc>
        <w:tc>
          <w:tcPr>
            <w:tcW w:w="1134" w:type="dxa"/>
            <w:vAlign w:val="center"/>
          </w:tcPr>
          <w:p>
            <w:pPr>
              <w:pStyle w:val="11"/>
            </w:pPr>
            <w:r>
              <w:t>44.70</w:t>
            </w:r>
          </w:p>
        </w:tc>
        <w:tc>
          <w:tcPr>
            <w:tcW w:w="1134" w:type="dxa"/>
            <w:vAlign w:val="center"/>
          </w:tcPr>
          <w:p>
            <w:pPr>
              <w:pStyle w:val="11"/>
            </w:pPr>
            <w:r>
              <w:t>44.70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919.86</w:t>
            </w:r>
          </w:p>
        </w:tc>
        <w:tc>
          <w:tcPr>
            <w:tcW w:w="1361" w:type="dxa"/>
            <w:vAlign w:val="center"/>
          </w:tcPr>
          <w:p>
            <w:pPr>
              <w:pStyle w:val="15"/>
            </w:pPr>
            <w:r>
              <w:t>721.86</w:t>
            </w:r>
          </w:p>
        </w:tc>
        <w:tc>
          <w:tcPr>
            <w:tcW w:w="1361" w:type="dxa"/>
            <w:vAlign w:val="center"/>
          </w:tcPr>
          <w:p>
            <w:pPr>
              <w:pStyle w:val="15"/>
            </w:pPr>
            <w:r>
              <w:t>198.00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687.11</w:t>
            </w:r>
          </w:p>
        </w:tc>
        <w:tc>
          <w:tcPr>
            <w:tcW w:w="1361" w:type="dxa"/>
            <w:vAlign w:val="center"/>
          </w:tcPr>
          <w:p>
            <w:pPr>
              <w:pStyle w:val="11"/>
            </w:pPr>
            <w:r>
              <w:t>489.11</w:t>
            </w:r>
          </w:p>
        </w:tc>
        <w:tc>
          <w:tcPr>
            <w:tcW w:w="1361" w:type="dxa"/>
            <w:vAlign w:val="center"/>
          </w:tcPr>
          <w:p>
            <w:pPr>
              <w:pStyle w:val="11"/>
            </w:pPr>
            <w:r>
              <w:t>198.00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20105</w:t>
            </w:r>
          </w:p>
        </w:tc>
        <w:tc>
          <w:tcPr>
            <w:tcW w:w="4535" w:type="dxa"/>
            <w:vAlign w:val="center"/>
          </w:tcPr>
          <w:p>
            <w:pPr>
              <w:pStyle w:val="12"/>
            </w:pPr>
            <w:r>
              <w:t>统计信息事务</w:t>
            </w:r>
          </w:p>
        </w:tc>
        <w:tc>
          <w:tcPr>
            <w:tcW w:w="1361" w:type="dxa"/>
            <w:vAlign w:val="center"/>
          </w:tcPr>
          <w:p>
            <w:pPr>
              <w:pStyle w:val="11"/>
            </w:pPr>
            <w:r>
              <w:t>687.11</w:t>
            </w:r>
          </w:p>
        </w:tc>
        <w:tc>
          <w:tcPr>
            <w:tcW w:w="1361" w:type="dxa"/>
            <w:vAlign w:val="center"/>
          </w:tcPr>
          <w:p>
            <w:pPr>
              <w:pStyle w:val="11"/>
            </w:pPr>
            <w:r>
              <w:t>489.11</w:t>
            </w:r>
          </w:p>
        </w:tc>
        <w:tc>
          <w:tcPr>
            <w:tcW w:w="1361" w:type="dxa"/>
            <w:vAlign w:val="center"/>
          </w:tcPr>
          <w:p>
            <w:pPr>
              <w:pStyle w:val="11"/>
            </w:pPr>
            <w:r>
              <w:t>198.00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2010501</w:t>
            </w:r>
          </w:p>
        </w:tc>
        <w:tc>
          <w:tcPr>
            <w:tcW w:w="4535" w:type="dxa"/>
            <w:vAlign w:val="center"/>
          </w:tcPr>
          <w:p>
            <w:pPr>
              <w:pStyle w:val="12"/>
            </w:pPr>
            <w:r>
              <w:t>行政运行</w:t>
            </w:r>
          </w:p>
        </w:tc>
        <w:tc>
          <w:tcPr>
            <w:tcW w:w="1361" w:type="dxa"/>
            <w:vAlign w:val="center"/>
          </w:tcPr>
          <w:p>
            <w:pPr>
              <w:pStyle w:val="11"/>
            </w:pPr>
            <w:r>
              <w:t>489.11</w:t>
            </w:r>
          </w:p>
        </w:tc>
        <w:tc>
          <w:tcPr>
            <w:tcW w:w="1361" w:type="dxa"/>
            <w:vAlign w:val="center"/>
          </w:tcPr>
          <w:p>
            <w:pPr>
              <w:pStyle w:val="11"/>
            </w:pPr>
            <w:r>
              <w:t>489.11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2010505</w:t>
            </w:r>
          </w:p>
        </w:tc>
        <w:tc>
          <w:tcPr>
            <w:tcW w:w="4535" w:type="dxa"/>
            <w:vAlign w:val="center"/>
          </w:tcPr>
          <w:p>
            <w:pPr>
              <w:pStyle w:val="12"/>
            </w:pPr>
            <w:r>
              <w:t>专项统计业务</w:t>
            </w:r>
          </w:p>
        </w:tc>
        <w:tc>
          <w:tcPr>
            <w:tcW w:w="1361" w:type="dxa"/>
            <w:vAlign w:val="center"/>
          </w:tcPr>
          <w:p>
            <w:pPr>
              <w:pStyle w:val="11"/>
            </w:pPr>
            <w:r>
              <w:t>198.00</w:t>
            </w:r>
          </w:p>
        </w:tc>
        <w:tc>
          <w:tcPr>
            <w:tcW w:w="1361" w:type="dxa"/>
            <w:vAlign w:val="center"/>
          </w:tcPr>
          <w:p>
            <w:pPr>
              <w:pStyle w:val="11"/>
            </w:pPr>
          </w:p>
        </w:tc>
        <w:tc>
          <w:tcPr>
            <w:tcW w:w="1361" w:type="dxa"/>
            <w:vAlign w:val="center"/>
          </w:tcPr>
          <w:p>
            <w:pPr>
              <w:pStyle w:val="11"/>
            </w:pPr>
            <w:r>
              <w:t>198.00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158.38</w:t>
            </w:r>
          </w:p>
        </w:tc>
        <w:tc>
          <w:tcPr>
            <w:tcW w:w="1361" w:type="dxa"/>
            <w:vAlign w:val="center"/>
          </w:tcPr>
          <w:p>
            <w:pPr>
              <w:pStyle w:val="11"/>
            </w:pPr>
            <w:r>
              <w:t>158.38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158.38</w:t>
            </w:r>
          </w:p>
        </w:tc>
        <w:tc>
          <w:tcPr>
            <w:tcW w:w="1361" w:type="dxa"/>
            <w:vAlign w:val="center"/>
          </w:tcPr>
          <w:p>
            <w:pPr>
              <w:pStyle w:val="11"/>
            </w:pPr>
            <w:r>
              <w:t>158.38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112.77</w:t>
            </w:r>
          </w:p>
        </w:tc>
        <w:tc>
          <w:tcPr>
            <w:tcW w:w="1361" w:type="dxa"/>
            <w:vAlign w:val="center"/>
          </w:tcPr>
          <w:p>
            <w:pPr>
              <w:pStyle w:val="11"/>
            </w:pPr>
            <w:r>
              <w:t>112.77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45.61</w:t>
            </w:r>
          </w:p>
        </w:tc>
        <w:tc>
          <w:tcPr>
            <w:tcW w:w="1361" w:type="dxa"/>
            <w:vAlign w:val="center"/>
          </w:tcPr>
          <w:p>
            <w:pPr>
              <w:pStyle w:val="11"/>
            </w:pPr>
            <w:r>
              <w:t>45.61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29.67</w:t>
            </w:r>
          </w:p>
        </w:tc>
        <w:tc>
          <w:tcPr>
            <w:tcW w:w="1361" w:type="dxa"/>
            <w:vAlign w:val="center"/>
          </w:tcPr>
          <w:p>
            <w:pPr>
              <w:pStyle w:val="11"/>
            </w:pPr>
            <w:r>
              <w:t>29.67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29.67</w:t>
            </w:r>
          </w:p>
        </w:tc>
        <w:tc>
          <w:tcPr>
            <w:tcW w:w="1361" w:type="dxa"/>
            <w:vAlign w:val="center"/>
          </w:tcPr>
          <w:p>
            <w:pPr>
              <w:pStyle w:val="11"/>
            </w:pPr>
            <w:r>
              <w:t>29.67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29.67</w:t>
            </w:r>
          </w:p>
        </w:tc>
        <w:tc>
          <w:tcPr>
            <w:tcW w:w="1361" w:type="dxa"/>
            <w:vAlign w:val="center"/>
          </w:tcPr>
          <w:p>
            <w:pPr>
              <w:pStyle w:val="11"/>
            </w:pPr>
            <w:r>
              <w:t>29.67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44.70</w:t>
            </w:r>
          </w:p>
        </w:tc>
        <w:tc>
          <w:tcPr>
            <w:tcW w:w="1361" w:type="dxa"/>
            <w:vAlign w:val="center"/>
          </w:tcPr>
          <w:p>
            <w:pPr>
              <w:pStyle w:val="11"/>
            </w:pPr>
            <w:r>
              <w:t>44.70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44.70</w:t>
            </w:r>
          </w:p>
        </w:tc>
        <w:tc>
          <w:tcPr>
            <w:tcW w:w="1361" w:type="dxa"/>
            <w:vAlign w:val="center"/>
          </w:tcPr>
          <w:p>
            <w:pPr>
              <w:pStyle w:val="11"/>
            </w:pPr>
            <w:r>
              <w:t>44.70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44.70</w:t>
            </w:r>
          </w:p>
        </w:tc>
        <w:tc>
          <w:tcPr>
            <w:tcW w:w="1361" w:type="dxa"/>
            <w:vAlign w:val="center"/>
          </w:tcPr>
          <w:p>
            <w:pPr>
              <w:pStyle w:val="11"/>
            </w:pPr>
            <w:r>
              <w:t>44.70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919.86</w:t>
            </w:r>
          </w:p>
        </w:tc>
        <w:tc>
          <w:tcPr>
            <w:tcW w:w="3402" w:type="dxa"/>
            <w:vAlign w:val="center"/>
          </w:tcPr>
          <w:p>
            <w:pPr>
              <w:pStyle w:val="12"/>
            </w:pPr>
            <w:r>
              <w:t>一、一般公共服务支出</w:t>
            </w:r>
          </w:p>
        </w:tc>
        <w:tc>
          <w:tcPr>
            <w:tcW w:w="1474" w:type="dxa"/>
            <w:vAlign w:val="center"/>
          </w:tcPr>
          <w:p>
            <w:pPr>
              <w:pStyle w:val="11"/>
            </w:pPr>
            <w:r>
              <w:t>687.11</w:t>
            </w:r>
          </w:p>
        </w:tc>
        <w:tc>
          <w:tcPr>
            <w:tcW w:w="1474" w:type="dxa"/>
            <w:vAlign w:val="center"/>
          </w:tcPr>
          <w:p>
            <w:pPr>
              <w:pStyle w:val="11"/>
            </w:pPr>
            <w:r>
              <w:t>687.11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158.38</w:t>
            </w:r>
          </w:p>
        </w:tc>
        <w:tc>
          <w:tcPr>
            <w:tcW w:w="1474" w:type="dxa"/>
            <w:vAlign w:val="center"/>
          </w:tcPr>
          <w:p>
            <w:pPr>
              <w:pStyle w:val="11"/>
            </w:pPr>
            <w:r>
              <w:t>158.38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29.67</w:t>
            </w:r>
          </w:p>
        </w:tc>
        <w:tc>
          <w:tcPr>
            <w:tcW w:w="1474" w:type="dxa"/>
            <w:vAlign w:val="center"/>
          </w:tcPr>
          <w:p>
            <w:pPr>
              <w:pStyle w:val="11"/>
            </w:pPr>
            <w:r>
              <w:t>29.67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44.70</w:t>
            </w:r>
          </w:p>
        </w:tc>
        <w:tc>
          <w:tcPr>
            <w:tcW w:w="1474" w:type="dxa"/>
            <w:vAlign w:val="center"/>
          </w:tcPr>
          <w:p>
            <w:pPr>
              <w:pStyle w:val="11"/>
            </w:pPr>
            <w:r>
              <w:t>44.70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919.86</w:t>
            </w:r>
          </w:p>
        </w:tc>
        <w:tc>
          <w:tcPr>
            <w:tcW w:w="3402" w:type="dxa"/>
            <w:vAlign w:val="center"/>
          </w:tcPr>
          <w:p>
            <w:pPr>
              <w:pStyle w:val="14"/>
            </w:pPr>
            <w:r>
              <w:t>本年支出合计</w:t>
            </w:r>
          </w:p>
        </w:tc>
        <w:tc>
          <w:tcPr>
            <w:tcW w:w="1474" w:type="dxa"/>
            <w:vAlign w:val="center"/>
          </w:tcPr>
          <w:p>
            <w:pPr>
              <w:pStyle w:val="15"/>
            </w:pPr>
            <w:r>
              <w:t>919.86</w:t>
            </w:r>
          </w:p>
        </w:tc>
        <w:tc>
          <w:tcPr>
            <w:tcW w:w="1474" w:type="dxa"/>
            <w:vAlign w:val="center"/>
          </w:tcPr>
          <w:p>
            <w:pPr>
              <w:pStyle w:val="15"/>
            </w:pPr>
            <w:r>
              <w:t>919.86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919.86</w:t>
            </w:r>
          </w:p>
        </w:tc>
        <w:tc>
          <w:tcPr>
            <w:tcW w:w="3402" w:type="dxa"/>
            <w:vAlign w:val="center"/>
          </w:tcPr>
          <w:p>
            <w:pPr>
              <w:pStyle w:val="14"/>
            </w:pPr>
            <w:r>
              <w:t>支出总计</w:t>
            </w:r>
          </w:p>
        </w:tc>
        <w:tc>
          <w:tcPr>
            <w:tcW w:w="1474" w:type="dxa"/>
            <w:vAlign w:val="center"/>
          </w:tcPr>
          <w:p>
            <w:pPr>
              <w:pStyle w:val="15"/>
            </w:pPr>
            <w:r>
              <w:t>919.86</w:t>
            </w:r>
          </w:p>
        </w:tc>
        <w:tc>
          <w:tcPr>
            <w:tcW w:w="1474" w:type="dxa"/>
            <w:vAlign w:val="center"/>
          </w:tcPr>
          <w:p>
            <w:pPr>
              <w:pStyle w:val="15"/>
            </w:pPr>
            <w:r>
              <w:t>919.86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919.86</w:t>
            </w:r>
          </w:p>
        </w:tc>
        <w:tc>
          <w:tcPr>
            <w:tcW w:w="2551" w:type="dxa"/>
            <w:vAlign w:val="center"/>
          </w:tcPr>
          <w:p>
            <w:pPr>
              <w:pStyle w:val="15"/>
            </w:pPr>
            <w:r>
              <w:t>721.86</w:t>
            </w:r>
          </w:p>
        </w:tc>
        <w:tc>
          <w:tcPr>
            <w:tcW w:w="2551" w:type="dxa"/>
            <w:vAlign w:val="center"/>
          </w:tcPr>
          <w:p>
            <w:pPr>
              <w:pStyle w:val="15"/>
            </w:pPr>
            <w:r>
              <w:t>198.00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687.11</w:t>
            </w:r>
          </w:p>
        </w:tc>
        <w:tc>
          <w:tcPr>
            <w:tcW w:w="2551" w:type="dxa"/>
            <w:vAlign w:val="center"/>
          </w:tcPr>
          <w:p>
            <w:pPr>
              <w:pStyle w:val="11"/>
            </w:pPr>
            <w:r>
              <w:t>489.11</w:t>
            </w:r>
          </w:p>
        </w:tc>
        <w:tc>
          <w:tcPr>
            <w:tcW w:w="2551" w:type="dxa"/>
            <w:vAlign w:val="center"/>
          </w:tcPr>
          <w:p>
            <w:pPr>
              <w:pStyle w:val="11"/>
            </w:pPr>
            <w:r>
              <w:t>198.00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20105</w:t>
            </w:r>
          </w:p>
        </w:tc>
        <w:tc>
          <w:tcPr>
            <w:tcW w:w="4535" w:type="dxa"/>
            <w:vAlign w:val="center"/>
          </w:tcPr>
          <w:p>
            <w:pPr>
              <w:pStyle w:val="12"/>
            </w:pPr>
            <w:r>
              <w:t>统计信息事务</w:t>
            </w:r>
          </w:p>
        </w:tc>
        <w:tc>
          <w:tcPr>
            <w:tcW w:w="2551" w:type="dxa"/>
            <w:vAlign w:val="center"/>
          </w:tcPr>
          <w:p>
            <w:pPr>
              <w:pStyle w:val="11"/>
            </w:pPr>
            <w:r>
              <w:t>687.11</w:t>
            </w:r>
          </w:p>
        </w:tc>
        <w:tc>
          <w:tcPr>
            <w:tcW w:w="2551" w:type="dxa"/>
            <w:vAlign w:val="center"/>
          </w:tcPr>
          <w:p>
            <w:pPr>
              <w:pStyle w:val="11"/>
            </w:pPr>
            <w:r>
              <w:t>489.11</w:t>
            </w:r>
          </w:p>
        </w:tc>
        <w:tc>
          <w:tcPr>
            <w:tcW w:w="2551" w:type="dxa"/>
            <w:vAlign w:val="center"/>
          </w:tcPr>
          <w:p>
            <w:pPr>
              <w:pStyle w:val="11"/>
            </w:pPr>
            <w:r>
              <w:t>198.00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2010501</w:t>
            </w:r>
          </w:p>
        </w:tc>
        <w:tc>
          <w:tcPr>
            <w:tcW w:w="4535" w:type="dxa"/>
            <w:vAlign w:val="center"/>
          </w:tcPr>
          <w:p>
            <w:pPr>
              <w:pStyle w:val="12"/>
            </w:pPr>
            <w:r>
              <w:t>行政运行</w:t>
            </w:r>
          </w:p>
        </w:tc>
        <w:tc>
          <w:tcPr>
            <w:tcW w:w="2551" w:type="dxa"/>
            <w:vAlign w:val="center"/>
          </w:tcPr>
          <w:p>
            <w:pPr>
              <w:pStyle w:val="11"/>
            </w:pPr>
            <w:r>
              <w:t>489.11</w:t>
            </w:r>
          </w:p>
        </w:tc>
        <w:tc>
          <w:tcPr>
            <w:tcW w:w="2551" w:type="dxa"/>
            <w:vAlign w:val="center"/>
          </w:tcPr>
          <w:p>
            <w:pPr>
              <w:pStyle w:val="11"/>
            </w:pPr>
            <w:r>
              <w:t>489.11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2010505</w:t>
            </w:r>
          </w:p>
        </w:tc>
        <w:tc>
          <w:tcPr>
            <w:tcW w:w="4535" w:type="dxa"/>
            <w:vAlign w:val="center"/>
          </w:tcPr>
          <w:p>
            <w:pPr>
              <w:pStyle w:val="12"/>
            </w:pPr>
            <w:r>
              <w:t>专项统计业务</w:t>
            </w:r>
          </w:p>
        </w:tc>
        <w:tc>
          <w:tcPr>
            <w:tcW w:w="2551" w:type="dxa"/>
            <w:vAlign w:val="center"/>
          </w:tcPr>
          <w:p>
            <w:pPr>
              <w:pStyle w:val="11"/>
            </w:pPr>
            <w:r>
              <w:t>198.00</w:t>
            </w:r>
          </w:p>
        </w:tc>
        <w:tc>
          <w:tcPr>
            <w:tcW w:w="2551" w:type="dxa"/>
            <w:vAlign w:val="center"/>
          </w:tcPr>
          <w:p>
            <w:pPr>
              <w:pStyle w:val="11"/>
            </w:pPr>
          </w:p>
        </w:tc>
        <w:tc>
          <w:tcPr>
            <w:tcW w:w="2551" w:type="dxa"/>
            <w:vAlign w:val="center"/>
          </w:tcPr>
          <w:p>
            <w:pPr>
              <w:pStyle w:val="11"/>
            </w:pPr>
            <w:r>
              <w:t>198.00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158.38</w:t>
            </w:r>
          </w:p>
        </w:tc>
        <w:tc>
          <w:tcPr>
            <w:tcW w:w="2551" w:type="dxa"/>
            <w:vAlign w:val="center"/>
          </w:tcPr>
          <w:p>
            <w:pPr>
              <w:pStyle w:val="11"/>
            </w:pPr>
            <w:r>
              <w:t>158.38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158.38</w:t>
            </w:r>
          </w:p>
        </w:tc>
        <w:tc>
          <w:tcPr>
            <w:tcW w:w="2551" w:type="dxa"/>
            <w:vAlign w:val="center"/>
          </w:tcPr>
          <w:p>
            <w:pPr>
              <w:pStyle w:val="11"/>
            </w:pPr>
            <w:r>
              <w:t>158.38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112.77</w:t>
            </w:r>
          </w:p>
        </w:tc>
        <w:tc>
          <w:tcPr>
            <w:tcW w:w="2551" w:type="dxa"/>
            <w:vAlign w:val="center"/>
          </w:tcPr>
          <w:p>
            <w:pPr>
              <w:pStyle w:val="11"/>
            </w:pPr>
            <w:r>
              <w:t>112.77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45.61</w:t>
            </w:r>
          </w:p>
        </w:tc>
        <w:tc>
          <w:tcPr>
            <w:tcW w:w="2551" w:type="dxa"/>
            <w:vAlign w:val="center"/>
          </w:tcPr>
          <w:p>
            <w:pPr>
              <w:pStyle w:val="11"/>
            </w:pPr>
            <w:r>
              <w:t>45.61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29.67</w:t>
            </w:r>
          </w:p>
        </w:tc>
        <w:tc>
          <w:tcPr>
            <w:tcW w:w="2551" w:type="dxa"/>
            <w:vAlign w:val="center"/>
          </w:tcPr>
          <w:p>
            <w:pPr>
              <w:pStyle w:val="11"/>
            </w:pPr>
            <w:r>
              <w:t>29.67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29.67</w:t>
            </w:r>
          </w:p>
        </w:tc>
        <w:tc>
          <w:tcPr>
            <w:tcW w:w="2551" w:type="dxa"/>
            <w:vAlign w:val="center"/>
          </w:tcPr>
          <w:p>
            <w:pPr>
              <w:pStyle w:val="11"/>
            </w:pPr>
            <w:r>
              <w:t>29.67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29.67</w:t>
            </w:r>
          </w:p>
        </w:tc>
        <w:tc>
          <w:tcPr>
            <w:tcW w:w="2551" w:type="dxa"/>
            <w:vAlign w:val="center"/>
          </w:tcPr>
          <w:p>
            <w:pPr>
              <w:pStyle w:val="11"/>
            </w:pPr>
            <w:r>
              <w:t>29.67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44.70</w:t>
            </w:r>
          </w:p>
        </w:tc>
        <w:tc>
          <w:tcPr>
            <w:tcW w:w="2551" w:type="dxa"/>
            <w:vAlign w:val="center"/>
          </w:tcPr>
          <w:p>
            <w:pPr>
              <w:pStyle w:val="11"/>
            </w:pPr>
            <w:r>
              <w:t>44.70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44.70</w:t>
            </w:r>
          </w:p>
        </w:tc>
        <w:tc>
          <w:tcPr>
            <w:tcW w:w="2551" w:type="dxa"/>
            <w:vAlign w:val="center"/>
          </w:tcPr>
          <w:p>
            <w:pPr>
              <w:pStyle w:val="11"/>
            </w:pPr>
            <w:r>
              <w:t>44.70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44.70</w:t>
            </w:r>
          </w:p>
        </w:tc>
        <w:tc>
          <w:tcPr>
            <w:tcW w:w="2551" w:type="dxa"/>
            <w:vAlign w:val="center"/>
          </w:tcPr>
          <w:p>
            <w:pPr>
              <w:pStyle w:val="11"/>
            </w:pPr>
            <w:r>
              <w:t>44.70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721.86</w:t>
            </w:r>
          </w:p>
        </w:tc>
        <w:tc>
          <w:tcPr>
            <w:tcW w:w="2551" w:type="dxa"/>
            <w:vAlign w:val="center"/>
          </w:tcPr>
          <w:p>
            <w:pPr>
              <w:pStyle w:val="15"/>
            </w:pPr>
            <w:r>
              <w:t>579.79</w:t>
            </w:r>
          </w:p>
        </w:tc>
        <w:tc>
          <w:tcPr>
            <w:tcW w:w="2551" w:type="dxa"/>
            <w:vAlign w:val="center"/>
          </w:tcPr>
          <w:p>
            <w:pPr>
              <w:pStyle w:val="15"/>
            </w:pPr>
            <w:r>
              <w:t>142.07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467.92</w:t>
            </w:r>
          </w:p>
        </w:tc>
        <w:tc>
          <w:tcPr>
            <w:tcW w:w="2551" w:type="dxa"/>
            <w:vAlign w:val="center"/>
          </w:tcPr>
          <w:p>
            <w:pPr>
              <w:pStyle w:val="11"/>
            </w:pPr>
            <w:r>
              <w:t>467.92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133.16</w:t>
            </w:r>
          </w:p>
        </w:tc>
        <w:tc>
          <w:tcPr>
            <w:tcW w:w="2551" w:type="dxa"/>
            <w:vAlign w:val="center"/>
          </w:tcPr>
          <w:p>
            <w:pPr>
              <w:pStyle w:val="11"/>
            </w:pPr>
            <w:r>
              <w:t>133.16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90.59</w:t>
            </w:r>
          </w:p>
        </w:tc>
        <w:tc>
          <w:tcPr>
            <w:tcW w:w="2551" w:type="dxa"/>
            <w:vAlign w:val="center"/>
          </w:tcPr>
          <w:p>
            <w:pPr>
              <w:pStyle w:val="11"/>
            </w:pPr>
            <w:r>
              <w:t>90.59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100.92</w:t>
            </w:r>
          </w:p>
        </w:tc>
        <w:tc>
          <w:tcPr>
            <w:tcW w:w="2551" w:type="dxa"/>
            <w:vAlign w:val="center"/>
          </w:tcPr>
          <w:p>
            <w:pPr>
              <w:pStyle w:val="11"/>
            </w:pPr>
            <w:r>
              <w:t>100.92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22.01</w:t>
            </w:r>
          </w:p>
        </w:tc>
        <w:tc>
          <w:tcPr>
            <w:tcW w:w="2551" w:type="dxa"/>
            <w:vAlign w:val="center"/>
          </w:tcPr>
          <w:p>
            <w:pPr>
              <w:pStyle w:val="11"/>
            </w:pPr>
            <w:r>
              <w:t>22.01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45.61</w:t>
            </w:r>
          </w:p>
        </w:tc>
        <w:tc>
          <w:tcPr>
            <w:tcW w:w="2551" w:type="dxa"/>
            <w:vAlign w:val="center"/>
          </w:tcPr>
          <w:p>
            <w:pPr>
              <w:pStyle w:val="11"/>
            </w:pPr>
            <w:r>
              <w:t>45.61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15.28</w:t>
            </w:r>
          </w:p>
        </w:tc>
        <w:tc>
          <w:tcPr>
            <w:tcW w:w="2551" w:type="dxa"/>
            <w:vAlign w:val="center"/>
          </w:tcPr>
          <w:p>
            <w:pPr>
              <w:pStyle w:val="11"/>
            </w:pPr>
            <w:r>
              <w:t>15.28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14.39</w:t>
            </w:r>
          </w:p>
        </w:tc>
        <w:tc>
          <w:tcPr>
            <w:tcW w:w="2551" w:type="dxa"/>
            <w:vAlign w:val="center"/>
          </w:tcPr>
          <w:p>
            <w:pPr>
              <w:pStyle w:val="11"/>
            </w:pPr>
            <w:r>
              <w:t>14.39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1.26</w:t>
            </w:r>
          </w:p>
        </w:tc>
        <w:tc>
          <w:tcPr>
            <w:tcW w:w="2551" w:type="dxa"/>
            <w:vAlign w:val="center"/>
          </w:tcPr>
          <w:p>
            <w:pPr>
              <w:pStyle w:val="11"/>
            </w:pPr>
            <w:r>
              <w:t>1.26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44.70</w:t>
            </w:r>
          </w:p>
        </w:tc>
        <w:tc>
          <w:tcPr>
            <w:tcW w:w="2551" w:type="dxa"/>
            <w:vAlign w:val="center"/>
          </w:tcPr>
          <w:p>
            <w:pPr>
              <w:pStyle w:val="11"/>
            </w:pPr>
            <w:r>
              <w:t>44.70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142.07</w:t>
            </w:r>
          </w:p>
        </w:tc>
        <w:tc>
          <w:tcPr>
            <w:tcW w:w="2551" w:type="dxa"/>
            <w:vAlign w:val="center"/>
          </w:tcPr>
          <w:p>
            <w:pPr>
              <w:pStyle w:val="11"/>
            </w:pPr>
          </w:p>
        </w:tc>
        <w:tc>
          <w:tcPr>
            <w:tcW w:w="2551" w:type="dxa"/>
            <w:vAlign w:val="center"/>
          </w:tcPr>
          <w:p>
            <w:pPr>
              <w:pStyle w:val="11"/>
            </w:pPr>
            <w:r>
              <w:t>142.07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15.60</w:t>
            </w:r>
          </w:p>
        </w:tc>
        <w:tc>
          <w:tcPr>
            <w:tcW w:w="2551" w:type="dxa"/>
            <w:vAlign w:val="center"/>
          </w:tcPr>
          <w:p>
            <w:pPr>
              <w:pStyle w:val="11"/>
            </w:pPr>
          </w:p>
        </w:tc>
        <w:tc>
          <w:tcPr>
            <w:tcW w:w="2551" w:type="dxa"/>
            <w:vAlign w:val="center"/>
          </w:tcPr>
          <w:p>
            <w:pPr>
              <w:pStyle w:val="11"/>
            </w:pPr>
            <w:r>
              <w:t>15.60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12.48</w:t>
            </w:r>
          </w:p>
        </w:tc>
        <w:tc>
          <w:tcPr>
            <w:tcW w:w="2551" w:type="dxa"/>
            <w:vAlign w:val="center"/>
          </w:tcPr>
          <w:p>
            <w:pPr>
              <w:pStyle w:val="11"/>
            </w:pPr>
          </w:p>
        </w:tc>
        <w:tc>
          <w:tcPr>
            <w:tcW w:w="2551" w:type="dxa"/>
            <w:vAlign w:val="center"/>
          </w:tcPr>
          <w:p>
            <w:pPr>
              <w:pStyle w:val="11"/>
            </w:pPr>
            <w:r>
              <w:t>12.48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87.87</w:t>
            </w:r>
          </w:p>
        </w:tc>
        <w:tc>
          <w:tcPr>
            <w:tcW w:w="2551" w:type="dxa"/>
            <w:vAlign w:val="center"/>
          </w:tcPr>
          <w:p>
            <w:pPr>
              <w:pStyle w:val="11"/>
            </w:pPr>
          </w:p>
        </w:tc>
        <w:tc>
          <w:tcPr>
            <w:tcW w:w="2551" w:type="dxa"/>
            <w:vAlign w:val="center"/>
          </w:tcPr>
          <w:p>
            <w:pPr>
              <w:pStyle w:val="11"/>
            </w:pPr>
            <w:r>
              <w:t>87.87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2.62</w:t>
            </w:r>
          </w:p>
        </w:tc>
        <w:tc>
          <w:tcPr>
            <w:tcW w:w="2551" w:type="dxa"/>
            <w:vAlign w:val="center"/>
          </w:tcPr>
          <w:p>
            <w:pPr>
              <w:pStyle w:val="11"/>
            </w:pPr>
          </w:p>
        </w:tc>
        <w:tc>
          <w:tcPr>
            <w:tcW w:w="2551" w:type="dxa"/>
            <w:vAlign w:val="center"/>
          </w:tcPr>
          <w:p>
            <w:pPr>
              <w:pStyle w:val="11"/>
            </w:pPr>
            <w:r>
              <w:t>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13.86</w:t>
            </w:r>
          </w:p>
        </w:tc>
        <w:tc>
          <w:tcPr>
            <w:tcW w:w="2551" w:type="dxa"/>
            <w:vAlign w:val="center"/>
          </w:tcPr>
          <w:p>
            <w:pPr>
              <w:pStyle w:val="11"/>
            </w:pPr>
          </w:p>
        </w:tc>
        <w:tc>
          <w:tcPr>
            <w:tcW w:w="2551" w:type="dxa"/>
            <w:vAlign w:val="center"/>
          </w:tcPr>
          <w:p>
            <w:pPr>
              <w:pStyle w:val="11"/>
            </w:pPr>
            <w:r>
              <w:t>13.86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6.94</w:t>
            </w:r>
          </w:p>
        </w:tc>
        <w:tc>
          <w:tcPr>
            <w:tcW w:w="2551" w:type="dxa"/>
            <w:vAlign w:val="center"/>
          </w:tcPr>
          <w:p>
            <w:pPr>
              <w:pStyle w:val="11"/>
            </w:pPr>
          </w:p>
        </w:tc>
        <w:tc>
          <w:tcPr>
            <w:tcW w:w="2551" w:type="dxa"/>
            <w:vAlign w:val="center"/>
          </w:tcPr>
          <w:p>
            <w:pPr>
              <w:pStyle w:val="11"/>
            </w:pPr>
            <w:r>
              <w:t>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111.87</w:t>
            </w:r>
          </w:p>
        </w:tc>
        <w:tc>
          <w:tcPr>
            <w:tcW w:w="2551" w:type="dxa"/>
            <w:vAlign w:val="center"/>
          </w:tcPr>
          <w:p>
            <w:pPr>
              <w:pStyle w:val="11"/>
            </w:pPr>
            <w:r>
              <w:t>111.87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111.87</w:t>
            </w:r>
          </w:p>
        </w:tc>
        <w:tc>
          <w:tcPr>
            <w:tcW w:w="2551" w:type="dxa"/>
            <w:vAlign w:val="center"/>
          </w:tcPr>
          <w:p>
            <w:pPr>
              <w:pStyle w:val="11"/>
            </w:pPr>
            <w:r>
              <w:t>111.87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石家庄市鹿泉区统计局本级2026年单位预算信息公开情况说明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按照《中华人民共和国预算法》、《地方预决算公开操作规程》和《关于进一步推进预算公开工作的实施意见》规定，现将石家庄市鹿泉区统计局本级2026年单位预算公开如下：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（一）组织领导和协调全区统计工作，确保统计数据真实、准确、完整、及时。</w:t>
      </w:r>
    </w:p>
    <w:p>
      <w:pPr>
        <w:pStyle w:val="17"/>
      </w:pPr>
      <w:r>
        <w:t>（二）贯彻落实统计工作方面的法律法规、规章，拟订全区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17"/>
      </w:pPr>
      <w:r>
        <w:t>（三）贯彻执行河北省国民经济核算制度，组织实施全区国民经济核算和民营经济统计工作；统一核算全区地区生产总值及派生产业增加值；组织实施投入产出调查；编制全区资产负债表；整理、测算和提供国民经济核算资料。</w:t>
      </w:r>
    </w:p>
    <w:p>
      <w:pPr>
        <w:pStyle w:val="17"/>
      </w:pPr>
      <w:r>
        <w:t>（四）拟订重大区情区力普查调查计划、方案，组织实施全区人口、经济、农业等重大普查调查；汇总、整理和提供有关区情区力方面的统计数据。</w:t>
      </w:r>
    </w:p>
    <w:p>
      <w:pPr>
        <w:pStyle w:val="17"/>
      </w:pPr>
      <w:r>
        <w:t xml:space="preserve">（五）组织实施全区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   </w:t>
      </w:r>
    </w:p>
    <w:p>
      <w:pPr>
        <w:pStyle w:val="17"/>
      </w:pPr>
      <w:r>
        <w:t>（六）组织实施县域经济发展、农业产业化、特色小镇、节能降耗、绿色发展、城镇化发展、妇女儿童监测、新产业新业态新商业模式（以下简称新经济）等统计监测，收集、整理和提供统计数据。</w:t>
      </w:r>
    </w:p>
    <w:p>
      <w:pPr>
        <w:pStyle w:val="17"/>
      </w:pPr>
      <w:r>
        <w:t>（七）综合整理和提供财政、金融、旅游、交通运输、邮政、文化、教育、体育、卫生、社会保障、公用事业、对外经济、收入等基本统计数据。</w:t>
      </w:r>
    </w:p>
    <w:p>
      <w:pPr>
        <w:pStyle w:val="17"/>
      </w:pPr>
      <w:r>
        <w:t>（八）组织各乡（镇、区）和各部门的经济、社会、科技、服务业统计调查，统一核定、管理、公布全区性基本统计资料，定期发布全区国民经济和社会发展情况的统计信息，组织建立统计信息共享制度和发布制度。</w:t>
      </w:r>
    </w:p>
    <w:p>
      <w:pPr>
        <w:pStyle w:val="17"/>
      </w:pPr>
      <w:r>
        <w:t xml:space="preserve">（九）对国民经济、社会发展、科技进步和资源环境等情况进行统计分析、统计预测和统计监督，向区委、区政府及有关部门提供统计信息和咨询建议。 </w:t>
      </w:r>
    </w:p>
    <w:p>
      <w:pPr>
        <w:pStyle w:val="17"/>
      </w:pPr>
      <w:r>
        <w:t>（十）依法审批管理部门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17"/>
      </w:pPr>
      <w:r>
        <w:t>（十一）负责全区统计信息化系统和统计数据库体系建设工作，管理全区统计数据库网络，组织全区统计信息化系统建设。</w:t>
      </w:r>
    </w:p>
    <w:p>
      <w:pPr>
        <w:pStyle w:val="17"/>
      </w:pPr>
      <w:r>
        <w:t>（十二）协助管理乡（镇、区）统计工作；指导名录库建设、住户收支与生活状况调查、农民工监测、农民工市民化进程动态监测、主要畜禽监测、农作物对地调查、县级粮食产量抽样调查、劳动力调查、社情民意调查等工作；监督管理全区中央统计经费和区财政提供的统计经费。</w:t>
      </w:r>
    </w:p>
    <w:p>
      <w:pPr>
        <w:pStyle w:val="17"/>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7"/>
      </w:pPr>
      <w:r>
        <w:t>（十四）完成区委、区政府和市统计局交办的其他任务。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石家庄市鹿泉区统计局本级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919.86万元，其中：一般公共预算收入919.86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统计局本级年度单位预算中支出预算的总体情况。2026年支出预算919.86万元，其中基本支出721.86万元，包括人员经费579.79万元和日常公用经费142.07万元；项目支出198.00万元，主要为县乡网络视频费、统计调查、统计培训经费、城乡住户调查经费及第四次农业普查等资金支出。</w:t>
      </w:r>
    </w:p>
    <w:p>
      <w:pPr>
        <w:pStyle w:val="18"/>
      </w:pPr>
      <w:r>
        <w:t>3、比上年增减情况</w:t>
      </w:r>
    </w:p>
    <w:p>
      <w:pPr>
        <w:pStyle w:val="18"/>
      </w:pPr>
      <w:r>
        <w:t>2026年预算收支安排919.86万元，较2025年预算增加45.62万元，其中：基本支出增加11.52万元，主要为人员经费支出增加。项目支出增加34.10万元，主要为增加第四次农业普查经费。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2026年，我单位机关运行经费共计安排142.07万元，主要用于日常维修、办公用房水电费、办公用房取暖费、办公用房物业管理费等日常运行支出。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w:t>
      </w:r>
      <w:bookmarkStart w:id="1" w:name="_GoBack"/>
      <w:bookmarkEnd w:id="1"/>
      <w:r>
        <w:t>与2025年相比持平，无增减变化。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1、2026城乡住户调查经费绩效目标表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13011026P0066B2100021</w:t>
            </w:r>
          </w:p>
        </w:tc>
        <w:tc>
          <w:tcPr>
            <w:tcW w:w="2835" w:type="dxa"/>
            <w:vAlign w:val="center"/>
          </w:tcPr>
          <w:p>
            <w:pPr>
              <w:pStyle w:val="10"/>
            </w:pPr>
            <w:r>
              <w:t>项目名称</w:t>
            </w:r>
          </w:p>
        </w:tc>
        <w:tc>
          <w:tcPr>
            <w:tcW w:w="6095" w:type="dxa"/>
            <w:gridSpan w:val="3"/>
            <w:vAlign w:val="center"/>
          </w:tcPr>
          <w:p>
            <w:pPr>
              <w:pStyle w:val="12"/>
            </w:pPr>
            <w:r>
              <w:t>2026城乡住户调查经费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用于城乡住户调查经费。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1.抽取110户农村、城镇住户作为记账户，开展统计调查，掌握居民的收入支出情况，为测算城乡居民可支配收入提供依据。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抽取记账户户数</w:t>
            </w:r>
          </w:p>
        </w:tc>
        <w:tc>
          <w:tcPr>
            <w:tcW w:w="5386" w:type="dxa"/>
            <w:vAlign w:val="center"/>
          </w:tcPr>
          <w:p>
            <w:pPr>
              <w:pStyle w:val="12"/>
            </w:pPr>
            <w:r>
              <w:t>农村、城镇居民记账户户数</w:t>
            </w:r>
          </w:p>
        </w:tc>
        <w:tc>
          <w:tcPr>
            <w:tcW w:w="2268" w:type="dxa"/>
            <w:vAlign w:val="center"/>
          </w:tcPr>
          <w:p>
            <w:pPr>
              <w:pStyle w:val="12"/>
            </w:pPr>
            <w:r>
              <w:t>110户</w:t>
            </w:r>
          </w:p>
        </w:tc>
        <w:tc>
          <w:tcPr>
            <w:tcW w:w="1276" w:type="dxa"/>
            <w:vAlign w:val="center"/>
          </w:tcPr>
          <w:p>
            <w:pPr>
              <w:pStyle w:val="12"/>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辅助调查员人数</w:t>
            </w:r>
          </w:p>
        </w:tc>
        <w:tc>
          <w:tcPr>
            <w:tcW w:w="5386" w:type="dxa"/>
            <w:vAlign w:val="center"/>
          </w:tcPr>
          <w:p>
            <w:pPr>
              <w:pStyle w:val="12"/>
            </w:pPr>
            <w:r>
              <w:t>辅助调查员人数</w:t>
            </w:r>
          </w:p>
        </w:tc>
        <w:tc>
          <w:tcPr>
            <w:tcW w:w="2268" w:type="dxa"/>
            <w:vAlign w:val="center"/>
          </w:tcPr>
          <w:p>
            <w:pPr>
              <w:pStyle w:val="12"/>
            </w:pPr>
            <w:r>
              <w:t>11人</w:t>
            </w:r>
          </w:p>
        </w:tc>
        <w:tc>
          <w:tcPr>
            <w:tcW w:w="1276" w:type="dxa"/>
            <w:vAlign w:val="center"/>
          </w:tcPr>
          <w:p>
            <w:pPr>
              <w:pStyle w:val="12"/>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农民工监测调查员人数</w:t>
            </w:r>
          </w:p>
        </w:tc>
        <w:tc>
          <w:tcPr>
            <w:tcW w:w="5386" w:type="dxa"/>
            <w:vAlign w:val="center"/>
          </w:tcPr>
          <w:p>
            <w:pPr>
              <w:pStyle w:val="12"/>
            </w:pPr>
            <w:r>
              <w:t>农民工监测调查员人数</w:t>
            </w:r>
          </w:p>
        </w:tc>
        <w:tc>
          <w:tcPr>
            <w:tcW w:w="2268" w:type="dxa"/>
            <w:vAlign w:val="center"/>
          </w:tcPr>
          <w:p>
            <w:pPr>
              <w:pStyle w:val="12"/>
            </w:pPr>
            <w:r>
              <w:t>3人</w:t>
            </w:r>
          </w:p>
        </w:tc>
        <w:tc>
          <w:tcPr>
            <w:tcW w:w="1276" w:type="dxa"/>
            <w:vAlign w:val="center"/>
          </w:tcPr>
          <w:p>
            <w:pPr>
              <w:pStyle w:val="12"/>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数据录入误差率</w:t>
            </w:r>
          </w:p>
        </w:tc>
        <w:tc>
          <w:tcPr>
            <w:tcW w:w="5386" w:type="dxa"/>
            <w:vAlign w:val="center"/>
          </w:tcPr>
          <w:p>
            <w:pPr>
              <w:pStyle w:val="12"/>
            </w:pPr>
            <w:r>
              <w:t>数据录入误差率</w:t>
            </w:r>
          </w:p>
        </w:tc>
        <w:tc>
          <w:tcPr>
            <w:tcW w:w="2268" w:type="dxa"/>
            <w:vAlign w:val="center"/>
          </w:tcPr>
          <w:p>
            <w:pPr>
              <w:pStyle w:val="12"/>
            </w:pPr>
            <w:r>
              <w:t>&lt;5%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调查表按时完成情况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调查成本</w:t>
            </w:r>
          </w:p>
        </w:tc>
        <w:tc>
          <w:tcPr>
            <w:tcW w:w="5386" w:type="dxa"/>
            <w:vAlign w:val="center"/>
          </w:tcPr>
          <w:p>
            <w:pPr>
              <w:pStyle w:val="12"/>
            </w:pPr>
            <w:r>
              <w:t>城乡住户调查所需费用</w:t>
            </w:r>
          </w:p>
        </w:tc>
        <w:tc>
          <w:tcPr>
            <w:tcW w:w="2268" w:type="dxa"/>
            <w:vAlign w:val="center"/>
          </w:tcPr>
          <w:p>
            <w:pPr>
              <w:pStyle w:val="12"/>
            </w:pPr>
            <w:r>
              <w:t>95万元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入户走访次数</w:t>
            </w:r>
          </w:p>
        </w:tc>
        <w:tc>
          <w:tcPr>
            <w:tcW w:w="5386" w:type="dxa"/>
            <w:vAlign w:val="center"/>
          </w:tcPr>
          <w:p>
            <w:pPr>
              <w:pStyle w:val="12"/>
            </w:pPr>
            <w:r>
              <w:t>对调查户的填表质量进行指导、完善</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能够长期较好地开展统计调查工作的记账户的比率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记账户满意度</w:t>
            </w:r>
          </w:p>
        </w:tc>
        <w:tc>
          <w:tcPr>
            <w:tcW w:w="5386" w:type="dxa"/>
            <w:vAlign w:val="center"/>
          </w:tcPr>
          <w:p>
            <w:pPr>
              <w:pStyle w:val="12"/>
            </w:pPr>
            <w:r>
              <w:t>记账户满意所占比率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2、2026第四次农业普查经费绩效目标表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13011026P000P8610003R</w:t>
            </w:r>
          </w:p>
        </w:tc>
        <w:tc>
          <w:tcPr>
            <w:tcW w:w="2835" w:type="dxa"/>
            <w:vAlign w:val="center"/>
          </w:tcPr>
          <w:p>
            <w:pPr>
              <w:pStyle w:val="10"/>
            </w:pPr>
            <w:r>
              <w:t>项目名称</w:t>
            </w:r>
          </w:p>
        </w:tc>
        <w:tc>
          <w:tcPr>
            <w:tcW w:w="6095" w:type="dxa"/>
            <w:gridSpan w:val="3"/>
            <w:vAlign w:val="center"/>
          </w:tcPr>
          <w:p>
            <w:pPr>
              <w:pStyle w:val="12"/>
            </w:pPr>
            <w:r>
              <w:t>2026第四次农业普查经费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用于全国第四次农业普查经费。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1.用于支付全国第四次农业普查经费。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调查个数</w:t>
            </w:r>
          </w:p>
        </w:tc>
        <w:tc>
          <w:tcPr>
            <w:tcW w:w="5386" w:type="dxa"/>
            <w:vAlign w:val="center"/>
          </w:tcPr>
          <w:p>
            <w:pPr>
              <w:pStyle w:val="12"/>
            </w:pPr>
            <w:r>
              <w:t>农业经营单位和农村住户户数</w:t>
            </w:r>
          </w:p>
        </w:tc>
        <w:tc>
          <w:tcPr>
            <w:tcW w:w="2268" w:type="dxa"/>
            <w:vAlign w:val="center"/>
          </w:tcPr>
          <w:p>
            <w:pPr>
              <w:pStyle w:val="12"/>
            </w:pPr>
            <w:r>
              <w:t>14万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数据录入误差率</w:t>
            </w:r>
          </w:p>
        </w:tc>
        <w:tc>
          <w:tcPr>
            <w:tcW w:w="5386" w:type="dxa"/>
            <w:vAlign w:val="center"/>
          </w:tcPr>
          <w:p>
            <w:pPr>
              <w:pStyle w:val="12"/>
            </w:pPr>
            <w:r>
              <w:t>数据录入误差率</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调查成本</w:t>
            </w:r>
          </w:p>
        </w:tc>
        <w:tc>
          <w:tcPr>
            <w:tcW w:w="5386" w:type="dxa"/>
            <w:vAlign w:val="center"/>
          </w:tcPr>
          <w:p>
            <w:pPr>
              <w:pStyle w:val="12"/>
            </w:pPr>
            <w:r>
              <w:t>调查成本</w:t>
            </w:r>
          </w:p>
        </w:tc>
        <w:tc>
          <w:tcPr>
            <w:tcW w:w="2268" w:type="dxa"/>
            <w:vAlign w:val="center"/>
          </w:tcPr>
          <w:p>
            <w:pPr>
              <w:pStyle w:val="12"/>
            </w:pPr>
            <w:r>
              <w:t>176.83万元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能够长期较好地开展农业普查工作</w:t>
            </w:r>
          </w:p>
        </w:tc>
        <w:tc>
          <w:tcPr>
            <w:tcW w:w="2268" w:type="dxa"/>
            <w:vAlign w:val="center"/>
          </w:tcPr>
          <w:p>
            <w:pPr>
              <w:pStyle w:val="12"/>
            </w:pPr>
            <w:r>
              <w:t>有效提高农业普查质量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3、2026科工楼办公租赁费绩效目标表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13011026P00321510045D</w:t>
            </w:r>
          </w:p>
        </w:tc>
        <w:tc>
          <w:tcPr>
            <w:tcW w:w="2835" w:type="dxa"/>
            <w:vAlign w:val="center"/>
          </w:tcPr>
          <w:p>
            <w:pPr>
              <w:pStyle w:val="10"/>
            </w:pPr>
            <w:r>
              <w:t>项目名称</w:t>
            </w:r>
          </w:p>
        </w:tc>
        <w:tc>
          <w:tcPr>
            <w:tcW w:w="6095" w:type="dxa"/>
            <w:gridSpan w:val="3"/>
            <w:vAlign w:val="center"/>
          </w:tcPr>
          <w:p>
            <w:pPr>
              <w:pStyle w:val="12"/>
            </w:pPr>
            <w:r>
              <w:t>2026科工楼办公租赁费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用于可供办公场所租赁费。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1.用于科工办公场所租赁费。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租赁房屋面积</w:t>
            </w:r>
          </w:p>
        </w:tc>
        <w:tc>
          <w:tcPr>
            <w:tcW w:w="5386" w:type="dxa"/>
            <w:vAlign w:val="center"/>
          </w:tcPr>
          <w:p>
            <w:pPr>
              <w:pStyle w:val="12"/>
            </w:pPr>
            <w:r>
              <w:t>租赁科工局办公场所面积</w:t>
            </w:r>
          </w:p>
        </w:tc>
        <w:tc>
          <w:tcPr>
            <w:tcW w:w="2268" w:type="dxa"/>
            <w:vAlign w:val="center"/>
          </w:tcPr>
          <w:p>
            <w:pPr>
              <w:pStyle w:val="12"/>
            </w:pPr>
            <w:r>
              <w:t>224.03平方米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租赁费</w:t>
            </w:r>
          </w:p>
        </w:tc>
        <w:tc>
          <w:tcPr>
            <w:tcW w:w="5386" w:type="dxa"/>
            <w:vAlign w:val="center"/>
          </w:tcPr>
          <w:p>
            <w:pPr>
              <w:pStyle w:val="12"/>
            </w:pPr>
            <w:r>
              <w:t>租赁科工局办公场所租赁费</w:t>
            </w:r>
          </w:p>
        </w:tc>
        <w:tc>
          <w:tcPr>
            <w:tcW w:w="2268" w:type="dxa"/>
            <w:vAlign w:val="center"/>
          </w:tcPr>
          <w:p>
            <w:pPr>
              <w:pStyle w:val="12"/>
            </w:pPr>
            <w:r>
              <w:t>18万元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5386" w:type="dxa"/>
            <w:vAlign w:val="center"/>
          </w:tcPr>
          <w:p>
            <w:pPr>
              <w:pStyle w:val="12"/>
            </w:pPr>
            <w:r>
              <w:t>正常使用率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工作开展及时性</w:t>
            </w:r>
          </w:p>
        </w:tc>
        <w:tc>
          <w:tcPr>
            <w:tcW w:w="5386" w:type="dxa"/>
            <w:vAlign w:val="center"/>
          </w:tcPr>
          <w:p>
            <w:pPr>
              <w:pStyle w:val="12"/>
            </w:pPr>
            <w:r>
              <w:t>工作开展及时性</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保障本年度工作顺利开展</w:t>
            </w:r>
          </w:p>
        </w:tc>
        <w:tc>
          <w:tcPr>
            <w:tcW w:w="5386" w:type="dxa"/>
            <w:vAlign w:val="center"/>
          </w:tcPr>
          <w:p>
            <w:pPr>
              <w:pStyle w:val="12"/>
            </w:pPr>
            <w:r>
              <w:t>保障本年度统计工作顺利开展</w:t>
            </w:r>
          </w:p>
        </w:tc>
        <w:tc>
          <w:tcPr>
            <w:tcW w:w="2268" w:type="dxa"/>
            <w:vAlign w:val="center"/>
          </w:tcPr>
          <w:p>
            <w:pPr>
              <w:pStyle w:val="12"/>
            </w:pPr>
            <w:r>
              <w:t>保障本年度统计工作顺利开展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服务对象对项目实施效果的满意程度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4、2026统计调查、统计培训绩效目标表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13011026P000P86100026</w:t>
            </w:r>
          </w:p>
        </w:tc>
        <w:tc>
          <w:tcPr>
            <w:tcW w:w="2835" w:type="dxa"/>
            <w:vAlign w:val="center"/>
          </w:tcPr>
          <w:p>
            <w:pPr>
              <w:pStyle w:val="10"/>
            </w:pPr>
            <w:r>
              <w:t>项目名称</w:t>
            </w:r>
          </w:p>
        </w:tc>
        <w:tc>
          <w:tcPr>
            <w:tcW w:w="6095" w:type="dxa"/>
            <w:gridSpan w:val="3"/>
            <w:vAlign w:val="center"/>
          </w:tcPr>
          <w:p>
            <w:pPr>
              <w:pStyle w:val="12"/>
            </w:pPr>
            <w:r>
              <w:t>2026统计调查、统计培训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用于统计调查、统计培训经费。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1.按照统计制度要求开展夏粮监测、遥感测量、农民工调查等统计调查活动，满足国家统计核算要求，并对统计从业人员、调查员进行定期培训，为长期较好开展统计工作服务。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培训人数</w:t>
            </w:r>
          </w:p>
        </w:tc>
        <w:tc>
          <w:tcPr>
            <w:tcW w:w="5386" w:type="dxa"/>
            <w:vAlign w:val="center"/>
          </w:tcPr>
          <w:p>
            <w:pPr>
              <w:pStyle w:val="12"/>
            </w:pPr>
            <w:r>
              <w:t>各项调查培训的总人数</w:t>
            </w:r>
          </w:p>
        </w:tc>
        <w:tc>
          <w:tcPr>
            <w:tcW w:w="2268" w:type="dxa"/>
            <w:vAlign w:val="center"/>
          </w:tcPr>
          <w:p>
            <w:pPr>
              <w:pStyle w:val="12"/>
            </w:pPr>
            <w:r>
              <w:t>≥300人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数据录入正确率</w:t>
            </w:r>
          </w:p>
        </w:tc>
        <w:tc>
          <w:tcPr>
            <w:tcW w:w="5386" w:type="dxa"/>
            <w:vAlign w:val="center"/>
          </w:tcPr>
          <w:p>
            <w:pPr>
              <w:pStyle w:val="12"/>
            </w:pPr>
            <w:r>
              <w:t>调查数据录入正确率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项目按时完成的比率</w:t>
            </w:r>
          </w:p>
        </w:tc>
        <w:tc>
          <w:tcPr>
            <w:tcW w:w="5386" w:type="dxa"/>
            <w:vAlign w:val="center"/>
          </w:tcPr>
          <w:p>
            <w:pPr>
              <w:pStyle w:val="12"/>
            </w:pPr>
            <w:r>
              <w:t>调查按时完成比率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调查、培训成本</w:t>
            </w:r>
          </w:p>
        </w:tc>
        <w:tc>
          <w:tcPr>
            <w:tcW w:w="5386" w:type="dxa"/>
            <w:vAlign w:val="center"/>
          </w:tcPr>
          <w:p>
            <w:pPr>
              <w:pStyle w:val="12"/>
            </w:pPr>
            <w:r>
              <w:t>统计调查、统计培训成本</w:t>
            </w:r>
          </w:p>
        </w:tc>
        <w:tc>
          <w:tcPr>
            <w:tcW w:w="2268" w:type="dxa"/>
            <w:vAlign w:val="center"/>
          </w:tcPr>
          <w:p>
            <w:pPr>
              <w:pStyle w:val="12"/>
            </w:pPr>
            <w:r>
              <w:t>28万元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参加培训后，能长期较好完成统计调查工作人员的比率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各项调查达标率</w:t>
            </w:r>
          </w:p>
        </w:tc>
        <w:tc>
          <w:tcPr>
            <w:tcW w:w="5386" w:type="dxa"/>
            <w:vAlign w:val="center"/>
          </w:tcPr>
          <w:p>
            <w:pPr>
              <w:pStyle w:val="12"/>
            </w:pPr>
            <w:r>
              <w:t>各项调查满足统计制度要求的比率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参培统计人员满意度</w:t>
            </w:r>
          </w:p>
        </w:tc>
        <w:tc>
          <w:tcPr>
            <w:tcW w:w="5386" w:type="dxa"/>
            <w:vAlign w:val="center"/>
          </w:tcPr>
          <w:p>
            <w:pPr>
              <w:pStyle w:val="12"/>
            </w:pPr>
            <w:r>
              <w:t>参培统计人员满意度</w:t>
            </w:r>
          </w:p>
        </w:tc>
        <w:tc>
          <w:tcPr>
            <w:tcW w:w="2268" w:type="dxa"/>
            <w:vAlign w:val="center"/>
          </w:tcPr>
          <w:p>
            <w:pPr>
              <w:pStyle w:val="12"/>
            </w:pPr>
            <w:r>
              <w:t>≥90%</w:t>
            </w:r>
          </w:p>
        </w:tc>
        <w:tc>
          <w:tcPr>
            <w:tcW w:w="1276"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5、2026县乡网络视频费绩效目标表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13011026P00N0D210002A</w:t>
            </w:r>
          </w:p>
        </w:tc>
        <w:tc>
          <w:tcPr>
            <w:tcW w:w="2835" w:type="dxa"/>
            <w:vAlign w:val="center"/>
          </w:tcPr>
          <w:p>
            <w:pPr>
              <w:pStyle w:val="10"/>
            </w:pPr>
            <w:r>
              <w:t>项目名称</w:t>
            </w:r>
          </w:p>
        </w:tc>
        <w:tc>
          <w:tcPr>
            <w:tcW w:w="6095" w:type="dxa"/>
            <w:gridSpan w:val="3"/>
            <w:vAlign w:val="center"/>
          </w:tcPr>
          <w:p>
            <w:pPr>
              <w:pStyle w:val="12"/>
            </w:pPr>
            <w:r>
              <w:t>2026县乡网络视频费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用于支付县乡网络视频费。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1.连接13个乡镇和区统计局，保持网络畅通，各企业能及时完成报表，各乡镇统计员能在线查询企业报表情况，能正常召开视频会议。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连接乡镇数量</w:t>
            </w:r>
          </w:p>
        </w:tc>
        <w:tc>
          <w:tcPr>
            <w:tcW w:w="5386" w:type="dxa"/>
            <w:vAlign w:val="center"/>
          </w:tcPr>
          <w:p>
            <w:pPr>
              <w:pStyle w:val="12"/>
            </w:pPr>
            <w:r>
              <w:t>统计网络系统连接乡镇数量</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信息系统故障发生率</w:t>
            </w:r>
          </w:p>
        </w:tc>
        <w:tc>
          <w:tcPr>
            <w:tcW w:w="5386" w:type="dxa"/>
            <w:vAlign w:val="center"/>
          </w:tcPr>
          <w:p>
            <w:pPr>
              <w:pStyle w:val="12"/>
            </w:pPr>
            <w:r>
              <w:t>信息系统故障发生率</w:t>
            </w:r>
          </w:p>
        </w:tc>
        <w:tc>
          <w:tcPr>
            <w:tcW w:w="2268" w:type="dxa"/>
            <w:vAlign w:val="center"/>
          </w:tcPr>
          <w:p>
            <w:pPr>
              <w:pStyle w:val="12"/>
            </w:pPr>
            <w:r>
              <w:t>≤10%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报表上报及时率</w:t>
            </w:r>
          </w:p>
        </w:tc>
        <w:tc>
          <w:tcPr>
            <w:tcW w:w="5386" w:type="dxa"/>
            <w:vAlign w:val="center"/>
          </w:tcPr>
          <w:p>
            <w:pPr>
              <w:pStyle w:val="12"/>
            </w:pPr>
            <w:r>
              <w:t>报表上报及时率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租赁费、服务费</w:t>
            </w:r>
          </w:p>
        </w:tc>
        <w:tc>
          <w:tcPr>
            <w:tcW w:w="5386" w:type="dxa"/>
            <w:vAlign w:val="center"/>
          </w:tcPr>
          <w:p>
            <w:pPr>
              <w:pStyle w:val="12"/>
            </w:pPr>
            <w:r>
              <w:t>光纤、视频会议系统租赁费、联网服务费</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能够长期较好地开展一套表工作</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统计调查达标率</w:t>
            </w:r>
          </w:p>
        </w:tc>
        <w:tc>
          <w:tcPr>
            <w:tcW w:w="5386" w:type="dxa"/>
            <w:vAlign w:val="center"/>
          </w:tcPr>
          <w:p>
            <w:pPr>
              <w:pStyle w:val="12"/>
            </w:pPr>
            <w:r>
              <w:t>各项统计调查达到制度要求比率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使用该光纤网的统计员对网络服务满意度</w:t>
            </w:r>
          </w:p>
        </w:tc>
        <w:tc>
          <w:tcPr>
            <w:tcW w:w="2268" w:type="dxa"/>
            <w:vAlign w:val="center"/>
          </w:tcPr>
          <w:p>
            <w:pPr>
              <w:pStyle w:val="12"/>
            </w:pPr>
            <w:r>
              <w:t>≥90%</w:t>
            </w:r>
          </w:p>
        </w:tc>
        <w:tc>
          <w:tcPr>
            <w:tcW w:w="1276"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6.35</w:t>
            </w:r>
          </w:p>
        </w:tc>
        <w:tc>
          <w:tcPr>
            <w:tcW w:w="964" w:type="dxa"/>
            <w:vAlign w:val="center"/>
          </w:tcPr>
          <w:p>
            <w:pPr>
              <w:pStyle w:val="15"/>
            </w:pPr>
            <w:r>
              <w:t>6.35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石家庄市鹿泉区统计局本级小计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6.35</w:t>
            </w:r>
          </w:p>
        </w:tc>
        <w:tc>
          <w:tcPr>
            <w:tcW w:w="964" w:type="dxa"/>
            <w:vAlign w:val="center"/>
          </w:tcPr>
          <w:p>
            <w:pPr>
              <w:pStyle w:val="15"/>
            </w:pPr>
            <w:r>
              <w:t>6.35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126.47</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126.47</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2.25</w:t>
            </w:r>
          </w:p>
        </w:tc>
        <w:tc>
          <w:tcPr>
            <w:tcW w:w="964" w:type="dxa"/>
            <w:vAlign w:val="center"/>
          </w:tcPr>
          <w:p>
            <w:pPr>
              <w:pStyle w:val="11"/>
            </w:pPr>
            <w:r>
              <w:t>2.25</w:t>
            </w:r>
          </w:p>
        </w:tc>
        <w:tc>
          <w:tcPr>
            <w:tcW w:w="964" w:type="dxa"/>
            <w:vAlign w:val="center"/>
          </w:tcPr>
          <w:p>
            <w:pPr>
              <w:pStyle w:val="11"/>
            </w:pPr>
            <w:r>
              <w:t>2.25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公用经费二</w:t>
            </w:r>
          </w:p>
        </w:tc>
        <w:tc>
          <w:tcPr>
            <w:tcW w:w="964" w:type="dxa"/>
            <w:vAlign w:val="center"/>
          </w:tcPr>
          <w:p>
            <w:pPr>
              <w:pStyle w:val="11"/>
            </w:pPr>
            <w:r>
              <w:t>126.47</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15.60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件</w:t>
            </w:r>
          </w:p>
        </w:tc>
        <w:tc>
          <w:tcPr>
            <w:tcW w:w="850" w:type="dxa"/>
            <w:vAlign w:val="center"/>
          </w:tcPr>
          <w:p>
            <w:pPr>
              <w:pStyle w:val="11"/>
            </w:pPr>
            <w:r>
              <w:t>2</w:t>
            </w:r>
          </w:p>
        </w:tc>
        <w:tc>
          <w:tcPr>
            <w:tcW w:w="850" w:type="dxa"/>
            <w:vAlign w:val="center"/>
          </w:tcPr>
          <w:p>
            <w:pPr>
              <w:pStyle w:val="11"/>
            </w:pPr>
            <w:r>
              <w:t>0.08</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15.60</w:t>
            </w:r>
          </w:p>
        </w:tc>
        <w:tc>
          <w:tcPr>
            <w:tcW w:w="1134" w:type="dxa"/>
            <w:vAlign w:val="center"/>
          </w:tcPr>
          <w:p>
            <w:pPr>
              <w:pStyle w:val="12"/>
            </w:pPr>
            <w:r>
              <w:t>保密柜</w:t>
            </w:r>
          </w:p>
        </w:tc>
        <w:tc>
          <w:tcPr>
            <w:tcW w:w="1134" w:type="dxa"/>
            <w:vAlign w:val="center"/>
          </w:tcPr>
          <w:p>
            <w:pPr>
              <w:pStyle w:val="12"/>
            </w:pPr>
            <w:r>
              <w:t>A05010504</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15.60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380</w:t>
            </w:r>
          </w:p>
        </w:tc>
        <w:tc>
          <w:tcPr>
            <w:tcW w:w="850" w:type="dxa"/>
            <w:vAlign w:val="center"/>
          </w:tcPr>
          <w:p>
            <w:pPr>
              <w:pStyle w:val="11"/>
            </w:pPr>
            <w:r>
              <w:t>0.00</w:t>
            </w:r>
          </w:p>
        </w:tc>
        <w:tc>
          <w:tcPr>
            <w:tcW w:w="964" w:type="dxa"/>
            <w:vAlign w:val="center"/>
          </w:tcPr>
          <w:p>
            <w:pPr>
              <w:pStyle w:val="11"/>
            </w:pPr>
            <w:r>
              <w:t>0.89</w:t>
            </w:r>
          </w:p>
        </w:tc>
        <w:tc>
          <w:tcPr>
            <w:tcW w:w="964" w:type="dxa"/>
            <w:vAlign w:val="center"/>
          </w:tcPr>
          <w:p>
            <w:pPr>
              <w:pStyle w:val="11"/>
            </w:pPr>
            <w:r>
              <w:t>0.89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15.60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2.50</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石家庄市鹿泉区统计局本级上年末固定资产金额为130.10万元（详见下表）。本年度拟购置固定资产总额为0.00万元，已按要求列入政府采购预算，详见政府采购预算表。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712</w:t>
            </w:r>
          </w:p>
        </w:tc>
        <w:tc>
          <w:tcPr>
            <w:tcW w:w="2835" w:type="dxa"/>
            <w:vAlign w:val="center"/>
          </w:tcPr>
          <w:p>
            <w:pPr>
              <w:pStyle w:val="11"/>
            </w:pPr>
            <w:r>
              <w:t>121.80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B39749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TotalTime>9</TotalTime>
  <ScaleCrop>false</ScaleCrop>
  <LinksUpToDate>false</LinksUpToDate>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2026-02-26T15:41:00Z</dcterms:created>
  <dc:creator>Administrator</dc:creator>
  <cp:lastModifiedBy>Administrator</cp:lastModifiedBy>
  <dcterms:modified xsi:type="dcterms:W3CDTF">2026-02-26T08:07:01Z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6613F22847B04A408306F08F5B9D0F9F</vt:lpwstr>
  </property>
</Properties>
</file>