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E6D769">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石家庄市鹿泉区人力资源和社会保障局2026年度涉企行政检查计划</w:t>
      </w:r>
    </w:p>
    <w:p w14:paraId="1CC67204">
      <w:pPr>
        <w:rPr>
          <w:rFonts w:hint="eastAsia" w:ascii="仿宋_GB2312" w:hAnsi="仿宋_GB2312" w:eastAsia="仿宋_GB2312" w:cs="仿宋_GB2312"/>
          <w:sz w:val="32"/>
          <w:szCs w:val="32"/>
        </w:rPr>
      </w:pPr>
    </w:p>
    <w:p w14:paraId="35194B9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为全面优化营商环境，规范行政执法行为，根据国家、省、市关于规范涉企行政检查及推行“双随机、一公开”监管的要求，结合我区人力资源和社会保障领域监管实际，特制定本年度检查计划。</w:t>
      </w:r>
    </w:p>
    <w:p w14:paraId="12DC393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 工作原则与目标</w:t>
      </w:r>
    </w:p>
    <w:p w14:paraId="040416E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（一）依法依规原则：所有行政检查严格以现行有效的法律、法规、规章为依据，坚持“法无授权不可为”，确保检查行为的合法性。</w:t>
      </w:r>
    </w:p>
    <w:p w14:paraId="1E95283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（二）公平公开原则：全面推行“双随机、一公开”监管模式，随机抽取检查对象、随机选派执法检查人员，检查结果及时向社会公开，保障监管的公平性、规范性和透明度。</w:t>
      </w:r>
    </w:p>
    <w:p w14:paraId="4E9248F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（三）协同高效原则：大力推行跨部门联合“综合查一次”，对同一企业实现“进一次门、查多项事”，有效减少对企业正常生产经营活动的干扰。</w:t>
      </w:r>
    </w:p>
    <w:p w14:paraId="5074622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（四）分类监管原则：推行基于企业信用风险分类的差异化监管。对信用好、风险低的企业合理降低抽查比例和频次，对信用差、风险高的企业加大抽查力度和检查深度，提升监管精准性和问题发现率。</w:t>
      </w:r>
    </w:p>
    <w:p w14:paraId="703AC7C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（五）目标导向：通过实施计划检查，督促我区各类用人单位规范用工、人力资源服务机构和劳务派遣单位依法经营，切实维护劳动者合法权益，构建和谐稳定的劳动关系。</w:t>
      </w:r>
    </w:p>
    <w:p w14:paraId="229FFC5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 检查主体</w:t>
      </w:r>
    </w:p>
    <w:p w14:paraId="2718B5F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石家庄市鹿泉区人力资源和社会保障局。</w:t>
      </w:r>
    </w:p>
    <w:p w14:paraId="12211F9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为确保行政检查的专业性、规范性，所有检查人员均从本局持有合法有效行政执法证件的“执法检查人员名录库”中随机选派，严禁未取得执法证件的人员独立实施检查。</w:t>
      </w:r>
    </w:p>
    <w:p w14:paraId="18D244E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三、检查依据</w:t>
      </w:r>
    </w:p>
    <w:p w14:paraId="6C36124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检查严格依据国家及河北省现行人力资源社会保障领域的法律、法规、规章及规范性文件进行，主要依据包括但不限于：</w:t>
      </w:r>
    </w:p>
    <w:p w14:paraId="742C75D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劳动法》《中华人民共和国劳动合同法》《中华人民共和国社会保险法》《劳动保障监察条例》、《保障农民工工资支付条例》《人力资源市场暂行条例》《劳务派遣行政许可实施办法》《劳务派遣暂行规定》《网络招聘服务管理规定》《河北省人力资源市场条例》《河北省企业集体协商条例》《社会保险经办条例》、《社会保险基金行政监督办法》《国务院办公厅关于严格规范涉企行政检查的意见》（国办发〔2024〕54号）及省、市相关贯彻落实文件。</w:t>
      </w:r>
    </w:p>
    <w:p w14:paraId="299F617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四、检查对象范围</w:t>
      </w:r>
    </w:p>
    <w:p w14:paraId="724A464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本计划适用于在鹿泉区行政区域内注册登记，并属于区人社局行业主管规范范围内的所有用人单位和市场主体，主要包括：</w:t>
      </w:r>
    </w:p>
    <w:p w14:paraId="4756653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1.各类企业、民办非企业单位等组织（用人单位）。</w:t>
      </w:r>
    </w:p>
    <w:p w14:paraId="4017FFE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2.经营性人力资源服务机构（含开展网络招聘服务的机构）。</w:t>
      </w:r>
    </w:p>
    <w:p w14:paraId="46B24E3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3.劳务派遣单位及用工单位。</w:t>
      </w:r>
    </w:p>
    <w:p w14:paraId="41D4CD8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具体检查对象将根据年度抽查任务，通过河北省“双随机、一公开”监管工作平台从相应的“检查对象名录库”中随机抽取。对信用风险等级高的企业、近三年未被抽查过的企业以及人力资源服务机构、劳务派遣单位等</w:t>
      </w:r>
      <w:bookmarkStart w:id="0" w:name="_GoBack"/>
      <w:bookmarkEnd w:id="0"/>
      <w:r>
        <w:rPr>
          <w:rFonts w:hint="eastAsia" w:ascii="仿宋_GB2312" w:hAnsi="仿宋_GB2312" w:eastAsia="仿宋_GB2312" w:cs="仿宋_GB2312"/>
          <w:sz w:val="32"/>
          <w:szCs w:val="32"/>
        </w:rPr>
        <w:t>重点行业主体，将适当提高抽取比例。</w:t>
      </w:r>
    </w:p>
    <w:p w14:paraId="1D5F740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检查事项清单</w:t>
      </w:r>
    </w:p>
    <w:p w14:paraId="08E956B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根据《河北省人社领域涉企行政检查事项清单》及鹿泉区实际，202</w:t>
      </w:r>
      <w:r>
        <w:rPr>
          <w:rFonts w:hint="default" w:ascii="仿宋_GB2312" w:hAnsi="仿宋_GB2312" w:eastAsia="仿宋_GB2312" w:cs="仿宋_GB2312"/>
          <w:sz w:val="32"/>
          <w:szCs w:val="32"/>
          <w:lang w:val="en-US"/>
        </w:rPr>
        <w:t>5</w:t>
      </w:r>
      <w:r>
        <w:rPr>
          <w:rFonts w:hint="eastAsia" w:ascii="仿宋_GB2312" w:hAnsi="仿宋_GB2312" w:eastAsia="仿宋_GB2312" w:cs="仿宋_GB2312"/>
          <w:sz w:val="32"/>
          <w:szCs w:val="32"/>
        </w:rPr>
        <w:t>年度计划开展的行政检查事项共11项。</w:t>
      </w:r>
    </w:p>
    <w:p w14:paraId="7A51096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1.企业特殊工时制度落实情况检查</w:t>
      </w:r>
    </w:p>
    <w:p w14:paraId="0E18C4F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检查内容：检查经审批实行不定时工作制或综合计算工时工作制的企业，其工时管理办法、适用岗位范围、劳动者工作时间和休息休假安排、履行民主程序及公示告知义务等情况。常规频次：1次/年。 特别说明：属审批后监管事项。</w:t>
      </w:r>
    </w:p>
    <w:p w14:paraId="159E32F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2.社会保险基金监督检查</w:t>
      </w:r>
    </w:p>
    <w:p w14:paraId="2B691F6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检查内容：对用人单位参保缴费情况、社会保险待遇领取情况、社会保险服务机构履行服务协议及费用结算合规性等进行核查与监督。</w:t>
      </w:r>
    </w:p>
    <w:p w14:paraId="34B9F93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常规频次：1次/年。</w:t>
      </w:r>
    </w:p>
    <w:p w14:paraId="69D6440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特别说明：重点核查虚构劳动关系参保、骗取待遇等行为。</w:t>
      </w:r>
    </w:p>
    <w:p w14:paraId="0B0904D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3.对《企业年金办法》执行情况的行政检查</w:t>
      </w:r>
    </w:p>
    <w:p w14:paraId="3C9BF2F8">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检查内容：检查建立企业年金制度企业的年金方案备案、基金筹集、账户管理及待遇支付等政策执行情况。</w:t>
      </w:r>
    </w:p>
    <w:p w14:paraId="0997728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常规频次：1次/年。</w:t>
      </w:r>
    </w:p>
    <w:p w14:paraId="1B7D2D9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特别说明：面向已建立企业年金的企业。</w:t>
      </w:r>
    </w:p>
    <w:p w14:paraId="1A920FF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4.经营性人力资源服务机构监督检查</w:t>
      </w:r>
    </w:p>
    <w:p w14:paraId="37100FBF">
      <w:pPr>
        <w:rPr>
          <w:rFonts w:hint="eastAsia" w:ascii="仿宋_GB2312" w:hAnsi="仿宋_GB2312" w:eastAsia="仿宋_GB2312" w:cs="仿宋_GB2312"/>
          <w:sz w:val="32"/>
          <w:szCs w:val="32"/>
        </w:rPr>
      </w:pPr>
    </w:p>
    <w:p w14:paraId="2ECB545B">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检查内容：检查机构依法取得行政许可或备案情况、开展职业中介活动的规范性、服务明码标价、建立服务台账、保护求职者个人信息等情况。</w:t>
      </w:r>
    </w:p>
    <w:p w14:paraId="1FB17A3A">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14:paraId="7E827B1C">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特别说明：本部门重点行业监管对象，年度内将结合专项行动重点抽查。</w:t>
      </w:r>
    </w:p>
    <w:p w14:paraId="076A532D">
      <w:pPr>
        <w:rPr>
          <w:rFonts w:hint="eastAsia" w:ascii="仿宋_GB2312" w:hAnsi="仿宋_GB2312" w:eastAsia="仿宋_GB2312" w:cs="仿宋_GB2312"/>
          <w:sz w:val="32"/>
          <w:szCs w:val="32"/>
        </w:rPr>
      </w:pPr>
    </w:p>
    <w:p w14:paraId="39786B5A">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 用人单位遵守劳动保障法律、法规监督检查（综合性检查）</w:t>
      </w:r>
    </w:p>
    <w:p w14:paraId="5C41A73F">
      <w:pPr>
        <w:rPr>
          <w:rFonts w:hint="eastAsia" w:ascii="仿宋_GB2312" w:hAnsi="仿宋_GB2312" w:eastAsia="仿宋_GB2312" w:cs="仿宋_GB2312"/>
          <w:sz w:val="32"/>
          <w:szCs w:val="32"/>
        </w:rPr>
      </w:pPr>
    </w:p>
    <w:p w14:paraId="78096397">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检查内容：全面检查劳动合同订立与解除、工资支付（特别是农民工工资支付）、工作时间与休息休假、禁止使用童工、女职工和未成年工特殊保护等劳动保障法律法规遵守情况。</w:t>
      </w:r>
    </w:p>
    <w:p w14:paraId="0C819CDA">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14:paraId="1F0EDCB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特别说明：此为覆盖面最广的综合性检查，是根治欠薪等工作的重要抓手。</w:t>
      </w:r>
    </w:p>
    <w:p w14:paraId="69C1DD55">
      <w:pPr>
        <w:rPr>
          <w:rFonts w:hint="eastAsia" w:ascii="仿宋_GB2312" w:hAnsi="仿宋_GB2312" w:eastAsia="仿宋_GB2312" w:cs="仿宋_GB2312"/>
          <w:sz w:val="32"/>
          <w:szCs w:val="32"/>
        </w:rPr>
      </w:pPr>
    </w:p>
    <w:p w14:paraId="0C00FA3B">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 对劳务派遣市场行为的监督检查</w:t>
      </w:r>
    </w:p>
    <w:p w14:paraId="2995E672">
      <w:pPr>
        <w:rPr>
          <w:rFonts w:hint="eastAsia" w:ascii="仿宋_GB2312" w:hAnsi="仿宋_GB2312" w:eastAsia="仿宋_GB2312" w:cs="仿宋_GB2312"/>
          <w:sz w:val="32"/>
          <w:szCs w:val="32"/>
        </w:rPr>
      </w:pPr>
    </w:p>
    <w:p w14:paraId="430725F8">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检查内容：检查劳务派遣单位经营许可、年度报告提交、劳务派遣协议、同工同酬、为被派遣劳动者参保缴费、用工单位法定义务履行等情况。</w:t>
      </w:r>
    </w:p>
    <w:p w14:paraId="4A3A2F5E">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14:paraId="04D0DD02">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特别说明：本部门重点行业监管对象，将对年度经营报告进行核验并开展实地抽查。</w:t>
      </w:r>
    </w:p>
    <w:p w14:paraId="7874C817">
      <w:pPr>
        <w:rPr>
          <w:rFonts w:hint="eastAsia" w:ascii="仿宋_GB2312" w:hAnsi="仿宋_GB2312" w:eastAsia="仿宋_GB2312" w:cs="仿宋_GB2312"/>
          <w:sz w:val="32"/>
          <w:szCs w:val="32"/>
        </w:rPr>
      </w:pPr>
    </w:p>
    <w:p w14:paraId="400B1E3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 对企业集体合同、工资集体合同和专项集体合同履行情况的监督检查</w:t>
      </w:r>
    </w:p>
    <w:p w14:paraId="7223AAF0">
      <w:pPr>
        <w:rPr>
          <w:rFonts w:hint="eastAsia" w:ascii="仿宋_GB2312" w:hAnsi="仿宋_GB2312" w:eastAsia="仿宋_GB2312" w:cs="仿宋_GB2312"/>
          <w:sz w:val="32"/>
          <w:szCs w:val="32"/>
        </w:rPr>
      </w:pPr>
    </w:p>
    <w:p w14:paraId="7FA65CE0">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检查内容：检查已签订集体合同企业履行合同约定条款的情况，包括劳动报酬、工作时间、休息休假、保险福利等。</w:t>
      </w:r>
    </w:p>
    <w:p w14:paraId="3A1A52E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14:paraId="53221F73">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特别说明：促进集体协商成果落实。</w:t>
      </w:r>
    </w:p>
    <w:p w14:paraId="16B2359D">
      <w:pPr>
        <w:rPr>
          <w:rFonts w:hint="eastAsia" w:ascii="仿宋_GB2312" w:hAnsi="仿宋_GB2312" w:eastAsia="仿宋_GB2312" w:cs="仿宋_GB2312"/>
          <w:sz w:val="32"/>
          <w:szCs w:val="32"/>
        </w:rPr>
      </w:pPr>
    </w:p>
    <w:p w14:paraId="29D74D69">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 社会保险登记和待遇享受情况核查</w:t>
      </w:r>
    </w:p>
    <w:p w14:paraId="56EC89AE">
      <w:pPr>
        <w:rPr>
          <w:rFonts w:hint="eastAsia" w:ascii="仿宋_GB2312" w:hAnsi="仿宋_GB2312" w:eastAsia="仿宋_GB2312" w:cs="仿宋_GB2312"/>
          <w:sz w:val="32"/>
          <w:szCs w:val="32"/>
        </w:rPr>
      </w:pPr>
    </w:p>
    <w:p w14:paraId="45E214F7">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检查内容：核查用人单位是否为全体职工及时办理社会保险登记并足额缴费，核查个人是否符合待遇享受条件。</w:t>
      </w:r>
    </w:p>
    <w:p w14:paraId="2A492C30">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14:paraId="71198A24">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特别说明：与社保稽核工作结合进行。</w:t>
      </w:r>
    </w:p>
    <w:p w14:paraId="1301C111">
      <w:pPr>
        <w:rPr>
          <w:rFonts w:hint="eastAsia" w:ascii="仿宋_GB2312" w:hAnsi="仿宋_GB2312" w:eastAsia="仿宋_GB2312" w:cs="仿宋_GB2312"/>
          <w:sz w:val="32"/>
          <w:szCs w:val="32"/>
        </w:rPr>
      </w:pPr>
    </w:p>
    <w:p w14:paraId="5B2DAB5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 社会保险服务机构履行服务协议情况核查</w:t>
      </w:r>
    </w:p>
    <w:p w14:paraId="3D4E02D2">
      <w:pPr>
        <w:rPr>
          <w:rFonts w:hint="eastAsia" w:ascii="仿宋_GB2312" w:hAnsi="仿宋_GB2312" w:eastAsia="仿宋_GB2312" w:cs="仿宋_GB2312"/>
          <w:sz w:val="32"/>
          <w:szCs w:val="32"/>
        </w:rPr>
      </w:pPr>
    </w:p>
    <w:p w14:paraId="36DC341A">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检查内容：对签订服务协议的医疗机构、康复机构、药品经营单位等，检查其执行医保、工伤等政策规定、履行服务协议的情况。</w:t>
      </w:r>
    </w:p>
    <w:p w14:paraId="39B6330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14:paraId="08963DD8">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特别说明：与医保、社保经办机构协同开展。</w:t>
      </w:r>
    </w:p>
    <w:p w14:paraId="09CE89AC">
      <w:pPr>
        <w:rPr>
          <w:rFonts w:hint="eastAsia" w:ascii="仿宋_GB2312" w:hAnsi="仿宋_GB2312" w:eastAsia="仿宋_GB2312" w:cs="仿宋_GB2312"/>
          <w:sz w:val="32"/>
          <w:szCs w:val="32"/>
        </w:rPr>
      </w:pPr>
    </w:p>
    <w:p w14:paraId="79A71179">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 就业公共服务政策落实及补贴资金使用情况检查</w:t>
      </w:r>
    </w:p>
    <w:p w14:paraId="40B253DC">
      <w:pPr>
        <w:rPr>
          <w:rFonts w:hint="eastAsia" w:ascii="仿宋_GB2312" w:hAnsi="仿宋_GB2312" w:eastAsia="仿宋_GB2312" w:cs="仿宋_GB2312"/>
          <w:sz w:val="32"/>
          <w:szCs w:val="32"/>
        </w:rPr>
      </w:pPr>
    </w:p>
    <w:p w14:paraId="37E40756">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检查内容：对享受职业培训补贴、社保补贴、公益性岗位补贴等就业扶持政策的单位，检查其政策执行的真实性、合规性和资金使用效益。</w:t>
      </w:r>
    </w:p>
    <w:p w14:paraId="593EFE1D">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14:paraId="7F5BE40B">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特别说明：保障就业资金安全，提升政策效能。</w:t>
      </w:r>
    </w:p>
    <w:p w14:paraId="0FB21867">
      <w:pPr>
        <w:rPr>
          <w:rFonts w:hint="eastAsia" w:ascii="仿宋_GB2312" w:hAnsi="仿宋_GB2312" w:eastAsia="仿宋_GB2312" w:cs="仿宋_GB2312"/>
          <w:sz w:val="32"/>
          <w:szCs w:val="32"/>
        </w:rPr>
      </w:pPr>
    </w:p>
    <w:p w14:paraId="7C8D158A">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 劳务派遣单位年度经营情况报告核验与抽查</w:t>
      </w:r>
    </w:p>
    <w:p w14:paraId="65B1C878">
      <w:pPr>
        <w:rPr>
          <w:rFonts w:hint="eastAsia" w:ascii="仿宋_GB2312" w:hAnsi="仿宋_GB2312" w:eastAsia="仿宋_GB2312" w:cs="仿宋_GB2312"/>
          <w:sz w:val="32"/>
          <w:szCs w:val="32"/>
        </w:rPr>
      </w:pPr>
    </w:p>
    <w:p w14:paraId="0FF894A7">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检查内容：依据年度报告通知，核验劳务派遣单位提交的经营情况报告及财务审计报告的真实性、完整性，并对其报告事项进行实地抽查。</w:t>
      </w:r>
    </w:p>
    <w:p w14:paraId="7C66C9AF">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常规频次：1次/年。</w:t>
      </w:r>
    </w:p>
    <w:p w14:paraId="5A1277BE">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特别说明：此为针对劳务派遣单位的专项监管措施，未按期或虚假报告将列为重点检查对象。</w:t>
      </w:r>
    </w:p>
    <w:p w14:paraId="6CB95FFC">
      <w:pPr>
        <w:rPr>
          <w:rFonts w:hint="eastAsia" w:ascii="仿宋_GB2312" w:hAnsi="仿宋_GB2312" w:eastAsia="仿宋_GB2312" w:cs="仿宋_GB2312"/>
          <w:sz w:val="32"/>
          <w:szCs w:val="32"/>
        </w:rPr>
      </w:pPr>
    </w:p>
    <w:p w14:paraId="55F08948">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 检查频次与方式</w:t>
      </w:r>
    </w:p>
    <w:p w14:paraId="1782BD45">
      <w:pPr>
        <w:rPr>
          <w:rFonts w:hint="eastAsia" w:ascii="仿宋_GB2312" w:hAnsi="仿宋_GB2312" w:eastAsia="仿宋_GB2312" w:cs="仿宋_GB2312"/>
          <w:sz w:val="32"/>
          <w:szCs w:val="32"/>
        </w:rPr>
      </w:pPr>
    </w:p>
    <w:p w14:paraId="6F34FF39">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（一）基础频次：对同一检查对象，本年度各项“双随机、一公开”计划检查原则上合并进行，全年总计不超过1次。特殊情况需增加检查频次的，将按规定报批。</w:t>
      </w:r>
    </w:p>
    <w:p w14:paraId="5E9024D7">
      <w:pPr>
        <w:rPr>
          <w:rFonts w:hint="eastAsia" w:ascii="仿宋_GB2312" w:hAnsi="仿宋_GB2312" w:eastAsia="仿宋_GB2312" w:cs="仿宋_GB2312"/>
          <w:sz w:val="32"/>
          <w:szCs w:val="32"/>
        </w:rPr>
      </w:pPr>
    </w:p>
    <w:p w14:paraId="753A4507">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（二）动态调整频次：</w:t>
      </w:r>
    </w:p>
    <w:p w14:paraId="6A37E63A">
      <w:pPr>
        <w:rPr>
          <w:rFonts w:hint="eastAsia" w:ascii="仿宋_GB2312" w:hAnsi="仿宋_GB2312" w:eastAsia="仿宋_GB2312" w:cs="仿宋_GB2312"/>
          <w:sz w:val="32"/>
          <w:szCs w:val="32"/>
        </w:rPr>
      </w:pPr>
    </w:p>
    <w:p w14:paraId="102604CB">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对违法主体的检查：对于在检查中发现存在违法行为、经责令改正但未整改，或因投诉举报、上级交办、部门移送等线索证实存在违法问题的市场主体，将依法启动立案调查或行政处罚程序。在此类案件处理周期内，为调查取证、督促整改、核查履行情况等，对该主体的检查频次可能增加至3-5次，直至案件办结、整改到位。</w:t>
      </w:r>
    </w:p>
    <w:p w14:paraId="6FF32078">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基于信用分类的频次：全面应用企业信用风险分类结果。对A类（信用风险低）企业，可视情况免于或大幅降低抽查概率；对B类企业，降低抽查比例；对C、D类（信用风险较高、高）企业，提高抽查比例和频次。</w:t>
      </w:r>
    </w:p>
    <w:p w14:paraId="79CD9F90">
      <w:pPr>
        <w:rPr>
          <w:rFonts w:hint="eastAsia" w:ascii="仿宋_GB2312" w:hAnsi="仿宋_GB2312" w:eastAsia="仿宋_GB2312" w:cs="仿宋_GB2312"/>
          <w:sz w:val="32"/>
          <w:szCs w:val="32"/>
        </w:rPr>
      </w:pPr>
    </w:p>
    <w:p w14:paraId="04733673">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（三）主要检查方式：</w:t>
      </w:r>
    </w:p>
    <w:p w14:paraId="49222887">
      <w:pPr>
        <w:rPr>
          <w:rFonts w:hint="eastAsia" w:ascii="仿宋_GB2312" w:hAnsi="仿宋_GB2312" w:eastAsia="仿宋_GB2312" w:cs="仿宋_GB2312"/>
          <w:sz w:val="32"/>
          <w:szCs w:val="32"/>
        </w:rPr>
      </w:pPr>
    </w:p>
    <w:p w14:paraId="249E8B89">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“双随机、一公开”抽查：作为最主要的检查方式，所有计划内检查原则上均通过监管平台随机抽取对象、随机匹配人员，按照既定检查事项清单实施现场或非现场检查，结果向社会公开。</w:t>
      </w:r>
    </w:p>
    <w:p w14:paraId="0A7B1868">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跨部门联合检查：积极响应并参与由市场监管、税务、住建、交通运输等部门牵头的跨部门“双随机、一公开”联合抽查。同时，作为牵头部门，计划至少组织1次针对人力资源服务机构和劳务派遣单位的跨部门联合检查，实现“进一次门、查多项事”，提升监管合力。</w:t>
      </w:r>
    </w:p>
    <w:p w14:paraId="3FD92273">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 专项执法检查：根据上级统一部署，结合我区实际，组织开展“清理整顿人力资源市场秩序专项行动”、“根治欠薪冬季专项行动”等专项检查。</w:t>
      </w:r>
    </w:p>
    <w:p w14:paraId="1E39B6C4">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 投诉举报专查：对通过12333热线、信访、网络平台等渠道接收的符合受理条件的投诉举报，依法进行专案查处，不受“双随机”限制。</w:t>
      </w:r>
    </w:p>
    <w:p w14:paraId="69B3E96A">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 书面审查与实地核查结合：对于劳务派遣经营情况报告、企业年金方案等，采取先书面审查，再对存疑或按比例抽取的单位进行实地核查的方式。</w:t>
      </w:r>
    </w:p>
    <w:p w14:paraId="053B9840">
      <w:pPr>
        <w:rPr>
          <w:rFonts w:hint="eastAsia" w:ascii="仿宋_GB2312" w:hAnsi="仿宋_GB2312" w:eastAsia="仿宋_GB2312" w:cs="仿宋_GB2312"/>
          <w:sz w:val="32"/>
          <w:szCs w:val="32"/>
        </w:rPr>
      </w:pPr>
    </w:p>
    <w:p w14:paraId="75EFFD13">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 组织实施与工作要求</w:t>
      </w:r>
    </w:p>
    <w:p w14:paraId="218475C5">
      <w:pPr>
        <w:rPr>
          <w:rFonts w:hint="eastAsia" w:ascii="仿宋_GB2312" w:hAnsi="仿宋_GB2312" w:eastAsia="仿宋_GB2312" w:cs="仿宋_GB2312"/>
          <w:sz w:val="32"/>
          <w:szCs w:val="32"/>
        </w:rPr>
      </w:pPr>
    </w:p>
    <w:p w14:paraId="3B41B9D3">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（一）加强组织领导：成立局“双随机、一公开”监管工作领导小组，由局主要领导负责，统筹协调年度检查计划的实施。各相关业务股室（劳动保障监察大队、就业股、社保股等）具体执行。</w:t>
      </w:r>
    </w:p>
    <w:p w14:paraId="754817F5">
      <w:pPr>
        <w:rPr>
          <w:rFonts w:hint="eastAsia" w:ascii="仿宋_GB2312" w:hAnsi="仿宋_GB2312" w:eastAsia="仿宋_GB2312" w:cs="仿宋_GB2312"/>
          <w:sz w:val="32"/>
          <w:szCs w:val="32"/>
        </w:rPr>
      </w:pPr>
    </w:p>
    <w:p w14:paraId="76DB0AF5">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（二）规范检查程序：检查前应主动出示执法证件和检查通知。检查中全面推行行政执法“三项制度”，使用统一的执法文书，做好检查记录并归档，实现全过程留痕。</w:t>
      </w:r>
    </w:p>
    <w:p w14:paraId="7BB3E763">
      <w:pPr>
        <w:rPr>
          <w:rFonts w:hint="eastAsia" w:ascii="仿宋_GB2312" w:hAnsi="仿宋_GB2312" w:eastAsia="仿宋_GB2312" w:cs="仿宋_GB2312"/>
          <w:sz w:val="32"/>
          <w:szCs w:val="32"/>
        </w:rPr>
      </w:pPr>
    </w:p>
    <w:p w14:paraId="05E758CF">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强化结果公示与运用：除涉及国家秘密、商业秘密和个人隐私外，所有“双随机、一公开”抽查检查结果应在任务完成后20个工作日内，通过鹿泉区人民政府门户网站和国家企业信用信息公示系统（河北）向社会公示。检查结果将作为企业信用评价、评优评先等重要依据。</w:t>
      </w:r>
    </w:p>
    <w:p w14:paraId="431CE32F">
      <w:pPr>
        <w:rPr>
          <w:rFonts w:hint="eastAsia" w:ascii="仿宋_GB2312" w:hAnsi="仿宋_GB2312" w:eastAsia="仿宋_GB2312" w:cs="仿宋_GB2312"/>
          <w:sz w:val="32"/>
          <w:szCs w:val="32"/>
        </w:rPr>
      </w:pPr>
    </w:p>
    <w:p w14:paraId="6AFD884F">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（四）严守工作纪律：检查人员应严格遵守廉洁纪律和工作规范，不得妨碍企业正常生产经营活动，不得索取或收受财物，不得谋取其他非法利益。对违反规定的，依法依规严肃处理。</w:t>
      </w:r>
    </w:p>
    <w:p w14:paraId="0EA1B56D">
      <w:pPr>
        <w:rPr>
          <w:rFonts w:hint="eastAsia" w:ascii="仿宋_GB2312" w:hAnsi="仿宋_GB2312" w:eastAsia="仿宋_GB2312" w:cs="仿宋_GB2312"/>
          <w:sz w:val="32"/>
          <w:szCs w:val="32"/>
        </w:rPr>
      </w:pPr>
    </w:p>
    <w:p w14:paraId="4BBE15B4">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本计划自印发之日起执行，执行过程中如遇法律法规或上级政策调整，将适时进行修订。</w:t>
      </w:r>
    </w:p>
    <w:p w14:paraId="7D5D4C0B">
      <w:pPr>
        <w:rPr>
          <w:rFonts w:hint="eastAsia" w:ascii="仿宋_GB2312" w:hAnsi="仿宋_GB2312" w:eastAsia="仿宋_GB2312" w:cs="仿宋_GB2312"/>
          <w:sz w:val="32"/>
          <w:szCs w:val="32"/>
        </w:rPr>
      </w:pPr>
    </w:p>
    <w:p w14:paraId="12C45B3C">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石家庄市鹿泉区人力资源和社会保障局</w:t>
      </w:r>
    </w:p>
    <w:p w14:paraId="7AFA2696">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2026年1月12日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国标宋体-超大字符集扩">
    <w:panose1 w:val="000005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A580FE"/>
    <w:rsid w:val="3AD34714"/>
    <w:rsid w:val="EBDAB6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2026-01-12T19:05:00Z</dcterms:created>
  <dc:creator>86139</dc:creator>
  <cp:lastModifiedBy>北</cp:lastModifiedBy>
  <dcterms:modified xsi:type="dcterms:W3CDTF">2026-02-14T15:02:03Z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3FE7E984FB1C40BFBFB5175C3D9BD161</vt:lpwstr>
  </property>
</Properties>
</file>