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1">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314009</w:t>
      </w:r>
    </w:p>
    <w:p>
      <w:pPr>
        <w:spacing w:line="600" w:lineRule="auto"/>
        <w:jc w:val="left"/>
        <w:rPr>
          <w:rFonts w:hint="eastAsia" w:ascii="楷体_GB2312" w:hAnsi="楷体_GB2312" w:eastAsia="楷体_GB2312" w:cs="楷体_GB2312"/>
          <w:color w:val="000000"/>
          <w:sz w:val="40"/>
          <w:szCs w:val="40"/>
          <w:lang w:eastAsia="zh-CN"/>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：石家庄市鹿泉区社会福利院（石家庄市鹿泉区未成年人救助保护中心</w:t>
      </w:r>
      <w:r>
        <w:rPr>
          <w:rFonts w:hint="eastAsia" w:ascii="楷体_GB2312" w:hAnsi="楷体_GB2312" w:eastAsia="楷体_GB2312" w:cs="楷体_GB2312"/>
          <w:color w:val="000000"/>
          <w:sz w:val="40"/>
          <w:szCs w:val="40"/>
          <w:lang w:eastAsia="zh-CN"/>
        </w:rPr>
        <w:t>）</w:t>
      </w:r>
    </w:p>
    <w:p>
      <w:pPr>
        <w:widowControl/>
        <w:spacing w:before="0" w:beforeLines="0" w:beforeAutospacing="0" w:after="0" w:afterLines="0" w:afterAutospacing="0" w:line="360" w:lineRule="auto"/>
        <w:jc w:val="center"/>
        <w:rPr>
          <w:rFonts w:ascii="Times New Roman" w:eastAsia="方正小标宋_GBK"/>
          <w:b w:val="0"/>
          <w:sz w:val="72"/>
          <w:szCs w:val="72"/>
        </w:rPr>
      </w:pPr>
      <w:r>
        <w:rPr>
          <w:rFonts w:ascii="Times New Roman" w:eastAsia="方正小标宋_GBK"/>
          <w:b w:val="0"/>
          <w:sz w:val="72"/>
          <w:szCs w:val="72"/>
        </w:rPr>
        <w:t>石家庄市鹿泉区</w:t>
      </w:r>
      <w:r>
        <w:rPr>
          <w:rFonts w:hint="eastAsia" w:ascii="Times New Roman" w:eastAsia="方正小标宋_GBK"/>
          <w:b w:val="0"/>
          <w:sz w:val="72"/>
          <w:szCs w:val="72"/>
          <w:lang w:val="en-US" w:eastAsia="zh-CN"/>
        </w:rPr>
        <w:t>社会福利院（石家庄市鹿泉区未成年人救助保护中心）</w:t>
      </w: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单位</w:t>
      </w:r>
      <w:r>
        <w:rPr>
          <w:rFonts w:ascii="Times New Roman" w:eastAsia="方正小标宋_GBK"/>
          <w:b w:val="0"/>
          <w:sz w:val="72"/>
          <w:szCs w:val="72"/>
        </w:rPr>
        <w:t>决算</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公开文本</w:t>
      </w:r>
    </w:p>
    <w:p>
      <w:pPr>
        <w:spacing w:line="360" w:lineRule="auto"/>
        <w:jc w:val="center"/>
        <w:rPr>
          <w:rFonts w:ascii="仿宋" w:hAnsi="仿宋" w:eastAsia="仿宋" w:cs="仿宋"/>
          <w:sz w:val="56"/>
          <w:szCs w:val="72"/>
        </w:rPr>
      </w:pPr>
    </w:p>
    <w:p>
      <w:pPr>
        <w:spacing w:line="600" w:lineRule="auto"/>
        <w:jc w:val="center"/>
        <w:rPr>
          <w:rFonts w:ascii="仿宋" w:hAnsi="仿宋" w:eastAsia="仿宋" w:cs="仿宋"/>
          <w:sz w:val="56"/>
          <w:szCs w:val="72"/>
        </w:rPr>
      </w:pPr>
    </w:p>
    <w:p>
      <w:pPr>
        <w:spacing w:line="600" w:lineRule="auto"/>
        <w:jc w:val="center"/>
        <w:rPr>
          <w:rFonts w:ascii="仿宋" w:hAnsi="仿宋" w:eastAsia="仿宋" w:cs="仿宋"/>
          <w:sz w:val="56"/>
          <w:szCs w:val="72"/>
        </w:rPr>
      </w:pPr>
    </w:p>
    <w:p>
      <w:pPr>
        <w:spacing w:line="480" w:lineRule="auto"/>
        <w:jc w:val="both"/>
        <w:rPr>
          <w:rFonts w:ascii="仿宋" w:hAnsi="仿宋" w:eastAsia="仿宋" w:cs="仿宋"/>
          <w:sz w:val="56"/>
          <w:szCs w:val="72"/>
        </w:rPr>
      </w:pPr>
    </w:p>
    <w:p>
      <w:pPr>
        <w:widowControl/>
        <w:spacing w:before="0" w:beforeLines="0" w:beforeAutospacing="0" w:after="0" w:afterLines="0" w:afterAutospacing="0" w:line="360" w:lineRule="auto"/>
        <w:jc w:val="center"/>
        <w:rPr>
          <w:rFonts w:hint="default" w:ascii="Times New Roman" w:eastAsia="楷体_GB2312"/>
          <w:b w:val="0"/>
          <w:sz w:val="44"/>
          <w:szCs w:val="44"/>
          <w:lang w:val="en-US" w:eastAsia="zh-CN"/>
        </w:rPr>
      </w:pPr>
      <w:r>
        <w:rPr>
          <w:rFonts w:ascii="Times New Roman" w:eastAsia="楷体_GB2312"/>
          <w:b w:val="0"/>
          <w:sz w:val="44"/>
          <w:szCs w:val="44"/>
        </w:rPr>
        <w:t>石家庄市鹿泉区</w:t>
      </w:r>
      <w:r>
        <w:rPr>
          <w:rFonts w:hint="eastAsia" w:ascii="Times New Roman" w:eastAsia="楷体_GB2312"/>
          <w:b w:val="0"/>
          <w:sz w:val="44"/>
          <w:szCs w:val="44"/>
          <w:lang w:val="en-US" w:eastAsia="zh-CN"/>
        </w:rPr>
        <w:t>社会福利院（石家庄市鹿泉区未成年人救助保护中心）</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九</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tabs>
          <w:tab w:val="left" w:pos="2728"/>
        </w:tabs>
        <w:jc w:val="both"/>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w:t>
      </w:r>
      <w:r>
        <w:rPr>
          <w:rFonts w:hint="eastAsia" w:ascii="Times New Roman" w:eastAsia="黑体"/>
          <w:b w:val="0"/>
          <w:sz w:val="32"/>
          <w:szCs w:val="32"/>
          <w:lang w:val="en-US" w:eastAsia="zh-CN"/>
        </w:rPr>
        <w:t>单位</w:t>
      </w:r>
      <w:r>
        <w:rPr>
          <w:rFonts w:ascii="Times New Roman" w:eastAsia="黑体"/>
          <w:b w:val="0"/>
          <w:sz w:val="32"/>
          <w:szCs w:val="32"/>
        </w:rPr>
        <w:t>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pStyle w:val="27"/>
        <w:rPr>
          <w:rFonts w:ascii="Times New Roman" w:eastAsia="仿宋_GB2312"/>
          <w:sz w:val="32"/>
          <w:szCs w:val="32"/>
        </w:rPr>
      </w:pPr>
      <w:r>
        <w:t>收养我区城镇孤老残人员、“三无”老人；依法做好符合民政部门临时监护情形的未成年人收留抚养工作，开展全区困境未成年人救助保护等相关工作。</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val="en-US"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石家庄市鹿泉区社会福利院（石家庄市鹿泉区未成年人救助保护中心）</w:t>
            </w:r>
          </w:p>
        </w:tc>
        <w:tc>
          <w:tcPr>
            <w:tcW w:w="244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3"/>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单位：石家庄市鹿泉区社会福利院（石家庄市鹿泉区未成年人救助保护中心）</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231.74</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238.74</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0.68</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239.42</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单位：石家庄市鹿泉区社会福利院（石家庄市鹿泉区未成年人救助保护中心）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238.74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238.74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民政管理事务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社会福利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儿童福利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其他生活救助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其他城市生活救助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其他农村生活救助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彩票公益金安排的支出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用于社会福利的彩票公益金支出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单位：石家庄市鹿泉区社会福利院（石家庄市鹿泉区未成年人救助保护中心）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110.80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220.43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81.17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81.17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社会福利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儿童福利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其他生活救助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其他城市生活救助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0.10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0.10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其他农村生活救助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彩票公益金安排的支出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用于社会福利的彩票公益金支出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9"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单位：石家庄市鹿泉区社会福利院（石家庄市鹿泉区未成年人救助保护中心）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231.74</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220.43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220.43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6.67</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6.67</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7.00</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7.00</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238.74</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239.42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232.42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7.00</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0.68</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0.68</w:t>
            </w: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239.42</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239.42</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232.42</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7.00</w:t>
            </w: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228"/>
        <w:gridCol w:w="2868"/>
        <w:gridCol w:w="1280"/>
        <w:gridCol w:w="456"/>
        <w:gridCol w:w="477"/>
        <w:gridCol w:w="325"/>
        <w:gridCol w:w="10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单位：石家庄市鹿泉区社会福利院（石家庄市鹿泉区未成年人救助保护中心）</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232.42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110.80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121.62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社会福利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儿童福利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其他生活救助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其他城市生活救助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0.10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其他农村生活救助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单位：石家庄市鹿泉区社会福利院（石家庄市鹿泉区未成年人救助保护中心）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78.63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10.55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12.24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3.67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39.36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7.36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5.63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6.67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21.62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100.25</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单位：石家庄市鹿泉区社会福利院（石家庄市鹿泉区未成年人救助保护中心）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7.00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7.00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7.00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7.00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彩票公益金安排的支出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7.00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7.00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2296002</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用于社会福利的彩票公益金支出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7.00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7.00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单位：石家庄市鹿泉区社会福利院（石家庄市鹿泉区未成年人救助保护中心）</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w:t>
            </w:r>
            <w:r>
              <w:rPr>
                <w:rFonts w:ascii="仿宋" w:hAnsi="仿宋" w:eastAsia="仿宋" w:cs="仿宋"/>
                <w:color w:val="000000"/>
                <w:kern w:val="0"/>
                <w:sz w:val="18"/>
                <w:szCs w:val="18"/>
                <w:lang w:val="en-US" w:eastAsia="zh-CN" w:bidi="ar"/>
              </w:rPr>
              <w:t>本单位无国有资本经营预算财政拨款支出，按要求空表列示。</w:t>
            </w:r>
          </w:p>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单位：石家庄市鹿泉区社会福利院（石家庄市鹿泉区未成年人救助保护中心）</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r>
              <w:rPr>
                <w:rFonts w:ascii="仿宋" w:hAnsi="仿宋" w:eastAsia="仿宋" w:cs="仿宋"/>
                <w:color w:val="000000"/>
                <w:kern w:val="0"/>
                <w:sz w:val="18"/>
                <w:szCs w:val="18"/>
                <w:lang w:val="en-US" w:eastAsia="zh-CN" w:bidi="ar"/>
              </w:rPr>
              <w:t>本单位无一般公共预算财政拨款“三公”经费支出，按要求空表列示。</w:t>
            </w:r>
          </w:p>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本单位2024年度收、支总计（含结转和结余）均为239.42万元。与2023年度决算相比，收支各减少5.58万元，下降2.3%，主要原因是</w:t>
      </w:r>
      <w:r>
        <w:rPr>
          <w:rFonts w:hint="eastAsia" w:ascii="Times New Roman" w:eastAsia="仿宋_GB2312"/>
          <w:b w:val="0"/>
          <w:sz w:val="32"/>
          <w:szCs w:val="32"/>
          <w:lang w:val="en-US" w:eastAsia="zh-CN"/>
        </w:rPr>
        <w:t>享受助学金的孤儿人数减少</w:t>
      </w:r>
      <w:r>
        <w:rPr>
          <w:rFonts w:ascii="Times New Roman" w:eastAsia="仿宋_GB2312"/>
          <w:b w:val="0"/>
          <w:sz w:val="32"/>
          <w:szCs w:val="32"/>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本单位2024年度本年收入合计238.74万元，其中：财政拨款收入238.74万元，占100%；上级补助收入0万元，占0%；事业收入0万元，占%；经营收入0万元，占0%；附属单位上缴收入0万元，占0%；其他收入0万元，占0%。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本单位2024年度本年支出合计239.42万元，其中：基本支出110.8万元，占46.3%；项目支出128.62万元，占53.7%；上缴上级支出0万元，占0%；经营支出0万元，占0%；对附属单位补助支出0万元，占0%。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4292600" cy="2477135"/>
            <wp:effectExtent l="4445" t="4445" r="8255" b="1397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本单位2024年度财政拨款收、支总计（含结转和结余）均为239.42万元。与2023年度相比，财政拨款收支各减少5.58万元，降低2.3%，主要原因是</w:t>
      </w:r>
      <w:r>
        <w:rPr>
          <w:rFonts w:hint="eastAsia" w:ascii="Times New Roman" w:eastAsia="仿宋_GB2312"/>
          <w:b w:val="0"/>
          <w:sz w:val="32"/>
          <w:szCs w:val="32"/>
          <w:lang w:val="en-US" w:eastAsia="zh-CN"/>
        </w:rPr>
        <w:t>享受助学金的孤儿人数减少。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本单位2024年度财政拨款本年收入238.74万元,比上年减少5.66万元，降低2.3%，主要原因是</w:t>
      </w:r>
      <w:r>
        <w:rPr>
          <w:rFonts w:hint="eastAsia" w:ascii="Times New Roman" w:eastAsia="仿宋_GB2312"/>
          <w:b w:val="0"/>
          <w:sz w:val="32"/>
          <w:szCs w:val="32"/>
          <w:lang w:val="en-US" w:eastAsia="zh-CN"/>
        </w:rPr>
        <w:t>享受助学金的孤儿人数减少</w:t>
      </w:r>
      <w:r>
        <w:rPr>
          <w:rFonts w:ascii="Times New Roman" w:eastAsia="仿宋_GB2312"/>
          <w:b w:val="0"/>
          <w:sz w:val="32"/>
          <w:szCs w:val="32"/>
        </w:rPr>
        <w:t>；本年支出239.42万元，比上年减少4.9万元，降低2%，主要原因是</w:t>
      </w:r>
      <w:r>
        <w:rPr>
          <w:rFonts w:hint="eastAsia" w:ascii="Times New Roman" w:eastAsia="仿宋_GB2312"/>
          <w:b w:val="0"/>
          <w:sz w:val="32"/>
          <w:szCs w:val="32"/>
          <w:lang w:val="en-US" w:eastAsia="zh-CN"/>
        </w:rPr>
        <w:t>享受助学金的孤儿人数减少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highlight w:val="none"/>
        </w:rPr>
      </w:pPr>
      <w:r>
        <w:rPr>
          <w:rFonts w:ascii="Times New Roman" w:eastAsia="仿宋_GB2312"/>
          <w:b w:val="0"/>
          <w:sz w:val="32"/>
          <w:szCs w:val="32"/>
          <w:highlight w:val="none"/>
        </w:rPr>
        <w:t>1.一般公共预算财政拨款本年收入231.74万元,比上年减少0.48万元，降低0.2%，主要原因是</w:t>
      </w:r>
      <w:r>
        <w:rPr>
          <w:rFonts w:hint="eastAsia" w:ascii="Times New Roman" w:eastAsia="仿宋_GB2312"/>
          <w:b w:val="0"/>
          <w:sz w:val="32"/>
          <w:szCs w:val="32"/>
          <w:highlight w:val="none"/>
          <w:lang w:val="en-US" w:eastAsia="zh-CN"/>
        </w:rPr>
        <w:t>办公经费支出减少了</w:t>
      </w:r>
      <w:r>
        <w:rPr>
          <w:rFonts w:ascii="Times New Roman" w:eastAsia="仿宋_GB2312"/>
          <w:b w:val="0"/>
          <w:sz w:val="32"/>
          <w:szCs w:val="32"/>
          <w:highlight w:val="none"/>
        </w:rPr>
        <w:t>；本年支出232.42万元，比上年增加0.28万元，增长0.1%，主要原因是</w:t>
      </w:r>
      <w:r>
        <w:rPr>
          <w:rFonts w:hint="eastAsia" w:ascii="Times New Roman" w:eastAsia="仿宋_GB2312"/>
          <w:b w:val="0"/>
          <w:sz w:val="32"/>
          <w:szCs w:val="32"/>
          <w:highlight w:val="none"/>
          <w:lang w:val="en-US" w:eastAsia="zh-CN"/>
        </w:rPr>
        <w:t>享受孤儿和事实无人抚养儿童生活补贴的人数增加了</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2.政府性基金预算财政拨款本年收入7万元，比上年减少5.18万元，降低42.5%，主要原因是</w:t>
      </w:r>
      <w:r>
        <w:rPr>
          <w:rFonts w:hint="eastAsia" w:ascii="Times New Roman" w:eastAsia="仿宋_GB2312"/>
          <w:b w:val="0"/>
          <w:sz w:val="32"/>
          <w:szCs w:val="32"/>
          <w:lang w:val="en-US" w:eastAsia="zh-CN"/>
        </w:rPr>
        <w:t>享受助学金的孤儿人数减少</w:t>
      </w:r>
      <w:r>
        <w:rPr>
          <w:rFonts w:ascii="Times New Roman" w:eastAsia="仿宋_GB2312"/>
          <w:b w:val="0"/>
          <w:sz w:val="32"/>
          <w:szCs w:val="32"/>
        </w:rPr>
        <w:t>；本年支出7万元，比上年减少5.18万元，降低42.5%，主要原因是</w:t>
      </w:r>
      <w:r>
        <w:rPr>
          <w:rFonts w:hint="eastAsia" w:ascii="Times New Roman" w:eastAsia="仿宋_GB2312"/>
          <w:b w:val="0"/>
          <w:sz w:val="32"/>
          <w:szCs w:val="32"/>
          <w:lang w:val="en-US" w:eastAsia="zh-CN"/>
        </w:rPr>
        <w:t>享受助学金的孤儿人数减少</w:t>
      </w:r>
      <w:r>
        <w:rPr>
          <w:rFonts w:ascii="Times New Roman" w:eastAsia="仿宋_GB2312"/>
          <w:b w:val="0"/>
          <w:sz w:val="32"/>
          <w:szCs w:val="32"/>
        </w:rPr>
        <w:t>。</w:t>
      </w:r>
    </w:p>
    <w:p>
      <w:pPr>
        <w:keepNext w:val="0"/>
        <w:keepLines w:val="0"/>
        <w:widowControl/>
        <w:suppressLineNumbers w:val="0"/>
        <w:ind w:firstLine="640" w:firstLineChars="200"/>
        <w:jc w:val="left"/>
      </w:pPr>
      <w:r>
        <w:rPr>
          <w:rFonts w:ascii="Times New Roman" w:eastAsia="仿宋_GB2312"/>
          <w:b w:val="0"/>
          <w:sz w:val="32"/>
          <w:szCs w:val="32"/>
        </w:rPr>
        <w:t>3.</w:t>
      </w:r>
      <w:r>
        <w:rPr>
          <w:rFonts w:ascii="仿宋_GB2312" w:hAnsi="仿宋_GB2312" w:eastAsia="仿宋_GB2312" w:cs="仿宋_GB2312"/>
          <w:color w:val="000000"/>
          <w:kern w:val="0"/>
          <w:sz w:val="31"/>
          <w:szCs w:val="31"/>
          <w:lang w:val="en-US" w:eastAsia="zh-CN" w:bidi="ar"/>
        </w:rPr>
        <w:t>国有资本经营预算财政拨款本年收入0万元，</w:t>
      </w:r>
      <w:r>
        <w:rPr>
          <w:rFonts w:hint="eastAsia" w:ascii="仿宋_GB2312" w:hAnsi="仿宋_GB2312" w:eastAsia="仿宋_GB2312" w:cs="仿宋_GB2312"/>
          <w:color w:val="000000"/>
          <w:kern w:val="0"/>
          <w:sz w:val="31"/>
          <w:szCs w:val="31"/>
          <w:lang w:val="en-US" w:eastAsia="zh-CN" w:bidi="ar"/>
        </w:rPr>
        <w:t>与</w:t>
      </w:r>
      <w:r>
        <w:rPr>
          <w:rFonts w:ascii="仿宋_GB2312" w:hAnsi="仿宋_GB2312" w:eastAsia="仿宋_GB2312" w:cs="仿宋_GB2312"/>
          <w:color w:val="000000"/>
          <w:kern w:val="0"/>
          <w:sz w:val="31"/>
          <w:szCs w:val="31"/>
          <w:lang w:val="en-US" w:eastAsia="zh-CN" w:bidi="ar"/>
        </w:rPr>
        <w:t>上年持平；本年支出0万元，</w:t>
      </w:r>
      <w:r>
        <w:rPr>
          <w:rFonts w:hint="eastAsia" w:ascii="仿宋_GB2312" w:hAnsi="仿宋_GB2312" w:eastAsia="仿宋_GB2312" w:cs="仿宋_GB2312"/>
          <w:color w:val="000000"/>
          <w:kern w:val="0"/>
          <w:sz w:val="31"/>
          <w:szCs w:val="31"/>
          <w:lang w:val="en-US" w:eastAsia="zh-CN" w:bidi="ar"/>
        </w:rPr>
        <w:t>与</w:t>
      </w:r>
      <w:r>
        <w:rPr>
          <w:rFonts w:ascii="仿宋_GB2312" w:hAnsi="仿宋_GB2312" w:eastAsia="仿宋_GB2312" w:cs="仿宋_GB2312"/>
          <w:color w:val="000000"/>
          <w:kern w:val="0"/>
          <w:sz w:val="31"/>
          <w:szCs w:val="31"/>
          <w:lang w:val="en-US" w:eastAsia="zh-CN" w:bidi="ar"/>
        </w:rPr>
        <w:t>上年持平。</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本单位2024年度财政拨款本年收入238.74万元，完成年初预算的102%，比年初预算增加4.73万元，决算数大于预算数主要原因是</w:t>
      </w:r>
      <w:r>
        <w:rPr>
          <w:rFonts w:hint="eastAsia" w:ascii="Times New Roman" w:eastAsia="仿宋_GB2312"/>
          <w:b w:val="0"/>
          <w:sz w:val="32"/>
          <w:szCs w:val="32"/>
          <w:lang w:val="en-US" w:eastAsia="zh-CN"/>
        </w:rPr>
        <w:t>本年上级临时下达困难儿童的一次性生活补助资金</w:t>
      </w:r>
      <w:r>
        <w:rPr>
          <w:rFonts w:ascii="Times New Roman" w:eastAsia="仿宋_GB2312"/>
          <w:b w:val="0"/>
          <w:sz w:val="32"/>
          <w:szCs w:val="32"/>
        </w:rPr>
        <w:t>；本年支出239.42万元，完成年初预算的102.3%，比年初预算增加5.41万元，决算数大于预算数主要原因是</w:t>
      </w:r>
      <w:r>
        <w:rPr>
          <w:rFonts w:hint="eastAsia" w:ascii="Times New Roman" w:eastAsia="仿宋_GB2312"/>
          <w:b w:val="0"/>
          <w:sz w:val="32"/>
          <w:szCs w:val="32"/>
          <w:lang w:val="en-US" w:eastAsia="zh-CN"/>
        </w:rPr>
        <w:t>本年上级临时下达困难儿童的一次性生活补助资金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1.一般公共预算财政拨款本年收入完成年初预算的103.1%，比年初预算增加7.06万元，主要原因是</w:t>
      </w:r>
      <w:r>
        <w:rPr>
          <w:rFonts w:hint="eastAsia" w:ascii="Times New Roman" w:eastAsia="仿宋_GB2312"/>
          <w:b w:val="0"/>
          <w:sz w:val="32"/>
          <w:szCs w:val="32"/>
          <w:lang w:val="en-US" w:eastAsia="zh-CN"/>
        </w:rPr>
        <w:t>本年上级临时下达困难儿童的一次性生活补助资金</w:t>
      </w:r>
      <w:r>
        <w:rPr>
          <w:rFonts w:ascii="Times New Roman" w:eastAsia="仿宋_GB2312"/>
          <w:b w:val="0"/>
          <w:sz w:val="32"/>
          <w:szCs w:val="32"/>
        </w:rPr>
        <w:t>；支出完成年初预算的103.4%，比年初预算增加7.74万元，主要原因是</w:t>
      </w:r>
      <w:r>
        <w:rPr>
          <w:rFonts w:hint="eastAsia" w:ascii="Times New Roman" w:eastAsia="仿宋_GB2312"/>
          <w:b w:val="0"/>
          <w:sz w:val="32"/>
          <w:szCs w:val="32"/>
          <w:lang w:val="en-US" w:eastAsia="zh-CN"/>
        </w:rPr>
        <w:t>本年上级临时下达困难儿童的一次性生活补助资金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2.政府性基金预算财政拨款本年收入完成年初预算的75%，比年初预算减少2.33万元，主要原因是</w:t>
      </w:r>
      <w:r>
        <w:rPr>
          <w:rFonts w:hint="eastAsia" w:ascii="Times New Roman" w:eastAsia="仿宋_GB2312"/>
          <w:b w:val="0"/>
          <w:sz w:val="32"/>
          <w:szCs w:val="32"/>
          <w:lang w:val="en-US" w:eastAsia="zh-CN"/>
        </w:rPr>
        <w:t>享受助学金的孤儿人数减少</w:t>
      </w:r>
      <w:r>
        <w:rPr>
          <w:rFonts w:ascii="Times New Roman" w:eastAsia="仿宋_GB2312"/>
          <w:b w:val="0"/>
          <w:sz w:val="32"/>
          <w:szCs w:val="32"/>
        </w:rPr>
        <w:t>；支出完成年初预算的75%，比年初预算减少2.33万元，主要原因是</w:t>
      </w:r>
      <w:r>
        <w:rPr>
          <w:rFonts w:hint="eastAsia" w:ascii="Times New Roman" w:eastAsia="仿宋_GB2312"/>
          <w:b w:val="0"/>
          <w:sz w:val="32"/>
          <w:szCs w:val="32"/>
          <w:lang w:val="en-US" w:eastAsia="zh-CN"/>
        </w:rPr>
        <w:t>享受助学金的孤儿人数减少</w:t>
      </w:r>
      <w:r>
        <w:rPr>
          <w:rFonts w:ascii="Times New Roman" w:eastAsia="仿宋_GB2312"/>
          <w:b w:val="0"/>
          <w:sz w:val="32"/>
          <w:szCs w:val="32"/>
        </w:rPr>
        <w:t>。</w:t>
      </w:r>
    </w:p>
    <w:p>
      <w:pPr>
        <w:keepNext w:val="0"/>
        <w:keepLines w:val="0"/>
        <w:widowControl/>
        <w:suppressLineNumbers w:val="0"/>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w:t>
      </w:r>
      <w:r>
        <w:rPr>
          <w:rFonts w:hint="eastAsia" w:ascii="Times New Roman" w:eastAsia="仿宋_GB2312"/>
          <w:b w:val="0"/>
          <w:sz w:val="32"/>
          <w:szCs w:val="32"/>
          <w:lang w:val="en-US" w:eastAsia="zh-CN"/>
        </w:rPr>
        <w:t>与</w:t>
      </w:r>
      <w:r>
        <w:rPr>
          <w:rFonts w:ascii="仿宋_GB2312" w:hAnsi="仿宋_GB2312" w:eastAsia="仿宋_GB2312" w:cs="仿宋_GB2312"/>
          <w:color w:val="000000"/>
          <w:kern w:val="0"/>
          <w:sz w:val="31"/>
          <w:szCs w:val="31"/>
          <w:lang w:val="en-US" w:eastAsia="zh-CN" w:bidi="ar"/>
        </w:rPr>
        <w:t>年初预算持平</w:t>
      </w:r>
      <w:r>
        <w:rPr>
          <w:rFonts w:ascii="Times New Roman" w:eastAsia="仿宋_GB2312"/>
          <w:b w:val="0"/>
          <w:sz w:val="32"/>
          <w:szCs w:val="32"/>
        </w:rPr>
        <w:t>；支出完成年初预算的0%，</w:t>
      </w:r>
      <w:r>
        <w:rPr>
          <w:rFonts w:hint="eastAsia" w:ascii="Times New Roman" w:eastAsia="仿宋_GB2312"/>
          <w:b w:val="0"/>
          <w:sz w:val="32"/>
          <w:szCs w:val="32"/>
          <w:lang w:val="en-US" w:eastAsia="zh-CN"/>
        </w:rPr>
        <w:t>与</w:t>
      </w:r>
      <w:r>
        <w:rPr>
          <w:rFonts w:ascii="仿宋_GB2312" w:hAnsi="仿宋_GB2312" w:eastAsia="仿宋_GB2312" w:cs="仿宋_GB2312"/>
          <w:color w:val="000000"/>
          <w:kern w:val="0"/>
          <w:sz w:val="31"/>
          <w:szCs w:val="31"/>
          <w:lang w:val="en-US" w:eastAsia="zh-CN" w:bidi="ar"/>
        </w:rPr>
        <w:t>年初预算持平</w:t>
      </w:r>
      <w:r>
        <w:rPr>
          <w:rFonts w:ascii="Times New Roman" w:eastAsia="仿宋_GB2312"/>
          <w:b w:val="0"/>
          <w:sz w:val="32"/>
          <w:szCs w:val="32"/>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2024年度财政拨款支出239.42万元，主要用于以下方面：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keepNext w:val="0"/>
        <w:keepLines w:val="0"/>
        <w:widowControl/>
        <w:suppressLineNumbers w:val="0"/>
        <w:ind w:firstLine="640" w:firstLineChars="200"/>
        <w:jc w:val="left"/>
        <w:rPr>
          <w:rFonts w:ascii="Times New Roman" w:eastAsia="仿宋_GB2312"/>
          <w:sz w:val="32"/>
          <w:szCs w:val="32"/>
        </w:rPr>
      </w:pPr>
      <w:r>
        <w:rPr>
          <w:rFonts w:ascii="Times New Roman" w:eastAsia="仿宋_GB2312"/>
          <w:b w:val="0"/>
          <w:sz w:val="32"/>
          <w:szCs w:val="32"/>
        </w:rPr>
        <w:t>社会保障和就业（类）支出220.43万元，占92.1%，主要用于</w:t>
      </w:r>
      <w:r>
        <w:rPr>
          <w:rFonts w:ascii="仿宋_GB2312" w:hAnsi="仿宋_GB2312" w:eastAsia="仿宋_GB2312" w:cs="仿宋_GB2312"/>
          <w:color w:val="000000"/>
          <w:kern w:val="0"/>
          <w:sz w:val="31"/>
          <w:szCs w:val="31"/>
          <w:lang w:val="en-US" w:eastAsia="zh-CN" w:bidi="ar"/>
        </w:rPr>
        <w:t>于孤儿基本生活费和事实无人抚养儿童生活补贴的</w:t>
      </w:r>
      <w:r>
        <w:rPr>
          <w:rFonts w:hint="eastAsia" w:ascii="仿宋_GB2312" w:hAnsi="仿宋_GB2312" w:eastAsia="仿宋_GB2312" w:cs="仿宋_GB2312"/>
          <w:color w:val="000000"/>
          <w:kern w:val="0"/>
          <w:sz w:val="31"/>
          <w:szCs w:val="31"/>
          <w:lang w:val="en-US" w:eastAsia="zh-CN" w:bidi="ar"/>
        </w:rPr>
        <w:t>支出</w:t>
      </w:r>
      <w:r>
        <w:rPr>
          <w:rFonts w:ascii="Times New Roman" w:eastAsia="仿宋_GB2312"/>
          <w:b w:val="0"/>
          <w:sz w:val="32"/>
          <w:szCs w:val="32"/>
        </w:rPr>
        <w:t>；卫生健康（类）支出5.32万元，占2.2%，</w:t>
      </w:r>
      <w:r>
        <w:rPr>
          <w:rFonts w:ascii="仿宋_GB2312" w:hAnsi="仿宋_GB2312" w:eastAsia="仿宋_GB2312" w:cs="仿宋_GB2312"/>
          <w:color w:val="000000"/>
          <w:kern w:val="0"/>
          <w:sz w:val="31"/>
          <w:szCs w:val="31"/>
          <w:lang w:val="en-US" w:eastAsia="zh-CN" w:bidi="ar"/>
        </w:rPr>
        <w:t>主要用于医疗保险缴纳；</w:t>
      </w:r>
      <w:r>
        <w:rPr>
          <w:rFonts w:ascii="Times New Roman" w:eastAsia="仿宋_GB2312"/>
          <w:b w:val="0"/>
          <w:sz w:val="32"/>
          <w:szCs w:val="32"/>
        </w:rPr>
        <w:t>住房保障（类）支出6.67万元，占2.8%，主要用于</w:t>
      </w:r>
      <w:r>
        <w:rPr>
          <w:rFonts w:ascii="仿宋_GB2312" w:hAnsi="仿宋_GB2312" w:eastAsia="仿宋_GB2312" w:cs="仿宋_GB2312"/>
          <w:color w:val="000000"/>
          <w:kern w:val="0"/>
          <w:sz w:val="31"/>
          <w:szCs w:val="31"/>
          <w:lang w:val="en-US" w:eastAsia="zh-CN" w:bidi="ar"/>
        </w:rPr>
        <w:t>住房公积金缴纳</w:t>
      </w:r>
      <w:r>
        <w:rPr>
          <w:rFonts w:hint="eastAsia" w:ascii="仿宋_GB2312" w:hAnsi="仿宋_GB2312" w:eastAsia="仿宋_GB2312" w:cs="仿宋_GB2312"/>
          <w:color w:val="000000"/>
          <w:kern w:val="0"/>
          <w:sz w:val="31"/>
          <w:szCs w:val="31"/>
          <w:lang w:val="en-US" w:eastAsia="zh-CN" w:bidi="ar"/>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keepNext w:val="0"/>
        <w:keepLines w:val="0"/>
        <w:widowControl/>
        <w:suppressLineNumbers w:val="0"/>
        <w:ind w:firstLine="640" w:firstLineChars="200"/>
        <w:jc w:val="left"/>
      </w:pPr>
      <w:r>
        <w:rPr>
          <w:rFonts w:ascii="Times New Roman" w:eastAsia="仿宋_GB2312"/>
          <w:b w:val="0"/>
          <w:sz w:val="32"/>
          <w:szCs w:val="32"/>
        </w:rPr>
        <w:t>其他（类）支出7万元，占2.9%，主要用于</w:t>
      </w:r>
      <w:r>
        <w:rPr>
          <w:rFonts w:ascii="仿宋_GB2312" w:hAnsi="仿宋_GB2312" w:eastAsia="仿宋_GB2312" w:cs="仿宋_GB2312"/>
          <w:color w:val="000000"/>
          <w:kern w:val="0"/>
          <w:sz w:val="31"/>
          <w:szCs w:val="31"/>
          <w:lang w:val="en-US" w:eastAsia="zh-CN" w:bidi="ar"/>
        </w:rPr>
        <w:t>孤儿助学金发放。</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4721860"/>
            <wp:effectExtent l="4445" t="4445" r="22860"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2024年度财政拨款基本支出110.8万元，其中：</w:t>
      </w:r>
    </w:p>
    <w:p>
      <w:pPr>
        <w:keepNext w:val="0"/>
        <w:keepLines w:val="0"/>
        <w:widowControl/>
        <w:suppressLineNumbers w:val="0"/>
        <w:ind w:firstLine="640" w:firstLineChars="200"/>
        <w:jc w:val="left"/>
      </w:pPr>
      <w:r>
        <w:rPr>
          <w:rFonts w:ascii="Times New Roman" w:eastAsia="仿宋_GB2312"/>
          <w:b w:val="0"/>
          <w:sz w:val="32"/>
          <w:szCs w:val="32"/>
        </w:rPr>
        <w:t>人员经费100.25万元，主要包括</w:t>
      </w:r>
      <w:r>
        <w:rPr>
          <w:rFonts w:ascii="仿宋_GB2312" w:hAnsi="仿宋_GB2312" w:eastAsia="仿宋_GB2312" w:cs="仿宋_GB2312"/>
          <w:color w:val="000000"/>
          <w:kern w:val="0"/>
          <w:sz w:val="31"/>
          <w:szCs w:val="31"/>
          <w:lang w:val="en-US" w:eastAsia="zh-CN" w:bidi="ar"/>
        </w:rPr>
        <w:t>基本工资、津贴补贴、奖金、绩效工资、机关事业部门基本养老保险缴费、职工基本医疗保险缴费、公务员医疗补助缴费、</w:t>
      </w:r>
      <w:r>
        <w:rPr>
          <w:rFonts w:hint="eastAsia" w:ascii="仿宋_GB2312" w:hAnsi="仿宋_GB2312" w:eastAsia="仿宋_GB2312" w:cs="仿宋_GB2312"/>
          <w:color w:val="000000"/>
          <w:kern w:val="0"/>
          <w:sz w:val="31"/>
          <w:szCs w:val="31"/>
          <w:lang w:val="en-US" w:eastAsia="zh-CN" w:bidi="ar"/>
        </w:rPr>
        <w:t>其他社会保障缴费、</w:t>
      </w:r>
      <w:r>
        <w:rPr>
          <w:rFonts w:ascii="仿宋_GB2312" w:hAnsi="仿宋_GB2312" w:eastAsia="仿宋_GB2312" w:cs="仿宋_GB2312"/>
          <w:color w:val="000000"/>
          <w:kern w:val="0"/>
          <w:sz w:val="31"/>
          <w:szCs w:val="31"/>
          <w:lang w:val="en-US" w:eastAsia="zh-CN" w:bidi="ar"/>
        </w:rPr>
        <w:t>住房公积金、 退休费、对</w:t>
      </w:r>
      <w:r>
        <w:rPr>
          <w:rFonts w:ascii="仿宋_GB2312" w:hAnsi="仿宋_GB2312" w:eastAsia="仿宋_GB2312" w:cs="仿宋_GB2312"/>
          <w:color w:val="333333"/>
          <w:kern w:val="0"/>
          <w:sz w:val="31"/>
          <w:szCs w:val="31"/>
          <w:lang w:val="en-US" w:eastAsia="zh-CN" w:bidi="ar"/>
        </w:rPr>
        <w:t>个人和家庭</w:t>
      </w:r>
      <w:r>
        <w:rPr>
          <w:rFonts w:ascii="仿宋_GB2312" w:hAnsi="仿宋_GB2312" w:eastAsia="仿宋_GB2312" w:cs="仿宋_GB2312"/>
          <w:color w:val="000000"/>
          <w:kern w:val="0"/>
          <w:sz w:val="31"/>
          <w:szCs w:val="31"/>
          <w:lang w:val="en-US" w:eastAsia="zh-CN" w:bidi="ar"/>
        </w:rPr>
        <w:t>的补助支出</w:t>
      </w:r>
      <w:r>
        <w:rPr>
          <w:rFonts w:hint="eastAsia" w:ascii="仿宋_GB2312" w:hAnsi="仿宋_GB2312" w:eastAsia="仿宋_GB2312" w:cs="仿宋_GB2312"/>
          <w:color w:val="000000"/>
          <w:kern w:val="0"/>
          <w:sz w:val="31"/>
          <w:szCs w:val="31"/>
          <w:lang w:val="en-US" w:eastAsia="zh-CN" w:bidi="ar"/>
        </w:rPr>
        <w:t>、奖励金</w:t>
      </w:r>
      <w:r>
        <w:rPr>
          <w:rFonts w:ascii="仿宋_GB2312" w:hAnsi="仿宋_GB2312" w:eastAsia="仿宋_GB2312" w:cs="仿宋_GB2312"/>
          <w:color w:val="000000"/>
          <w:kern w:val="0"/>
          <w:sz w:val="31"/>
          <w:szCs w:val="31"/>
          <w:lang w:val="en-US" w:eastAsia="zh-CN" w:bidi="ar"/>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公用经费10.55万元，主要包括办公费、取暖费、工会经费、福利费、其他商品和服务支出。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keepNext w:val="0"/>
        <w:keepLines w:val="0"/>
        <w:widowControl/>
        <w:suppressLineNumbers w:val="0"/>
        <w:jc w:val="left"/>
        <w:rPr>
          <w:rFonts w:ascii="Times New Roman" w:eastAsia="仿宋_GB2312"/>
          <w:sz w:val="32"/>
          <w:szCs w:val="32"/>
        </w:rPr>
      </w:pPr>
      <w:r>
        <w:rPr>
          <w:rFonts w:ascii="Times New Roman" w:eastAsia="仿宋_GB2312"/>
          <w:b w:val="0"/>
          <w:sz w:val="32"/>
          <w:szCs w:val="32"/>
        </w:rPr>
        <w:t>本单位2024年度“三公”经费财政拨款支出预算为0万元，支出决算为0万元，完成预算的0%，</w:t>
      </w:r>
      <w:r>
        <w:rPr>
          <w:rFonts w:hint="eastAsia" w:ascii="仿宋_GB2312" w:hAnsi="仿宋_GB2312" w:eastAsia="仿宋_GB2312" w:cs="仿宋_GB2312"/>
          <w:color w:val="000000"/>
          <w:kern w:val="0"/>
          <w:sz w:val="31"/>
          <w:szCs w:val="31"/>
          <w:lang w:val="en-US" w:eastAsia="zh-CN" w:bidi="ar"/>
        </w:rPr>
        <w:t>与</w:t>
      </w:r>
      <w:r>
        <w:rPr>
          <w:rFonts w:ascii="仿宋_GB2312" w:hAnsi="仿宋_GB2312" w:eastAsia="仿宋_GB2312" w:cs="仿宋_GB2312"/>
          <w:color w:val="000000"/>
          <w:kern w:val="0"/>
          <w:sz w:val="31"/>
          <w:szCs w:val="31"/>
          <w:lang w:val="en-US" w:eastAsia="zh-CN" w:bidi="ar"/>
        </w:rPr>
        <w:t>预算持平，无增减变化</w:t>
      </w:r>
      <w:r>
        <w:rPr>
          <w:rFonts w:hint="eastAsia" w:ascii="仿宋_GB2312" w:hAnsi="仿宋_GB2312" w:eastAsia="仿宋_GB2312" w:cs="仿宋_GB2312"/>
          <w:color w:val="000000"/>
          <w:kern w:val="0"/>
          <w:sz w:val="31"/>
          <w:szCs w:val="31"/>
          <w:lang w:val="en-US" w:eastAsia="zh-CN" w:bidi="ar"/>
        </w:rPr>
        <w:t>；</w:t>
      </w:r>
      <w:r>
        <w:rPr>
          <w:rFonts w:hint="eastAsia" w:ascii="Times New Roman" w:eastAsia="仿宋_GB2312"/>
          <w:b w:val="0"/>
          <w:sz w:val="32"/>
          <w:szCs w:val="32"/>
          <w:lang w:val="en-US" w:eastAsia="zh-CN"/>
        </w:rPr>
        <w:t>与</w:t>
      </w:r>
      <w:r>
        <w:rPr>
          <w:rFonts w:ascii="Times New Roman" w:eastAsia="仿宋_GB2312"/>
          <w:b w:val="0"/>
          <w:sz w:val="32"/>
          <w:szCs w:val="32"/>
        </w:rPr>
        <w:t>2023年度决算</w:t>
      </w:r>
      <w:r>
        <w:rPr>
          <w:rFonts w:hint="eastAsia" w:ascii="Times New Roman" w:eastAsia="仿宋_GB2312"/>
          <w:b w:val="0"/>
          <w:sz w:val="32"/>
          <w:szCs w:val="32"/>
          <w:lang w:val="en-US" w:eastAsia="zh-CN"/>
        </w:rPr>
        <w:t>持平，无增减变化</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keepNext w:val="0"/>
        <w:keepLines w:val="0"/>
        <w:widowControl/>
        <w:suppressLineNumbers w:val="0"/>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本单位2024年度因公出国（境）费支出预算为0万元,支出决算0万元。</w:t>
      </w:r>
      <w:r>
        <w:rPr>
          <w:rFonts w:ascii="仿宋_GB2312" w:hAnsi="仿宋_GB2312" w:eastAsia="仿宋_GB2312" w:cs="仿宋_GB2312"/>
          <w:color w:val="000000"/>
          <w:kern w:val="0"/>
          <w:sz w:val="31"/>
          <w:szCs w:val="31"/>
          <w:lang w:val="en-US" w:eastAsia="zh-CN" w:bidi="ar"/>
        </w:rPr>
        <w:t>因公出国（境）费支出</w:t>
      </w:r>
      <w:r>
        <w:rPr>
          <w:rFonts w:hint="eastAsia" w:ascii="仿宋_GB2312" w:hAnsi="仿宋_GB2312" w:eastAsia="仿宋_GB2312" w:cs="仿宋_GB2312"/>
          <w:color w:val="000000"/>
          <w:kern w:val="0"/>
          <w:sz w:val="31"/>
          <w:szCs w:val="31"/>
          <w:lang w:val="en-US" w:eastAsia="zh-CN" w:bidi="ar"/>
        </w:rPr>
        <w:t>与</w:t>
      </w:r>
      <w:r>
        <w:rPr>
          <w:rFonts w:ascii="仿宋_GB2312" w:hAnsi="仿宋_GB2312" w:eastAsia="仿宋_GB2312" w:cs="仿宋_GB2312"/>
          <w:color w:val="000000"/>
          <w:kern w:val="0"/>
          <w:sz w:val="31"/>
          <w:szCs w:val="31"/>
          <w:lang w:val="en-US" w:eastAsia="zh-CN" w:bidi="ar"/>
        </w:rPr>
        <w:t>预算持平</w:t>
      </w:r>
      <w:r>
        <w:rPr>
          <w:rFonts w:hint="eastAsia" w:ascii="仿宋_GB2312" w:hAnsi="仿宋_GB2312" w:eastAsia="仿宋_GB2312" w:cs="仿宋_GB2312"/>
          <w:color w:val="000000"/>
          <w:kern w:val="0"/>
          <w:sz w:val="31"/>
          <w:szCs w:val="31"/>
          <w:lang w:val="en-US" w:eastAsia="zh-CN" w:bidi="ar"/>
        </w:rPr>
        <w:t>，</w:t>
      </w:r>
      <w:r>
        <w:rPr>
          <w:rFonts w:hint="eastAsia" w:ascii="Times New Roman" w:eastAsia="仿宋_GB2312"/>
          <w:b w:val="0"/>
          <w:sz w:val="32"/>
          <w:szCs w:val="32"/>
          <w:lang w:val="en-US" w:eastAsia="zh-CN"/>
        </w:rPr>
        <w:t>与</w:t>
      </w:r>
      <w:r>
        <w:rPr>
          <w:rFonts w:ascii="Times New Roman" w:eastAsia="仿宋_GB2312"/>
          <w:b w:val="0"/>
          <w:sz w:val="32"/>
          <w:szCs w:val="32"/>
        </w:rPr>
        <w:t>上年</w:t>
      </w:r>
      <w:r>
        <w:rPr>
          <w:rFonts w:hint="eastAsia" w:ascii="Times New Roman" w:eastAsia="仿宋_GB2312"/>
          <w:b w:val="0"/>
          <w:sz w:val="32"/>
          <w:szCs w:val="32"/>
          <w:lang w:val="en-US" w:eastAsia="zh-CN"/>
        </w:rPr>
        <w:t>持平</w:t>
      </w:r>
      <w:r>
        <w:rPr>
          <w:rFonts w:ascii="Times New Roman" w:eastAsia="仿宋_GB2312"/>
          <w:b w:val="0"/>
          <w:sz w:val="32"/>
          <w:szCs w:val="32"/>
        </w:rPr>
        <w:t>。因公出国（境）团组0个、共0人、参加其他单位组织的因公出国（境）团组个、共人/无本部门组织的出国（境）团组。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本单位2024年度公务用车购置及运行维护费预算为0万元，支出决算0万元，完成预算的0%,</w:t>
      </w:r>
      <w:r>
        <w:rPr>
          <w:rFonts w:hint="eastAsia" w:ascii="Times New Roman" w:eastAsia="仿宋_GB2312"/>
          <w:b w:val="0"/>
          <w:sz w:val="32"/>
          <w:szCs w:val="32"/>
          <w:lang w:val="en-US" w:eastAsia="zh-CN"/>
        </w:rPr>
        <w:t>与</w:t>
      </w:r>
      <w:r>
        <w:rPr>
          <w:rFonts w:ascii="Times New Roman" w:eastAsia="仿宋_GB2312"/>
          <w:b w:val="0"/>
          <w:sz w:val="32"/>
          <w:szCs w:val="32"/>
        </w:rPr>
        <w:t>预算</w:t>
      </w:r>
      <w:r>
        <w:rPr>
          <w:rFonts w:hint="eastAsia" w:ascii="Times New Roman" w:eastAsia="仿宋_GB2312"/>
          <w:b w:val="0"/>
          <w:sz w:val="32"/>
          <w:szCs w:val="32"/>
          <w:lang w:val="en-US" w:eastAsia="zh-CN"/>
        </w:rPr>
        <w:t>持平</w:t>
      </w:r>
      <w:r>
        <w:rPr>
          <w:rFonts w:ascii="Times New Roman" w:eastAsia="仿宋_GB2312"/>
          <w:b w:val="0"/>
          <w:sz w:val="32"/>
          <w:szCs w:val="32"/>
        </w:rPr>
        <w:t>；</w:t>
      </w:r>
      <w:r>
        <w:rPr>
          <w:rFonts w:hint="eastAsia" w:ascii="Times New Roman" w:eastAsia="仿宋_GB2312"/>
          <w:b w:val="0"/>
          <w:sz w:val="32"/>
          <w:szCs w:val="32"/>
          <w:lang w:val="en-US" w:eastAsia="zh-CN"/>
        </w:rPr>
        <w:t>与</w:t>
      </w:r>
      <w:r>
        <w:rPr>
          <w:rFonts w:ascii="Times New Roman" w:eastAsia="仿宋_GB2312"/>
          <w:b w:val="0"/>
          <w:sz w:val="32"/>
          <w:szCs w:val="32"/>
        </w:rPr>
        <w:t>上年</w:t>
      </w:r>
      <w:r>
        <w:rPr>
          <w:rFonts w:hint="eastAsia" w:ascii="Times New Roman" w:eastAsia="仿宋_GB2312"/>
          <w:b w:val="0"/>
          <w:sz w:val="32"/>
          <w:szCs w:val="32"/>
          <w:lang w:val="en-US" w:eastAsia="zh-CN"/>
        </w:rPr>
        <w:t>持平</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公务用车购置费支出0万元：</w:t>
      </w:r>
      <w:r>
        <w:rPr>
          <w:rFonts w:ascii="Times New Roman" w:eastAsia="仿宋_GB2312"/>
          <w:b w:val="0"/>
          <w:sz w:val="32"/>
          <w:szCs w:val="32"/>
        </w:rPr>
        <w:t>本单位2024年度公务用车购置量0辆，发生“公务用车购置”经费支出0万元。公务用车购置费支出</w:t>
      </w:r>
      <w:r>
        <w:rPr>
          <w:rFonts w:hint="eastAsia" w:ascii="Times New Roman" w:eastAsia="仿宋_GB2312"/>
          <w:b w:val="0"/>
          <w:sz w:val="32"/>
          <w:szCs w:val="32"/>
          <w:lang w:val="en-US" w:eastAsia="zh-CN"/>
        </w:rPr>
        <w:t>与</w:t>
      </w:r>
      <w:r>
        <w:rPr>
          <w:rFonts w:ascii="Times New Roman" w:eastAsia="仿宋_GB2312"/>
          <w:b w:val="0"/>
          <w:sz w:val="32"/>
          <w:szCs w:val="32"/>
        </w:rPr>
        <w:t>预算</w:t>
      </w:r>
      <w:r>
        <w:rPr>
          <w:rFonts w:hint="eastAsia" w:ascii="Times New Roman" w:eastAsia="仿宋_GB2312"/>
          <w:b w:val="0"/>
          <w:sz w:val="32"/>
          <w:szCs w:val="32"/>
          <w:lang w:val="en-US" w:eastAsia="zh-CN"/>
        </w:rPr>
        <w:t>持平</w:t>
      </w:r>
      <w:r>
        <w:rPr>
          <w:rFonts w:ascii="Times New Roman" w:eastAsia="仿宋_GB2312"/>
          <w:b w:val="0"/>
          <w:sz w:val="32"/>
          <w:szCs w:val="32"/>
        </w:rPr>
        <w:t>；</w:t>
      </w:r>
      <w:r>
        <w:rPr>
          <w:rFonts w:hint="eastAsia" w:ascii="Times New Roman" w:eastAsia="仿宋_GB2312"/>
          <w:b w:val="0"/>
          <w:sz w:val="32"/>
          <w:szCs w:val="32"/>
          <w:lang w:val="en-US" w:eastAsia="zh-CN"/>
        </w:rPr>
        <w:t>与</w:t>
      </w:r>
      <w:r>
        <w:rPr>
          <w:rFonts w:ascii="Times New Roman" w:eastAsia="仿宋_GB2312"/>
          <w:b w:val="0"/>
          <w:sz w:val="32"/>
          <w:szCs w:val="32"/>
        </w:rPr>
        <w:t>上年</w:t>
      </w:r>
      <w:r>
        <w:rPr>
          <w:rFonts w:hint="eastAsia" w:ascii="Times New Roman" w:eastAsia="仿宋_GB2312"/>
          <w:b w:val="0"/>
          <w:sz w:val="32"/>
          <w:szCs w:val="32"/>
          <w:lang w:val="en-US" w:eastAsia="zh-CN"/>
        </w:rPr>
        <w:t>持平</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公务用车运行维护费支出0万元：</w:t>
      </w:r>
      <w:r>
        <w:rPr>
          <w:rFonts w:ascii="Times New Roman" w:eastAsia="仿宋_GB2312"/>
          <w:b w:val="0"/>
          <w:sz w:val="32"/>
          <w:szCs w:val="32"/>
        </w:rPr>
        <w:t>本单位2024年度单位公务用车保有量0辆，发生运行维护费支出0万元。公车运行维护费支出</w:t>
      </w:r>
      <w:r>
        <w:rPr>
          <w:rFonts w:hint="eastAsia" w:ascii="Times New Roman" w:eastAsia="仿宋_GB2312"/>
          <w:b w:val="0"/>
          <w:sz w:val="32"/>
          <w:szCs w:val="32"/>
          <w:lang w:val="en-US" w:eastAsia="zh-CN"/>
        </w:rPr>
        <w:t>与</w:t>
      </w:r>
      <w:r>
        <w:rPr>
          <w:rFonts w:ascii="Times New Roman" w:eastAsia="仿宋_GB2312"/>
          <w:b w:val="0"/>
          <w:sz w:val="32"/>
          <w:szCs w:val="32"/>
        </w:rPr>
        <w:t>预算</w:t>
      </w:r>
      <w:r>
        <w:rPr>
          <w:rFonts w:hint="eastAsia" w:ascii="Times New Roman" w:eastAsia="仿宋_GB2312"/>
          <w:b w:val="0"/>
          <w:sz w:val="32"/>
          <w:szCs w:val="32"/>
          <w:lang w:val="en-US" w:eastAsia="zh-CN"/>
        </w:rPr>
        <w:t>持平</w:t>
      </w:r>
      <w:r>
        <w:rPr>
          <w:rFonts w:ascii="Times New Roman" w:eastAsia="仿宋_GB2312"/>
          <w:b w:val="0"/>
          <w:sz w:val="32"/>
          <w:szCs w:val="32"/>
        </w:rPr>
        <w:t>；</w:t>
      </w:r>
      <w:r>
        <w:rPr>
          <w:rFonts w:hint="eastAsia" w:ascii="Times New Roman" w:eastAsia="仿宋_GB2312"/>
          <w:b w:val="0"/>
          <w:sz w:val="32"/>
          <w:szCs w:val="32"/>
          <w:lang w:val="en-US" w:eastAsia="zh-CN"/>
        </w:rPr>
        <w:t>与</w:t>
      </w:r>
      <w:r>
        <w:rPr>
          <w:rFonts w:ascii="Times New Roman" w:eastAsia="仿宋_GB2312"/>
          <w:b w:val="0"/>
          <w:sz w:val="32"/>
          <w:szCs w:val="32"/>
        </w:rPr>
        <w:t>上年</w:t>
      </w:r>
      <w:r>
        <w:rPr>
          <w:rFonts w:hint="eastAsia" w:ascii="Times New Roman" w:eastAsia="仿宋_GB2312"/>
          <w:b w:val="0"/>
          <w:sz w:val="32"/>
          <w:szCs w:val="32"/>
          <w:lang w:val="en-US" w:eastAsia="zh-CN"/>
        </w:rPr>
        <w:t>持平</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w:t>
      </w:r>
      <w:r>
        <w:rPr>
          <w:rFonts w:hint="eastAsia" w:ascii="Times New Roman" w:eastAsia="仿宋_GB2312"/>
          <w:b w:val="0"/>
          <w:sz w:val="32"/>
          <w:szCs w:val="32"/>
          <w:lang w:val="en-US" w:eastAsia="zh-CN"/>
        </w:rPr>
        <w:t>0</w:t>
      </w:r>
      <w:r>
        <w:rPr>
          <w:rFonts w:ascii="Times New Roman" w:eastAsia="仿宋_GB2312"/>
          <w:b w:val="0"/>
          <w:sz w:val="32"/>
          <w:szCs w:val="32"/>
        </w:rPr>
        <w:t>万元，支出决算</w:t>
      </w:r>
      <w:r>
        <w:rPr>
          <w:rFonts w:hint="eastAsia" w:ascii="Times New Roman" w:eastAsia="仿宋_GB2312"/>
          <w:b w:val="0"/>
          <w:sz w:val="32"/>
          <w:szCs w:val="32"/>
          <w:lang w:val="en-US" w:eastAsia="zh-CN"/>
        </w:rPr>
        <w:t>0</w:t>
      </w:r>
      <w:r>
        <w:rPr>
          <w:rFonts w:ascii="Times New Roman" w:eastAsia="仿宋_GB2312"/>
          <w:b w:val="0"/>
          <w:sz w:val="32"/>
          <w:szCs w:val="32"/>
        </w:rPr>
        <w:t>万元，完成预算的0%。公务接待费支出</w:t>
      </w:r>
      <w:r>
        <w:rPr>
          <w:rFonts w:hint="eastAsia" w:ascii="Times New Roman" w:eastAsia="仿宋_GB2312"/>
          <w:b w:val="0"/>
          <w:sz w:val="32"/>
          <w:szCs w:val="32"/>
          <w:lang w:val="en-US" w:eastAsia="zh-CN"/>
        </w:rPr>
        <w:t>与</w:t>
      </w:r>
      <w:r>
        <w:rPr>
          <w:rFonts w:ascii="Times New Roman" w:eastAsia="仿宋_GB2312"/>
          <w:b w:val="0"/>
          <w:sz w:val="32"/>
          <w:szCs w:val="32"/>
        </w:rPr>
        <w:t>预算</w:t>
      </w:r>
      <w:r>
        <w:rPr>
          <w:rFonts w:hint="eastAsia" w:ascii="Times New Roman" w:eastAsia="仿宋_GB2312"/>
          <w:b w:val="0"/>
          <w:sz w:val="32"/>
          <w:szCs w:val="32"/>
          <w:lang w:val="en-US" w:eastAsia="zh-CN"/>
        </w:rPr>
        <w:t>持平</w:t>
      </w:r>
      <w:r>
        <w:rPr>
          <w:rFonts w:ascii="Times New Roman" w:eastAsia="仿宋_GB2312"/>
          <w:b w:val="0"/>
          <w:sz w:val="32"/>
          <w:szCs w:val="32"/>
        </w:rPr>
        <w:t>；</w:t>
      </w:r>
      <w:r>
        <w:rPr>
          <w:rFonts w:hint="eastAsia" w:ascii="Times New Roman" w:eastAsia="仿宋_GB2312"/>
          <w:b w:val="0"/>
          <w:sz w:val="32"/>
          <w:szCs w:val="32"/>
          <w:lang w:val="en-US" w:eastAsia="zh-CN"/>
        </w:rPr>
        <w:t>与</w:t>
      </w:r>
      <w:r>
        <w:rPr>
          <w:rFonts w:ascii="Times New Roman" w:eastAsia="仿宋_GB2312"/>
          <w:b w:val="0"/>
          <w:sz w:val="32"/>
          <w:szCs w:val="32"/>
        </w:rPr>
        <w:t>上年度</w:t>
      </w:r>
      <w:r>
        <w:rPr>
          <w:rFonts w:hint="eastAsia" w:ascii="Times New Roman" w:eastAsia="仿宋_GB2312"/>
          <w:b w:val="0"/>
          <w:sz w:val="32"/>
          <w:szCs w:val="32"/>
          <w:lang w:val="en-US" w:eastAsia="zh-CN"/>
        </w:rPr>
        <w:t>持平</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outlineLvl w:val="1"/>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本单位为事业单位，无一般公共预算安排的机关运行经费支出。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w:t>
      </w:r>
      <w:r>
        <w:rPr>
          <w:rFonts w:hint="eastAsia" w:ascii="Times New Roman" w:eastAsia="仿宋_GB2312"/>
          <w:b w:val="0"/>
          <w:sz w:val="32"/>
          <w:szCs w:val="32"/>
          <w:lang w:val="en-US" w:eastAsia="zh-CN"/>
        </w:rPr>
        <w:t>0</w:t>
      </w:r>
      <w:r>
        <w:rPr>
          <w:rFonts w:ascii="Times New Roman" w:eastAsia="仿宋_GB2312"/>
          <w:b w:val="0"/>
          <w:sz w:val="32"/>
          <w:szCs w:val="32"/>
        </w:rPr>
        <w:t>万元，从采购类型来看，政府采购货物支出</w:t>
      </w:r>
      <w:r>
        <w:rPr>
          <w:rFonts w:hint="eastAsia" w:ascii="Times New Roman" w:eastAsia="仿宋_GB2312"/>
          <w:b w:val="0"/>
          <w:sz w:val="32"/>
          <w:szCs w:val="32"/>
          <w:lang w:val="en-US" w:eastAsia="zh-CN"/>
        </w:rPr>
        <w:t>0</w:t>
      </w:r>
      <w:r>
        <w:rPr>
          <w:rFonts w:ascii="Times New Roman" w:eastAsia="仿宋_GB2312"/>
          <w:b w:val="0"/>
          <w:sz w:val="32"/>
          <w:szCs w:val="32"/>
        </w:rPr>
        <w:t>万元、政府采购工程支出</w:t>
      </w:r>
      <w:r>
        <w:rPr>
          <w:rFonts w:hint="eastAsia" w:ascii="Times New Roman" w:eastAsia="仿宋_GB2312"/>
          <w:b w:val="0"/>
          <w:sz w:val="32"/>
          <w:szCs w:val="32"/>
          <w:lang w:val="en-US" w:eastAsia="zh-CN"/>
        </w:rPr>
        <w:t>0</w:t>
      </w:r>
      <w:r>
        <w:rPr>
          <w:rFonts w:ascii="Times New Roman" w:eastAsia="仿宋_GB2312"/>
          <w:b w:val="0"/>
          <w:sz w:val="32"/>
          <w:szCs w:val="32"/>
        </w:rPr>
        <w:t>万元、政府采购服务支出0万元。授予中小企业合同金额0万元，占政府采购支出总额的0%，其中授予小微企业合同金额0万元，占政府采购支出总额的0%。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w:t>
      </w:r>
      <w:r>
        <w:rPr>
          <w:rFonts w:hint="eastAsia" w:ascii="Times New Roman" w:eastAsia="仿宋_GB2312"/>
          <w:b w:val="0"/>
          <w:sz w:val="32"/>
          <w:szCs w:val="32"/>
          <w:lang w:val="en-US" w:eastAsia="zh-CN"/>
        </w:rPr>
        <w:t>与</w:t>
      </w:r>
      <w:r>
        <w:rPr>
          <w:rFonts w:ascii="Times New Roman" w:eastAsia="仿宋_GB2312"/>
          <w:b w:val="0"/>
          <w:sz w:val="32"/>
          <w:szCs w:val="32"/>
        </w:rPr>
        <w:t>上年</w:t>
      </w:r>
      <w:r>
        <w:rPr>
          <w:rFonts w:hint="eastAsia" w:ascii="Times New Roman" w:eastAsia="仿宋_GB2312"/>
          <w:b w:val="0"/>
          <w:sz w:val="32"/>
          <w:szCs w:val="32"/>
          <w:lang w:val="en-US" w:eastAsia="zh-CN"/>
        </w:rPr>
        <w:t>持平</w:t>
      </w:r>
      <w:r>
        <w:rPr>
          <w:rFonts w:ascii="Times New Roman" w:eastAsia="仿宋_GB2312"/>
          <w:b w:val="0"/>
          <w:sz w:val="32"/>
          <w:szCs w:val="32"/>
        </w:rPr>
        <w:t>。其中，副部（省）级及以上领导用车0辆，主要负责人用车0辆，机要通信用车0辆，应急保障用车0辆，执法执勤用车0辆，特种专业技术用车0辆，离退休干部用车0辆，其他用车0辆，其他用车0辆。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29.9</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2</w:t>
      </w:r>
      <w:r>
        <w:rPr>
          <w:rFonts w:ascii="Times New Roman" w:eastAsia="仿宋_GB2312"/>
          <w:b w:val="0"/>
          <w:sz w:val="32"/>
          <w:szCs w:val="32"/>
        </w:rPr>
        <w:t>个，涉及资金</w:t>
      </w:r>
      <w:r>
        <w:rPr>
          <w:rFonts w:hint="eastAsia" w:ascii="Times New Roman" w:eastAsia="仿宋_GB2312"/>
          <w:b w:val="0"/>
          <w:sz w:val="32"/>
          <w:szCs w:val="32"/>
          <w:lang w:val="en-US" w:eastAsia="zh-CN"/>
        </w:rPr>
        <w:t>29.9</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eastAsia="zh-CN"/>
        </w:rPr>
        <w:t>“</w:t>
      </w:r>
      <w:r>
        <w:rPr>
          <w:rFonts w:hint="eastAsia" w:ascii="Times New Roman" w:eastAsia="仿宋_GB2312"/>
          <w:b w:val="0"/>
          <w:sz w:val="32"/>
          <w:szCs w:val="32"/>
        </w:rPr>
        <w:t>2024孤儿基本生活费和事实无人抚养儿童生活补贴</w:t>
      </w:r>
      <w:r>
        <w:rPr>
          <w:rFonts w:hint="eastAsia" w:ascii="Times New Roman" w:eastAsia="仿宋_GB2312"/>
          <w:b w:val="0"/>
          <w:sz w:val="32"/>
          <w:szCs w:val="32"/>
          <w:lang w:eastAsia="zh-CN"/>
        </w:rPr>
        <w:t>”</w:t>
      </w:r>
      <w:r>
        <w:rPr>
          <w:rFonts w:ascii="Times New Roman" w:eastAsia="仿宋_GB2312"/>
          <w:b w:val="0"/>
          <w:sz w:val="32"/>
          <w:szCs w:val="32"/>
        </w:rPr>
        <w:t>等</w:t>
      </w:r>
      <w:r>
        <w:rPr>
          <w:rFonts w:hint="eastAsia" w:ascii="Times New Roman" w:eastAsia="仿宋_GB2312"/>
          <w:b w:val="0"/>
          <w:sz w:val="32"/>
          <w:szCs w:val="32"/>
          <w:lang w:val="en-US" w:eastAsia="zh-CN"/>
        </w:rPr>
        <w:t>两</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29.9</w:t>
      </w:r>
      <w:r>
        <w:rPr>
          <w:rFonts w:ascii="Times New Roman" w:eastAsia="仿宋_GB2312"/>
          <w:b w:val="0"/>
          <w:sz w:val="32"/>
          <w:szCs w:val="32"/>
        </w:rPr>
        <w:t>万元</w:t>
      </w:r>
      <w:r>
        <w:rPr>
          <w:rFonts w:hint="eastAsia" w:ascii="Times New Roman" w:eastAsia="仿宋_GB2312"/>
          <w:b w:val="0"/>
          <w:sz w:val="32"/>
          <w:szCs w:val="32"/>
          <w:lang w:eastAsia="zh-CN"/>
        </w:rPr>
        <w:t>，</w:t>
      </w:r>
      <w:r>
        <w:rPr>
          <w:rFonts w:ascii="Times New Roman" w:eastAsia="仿宋_GB2312"/>
          <w:b w:val="0"/>
          <w:sz w:val="32"/>
          <w:szCs w:val="32"/>
        </w:rPr>
        <w:t>从评价情况来看，</w:t>
      </w:r>
      <w:r>
        <w:rPr>
          <w:rFonts w:hint="eastAsia" w:ascii="Times New Roman" w:eastAsia="仿宋_GB2312"/>
          <w:b w:val="0"/>
          <w:sz w:val="32"/>
          <w:szCs w:val="32"/>
          <w:lang w:val="en-US" w:eastAsia="zh-CN"/>
        </w:rPr>
        <w:t>均达到了预期的目标</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val="en-US" w:eastAsia="zh-CN"/>
        </w:rPr>
        <w:t>单位</w:t>
      </w:r>
      <w:r>
        <w:rPr>
          <w:rFonts w:ascii="Times New Roman" w:eastAsia="仿宋_GB2312"/>
          <w:b/>
          <w:sz w:val="32"/>
          <w:szCs w:val="32"/>
        </w:rPr>
        <w:t>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eastAsia="zh-CN"/>
        </w:rPr>
        <w:t>“</w:t>
      </w:r>
      <w:r>
        <w:rPr>
          <w:rFonts w:hint="eastAsia" w:ascii="Times New Roman" w:eastAsia="仿宋_GB2312"/>
          <w:b w:val="0"/>
          <w:sz w:val="32"/>
          <w:szCs w:val="32"/>
        </w:rPr>
        <w:t>2024孤儿基本生活费和事实无人抚养儿童生活补贴</w:t>
      </w:r>
      <w:r>
        <w:rPr>
          <w:rFonts w:hint="eastAsia" w:ascii="Times New Roman" w:eastAsia="仿宋_GB2312"/>
          <w:b w:val="0"/>
          <w:sz w:val="32"/>
          <w:szCs w:val="32"/>
          <w:lang w:eastAsia="zh-CN"/>
        </w:rPr>
        <w:t>”</w:t>
      </w:r>
      <w:r>
        <w:rPr>
          <w:rFonts w:ascii="Times New Roman" w:eastAsia="仿宋_GB2312"/>
          <w:b w:val="0"/>
          <w:sz w:val="32"/>
          <w:szCs w:val="32"/>
        </w:rPr>
        <w:t>等</w:t>
      </w:r>
      <w:r>
        <w:rPr>
          <w:rFonts w:hint="eastAsia" w:ascii="Times New Roman" w:eastAsia="仿宋_GB2312"/>
          <w:b w:val="0"/>
          <w:sz w:val="32"/>
          <w:szCs w:val="32"/>
          <w:lang w:val="en-US" w:eastAsia="zh-CN"/>
        </w:rPr>
        <w:t>两</w:t>
      </w:r>
      <w:r>
        <w:rPr>
          <w:rFonts w:ascii="Times New Roman" w:eastAsia="仿宋_GB2312"/>
          <w:b w:val="0"/>
          <w:sz w:val="32"/>
          <w:szCs w:val="32"/>
        </w:rPr>
        <w:t>个项目绩效自评结果。</w:t>
      </w:r>
    </w:p>
    <w:p>
      <w:pPr>
        <w:keepNext w:val="0"/>
        <w:keepLines w:val="0"/>
        <w:widowControl/>
        <w:suppressLineNumbers w:val="0"/>
        <w:ind w:firstLine="640" w:firstLineChars="200"/>
        <w:jc w:val="left"/>
      </w:pP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1</w:t>
      </w:r>
      <w:r>
        <w:rPr>
          <w:rFonts w:hint="eastAsia" w:ascii="Times New Roman" w:eastAsia="仿宋_GB2312"/>
          <w:b w:val="0"/>
          <w:sz w:val="32"/>
          <w:szCs w:val="32"/>
          <w:lang w:eastAsia="zh-CN"/>
        </w:rPr>
        <w:t>）</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18.15</w:t>
      </w:r>
      <w:r>
        <w:rPr>
          <w:rFonts w:ascii="Times New Roman" w:eastAsia="仿宋_GB2312"/>
          <w:b w:val="0"/>
          <w:sz w:val="32"/>
          <w:szCs w:val="32"/>
        </w:rPr>
        <w:t>万元，执行数为</w:t>
      </w:r>
      <w:r>
        <w:rPr>
          <w:rFonts w:hint="eastAsia" w:ascii="Times New Roman" w:eastAsia="仿宋_GB2312"/>
          <w:b w:val="0"/>
          <w:sz w:val="32"/>
          <w:szCs w:val="32"/>
          <w:lang w:val="en-US" w:eastAsia="zh-CN"/>
        </w:rPr>
        <w:t>18.15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发放</w:t>
      </w:r>
      <w:r>
        <w:rPr>
          <w:rFonts w:hint="eastAsia" w:ascii="Times New Roman" w:eastAsia="仿宋_GB2312"/>
          <w:b w:val="0"/>
          <w:sz w:val="32"/>
          <w:szCs w:val="32"/>
          <w:lang w:val="en-US" w:eastAsia="zh-CN"/>
        </w:rPr>
        <w:t>11</w:t>
      </w:r>
      <w:r>
        <w:rPr>
          <w:rFonts w:hint="eastAsia" w:ascii="Times New Roman" w:eastAsia="仿宋_GB2312"/>
          <w:b w:val="0"/>
          <w:sz w:val="32"/>
          <w:szCs w:val="32"/>
        </w:rPr>
        <w:t>名散居孤儿生活补助和</w:t>
      </w:r>
      <w:r>
        <w:rPr>
          <w:rFonts w:hint="eastAsia" w:ascii="Times New Roman" w:eastAsia="仿宋_GB2312"/>
          <w:b w:val="0"/>
          <w:sz w:val="32"/>
          <w:szCs w:val="32"/>
          <w:lang w:val="en-US" w:eastAsia="zh-CN"/>
        </w:rPr>
        <w:t>54</w:t>
      </w:r>
      <w:r>
        <w:rPr>
          <w:rFonts w:hint="eastAsia" w:ascii="Times New Roman" w:eastAsia="仿宋_GB2312"/>
          <w:b w:val="0"/>
          <w:sz w:val="32"/>
          <w:szCs w:val="32"/>
        </w:rPr>
        <w:t>名事实无人抚养儿童生活补贴，每人每月1400元</w:t>
      </w:r>
      <w:r>
        <w:rPr>
          <w:rFonts w:ascii="Times New Roman" w:eastAsia="仿宋_GB2312"/>
          <w:b w:val="0"/>
          <w:sz w:val="32"/>
          <w:szCs w:val="32"/>
        </w:rPr>
        <w:t>；二是</w:t>
      </w:r>
      <w:r>
        <w:rPr>
          <w:rFonts w:hint="eastAsia" w:ascii="Times New Roman" w:eastAsia="仿宋_GB2312"/>
          <w:b w:val="0"/>
          <w:sz w:val="32"/>
          <w:szCs w:val="32"/>
        </w:rPr>
        <w:t>通过发放生活费，让每个散居孤儿和事实无人抚养儿童生活得到基本保障</w:t>
      </w:r>
      <w:r>
        <w:rPr>
          <w:rFonts w:ascii="Times New Roman" w:eastAsia="仿宋_GB2312"/>
          <w:b w:val="0"/>
          <w:sz w:val="32"/>
          <w:szCs w:val="32"/>
        </w:rPr>
        <w:t>。</w:t>
      </w:r>
      <w:r>
        <w:rPr>
          <w:rFonts w:ascii="仿宋_GB2312" w:hAnsi="仿宋_GB2312" w:eastAsia="仿宋_GB2312" w:cs="仿宋_GB2312"/>
          <w:color w:val="000000"/>
          <w:kern w:val="0"/>
          <w:sz w:val="31"/>
          <w:szCs w:val="31"/>
          <w:lang w:val="en-US" w:eastAsia="zh-CN" w:bidi="ar"/>
        </w:rPr>
        <w:t>未发现问题。</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tbl>
      <w:tblPr>
        <w:tblStyle w:val="13"/>
        <w:tblpPr w:leftFromText="180" w:rightFromText="180" w:vertAnchor="text" w:horzAnchor="page" w:tblpX="1644" w:tblpY="51"/>
        <w:tblOverlap w:val="never"/>
        <w:tblW w:w="940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336"/>
        <w:gridCol w:w="1128"/>
        <w:gridCol w:w="1133"/>
        <w:gridCol w:w="1304"/>
        <w:gridCol w:w="796"/>
        <w:gridCol w:w="1500"/>
        <w:gridCol w:w="1033"/>
        <w:gridCol w:w="11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408" w:type="dxa"/>
            <w:gridSpan w:val="8"/>
            <w:tcBorders>
              <w:top w:val="nil"/>
              <w:left w:val="nil"/>
              <w:bottom w:val="nil"/>
              <w:right w:val="nil"/>
            </w:tcBorders>
            <w:noWrap/>
            <w:vAlign w:val="center"/>
          </w:tcPr>
          <w:p>
            <w:pPr>
              <w:pStyle w:val="4"/>
              <w:numPr>
                <w:ilvl w:val="0"/>
                <w:numId w:val="0"/>
              </w:numPr>
              <w:bidi w:val="0"/>
              <w:ind w:leftChars="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08"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36" w:type="dxa"/>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61" w:type="dxa"/>
            <w:gridSpan w:val="2"/>
            <w:tcBorders>
              <w:top w:val="nil"/>
              <w:left w:val="nil"/>
              <w:bottom w:val="nil"/>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w:t>
            </w:r>
          </w:p>
        </w:tc>
        <w:tc>
          <w:tcPr>
            <w:tcW w:w="1304" w:type="dxa"/>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796" w:type="dxa"/>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1500" w:type="dxa"/>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1033" w:type="dxa"/>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1178" w:type="dxa"/>
            <w:tcBorders>
              <w:top w:val="nil"/>
              <w:left w:val="nil"/>
              <w:bottom w:val="nil"/>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336" w:type="dxa"/>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21"/>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437"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2024孤儿基本生活费和事实无人抚养儿童生活补贴</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711"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61"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1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533"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18.15</w:t>
            </w:r>
          </w:p>
        </w:tc>
        <w:tc>
          <w:tcPr>
            <w:tcW w:w="130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18.15</w:t>
            </w:r>
          </w:p>
        </w:tc>
        <w:tc>
          <w:tcPr>
            <w:tcW w:w="1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18.15</w:t>
            </w:r>
          </w:p>
        </w:tc>
        <w:tc>
          <w:tcPr>
            <w:tcW w:w="117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18.15</w:t>
            </w:r>
          </w:p>
        </w:tc>
        <w:tc>
          <w:tcPr>
            <w:tcW w:w="130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18.15</w:t>
            </w:r>
          </w:p>
        </w:tc>
        <w:tc>
          <w:tcPr>
            <w:tcW w:w="1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18.15</w:t>
            </w:r>
          </w:p>
        </w:tc>
        <w:tc>
          <w:tcPr>
            <w:tcW w:w="11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ascii="Calibri" w:hAnsi="Calibri" w:eastAsia="宋体" w:cs="Calibri"/>
                <w:i w:val="0"/>
                <w:iCs w:val="0"/>
                <w:color w:val="000000"/>
                <w:sz w:val="21"/>
                <w:szCs w:val="21"/>
                <w:u w:val="none"/>
              </w:rPr>
            </w:pPr>
          </w:p>
        </w:tc>
        <w:tc>
          <w:tcPr>
            <w:tcW w:w="130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eastAsia="宋体" w:cs="宋体"/>
                <w:i w:val="0"/>
                <w:iCs w:val="0"/>
                <w:color w:val="000000"/>
                <w:sz w:val="16"/>
                <w:szCs w:val="16"/>
                <w:u w:val="none"/>
              </w:rPr>
            </w:pPr>
          </w:p>
        </w:tc>
        <w:tc>
          <w:tcPr>
            <w:tcW w:w="1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33"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eastAsia="宋体" w:cs="宋体"/>
                <w:i w:val="0"/>
                <w:iCs w:val="0"/>
                <w:color w:val="000000"/>
                <w:sz w:val="16"/>
                <w:szCs w:val="16"/>
                <w:u w:val="none"/>
              </w:rPr>
            </w:pPr>
          </w:p>
        </w:tc>
        <w:tc>
          <w:tcPr>
            <w:tcW w:w="11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9" w:hRule="atLeast"/>
        </w:trPr>
        <w:tc>
          <w:tcPr>
            <w:tcW w:w="133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565"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329"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565"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default" w:ascii="宋体" w:hAnsi="宋体" w:eastAsia="宋体" w:cs="宋体"/>
                <w:i w:val="0"/>
                <w:iCs w:val="0"/>
                <w:color w:val="000000"/>
                <w:sz w:val="16"/>
                <w:szCs w:val="16"/>
                <w:u w:val="none"/>
                <w:lang w:val="en-US"/>
              </w:rPr>
            </w:pPr>
            <w:r>
              <w:rPr>
                <w:rFonts w:hint="default" w:ascii="宋体" w:hAnsi="宋体" w:eastAsia="宋体" w:cs="宋体"/>
                <w:i w:val="0"/>
                <w:iCs w:val="0"/>
                <w:color w:val="000000"/>
                <w:sz w:val="16"/>
                <w:szCs w:val="16"/>
                <w:u w:val="none"/>
                <w:lang w:val="en-US"/>
              </w:rPr>
              <w:t>预计发放9名散居孤儿生活补助和47名事实无人抚养儿童生活补贴，每人每月1400元。通过发放生活费，让每个散居孤儿和事实无人抚养儿童生活得到基本保障。</w:t>
            </w:r>
          </w:p>
        </w:tc>
        <w:tc>
          <w:tcPr>
            <w:tcW w:w="3329"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178"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565"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329"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565"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329"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21"/>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1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1"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restart"/>
            <w:tcBorders>
              <w:left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产出指标（50分）</w:t>
            </w:r>
          </w:p>
          <w:p>
            <w:pPr>
              <w:jc w:val="center"/>
              <w:rPr>
                <w:rFonts w:hint="eastAsia" w:ascii="宋体" w:hAnsi="宋体" w:eastAsia="宋体" w:cs="宋体"/>
                <w:i w:val="0"/>
                <w:iCs w:val="0"/>
                <w:color w:val="000000"/>
                <w:sz w:val="16"/>
                <w:szCs w:val="16"/>
                <w:u w:val="none"/>
              </w:rPr>
            </w:pPr>
          </w:p>
        </w:tc>
        <w:tc>
          <w:tcPr>
            <w:tcW w:w="1133" w:type="dxa"/>
            <w:tcBorders>
              <w:left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数量指标</w:t>
            </w:r>
          </w:p>
        </w:tc>
        <w:tc>
          <w:tcPr>
            <w:tcW w:w="2100" w:type="dxa"/>
            <w:gridSpan w:val="2"/>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发放孤儿生活费的人数</w:t>
            </w:r>
          </w:p>
        </w:tc>
        <w:tc>
          <w:tcPr>
            <w:tcW w:w="1500"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 56 人</w:t>
            </w:r>
          </w:p>
        </w:tc>
        <w:tc>
          <w:tcPr>
            <w:tcW w:w="10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2"/>
                <w:sz w:val="16"/>
                <w:szCs w:val="16"/>
                <w:u w:val="none"/>
                <w:lang w:val="en-US" w:eastAsia="zh-CN" w:bidi="ar-SA"/>
              </w:rPr>
            </w:pPr>
            <w:r>
              <w:rPr>
                <w:rFonts w:hint="eastAsia" w:ascii="Calibri" w:hAnsi="Calibri" w:eastAsia="宋体" w:cs="Calibri"/>
                <w:i w:val="0"/>
                <w:iCs w:val="0"/>
                <w:color w:val="000000"/>
                <w:kern w:val="2"/>
                <w:sz w:val="16"/>
                <w:szCs w:val="16"/>
                <w:u w:val="none"/>
                <w:lang w:val="en-US" w:eastAsia="zh-CN" w:bidi="ar-SA"/>
              </w:rPr>
              <w:t>65人</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2"/>
                <w:sz w:val="16"/>
                <w:szCs w:val="16"/>
                <w:u w:val="none"/>
                <w:lang w:val="en-US" w:eastAsia="zh-CN" w:bidi="ar-SA"/>
              </w:rPr>
            </w:pPr>
            <w:r>
              <w:rPr>
                <w:rFonts w:hint="eastAsia" w:ascii="Calibri" w:hAnsi="Calibri" w:eastAsia="宋体" w:cs="Calibri"/>
                <w:i w:val="0"/>
                <w:iCs w:val="0"/>
                <w:color w:val="000000"/>
                <w:kern w:val="2"/>
                <w:sz w:val="16"/>
                <w:szCs w:val="16"/>
                <w:u w:val="none"/>
                <w:lang w:val="en-US" w:eastAsia="zh-CN" w:bidi="ar-SA"/>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continue"/>
            <w:tcBorders>
              <w:left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33" w:type="dxa"/>
            <w:tcBorders>
              <w:top w:val="single" w:color="auto"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质量指标</w:t>
            </w:r>
          </w:p>
        </w:tc>
        <w:tc>
          <w:tcPr>
            <w:tcW w:w="2100" w:type="dxa"/>
            <w:gridSpan w:val="2"/>
            <w:tcBorders>
              <w:top w:val="single" w:color="auto"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儿童基本生活保障率</w:t>
            </w:r>
          </w:p>
        </w:tc>
        <w:tc>
          <w:tcPr>
            <w:tcW w:w="1500"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文字描述  是</w:t>
            </w:r>
          </w:p>
        </w:tc>
        <w:tc>
          <w:tcPr>
            <w:tcW w:w="10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是</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continue"/>
            <w:tcBorders>
              <w:left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33"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时效指标</w:t>
            </w:r>
          </w:p>
        </w:tc>
        <w:tc>
          <w:tcPr>
            <w:tcW w:w="2100" w:type="dxa"/>
            <w:gridSpan w:val="2"/>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孤儿生活费发放及时率</w:t>
            </w:r>
          </w:p>
        </w:tc>
        <w:tc>
          <w:tcPr>
            <w:tcW w:w="1500"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 100 %</w:t>
            </w:r>
          </w:p>
        </w:tc>
        <w:tc>
          <w:tcPr>
            <w:tcW w:w="10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100%</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7"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continue"/>
            <w:tcBorders>
              <w:left w:val="single" w:color="000000" w:sz="4" w:space="0"/>
              <w:bottom w:val="single" w:color="auto"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33" w:type="dxa"/>
            <w:tcBorders>
              <w:top w:val="single" w:color="000000" w:sz="4" w:space="0"/>
              <w:left w:val="single" w:color="000000" w:sz="4" w:space="0"/>
              <w:bottom w:val="single" w:color="auto"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成本指标</w:t>
            </w:r>
          </w:p>
        </w:tc>
        <w:tc>
          <w:tcPr>
            <w:tcW w:w="2100" w:type="dxa"/>
            <w:gridSpan w:val="2"/>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发放孤儿生活费标准</w:t>
            </w:r>
          </w:p>
        </w:tc>
        <w:tc>
          <w:tcPr>
            <w:tcW w:w="1500"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 1400 元/人/月</w:t>
            </w:r>
          </w:p>
        </w:tc>
        <w:tc>
          <w:tcPr>
            <w:tcW w:w="10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宋体" w:hAnsi="宋体" w:cs="宋体"/>
                <w:i w:val="0"/>
                <w:iCs w:val="0"/>
                <w:color w:val="000000"/>
                <w:sz w:val="16"/>
                <w:szCs w:val="16"/>
                <w:u w:val="none"/>
                <w:lang w:val="en-US" w:eastAsia="zh-CN"/>
              </w:rPr>
              <w:t>1400 元/人/月</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336" w:type="dxa"/>
            <w:vMerge w:val="continue"/>
            <w:tcBorders>
              <w:top w:val="single" w:color="000000" w:sz="4" w:space="0"/>
              <w:left w:val="single" w:color="000000" w:sz="4" w:space="0"/>
              <w:bottom w:val="single" w:color="000000" w:sz="4" w:space="0"/>
              <w:right w:val="single" w:color="auto" w:sz="4" w:space="0"/>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效益指标（40分）</w:t>
            </w:r>
          </w:p>
        </w:tc>
        <w:tc>
          <w:tcPr>
            <w:tcW w:w="1133" w:type="dxa"/>
            <w:tcBorders>
              <w:top w:val="single" w:color="auto" w:sz="4" w:space="0"/>
              <w:left w:val="single" w:color="auto"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社会效益指标</w:t>
            </w:r>
          </w:p>
        </w:tc>
        <w:tc>
          <w:tcPr>
            <w:tcW w:w="2100" w:type="dxa"/>
            <w:gridSpan w:val="2"/>
            <w:tcBorders>
              <w:top w:val="nil"/>
              <w:left w:val="nil"/>
              <w:bottom w:val="single" w:color="auto" w:sz="4" w:space="0"/>
              <w:right w:val="nil"/>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政策知晓率</w:t>
            </w:r>
          </w:p>
        </w:tc>
        <w:tc>
          <w:tcPr>
            <w:tcW w:w="1500" w:type="dxa"/>
            <w:tcBorders>
              <w:top w:val="single" w:color="000000" w:sz="4" w:space="0"/>
              <w:left w:val="single" w:color="000000" w:sz="4" w:space="0"/>
              <w:bottom w:val="single" w:color="auto"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 95 %</w:t>
            </w:r>
          </w:p>
        </w:tc>
        <w:tc>
          <w:tcPr>
            <w:tcW w:w="10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ascii="Calibri" w:hAnsi="Calibri" w:eastAsia="宋体" w:cs="Calibri"/>
                <w:i w:val="0"/>
                <w:iCs w:val="0"/>
                <w:color w:val="000000"/>
                <w:kern w:val="0"/>
                <w:sz w:val="16"/>
                <w:szCs w:val="16"/>
                <w:u w:val="none"/>
                <w:lang w:val="en-US" w:eastAsia="zh-CN" w:bidi="ar"/>
              </w:rPr>
              <w:t>95%</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ascii="Calibri" w:hAnsi="Calibri" w:eastAsia="宋体" w:cs="Calibri"/>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1336" w:type="dxa"/>
            <w:vMerge w:val="continue"/>
            <w:tcBorders>
              <w:top w:val="single" w:color="000000" w:sz="4" w:space="0"/>
              <w:left w:val="single" w:color="000000" w:sz="4" w:space="0"/>
              <w:bottom w:val="single" w:color="000000" w:sz="4" w:space="0"/>
              <w:right w:val="single" w:color="auto" w:sz="4" w:space="0"/>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133" w:type="dxa"/>
            <w:tcBorders>
              <w:top w:val="single" w:color="auto" w:sz="4" w:space="0"/>
              <w:left w:val="single" w:color="auto"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可持续影响指标</w:t>
            </w:r>
          </w:p>
        </w:tc>
        <w:tc>
          <w:tcPr>
            <w:tcW w:w="2100" w:type="dxa"/>
            <w:gridSpan w:val="2"/>
            <w:tcBorders>
              <w:top w:val="single" w:color="auto" w:sz="4" w:space="0"/>
              <w:left w:val="nil"/>
              <w:bottom w:val="single" w:color="000000" w:sz="4" w:space="0"/>
              <w:right w:val="nil"/>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可持续影响时间</w:t>
            </w:r>
          </w:p>
        </w:tc>
        <w:tc>
          <w:tcPr>
            <w:tcW w:w="1500" w:type="dxa"/>
            <w:tcBorders>
              <w:top w:val="single" w:color="000000" w:sz="4" w:space="0"/>
              <w:left w:val="single" w:color="000000" w:sz="4" w:space="0"/>
              <w:bottom w:val="single" w:color="auto"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 1 年</w:t>
            </w:r>
          </w:p>
        </w:tc>
        <w:tc>
          <w:tcPr>
            <w:tcW w:w="10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ascii="Calibri" w:hAnsi="Calibri" w:eastAsia="宋体" w:cs="Calibri"/>
                <w:i w:val="0"/>
                <w:iCs w:val="0"/>
                <w:color w:val="000000"/>
                <w:kern w:val="0"/>
                <w:sz w:val="16"/>
                <w:szCs w:val="16"/>
                <w:u w:val="none"/>
                <w:lang w:val="en-US" w:eastAsia="zh-CN" w:bidi="ar"/>
              </w:rPr>
              <w:t>1年</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ascii="Calibri" w:hAnsi="Calibri" w:eastAsia="宋体" w:cs="Calibri"/>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6"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0分）</w:t>
            </w:r>
          </w:p>
        </w:tc>
        <w:tc>
          <w:tcPr>
            <w:tcW w:w="1133" w:type="dxa"/>
            <w:tcBorders>
              <w:top w:val="single" w:color="000000" w:sz="4" w:space="0"/>
              <w:left w:val="nil"/>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服务对象满意度指标</w:t>
            </w:r>
          </w:p>
        </w:tc>
        <w:tc>
          <w:tcPr>
            <w:tcW w:w="2100" w:type="dxa"/>
            <w:gridSpan w:val="2"/>
            <w:tcBorders>
              <w:top w:val="single" w:color="000000" w:sz="4" w:space="0"/>
              <w:left w:val="nil"/>
              <w:bottom w:val="single" w:color="000000" w:sz="4" w:space="0"/>
              <w:right w:val="nil"/>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受助对象满意度</w:t>
            </w:r>
          </w:p>
        </w:tc>
        <w:tc>
          <w:tcPr>
            <w:tcW w:w="1500" w:type="dxa"/>
            <w:tcBorders>
              <w:top w:val="single" w:color="auto"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 95 %</w:t>
            </w:r>
          </w:p>
        </w:tc>
        <w:tc>
          <w:tcPr>
            <w:tcW w:w="10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95%</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6894"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336" w:type="dxa"/>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21"/>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072" w:type="dxa"/>
            <w:gridSpan w:val="7"/>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无</w:t>
            </w:r>
          </w:p>
        </w:tc>
      </w:tr>
    </w:tbl>
    <w:p>
      <w:pPr>
        <w:keepNext w:val="0"/>
        <w:keepLines w:val="0"/>
        <w:widowControl/>
        <w:suppressLineNumbers w:val="0"/>
        <w:ind w:firstLine="640" w:firstLineChars="200"/>
        <w:jc w:val="left"/>
        <w:rPr>
          <w:rFonts w:ascii="Times New Roman" w:eastAsia="仿宋_GB2312"/>
          <w:b w:val="0"/>
          <w:sz w:val="32"/>
          <w:szCs w:val="32"/>
        </w:rPr>
      </w:pP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2</w:t>
      </w:r>
      <w:r>
        <w:rPr>
          <w:rFonts w:hint="eastAsia" w:ascii="Times New Roman" w:eastAsia="仿宋_GB2312"/>
          <w:b w:val="0"/>
          <w:sz w:val="32"/>
          <w:szCs w:val="32"/>
          <w:lang w:eastAsia="zh-CN"/>
        </w:rPr>
        <w:t>）</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93</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11.75</w:t>
      </w:r>
      <w:r>
        <w:rPr>
          <w:rFonts w:ascii="Times New Roman" w:eastAsia="仿宋_GB2312"/>
          <w:b w:val="0"/>
          <w:sz w:val="32"/>
          <w:szCs w:val="32"/>
        </w:rPr>
        <w:t>万元，执行数为</w:t>
      </w:r>
      <w:r>
        <w:rPr>
          <w:rFonts w:hint="eastAsia" w:ascii="Times New Roman" w:eastAsia="仿宋_GB2312"/>
          <w:b w:val="0"/>
          <w:sz w:val="32"/>
          <w:szCs w:val="32"/>
          <w:lang w:val="en-US" w:eastAsia="zh-CN"/>
        </w:rPr>
        <w:t>11.75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lang w:val="en-US" w:eastAsia="zh-CN"/>
        </w:rPr>
        <w:t>用于</w:t>
      </w:r>
      <w:r>
        <w:rPr>
          <w:rFonts w:hint="eastAsia" w:ascii="Times New Roman" w:eastAsia="仿宋_GB2312"/>
          <w:b w:val="0"/>
          <w:sz w:val="32"/>
          <w:szCs w:val="32"/>
        </w:rPr>
        <w:t>临时监护</w:t>
      </w:r>
      <w:r>
        <w:rPr>
          <w:rFonts w:hint="eastAsia" w:ascii="Times New Roman" w:eastAsia="仿宋_GB2312"/>
          <w:b w:val="0"/>
          <w:sz w:val="32"/>
          <w:szCs w:val="32"/>
          <w:lang w:eastAsia="zh-CN"/>
        </w:rPr>
        <w:t>未成年人</w:t>
      </w:r>
      <w:bookmarkStart w:id="0" w:name="_GoBack"/>
      <w:bookmarkEnd w:id="0"/>
      <w:r>
        <w:rPr>
          <w:rFonts w:hint="eastAsia" w:ascii="Times New Roman" w:eastAsia="仿宋_GB2312"/>
          <w:b w:val="0"/>
          <w:sz w:val="32"/>
          <w:szCs w:val="32"/>
        </w:rPr>
        <w:t>生活照护费、医疗费、水、电、暖、设施设备及房屋维修费用、农村留守儿童、社会散居孤儿和困境儿童关爱费用的支出</w:t>
      </w:r>
      <w:r>
        <w:rPr>
          <w:rFonts w:ascii="Times New Roman" w:eastAsia="仿宋_GB2312"/>
          <w:b w:val="0"/>
          <w:sz w:val="32"/>
          <w:szCs w:val="32"/>
        </w:rPr>
        <w:t>；二是</w:t>
      </w:r>
      <w:r>
        <w:rPr>
          <w:rFonts w:hint="eastAsia" w:ascii="Times New Roman" w:eastAsia="仿宋_GB2312"/>
          <w:b w:val="0"/>
          <w:sz w:val="32"/>
          <w:szCs w:val="32"/>
        </w:rPr>
        <w:t>使福利院（未保中心）正常运转</w:t>
      </w:r>
      <w:r>
        <w:rPr>
          <w:rFonts w:ascii="Times New Roman" w:eastAsia="仿宋_GB2312"/>
          <w:b w:val="0"/>
          <w:sz w:val="32"/>
          <w:szCs w:val="32"/>
        </w:rPr>
        <w:t>。</w:t>
      </w:r>
      <w:r>
        <w:rPr>
          <w:rFonts w:ascii="仿宋_GB2312" w:hAnsi="仿宋_GB2312" w:eastAsia="仿宋_GB2312" w:cs="仿宋_GB2312"/>
          <w:color w:val="000000"/>
          <w:kern w:val="0"/>
          <w:sz w:val="31"/>
          <w:szCs w:val="31"/>
          <w:lang w:val="en-US" w:eastAsia="zh-CN" w:bidi="ar"/>
        </w:rPr>
        <w:t>未发现问题。</w:t>
      </w:r>
    </w:p>
    <w:tbl>
      <w:tblPr>
        <w:tblStyle w:val="13"/>
        <w:tblpPr w:leftFromText="180" w:rightFromText="180" w:vertAnchor="text" w:horzAnchor="page" w:tblpX="1644" w:tblpY="51"/>
        <w:tblOverlap w:val="never"/>
        <w:tblW w:w="96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336"/>
        <w:gridCol w:w="1128"/>
        <w:gridCol w:w="1133"/>
        <w:gridCol w:w="1304"/>
        <w:gridCol w:w="796"/>
        <w:gridCol w:w="1361"/>
        <w:gridCol w:w="1333"/>
        <w:gridCol w:w="12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641" w:type="dxa"/>
            <w:gridSpan w:val="8"/>
            <w:tcBorders>
              <w:top w:val="nil"/>
              <w:left w:val="nil"/>
              <w:bottom w:val="nil"/>
              <w:right w:val="nil"/>
            </w:tcBorders>
            <w:noWrap/>
            <w:vAlign w:val="center"/>
          </w:tcPr>
          <w:p>
            <w:pPr>
              <w:pStyle w:val="4"/>
              <w:numPr>
                <w:ilvl w:val="0"/>
                <w:numId w:val="0"/>
              </w:numPr>
              <w:bidi w:val="0"/>
              <w:ind w:leftChars="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单位</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641"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36" w:type="dxa"/>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61" w:type="dxa"/>
            <w:gridSpan w:val="2"/>
            <w:tcBorders>
              <w:top w:val="nil"/>
              <w:left w:val="nil"/>
              <w:bottom w:val="nil"/>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w:t>
            </w:r>
          </w:p>
        </w:tc>
        <w:tc>
          <w:tcPr>
            <w:tcW w:w="1304" w:type="dxa"/>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796" w:type="dxa"/>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1361" w:type="dxa"/>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1333" w:type="dxa"/>
            <w:tcBorders>
              <w:top w:val="nil"/>
              <w:left w:val="nil"/>
              <w:bottom w:val="nil"/>
              <w:right w:val="nil"/>
            </w:tcBorders>
            <w:noWrap/>
            <w:vAlign w:val="center"/>
          </w:tcPr>
          <w:p>
            <w:pPr>
              <w:jc w:val="center"/>
              <w:rPr>
                <w:rFonts w:hint="eastAsia" w:ascii="宋体" w:hAnsi="宋体" w:eastAsia="宋体" w:cs="宋体"/>
                <w:i w:val="0"/>
                <w:iCs w:val="0"/>
                <w:color w:val="000000"/>
                <w:sz w:val="16"/>
                <w:szCs w:val="16"/>
                <w:u w:val="none"/>
              </w:rPr>
            </w:pPr>
          </w:p>
        </w:tc>
        <w:tc>
          <w:tcPr>
            <w:tcW w:w="1250" w:type="dxa"/>
            <w:tcBorders>
              <w:top w:val="nil"/>
              <w:left w:val="nil"/>
              <w:bottom w:val="nil"/>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336" w:type="dxa"/>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21"/>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437"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2024儿童福利院（未保中心）经费</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944"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61"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1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694"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11.75</w:t>
            </w:r>
          </w:p>
        </w:tc>
        <w:tc>
          <w:tcPr>
            <w:tcW w:w="130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11.75</w:t>
            </w:r>
          </w:p>
        </w:tc>
        <w:tc>
          <w:tcPr>
            <w:tcW w:w="13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11.75</w:t>
            </w:r>
          </w:p>
        </w:tc>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11.75</w:t>
            </w:r>
          </w:p>
        </w:tc>
        <w:tc>
          <w:tcPr>
            <w:tcW w:w="130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11.75</w:t>
            </w:r>
          </w:p>
        </w:tc>
        <w:tc>
          <w:tcPr>
            <w:tcW w:w="13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11.75</w:t>
            </w:r>
          </w:p>
        </w:tc>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ascii="Calibri" w:hAnsi="Calibri" w:eastAsia="宋体" w:cs="Calibri"/>
                <w:i w:val="0"/>
                <w:iCs w:val="0"/>
                <w:color w:val="000000"/>
                <w:sz w:val="21"/>
                <w:szCs w:val="21"/>
                <w:u w:val="none"/>
              </w:rPr>
            </w:pPr>
          </w:p>
        </w:tc>
        <w:tc>
          <w:tcPr>
            <w:tcW w:w="130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eastAsia="宋体" w:cs="宋体"/>
                <w:i w:val="0"/>
                <w:iCs w:val="0"/>
                <w:color w:val="000000"/>
                <w:sz w:val="16"/>
                <w:szCs w:val="16"/>
                <w:u w:val="none"/>
              </w:rPr>
            </w:pPr>
          </w:p>
        </w:tc>
        <w:tc>
          <w:tcPr>
            <w:tcW w:w="13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eastAsia="宋体" w:cs="宋体"/>
                <w:i w:val="0"/>
                <w:iCs w:val="0"/>
                <w:color w:val="000000"/>
                <w:sz w:val="16"/>
                <w:szCs w:val="16"/>
                <w:u w:val="none"/>
              </w:rPr>
            </w:pPr>
          </w:p>
        </w:tc>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9" w:hRule="atLeast"/>
        </w:trPr>
        <w:tc>
          <w:tcPr>
            <w:tcW w:w="133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565"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49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565"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default" w:ascii="宋体" w:hAnsi="宋体" w:eastAsia="宋体" w:cs="宋体"/>
                <w:i w:val="0"/>
                <w:iCs w:val="0"/>
                <w:color w:val="000000"/>
                <w:sz w:val="16"/>
                <w:szCs w:val="16"/>
                <w:u w:val="none"/>
                <w:lang w:val="en-US"/>
              </w:rPr>
            </w:pPr>
            <w:r>
              <w:rPr>
                <w:rFonts w:hint="default" w:ascii="宋体" w:hAnsi="宋体" w:eastAsia="宋体" w:cs="宋体"/>
                <w:i w:val="0"/>
                <w:iCs w:val="0"/>
                <w:color w:val="000000"/>
                <w:sz w:val="16"/>
                <w:szCs w:val="16"/>
                <w:u w:val="none"/>
                <w:lang w:val="en-US"/>
              </w:rPr>
              <w:t>用于临时监护</w:t>
            </w:r>
            <w:r>
              <w:rPr>
                <w:rFonts w:hint="eastAsia" w:ascii="宋体" w:hAnsi="宋体" w:eastAsia="宋体" w:cs="宋体"/>
                <w:i w:val="0"/>
                <w:iCs w:val="0"/>
                <w:color w:val="000000"/>
                <w:sz w:val="16"/>
                <w:szCs w:val="16"/>
                <w:u w:val="none"/>
                <w:lang w:val="en-US" w:eastAsia="zh-CN"/>
              </w:rPr>
              <w:t>未成年人</w:t>
            </w:r>
            <w:r>
              <w:rPr>
                <w:rFonts w:hint="default" w:ascii="宋体" w:hAnsi="宋体" w:eastAsia="宋体" w:cs="宋体"/>
                <w:i w:val="0"/>
                <w:iCs w:val="0"/>
                <w:color w:val="000000"/>
                <w:sz w:val="16"/>
                <w:szCs w:val="16"/>
                <w:u w:val="none"/>
                <w:lang w:val="en-US"/>
              </w:rPr>
              <w:t>生活照护费、医疗费、水、电、暖、设施设备及房屋维修费用、农村留守儿童、社会散居孤儿和困境儿童关爱费用的支出，使福利院（未保中心）正常运转。</w:t>
            </w:r>
          </w:p>
        </w:tc>
        <w:tc>
          <w:tcPr>
            <w:tcW w:w="3490"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25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565"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490"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3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565"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3490"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25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21"/>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10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3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1"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restart"/>
            <w:tcBorders>
              <w:left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产出指标（50分）</w:t>
            </w:r>
          </w:p>
          <w:p>
            <w:pPr>
              <w:jc w:val="center"/>
              <w:rPr>
                <w:rFonts w:hint="eastAsia" w:ascii="宋体" w:hAnsi="宋体" w:eastAsia="宋体" w:cs="宋体"/>
                <w:i w:val="0"/>
                <w:iCs w:val="0"/>
                <w:color w:val="000000"/>
                <w:sz w:val="16"/>
                <w:szCs w:val="16"/>
                <w:u w:val="none"/>
              </w:rPr>
            </w:pPr>
          </w:p>
        </w:tc>
        <w:tc>
          <w:tcPr>
            <w:tcW w:w="1133" w:type="dxa"/>
            <w:vMerge w:val="restart"/>
            <w:tcBorders>
              <w:left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数量指标</w:t>
            </w:r>
          </w:p>
        </w:tc>
        <w:tc>
          <w:tcPr>
            <w:tcW w:w="2100" w:type="dxa"/>
            <w:gridSpan w:val="2"/>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救助未成年人人次</w:t>
            </w:r>
          </w:p>
        </w:tc>
        <w:tc>
          <w:tcPr>
            <w:tcW w:w="1361"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 10 人次</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2"/>
                <w:sz w:val="16"/>
                <w:szCs w:val="16"/>
                <w:u w:val="none"/>
                <w:lang w:val="en-US" w:eastAsia="zh-CN" w:bidi="ar-SA"/>
              </w:rPr>
            </w:pPr>
            <w:r>
              <w:rPr>
                <w:rFonts w:hint="eastAsia" w:ascii="Calibri" w:hAnsi="Calibri" w:eastAsia="宋体" w:cs="Calibri"/>
                <w:i w:val="0"/>
                <w:iCs w:val="0"/>
                <w:color w:val="000000"/>
                <w:kern w:val="2"/>
                <w:sz w:val="16"/>
                <w:szCs w:val="16"/>
                <w:u w:val="none"/>
                <w:lang w:val="en-US" w:eastAsia="zh-CN" w:bidi="ar-SA"/>
              </w:rPr>
              <w:t>3</w:t>
            </w:r>
            <w:r>
              <w:rPr>
                <w:rFonts w:hint="default" w:ascii="宋体" w:hAnsi="宋体" w:cs="宋体"/>
                <w:i w:val="0"/>
                <w:iCs w:val="0"/>
                <w:color w:val="000000"/>
                <w:kern w:val="0"/>
                <w:sz w:val="16"/>
                <w:szCs w:val="16"/>
                <w:u w:val="none"/>
                <w:lang w:val="en-US" w:eastAsia="zh-CN" w:bidi="ar"/>
              </w:rPr>
              <w:t>人次</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2"/>
                <w:sz w:val="16"/>
                <w:szCs w:val="16"/>
                <w:u w:val="none"/>
                <w:lang w:val="en-US" w:eastAsia="zh-CN" w:bidi="ar-SA"/>
              </w:rPr>
            </w:pPr>
            <w:r>
              <w:rPr>
                <w:rFonts w:hint="eastAsia" w:ascii="Calibri" w:hAnsi="Calibri" w:eastAsia="宋体" w:cs="Calibri"/>
                <w:i w:val="0"/>
                <w:iCs w:val="0"/>
                <w:color w:val="000000"/>
                <w:kern w:val="2"/>
                <w:sz w:val="16"/>
                <w:szCs w:val="16"/>
                <w:u w:val="none"/>
                <w:lang w:val="en-US" w:eastAsia="zh-CN" w:bidi="ar-SA"/>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1"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continue"/>
            <w:tcBorders>
              <w:left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33" w:type="dxa"/>
            <w:vMerge w:val="continue"/>
            <w:tcBorders>
              <w:left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p>
        </w:tc>
        <w:tc>
          <w:tcPr>
            <w:tcW w:w="2100" w:type="dxa"/>
            <w:gridSpan w:val="2"/>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组织困境儿童关爱服务活动次数</w:t>
            </w:r>
          </w:p>
        </w:tc>
        <w:tc>
          <w:tcPr>
            <w:tcW w:w="1361"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 10 次</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2"/>
                <w:sz w:val="16"/>
                <w:szCs w:val="16"/>
                <w:u w:val="none"/>
                <w:lang w:val="en-US" w:eastAsia="zh-CN" w:bidi="ar-SA"/>
              </w:rPr>
            </w:pPr>
            <w:r>
              <w:rPr>
                <w:rFonts w:hint="eastAsia" w:ascii="Calibri" w:hAnsi="Calibri" w:eastAsia="宋体" w:cs="Calibri"/>
                <w:i w:val="0"/>
                <w:iCs w:val="0"/>
                <w:color w:val="000000"/>
                <w:kern w:val="2"/>
                <w:sz w:val="16"/>
                <w:szCs w:val="16"/>
                <w:u w:val="none"/>
                <w:lang w:val="en-US" w:eastAsia="zh-CN" w:bidi="ar-SA"/>
              </w:rPr>
              <w:t>10</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2"/>
                <w:sz w:val="16"/>
                <w:szCs w:val="16"/>
                <w:u w:val="none"/>
                <w:lang w:val="en-US" w:eastAsia="zh-CN" w:bidi="ar-SA"/>
              </w:rPr>
            </w:pPr>
            <w:r>
              <w:rPr>
                <w:rFonts w:hint="eastAsia" w:ascii="Calibri" w:hAnsi="Calibri" w:eastAsia="宋体" w:cs="Calibri"/>
                <w:i w:val="0"/>
                <w:iCs w:val="0"/>
                <w:color w:val="000000"/>
                <w:kern w:val="2"/>
                <w:sz w:val="16"/>
                <w:szCs w:val="16"/>
                <w:u w:val="none"/>
                <w:lang w:val="en-US" w:eastAsia="zh-CN" w:bidi="ar-SA"/>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continue"/>
            <w:tcBorders>
              <w:left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33" w:type="dxa"/>
            <w:vMerge w:val="restart"/>
            <w:tcBorders>
              <w:top w:val="single" w:color="auto" w:sz="4" w:space="0"/>
              <w:left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质量指标</w:t>
            </w:r>
          </w:p>
        </w:tc>
        <w:tc>
          <w:tcPr>
            <w:tcW w:w="2100" w:type="dxa"/>
            <w:gridSpan w:val="2"/>
            <w:tcBorders>
              <w:top w:val="single" w:color="auto"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被救助的未成年人基本生活保障率</w:t>
            </w:r>
          </w:p>
        </w:tc>
        <w:tc>
          <w:tcPr>
            <w:tcW w:w="1361"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文字描述  是</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是</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continue"/>
            <w:tcBorders>
              <w:left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33" w:type="dxa"/>
            <w:vMerge w:val="continue"/>
            <w:tcBorders>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p>
        </w:tc>
        <w:tc>
          <w:tcPr>
            <w:tcW w:w="2100" w:type="dxa"/>
            <w:gridSpan w:val="2"/>
            <w:tcBorders>
              <w:top w:val="single" w:color="auto"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困境儿童关爱服务活动覆盖率</w:t>
            </w:r>
          </w:p>
        </w:tc>
        <w:tc>
          <w:tcPr>
            <w:tcW w:w="1361"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 95 %</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95%</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continue"/>
            <w:tcBorders>
              <w:left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33"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时效指标</w:t>
            </w:r>
          </w:p>
        </w:tc>
        <w:tc>
          <w:tcPr>
            <w:tcW w:w="2100" w:type="dxa"/>
            <w:gridSpan w:val="2"/>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未成年人救助及时率</w:t>
            </w:r>
          </w:p>
        </w:tc>
        <w:tc>
          <w:tcPr>
            <w:tcW w:w="1361"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 100 %</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100%</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7"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continue"/>
            <w:tcBorders>
              <w:left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33" w:type="dxa"/>
            <w:vMerge w:val="restart"/>
            <w:tcBorders>
              <w:top w:val="single" w:color="000000" w:sz="4" w:space="0"/>
              <w:left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成本指标</w:t>
            </w:r>
          </w:p>
        </w:tc>
        <w:tc>
          <w:tcPr>
            <w:tcW w:w="2100" w:type="dxa"/>
            <w:gridSpan w:val="2"/>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救助未成年人标准</w:t>
            </w:r>
          </w:p>
        </w:tc>
        <w:tc>
          <w:tcPr>
            <w:tcW w:w="1361"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 1.79 万元/人</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宋体" w:hAnsi="宋体" w:cs="宋体"/>
                <w:i w:val="0"/>
                <w:iCs w:val="0"/>
                <w:color w:val="000000"/>
                <w:kern w:val="0"/>
                <w:sz w:val="16"/>
                <w:szCs w:val="16"/>
                <w:u w:val="none"/>
                <w:lang w:val="en-US" w:eastAsia="zh-CN" w:bidi="ar"/>
              </w:rPr>
              <w:t xml:space="preserve"> 1.79 万元/人</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7"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continue"/>
            <w:tcBorders>
              <w:left w:val="single" w:color="000000" w:sz="4" w:space="0"/>
              <w:bottom w:val="single" w:color="auto" w:sz="4" w:space="0"/>
              <w:right w:val="single" w:color="000000" w:sz="4" w:space="0"/>
            </w:tcBorders>
            <w:noWrap w:val="0"/>
            <w:vAlign w:val="center"/>
          </w:tcPr>
          <w:p>
            <w:pPr>
              <w:jc w:val="center"/>
              <w:rPr>
                <w:rFonts w:hint="eastAsia" w:ascii="宋体" w:hAnsi="宋体" w:eastAsia="宋体" w:cs="宋体"/>
                <w:i w:val="0"/>
                <w:iCs w:val="0"/>
                <w:color w:val="000000"/>
                <w:sz w:val="16"/>
                <w:szCs w:val="16"/>
                <w:u w:val="none"/>
              </w:rPr>
            </w:pPr>
          </w:p>
        </w:tc>
        <w:tc>
          <w:tcPr>
            <w:tcW w:w="1133" w:type="dxa"/>
            <w:vMerge w:val="continue"/>
            <w:tcBorders>
              <w:left w:val="single" w:color="000000" w:sz="4" w:space="0"/>
              <w:bottom w:val="single" w:color="auto"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p>
        </w:tc>
        <w:tc>
          <w:tcPr>
            <w:tcW w:w="2100" w:type="dxa"/>
            <w:gridSpan w:val="2"/>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每次组织困境儿童关爱服务活动费用标准</w:t>
            </w:r>
          </w:p>
        </w:tc>
        <w:tc>
          <w:tcPr>
            <w:tcW w:w="1361"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default" w:ascii="宋体" w:hAnsi="宋体" w:cs="宋体"/>
                <w:i w:val="0"/>
                <w:iCs w:val="0"/>
                <w:color w:val="000000"/>
                <w:kern w:val="0"/>
                <w:sz w:val="16"/>
                <w:szCs w:val="16"/>
                <w:u w:val="none"/>
                <w:lang w:val="en-US" w:eastAsia="zh-CN" w:bidi="ar"/>
              </w:rPr>
              <w:t>≤ 0.6 万元</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kern w:val="0"/>
                <w:sz w:val="16"/>
                <w:szCs w:val="16"/>
                <w:u w:val="none"/>
                <w:lang w:val="en-US" w:eastAsia="zh-CN" w:bidi="ar"/>
              </w:rPr>
              <w:t>0.6 万元</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336" w:type="dxa"/>
            <w:vMerge w:val="continue"/>
            <w:tcBorders>
              <w:top w:val="single" w:color="000000" w:sz="4" w:space="0"/>
              <w:left w:val="single" w:color="000000" w:sz="4" w:space="0"/>
              <w:bottom w:val="single" w:color="000000" w:sz="4" w:space="0"/>
              <w:right w:val="single" w:color="auto" w:sz="4" w:space="0"/>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效益指标（40分）</w:t>
            </w:r>
          </w:p>
        </w:tc>
        <w:tc>
          <w:tcPr>
            <w:tcW w:w="1133" w:type="dxa"/>
            <w:vMerge w:val="restart"/>
            <w:tcBorders>
              <w:top w:val="single" w:color="auto" w:sz="4" w:space="0"/>
              <w:left w:val="single" w:color="auto"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社会效益指标</w:t>
            </w:r>
          </w:p>
        </w:tc>
        <w:tc>
          <w:tcPr>
            <w:tcW w:w="2100" w:type="dxa"/>
            <w:gridSpan w:val="2"/>
            <w:tcBorders>
              <w:top w:val="nil"/>
              <w:left w:val="nil"/>
              <w:bottom w:val="single" w:color="auto" w:sz="4" w:space="0"/>
              <w:right w:val="nil"/>
            </w:tcBorders>
            <w:noWrap w:val="0"/>
            <w:vAlign w:val="top"/>
          </w:tcPr>
          <w:p>
            <w:pPr>
              <w:keepNext w:val="0"/>
              <w:keepLines w:val="0"/>
              <w:widowControl/>
              <w:suppressLineNumbers w:val="0"/>
              <w:jc w:val="left"/>
              <w:textAlignment w:val="top"/>
              <w:rPr>
                <w:rFonts w:hint="eastAsia" w:ascii="宋体" w:hAnsi="宋体" w:cs="宋体"/>
                <w:i w:val="0"/>
                <w:iCs w:val="0"/>
                <w:color w:val="000000"/>
                <w:sz w:val="16"/>
                <w:szCs w:val="16"/>
                <w:u w:val="none"/>
                <w:lang w:val="en-US" w:eastAsia="zh-CN"/>
              </w:rPr>
            </w:pPr>
            <w:r>
              <w:rPr>
                <w:rFonts w:hint="default" w:ascii="Calibri" w:hAnsi="Calibri" w:eastAsia="宋体" w:cs="Calibri"/>
                <w:i w:val="0"/>
                <w:iCs w:val="0"/>
                <w:color w:val="000000"/>
                <w:kern w:val="0"/>
                <w:sz w:val="22"/>
                <w:szCs w:val="22"/>
                <w:u w:val="none"/>
                <w:lang w:val="en-US" w:eastAsia="zh-CN" w:bidi="ar"/>
              </w:rPr>
              <w:t>保障未成年人的生活水平</w:t>
            </w:r>
          </w:p>
        </w:tc>
        <w:tc>
          <w:tcPr>
            <w:tcW w:w="1361" w:type="dxa"/>
            <w:tcBorders>
              <w:top w:val="single" w:color="000000" w:sz="4" w:space="0"/>
              <w:left w:val="single" w:color="000000" w:sz="4" w:space="0"/>
              <w:bottom w:val="single" w:color="auto" w:sz="4" w:space="0"/>
              <w:right w:val="single" w:color="000000" w:sz="4" w:space="0"/>
            </w:tcBorders>
            <w:noWrap w:val="0"/>
            <w:vAlign w:val="top"/>
          </w:tcPr>
          <w:p>
            <w:pPr>
              <w:keepNext w:val="0"/>
              <w:keepLines w:val="0"/>
              <w:widowControl/>
              <w:suppressLineNumbers w:val="0"/>
              <w:jc w:val="left"/>
              <w:textAlignment w:val="top"/>
              <w:rPr>
                <w:rFonts w:hint="default" w:ascii="宋体" w:hAnsi="宋体" w:cs="宋体"/>
                <w:i w:val="0"/>
                <w:iCs w:val="0"/>
                <w:color w:val="000000"/>
                <w:sz w:val="16"/>
                <w:szCs w:val="16"/>
                <w:u w:val="none"/>
                <w:lang w:val="en-US" w:eastAsia="zh-CN"/>
              </w:rPr>
            </w:pPr>
            <w:r>
              <w:rPr>
                <w:rFonts w:hint="default" w:ascii="Calibri" w:hAnsi="Calibri" w:eastAsia="宋体" w:cs="Calibri"/>
                <w:i w:val="0"/>
                <w:iCs w:val="0"/>
                <w:color w:val="000000"/>
                <w:kern w:val="0"/>
                <w:sz w:val="22"/>
                <w:szCs w:val="22"/>
                <w:u w:val="none"/>
                <w:lang w:val="en-US" w:eastAsia="zh-CN" w:bidi="ar"/>
              </w:rPr>
              <w:t>文字描述  保障</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default" w:ascii="Calibri" w:hAnsi="Calibri" w:eastAsia="宋体" w:cs="Calibri"/>
                <w:i w:val="0"/>
                <w:iCs w:val="0"/>
                <w:color w:val="000000"/>
                <w:kern w:val="0"/>
                <w:sz w:val="22"/>
                <w:szCs w:val="22"/>
                <w:u w:val="none"/>
                <w:lang w:val="en-US" w:eastAsia="zh-CN" w:bidi="ar"/>
              </w:rPr>
              <w:t>保障</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336" w:type="dxa"/>
            <w:vMerge w:val="continue"/>
            <w:tcBorders>
              <w:top w:val="single" w:color="000000" w:sz="4" w:space="0"/>
              <w:left w:val="single" w:color="000000" w:sz="4" w:space="0"/>
              <w:bottom w:val="single" w:color="000000" w:sz="4" w:space="0"/>
              <w:right w:val="single" w:color="auto" w:sz="4" w:space="0"/>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continue"/>
            <w:tcBorders>
              <w:left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133" w:type="dxa"/>
            <w:vMerge w:val="continue"/>
            <w:tcBorders>
              <w:left w:val="single" w:color="auto"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p>
        </w:tc>
        <w:tc>
          <w:tcPr>
            <w:tcW w:w="2100" w:type="dxa"/>
            <w:gridSpan w:val="2"/>
            <w:tcBorders>
              <w:top w:val="nil"/>
              <w:left w:val="nil"/>
              <w:bottom w:val="single" w:color="auto" w:sz="4" w:space="0"/>
              <w:right w:val="nil"/>
            </w:tcBorders>
            <w:noWrap w:val="0"/>
            <w:vAlign w:val="top"/>
          </w:tcPr>
          <w:p>
            <w:pPr>
              <w:keepNext w:val="0"/>
              <w:keepLines w:val="0"/>
              <w:widowControl/>
              <w:suppressLineNumbers w:val="0"/>
              <w:jc w:val="left"/>
              <w:textAlignment w:val="top"/>
              <w:rPr>
                <w:rFonts w:hint="default" w:ascii="宋体" w:hAnsi="宋体" w:cs="宋体"/>
                <w:i w:val="0"/>
                <w:iCs w:val="0"/>
                <w:color w:val="000000"/>
                <w:sz w:val="16"/>
                <w:szCs w:val="16"/>
                <w:u w:val="none"/>
                <w:lang w:val="en-US" w:eastAsia="zh-CN"/>
              </w:rPr>
            </w:pPr>
            <w:r>
              <w:rPr>
                <w:rFonts w:hint="default" w:ascii="Calibri" w:hAnsi="Calibri" w:eastAsia="宋体" w:cs="Calibri"/>
                <w:i w:val="0"/>
                <w:iCs w:val="0"/>
                <w:color w:val="000000"/>
                <w:kern w:val="0"/>
                <w:sz w:val="22"/>
                <w:szCs w:val="22"/>
                <w:u w:val="none"/>
                <w:lang w:val="en-US" w:eastAsia="zh-CN" w:bidi="ar"/>
              </w:rPr>
              <w:t>困境儿童政策知晓率</w:t>
            </w:r>
          </w:p>
        </w:tc>
        <w:tc>
          <w:tcPr>
            <w:tcW w:w="1361" w:type="dxa"/>
            <w:tcBorders>
              <w:top w:val="single" w:color="000000" w:sz="4" w:space="0"/>
              <w:left w:val="single" w:color="000000" w:sz="4" w:space="0"/>
              <w:bottom w:val="single" w:color="auto" w:sz="4" w:space="0"/>
              <w:right w:val="single" w:color="000000" w:sz="4" w:space="0"/>
            </w:tcBorders>
            <w:noWrap w:val="0"/>
            <w:vAlign w:val="top"/>
          </w:tcPr>
          <w:p>
            <w:pPr>
              <w:keepNext w:val="0"/>
              <w:keepLines w:val="0"/>
              <w:widowControl/>
              <w:suppressLineNumbers w:val="0"/>
              <w:jc w:val="left"/>
              <w:textAlignment w:val="top"/>
              <w:rPr>
                <w:rFonts w:hint="default" w:ascii="宋体" w:hAnsi="宋体" w:cs="宋体"/>
                <w:i w:val="0"/>
                <w:iCs w:val="0"/>
                <w:color w:val="000000"/>
                <w:sz w:val="16"/>
                <w:szCs w:val="16"/>
                <w:u w:val="none"/>
                <w:lang w:val="en-US" w:eastAsia="zh-CN"/>
              </w:rPr>
            </w:pPr>
            <w:r>
              <w:rPr>
                <w:rFonts w:hint="default" w:ascii="Calibri" w:hAnsi="Calibri" w:eastAsia="宋体" w:cs="Calibri"/>
                <w:i w:val="0"/>
                <w:iCs w:val="0"/>
                <w:color w:val="000000"/>
                <w:kern w:val="0"/>
                <w:sz w:val="22"/>
                <w:szCs w:val="22"/>
                <w:u w:val="none"/>
                <w:lang w:val="en-US" w:eastAsia="zh-CN" w:bidi="ar"/>
              </w:rPr>
              <w:t>≥ 95 %</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ascii="Calibri" w:hAnsi="Calibri" w:eastAsia="宋体" w:cs="Calibri"/>
                <w:i w:val="0"/>
                <w:iCs w:val="0"/>
                <w:color w:val="000000"/>
                <w:kern w:val="0"/>
                <w:sz w:val="16"/>
                <w:szCs w:val="16"/>
                <w:u w:val="none"/>
                <w:lang w:val="en-US" w:eastAsia="zh-CN" w:bidi="ar"/>
              </w:rPr>
              <w:t>95%</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1336" w:type="dxa"/>
            <w:vMerge w:val="continue"/>
            <w:tcBorders>
              <w:top w:val="single" w:color="000000" w:sz="4" w:space="0"/>
              <w:left w:val="single" w:color="000000" w:sz="4" w:space="0"/>
              <w:bottom w:val="single" w:color="000000" w:sz="4" w:space="0"/>
              <w:right w:val="single" w:color="auto" w:sz="4" w:space="0"/>
            </w:tcBorders>
            <w:noWrap w:val="0"/>
            <w:vAlign w:val="center"/>
          </w:tcPr>
          <w:p>
            <w:pPr>
              <w:jc w:val="center"/>
              <w:rPr>
                <w:rFonts w:hint="eastAsia" w:ascii="宋体" w:hAnsi="宋体" w:eastAsia="宋体" w:cs="宋体"/>
                <w:i w:val="0"/>
                <w:iCs w:val="0"/>
                <w:color w:val="000000"/>
                <w:sz w:val="16"/>
                <w:szCs w:val="16"/>
                <w:u w:val="none"/>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133" w:type="dxa"/>
            <w:tcBorders>
              <w:top w:val="single" w:color="auto" w:sz="4" w:space="0"/>
              <w:left w:val="single" w:color="auto"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default"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可持续影响指标</w:t>
            </w:r>
          </w:p>
        </w:tc>
        <w:tc>
          <w:tcPr>
            <w:tcW w:w="2100" w:type="dxa"/>
            <w:gridSpan w:val="2"/>
            <w:tcBorders>
              <w:top w:val="single" w:color="auto" w:sz="4" w:space="0"/>
              <w:left w:val="nil"/>
              <w:bottom w:val="single" w:color="000000" w:sz="4" w:space="0"/>
              <w:right w:val="nil"/>
            </w:tcBorders>
            <w:noWrap w:val="0"/>
            <w:vAlign w:val="top"/>
          </w:tcPr>
          <w:p>
            <w:pPr>
              <w:keepNext w:val="0"/>
              <w:keepLines w:val="0"/>
              <w:widowControl/>
              <w:suppressLineNumbers w:val="0"/>
              <w:jc w:val="left"/>
              <w:textAlignment w:val="top"/>
              <w:rPr>
                <w:rFonts w:hint="default" w:ascii="宋体" w:hAnsi="宋体" w:cs="宋体"/>
                <w:i w:val="0"/>
                <w:iCs w:val="0"/>
                <w:color w:val="000000"/>
                <w:sz w:val="16"/>
                <w:szCs w:val="16"/>
                <w:u w:val="none"/>
                <w:lang w:val="en-US" w:eastAsia="zh-CN"/>
              </w:rPr>
            </w:pPr>
            <w:r>
              <w:rPr>
                <w:rFonts w:hint="default" w:ascii="Calibri" w:hAnsi="Calibri" w:eastAsia="宋体" w:cs="Calibri"/>
                <w:i w:val="0"/>
                <w:iCs w:val="0"/>
                <w:color w:val="000000"/>
                <w:kern w:val="0"/>
                <w:sz w:val="22"/>
                <w:szCs w:val="22"/>
                <w:u w:val="none"/>
                <w:lang w:val="en-US" w:eastAsia="zh-CN" w:bidi="ar"/>
              </w:rPr>
              <w:t>可持续影响时间</w:t>
            </w:r>
          </w:p>
        </w:tc>
        <w:tc>
          <w:tcPr>
            <w:tcW w:w="1361" w:type="dxa"/>
            <w:tcBorders>
              <w:top w:val="single" w:color="000000" w:sz="4" w:space="0"/>
              <w:left w:val="single" w:color="000000" w:sz="4" w:space="0"/>
              <w:bottom w:val="single" w:color="auto" w:sz="4" w:space="0"/>
              <w:right w:val="single" w:color="000000" w:sz="4" w:space="0"/>
            </w:tcBorders>
            <w:noWrap w:val="0"/>
            <w:vAlign w:val="top"/>
          </w:tcPr>
          <w:p>
            <w:pPr>
              <w:keepNext w:val="0"/>
              <w:keepLines w:val="0"/>
              <w:widowControl/>
              <w:suppressLineNumbers w:val="0"/>
              <w:jc w:val="left"/>
              <w:textAlignment w:val="top"/>
              <w:rPr>
                <w:rFonts w:hint="default" w:ascii="宋体" w:hAnsi="宋体" w:cs="宋体"/>
                <w:i w:val="0"/>
                <w:iCs w:val="0"/>
                <w:color w:val="000000"/>
                <w:sz w:val="16"/>
                <w:szCs w:val="16"/>
                <w:u w:val="none"/>
                <w:lang w:val="en-US" w:eastAsia="zh-CN"/>
              </w:rPr>
            </w:pPr>
            <w:r>
              <w:rPr>
                <w:rFonts w:hint="default" w:ascii="Calibri" w:hAnsi="Calibri" w:eastAsia="宋体" w:cs="Calibri"/>
                <w:i w:val="0"/>
                <w:iCs w:val="0"/>
                <w:color w:val="000000"/>
                <w:kern w:val="0"/>
                <w:sz w:val="22"/>
                <w:szCs w:val="22"/>
                <w:u w:val="none"/>
                <w:lang w:val="en-US" w:eastAsia="zh-CN" w:bidi="ar"/>
              </w:rPr>
              <w:t>= 1 年</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ascii="Calibri" w:hAnsi="Calibri" w:eastAsia="宋体" w:cs="Calibri"/>
                <w:i w:val="0"/>
                <w:iCs w:val="0"/>
                <w:color w:val="000000"/>
                <w:kern w:val="0"/>
                <w:sz w:val="16"/>
                <w:szCs w:val="16"/>
                <w:u w:val="none"/>
                <w:lang w:val="en-US" w:eastAsia="zh-CN" w:bidi="ar"/>
              </w:rPr>
              <w:t>1年</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ascii="Calibri" w:hAnsi="Calibri" w:eastAsia="宋体" w:cs="Calibri"/>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6"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1128"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0分）</w:t>
            </w:r>
          </w:p>
        </w:tc>
        <w:tc>
          <w:tcPr>
            <w:tcW w:w="1133" w:type="dxa"/>
            <w:tcBorders>
              <w:top w:val="single" w:color="000000" w:sz="4" w:space="0"/>
              <w:left w:val="nil"/>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cs="宋体"/>
                <w:i w:val="0"/>
                <w:iCs w:val="0"/>
                <w:color w:val="000000"/>
                <w:sz w:val="16"/>
                <w:szCs w:val="16"/>
                <w:u w:val="none"/>
                <w:lang w:val="en-US" w:eastAsia="zh-CN"/>
              </w:rPr>
            </w:pPr>
            <w:r>
              <w:rPr>
                <w:rFonts w:hint="default" w:ascii="宋体" w:hAnsi="宋体" w:cs="宋体"/>
                <w:i w:val="0"/>
                <w:iCs w:val="0"/>
                <w:color w:val="000000"/>
                <w:sz w:val="16"/>
                <w:szCs w:val="16"/>
                <w:u w:val="none"/>
                <w:lang w:val="en-US" w:eastAsia="zh-CN"/>
              </w:rPr>
              <w:t>服务对象满意度指标</w:t>
            </w:r>
          </w:p>
        </w:tc>
        <w:tc>
          <w:tcPr>
            <w:tcW w:w="2100" w:type="dxa"/>
            <w:gridSpan w:val="2"/>
            <w:tcBorders>
              <w:top w:val="single" w:color="000000" w:sz="4" w:space="0"/>
              <w:left w:val="nil"/>
              <w:bottom w:val="single" w:color="000000" w:sz="4" w:space="0"/>
              <w:right w:val="nil"/>
            </w:tcBorders>
            <w:noWrap w:val="0"/>
            <w:vAlign w:val="top"/>
          </w:tcPr>
          <w:p>
            <w:pPr>
              <w:keepNext w:val="0"/>
              <w:keepLines w:val="0"/>
              <w:widowControl/>
              <w:suppressLineNumbers w:val="0"/>
              <w:jc w:val="left"/>
              <w:textAlignment w:val="top"/>
              <w:rPr>
                <w:rFonts w:hint="eastAsia" w:ascii="宋体" w:hAnsi="宋体" w:cs="宋体"/>
                <w:i w:val="0"/>
                <w:iCs w:val="0"/>
                <w:color w:val="000000"/>
                <w:sz w:val="16"/>
                <w:szCs w:val="16"/>
                <w:u w:val="none"/>
                <w:lang w:val="en-US" w:eastAsia="zh-CN"/>
              </w:rPr>
            </w:pPr>
            <w:r>
              <w:rPr>
                <w:rFonts w:hint="default" w:ascii="Calibri" w:hAnsi="Calibri" w:eastAsia="宋体" w:cs="Calibri"/>
                <w:i w:val="0"/>
                <w:iCs w:val="0"/>
                <w:color w:val="000000"/>
                <w:kern w:val="0"/>
                <w:sz w:val="22"/>
                <w:szCs w:val="22"/>
                <w:u w:val="none"/>
                <w:lang w:val="en-US" w:eastAsia="zh-CN" w:bidi="ar"/>
              </w:rPr>
              <w:t>受益的未成年人满意度</w:t>
            </w:r>
          </w:p>
        </w:tc>
        <w:tc>
          <w:tcPr>
            <w:tcW w:w="1361" w:type="dxa"/>
            <w:tcBorders>
              <w:top w:val="single" w:color="auto"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left"/>
              <w:textAlignment w:val="top"/>
              <w:rPr>
                <w:rFonts w:hint="default" w:ascii="宋体" w:hAnsi="宋体" w:cs="宋体"/>
                <w:i w:val="0"/>
                <w:iCs w:val="0"/>
                <w:color w:val="000000"/>
                <w:sz w:val="16"/>
                <w:szCs w:val="16"/>
                <w:u w:val="none"/>
                <w:lang w:val="en-US" w:eastAsia="zh-CN"/>
              </w:rPr>
            </w:pPr>
            <w:r>
              <w:rPr>
                <w:rFonts w:hint="default" w:ascii="Calibri" w:hAnsi="Calibri" w:eastAsia="宋体" w:cs="Calibri"/>
                <w:i w:val="0"/>
                <w:iCs w:val="0"/>
                <w:color w:val="000000"/>
                <w:kern w:val="0"/>
                <w:sz w:val="22"/>
                <w:szCs w:val="22"/>
                <w:u w:val="none"/>
                <w:lang w:val="en-US" w:eastAsia="zh-CN" w:bidi="ar"/>
              </w:rPr>
              <w:t>≥ 95 %</w:t>
            </w:r>
          </w:p>
        </w:tc>
        <w:tc>
          <w:tcPr>
            <w:tcW w:w="13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95%</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ascii="Calibri" w:hAnsi="Calibri" w:eastAsia="宋体" w:cs="Calibri"/>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36" w:type="dxa"/>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6"/>
                <w:szCs w:val="16"/>
                <w:u w:val="none"/>
              </w:rPr>
            </w:pPr>
          </w:p>
        </w:tc>
        <w:tc>
          <w:tcPr>
            <w:tcW w:w="7055" w:type="dxa"/>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336" w:type="dxa"/>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21"/>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305" w:type="dxa"/>
            <w:gridSpan w:val="7"/>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无</w:t>
            </w:r>
          </w:p>
        </w:tc>
      </w:tr>
    </w:tbl>
    <w:p>
      <w:pPr>
        <w:widowControl/>
        <w:spacing w:before="0" w:beforeLines="0" w:beforeAutospacing="0" w:after="0" w:afterLines="0" w:afterAutospacing="0" w:line="360" w:lineRule="auto"/>
        <w:jc w:val="left"/>
        <w:rPr>
          <w:rFonts w:ascii="Times New Roman" w:eastAsia="仿宋_GB2312"/>
          <w:b w:val="0"/>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pPr>
        <w:keepNext w:val="0"/>
        <w:keepLines w:val="0"/>
        <w:widowControl/>
        <w:suppressLineNumbers w:val="0"/>
        <w:ind w:firstLine="620" w:firstLineChars="200"/>
        <w:jc w:val="left"/>
        <w:rPr>
          <w:rFonts w:ascii="Times New Roman" w:eastAsia="仿宋_GB2312"/>
          <w:sz w:val="32"/>
          <w:szCs w:val="32"/>
        </w:rPr>
      </w:pPr>
      <w:r>
        <w:rPr>
          <w:rFonts w:ascii="仿宋_GB2312" w:hAnsi="仿宋_GB2312" w:eastAsia="仿宋_GB2312" w:cs="仿宋_GB2312"/>
          <w:color w:val="000000"/>
          <w:kern w:val="0"/>
          <w:sz w:val="31"/>
          <w:szCs w:val="31"/>
          <w:lang w:val="en-US" w:eastAsia="zh-CN" w:bidi="ar"/>
        </w:rPr>
        <w:t>202</w:t>
      </w:r>
      <w:r>
        <w:rPr>
          <w:rFonts w:hint="eastAsia" w:ascii="仿宋_GB2312" w:hAnsi="仿宋_GB2312" w:eastAsia="仿宋_GB2312" w:cs="仿宋_GB2312"/>
          <w:color w:val="000000"/>
          <w:kern w:val="0"/>
          <w:sz w:val="31"/>
          <w:szCs w:val="31"/>
          <w:lang w:val="en-US" w:eastAsia="zh-CN" w:bidi="ar"/>
        </w:rPr>
        <w:t>4</w:t>
      </w:r>
      <w:r>
        <w:rPr>
          <w:rFonts w:ascii="仿宋_GB2312" w:hAnsi="仿宋_GB2312" w:eastAsia="仿宋_GB2312" w:cs="仿宋_GB2312"/>
          <w:color w:val="000000"/>
          <w:kern w:val="0"/>
          <w:sz w:val="31"/>
          <w:szCs w:val="31"/>
          <w:lang w:val="en-US" w:eastAsia="zh-CN" w:bidi="ar"/>
        </w:rPr>
        <w:t>年所有预算项目都能够有效及时的完成指标任务，符合本单位工作安排，维护了社会稳定和发展。</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619F962-58F7-4E41-8568-AE55460CAEDC}"/>
  </w:font>
  <w:font w:name="黑体">
    <w:panose1 w:val="02010600030101010101"/>
    <w:charset w:val="86"/>
    <w:family w:val="auto"/>
    <w:pitch w:val="default"/>
    <w:sig w:usb0="800002BF" w:usb1="38CF7CFA" w:usb2="00000016" w:usb3="00000000" w:csb0="00040001" w:csb1="00000000"/>
    <w:embedRegular r:id="rId2" w:fontKey="{07A4F7B9-D452-4C47-BE99-0785020BEE5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4F33E0AC-E8D0-4CC6-8BF4-43DCD8474B1F}"/>
  </w:font>
  <w:font w:name="仿宋">
    <w:panose1 w:val="02010609060101010101"/>
    <w:charset w:val="86"/>
    <w:family w:val="modern"/>
    <w:pitch w:val="default"/>
    <w:sig w:usb0="800002BF" w:usb1="38CF7CFA" w:usb2="00000016" w:usb3="00000000" w:csb0="00040001" w:csb1="00000000"/>
    <w:embedRegular r:id="rId4" w:fontKey="{1BB209FF-345B-4D70-8D7C-908140355999}"/>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方正仿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embedRegular r:id="rId5" w:fontKey="{C35BFEC9-B7CA-417B-81B7-214FF7584279}"/>
  </w:font>
  <w:font w:name="方正小标宋_GBK">
    <w:panose1 w:val="02000000000000000000"/>
    <w:charset w:val="86"/>
    <w:family w:val="script"/>
    <w:pitch w:val="default"/>
    <w:sig w:usb0="A00002BF" w:usb1="38CF7CFA" w:usb2="00082016" w:usb3="00000000" w:csb0="00040001" w:csb1="00000000"/>
    <w:embedRegular r:id="rId6" w:fontKey="{C808D1DF-79FF-42A8-AEA3-CBEC10D88CCD}"/>
  </w:font>
  <w:font w:name="仿宋_GB2312">
    <w:panose1 w:val="02010609030101010101"/>
    <w:charset w:val="86"/>
    <w:family w:val="auto"/>
    <w:pitch w:val="default"/>
    <w:sig w:usb0="00000001" w:usb1="080E0000" w:usb2="00000000" w:usb3="00000000" w:csb0="00040000" w:csb1="00000000"/>
    <w:embedRegular r:id="rId7" w:fontKey="{6194C2DF-4251-44B7-9EFE-9A5B989CDBA7}"/>
  </w:font>
  <w:font w:name="ArialUnicodeMS">
    <w:altName w:val="Malgun Gothic"/>
    <w:panose1 w:val="00000000000000000000"/>
    <w:charset w:val="81"/>
    <w:family w:val="auto"/>
    <w:pitch w:val="default"/>
    <w:sig w:usb0="00000000" w:usb1="00000000" w:usb2="00000010" w:usb3="00000000" w:csb0="00080001" w:csb1="00000000"/>
    <w:embedRegular r:id="rId8" w:fontKey="{D55D8CB1-CD89-4C80-B763-117600480E5F}"/>
  </w:font>
  <w:font w:name="方正仿宋_GB2312">
    <w:altName w:val="仿宋"/>
    <w:panose1 w:val="02000000000000000000"/>
    <w:charset w:val="86"/>
    <w:family w:val="auto"/>
    <w:pitch w:val="default"/>
    <w:sig w:usb0="00000000" w:usb1="00000000" w:usb2="00000012" w:usb3="00000000" w:csb0="00040001" w:csb1="00000000"/>
    <w:embedRegular r:id="rId9" w:fontKey="{9576E97A-3EB0-433B-AC67-A88C7FDF9571}"/>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center"/>
    </w:pPr>
  </w:p>
  <w:p>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4"/>
      <w:lvlText w:val="%1."/>
      <w:lvlJc w:val="left"/>
      <w:pPr>
        <w:ind w:left="425" w:hanging="425"/>
      </w:pPr>
      <w:rPr>
        <w:rFonts w:hint="default"/>
      </w:rPr>
    </w:lvl>
    <w:lvl w:ilvl="1" w:tentative="0">
      <w:start w:val="1"/>
      <w:numFmt w:val="decimal"/>
      <w:pStyle w:val="5"/>
      <w:lvlText w:val="%1.%2."/>
      <w:lvlJc w:val="left"/>
      <w:pPr>
        <w:ind w:left="567" w:hanging="567"/>
      </w:pPr>
      <w:rPr>
        <w:rFonts w:hint="default"/>
      </w:rPr>
    </w:lvl>
    <w:lvl w:ilvl="2" w:tentative="0">
      <w:start w:val="1"/>
      <w:numFmt w:val="decimal"/>
      <w:pStyle w:val="6"/>
      <w:lvlText w:val="%1.%2.%3."/>
      <w:lvlJc w:val="left"/>
      <w:pPr>
        <w:ind w:left="709" w:hanging="709"/>
      </w:pPr>
      <w:rPr>
        <w:rFonts w:hint="default"/>
      </w:rPr>
    </w:lvl>
    <w:lvl w:ilvl="3" w:tentative="0">
      <w:start w:val="1"/>
      <w:numFmt w:val="decimal"/>
      <w:pStyle w:val="7"/>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5D68B5"/>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956A80"/>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3F1626"/>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94327A"/>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20ADF"/>
    <w:rsid w:val="301430AF"/>
    <w:rsid w:val="30630612"/>
    <w:rsid w:val="308E59B0"/>
    <w:rsid w:val="30B10568"/>
    <w:rsid w:val="30E55DD3"/>
    <w:rsid w:val="30E60399"/>
    <w:rsid w:val="31356AA5"/>
    <w:rsid w:val="313E22F0"/>
    <w:rsid w:val="315E77E4"/>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A56E51"/>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5B3862"/>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7E462D9"/>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4">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5">
    <w:name w:val="heading 2"/>
    <w:basedOn w:val="1"/>
    <w:next w:val="1"/>
    <w:link w:val="17"/>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6">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7">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pPr>
    <w:rPr>
      <w:rFonts w:ascii="Times New Roman" w:hAnsi="Times New Roman" w:eastAsia="宋体" w:cs="Times New Roman"/>
    </w:rPr>
  </w:style>
  <w:style w:type="paragraph" w:styleId="3">
    <w:name w:val="Body Text Indent"/>
    <w:basedOn w:val="1"/>
    <w:unhideWhenUsed/>
    <w:qFormat/>
    <w:uiPriority w:val="99"/>
    <w:pPr>
      <w:spacing w:line="360" w:lineRule="auto"/>
      <w:ind w:firstLine="200" w:firstLineChars="200"/>
      <w:textAlignment w:val="baseline"/>
    </w:pPr>
    <w:rPr>
      <w:rFonts w:hint="eastAsia" w:ascii="Times New Roman" w:hAnsi="Times New Roman" w:eastAsia="宋体" w:cs="Times New Roman"/>
      <w:sz w:val="24"/>
    </w:rPr>
  </w:style>
  <w:style w:type="paragraph" w:styleId="8">
    <w:name w:val="annotation text"/>
    <w:basedOn w:val="1"/>
    <w:semiHidden/>
    <w:unhideWhenUsed/>
    <w:qFormat/>
    <w:uiPriority w:val="99"/>
    <w:pPr>
      <w:jc w:val="left"/>
    </w:pPr>
  </w:style>
  <w:style w:type="paragraph" w:styleId="9">
    <w:name w:val="Balloon Text"/>
    <w:basedOn w:val="1"/>
    <w:link w:val="26"/>
    <w:unhideWhenUsed/>
    <w:qFormat/>
    <w:uiPriority w:val="99"/>
    <w:rPr>
      <w:rFonts w:cstheme="minorBidi"/>
      <w:kern w:val="2"/>
      <w:sz w:val="18"/>
      <w:szCs w:val="18"/>
    </w:rPr>
  </w:style>
  <w:style w:type="paragraph" w:styleId="10">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1">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2">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uiPriority w:val="22"/>
    <w:rPr>
      <w:b/>
    </w:rPr>
  </w:style>
  <w:style w:type="character" w:customStyle="1" w:styleId="17">
    <w:name w:val="标题 2 Char"/>
    <w:link w:val="5"/>
    <w:qFormat/>
    <w:uiPriority w:val="0"/>
    <w:rPr>
      <w:rFonts w:ascii="Calibri Light" w:hAnsi="Calibri Light" w:eastAsia="宋体" w:cs="Times New Roman"/>
      <w:b/>
      <w:bCs/>
      <w:sz w:val="28"/>
      <w:szCs w:val="32"/>
    </w:rPr>
  </w:style>
  <w:style w:type="character" w:customStyle="1" w:styleId="18">
    <w:name w:val="页脚 Char"/>
    <w:basedOn w:val="15"/>
    <w:link w:val="10"/>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5"/>
    <w:link w:val="11"/>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5"/>
    <w:link w:val="9"/>
    <w:semiHidden/>
    <w:qFormat/>
    <w:uiPriority w:val="99"/>
    <w:rPr>
      <w:rFonts w:asciiTheme="minorHAnsi" w:hAnsiTheme="minorHAnsi" w:eastAsiaTheme="minorEastAsia" w:cstheme="minorBidi"/>
      <w:sz w:val="18"/>
      <w:szCs w:val="18"/>
      <w:lang w:val="en-US" w:eastAsia="zh-CN" w:bidi="ar-SA"/>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28">
    <w:name w:val="font111"/>
    <w:basedOn w:val="15"/>
    <w:qFormat/>
    <w:uiPriority w:val="0"/>
    <w:rPr>
      <w:rFonts w:hint="eastAsia" w:ascii="宋体" w:hAnsi="宋体" w:eastAsia="宋体" w:cs="宋体"/>
      <w:color w:val="000000"/>
      <w:sz w:val="21"/>
      <w:szCs w:val="21"/>
      <w:u w:val="none"/>
    </w:rPr>
  </w:style>
  <w:style w:type="character" w:customStyle="1" w:styleId="29">
    <w:name w:val="font12"/>
    <w:basedOn w:val="15"/>
    <w:qFormat/>
    <w:uiPriority w:val="0"/>
    <w:rPr>
      <w:rFonts w:hint="default" w:ascii="Calibri" w:hAnsi="Calibri" w:cs="Calibri"/>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chart" Target="charts/chart6.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245</c:v>
                </c:pt>
                <c:pt idx="1">
                  <c:v>239.42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2387406.94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1107992.66</c:v>
                </c:pt>
                <c:pt idx="1">
                  <c:v>1286188.42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244.4</c:v>
                </c:pt>
                <c:pt idx="1">
                  <c:v>244.32</c:v>
                </c:pt>
                <c:pt idx="2">
                  <c:v>232.22</c:v>
                </c:pt>
                <c:pt idx="3">
                  <c:v>232.14</c:v>
                </c:pt>
                <c:pt idx="4">
                  <c:v>12.18</c:v>
                </c:pt>
                <c:pt idx="5">
                  <c:v>12.18</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238.74</c:v>
                </c:pt>
                <c:pt idx="1">
                  <c:v>239.42</c:v>
                </c:pt>
                <c:pt idx="2">
                  <c:v>231.74</c:v>
                </c:pt>
                <c:pt idx="3">
                  <c:v>232.42</c:v>
                </c:pt>
                <c:pt idx="4">
                  <c:v>7</c:v>
                </c:pt>
                <c:pt idx="5">
                  <c:v>7</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234.01</c:v>
                </c:pt>
                <c:pt idx="1">
                  <c:v>234.01</c:v>
                </c:pt>
                <c:pt idx="2">
                  <c:v>224.68</c:v>
                </c:pt>
                <c:pt idx="3">
                  <c:v>224.68</c:v>
                </c:pt>
                <c:pt idx="4">
                  <c:v>9.33</c:v>
                </c:pt>
                <c:pt idx="5">
                  <c:v>9.33</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238.74</c:v>
                </c:pt>
                <c:pt idx="1">
                  <c:v>239.42</c:v>
                </c:pt>
                <c:pt idx="2">
                  <c:v>231.74</c:v>
                </c:pt>
                <c:pt idx="3">
                  <c:v>232.42</c:v>
                </c:pt>
                <c:pt idx="4">
                  <c:v>7</c:v>
                </c:pt>
                <c:pt idx="5">
                  <c:v>7</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220.43</c:v>
                </c:pt>
                <c:pt idx="8">
                  <c:v>5.32</c:v>
                </c:pt>
                <c:pt idx="9">
                  <c:v>0</c:v>
                </c:pt>
                <c:pt idx="10">
                  <c:v>0</c:v>
                </c:pt>
                <c:pt idx="11">
                  <c:v>0</c:v>
                </c:pt>
                <c:pt idx="12">
                  <c:v>0</c:v>
                </c:pt>
                <c:pt idx="13">
                  <c:v>0</c:v>
                </c:pt>
                <c:pt idx="14">
                  <c:v>0</c:v>
                </c:pt>
                <c:pt idx="15">
                  <c:v>0</c:v>
                </c:pt>
                <c:pt idx="16">
                  <c:v>0</c:v>
                </c:pt>
                <c:pt idx="17">
                  <c:v>0</c:v>
                </c:pt>
                <c:pt idx="18">
                  <c:v>6.67</c:v>
                </c:pt>
                <c:pt idx="19">
                  <c:v>0</c:v>
                </c:pt>
                <c:pt idx="20">
                  <c:v>0</c:v>
                </c:pt>
                <c:pt idx="21">
                  <c:v>0</c:v>
                </c:pt>
                <c:pt idx="22">
                  <c:v>7</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36</Pages>
  <Words>711</Words>
  <Characters>738</Characters>
  <Lines>86</Lines>
  <Paragraphs>24</Paragraphs>
  <TotalTime>1</TotalTime>
  <ScaleCrop>false</ScaleCrop>
  <LinksUpToDate>false</LinksUpToDate>
  <CharactersWithSpaces>739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2025-09-26T07:38:33Z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3FDF3C7F140844E4A88D6220046F6FB6_13</vt:lpwstr>
  </property>
  <property fmtid="{D5CDD505-2E9C-101B-9397-08002B2CF9AE}" pid="4" name="KSOTemplateUUID">
    <vt:lpwstr>v1.0_mb_S7ajbG3IpAnL1wSthNCxfw==</vt:lpwstr>
  </property>
  <property fmtid="{D5CDD505-2E9C-101B-9397-08002B2CF9AE}" pid="5" name="KSOTemplateDocerSaveRecord">
    <vt:lpwstr>eyJoZGlkIjoiMDA0YmJmZjc5YmQ1MDYyNzhjZmMxNmEyZjdjNzZmM2UiLCJ1c2VySWQiOiIxMDIwMjQwMzk5In0=</vt:lpwstr>
  </property>
</Properties>
</file>