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default" w:ascii="楷体_GB2312" w:hAnsi="楷体_GB2312" w:eastAsia="楷体_GB2312" w:cs="楷体_GB2312"/>
          <w:color w:val="000000"/>
          <w:sz w:val="40"/>
          <w:szCs w:val="40"/>
          <w:lang w:val="en-US"/>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r>
        <w:rPr>
          <w:rFonts w:hint="eastAsia" w:ascii="楷体_GB2312" w:hAnsi="楷体_GB2312" w:eastAsia="楷体_GB2312" w:cs="楷体_GB2312"/>
          <w:color w:val="000000"/>
          <w:sz w:val="40"/>
          <w:szCs w:val="40"/>
          <w:lang w:val="en-US" w:eastAsia="zh-CN"/>
        </w:rPr>
        <w:t xml:space="preserve">       </w: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：中共石家庄市鹿泉区委组织部</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中共石家庄市鹿泉区委组织部</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部门</w:t>
      </w:r>
      <w:r>
        <w:rPr>
          <w:rFonts w:ascii="Times New Roman" w:eastAsia="方正小标宋_GBK"/>
          <w:b w:val="0"/>
          <w:sz w:val="72"/>
          <w:szCs w:val="72"/>
        </w:rPr>
        <w:t>决算</w:t>
      </w:r>
      <w:r>
        <w:rPr>
          <w:rFonts w:hint="eastAsia" w:ascii="Times New Roman" w:eastAsia="方正小标宋_GBK"/>
          <w:b w:val="0"/>
          <w:sz w:val="72"/>
          <w:szCs w:val="72"/>
          <w:lang w:val="en-US" w:eastAsia="zh-CN"/>
        </w:rPr>
        <w:t>公</w:t>
      </w:r>
      <w:r>
        <w:rPr>
          <w:rFonts w:ascii="Times New Roman" w:eastAsia="方正小标宋_GBK"/>
          <w:b w:val="0"/>
          <w:sz w:val="72"/>
          <w:szCs w:val="72"/>
        </w:rPr>
        <w:t>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中共石家庄市鹿泉区委组织部(单位名称，加盖公章）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val="en-US" w:eastAsia="zh-CN"/>
        </w:rPr>
        <w:t>部门</w:t>
      </w:r>
      <w:r>
        <w:rPr>
          <w:rFonts w:ascii="Times New Roman" w:eastAsia="黑体"/>
          <w:b w:val="0"/>
          <w:sz w:val="32"/>
          <w:szCs w:val="32"/>
        </w:rPr>
        <w:t>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val="en-US" w:eastAsia="zh-CN"/>
        </w:rPr>
        <w:t>部门</w:t>
      </w:r>
      <w:r>
        <w:rPr>
          <w:rFonts w:ascii="Times New Roman" w:eastAsia="仿宋_GB2312"/>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部门</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部门</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val="en-US" w:eastAsia="zh-CN"/>
        </w:rPr>
        <w:t>部门</w:t>
      </w:r>
      <w:r>
        <w:rPr>
          <w:rFonts w:ascii="Times New Roman" w:eastAsia="黑体"/>
          <w:b w:val="0"/>
          <w:sz w:val="44"/>
          <w:szCs w:val="44"/>
        </w:rPr>
        <w:t>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部门</w:t>
      </w:r>
      <w:r>
        <w:rPr>
          <w:rFonts w:ascii="Times New Roman" w:eastAsia="黑体"/>
          <w:b w:val="0"/>
          <w:sz w:val="32"/>
          <w:szCs w:val="32"/>
        </w:rPr>
        <w:t>职责</w:t>
      </w:r>
    </w:p>
    <w:p>
      <w:pPr>
        <w:spacing w:line="578" w:lineRule="exact"/>
        <w:ind w:firstLine="640" w:firstLineChars="200"/>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w:t>
      </w:r>
      <w:r>
        <w:rPr>
          <w:rFonts w:hint="eastAsia" w:ascii="宋体" w:hAnsi="宋体" w:eastAsia="仿宋_GB2312" w:cs="仿宋_GB2312"/>
          <w:color w:val="000000"/>
          <w:sz w:val="32"/>
          <w:szCs w:val="32"/>
          <w:lang w:val="en-US" w:eastAsia="zh-CN"/>
        </w:rPr>
        <w:t>席</w:t>
      </w:r>
      <w:bookmarkStart w:id="0" w:name="_GoBack"/>
      <w:bookmarkEnd w:id="0"/>
      <w:r>
        <w:rPr>
          <w:rFonts w:hint="eastAsia" w:ascii="宋体" w:hAnsi="宋体" w:eastAsia="仿宋_GB2312" w:cs="仿宋_GB2312"/>
          <w:color w:val="000000"/>
          <w:sz w:val="32"/>
          <w:szCs w:val="32"/>
        </w:rPr>
        <w:t>会议”牵头抓总工作。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color w:val="000000"/>
          <w:sz w:val="32"/>
          <w:szCs w:val="32"/>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w:t>
      </w:r>
      <w:r>
        <w:rPr>
          <w:rFonts w:hint="eastAsia" w:ascii="宋体" w:hAnsi="宋体" w:eastAsia="仿宋_GB2312" w:cs="仿宋_GB2312"/>
          <w:sz w:val="32"/>
          <w:szCs w:val="32"/>
          <w:lang w:val="zh-CN"/>
        </w:rPr>
        <w:t>负责谋划指导和组织推动全区抓党建促脱贫攻坚工作；承担区委非公有制经济组织和社会组织工作委员会职责。</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u w:val="single"/>
        </w:rPr>
      </w:pPr>
      <w:r>
        <w:rPr>
          <w:rFonts w:hint="eastAsia" w:ascii="宋体" w:hAnsi="宋体" w:eastAsia="仿宋_GB2312" w:cs="仿宋_GB2312"/>
          <w:spacing w:val="0"/>
          <w:sz w:val="32"/>
          <w:szCs w:val="32"/>
          <w:lang w:val="zh-CN"/>
        </w:rPr>
        <w:t>（三）负责乡局级领导班子和干部队伍建设的宏观管理。研究提出领导班子和领导干部队伍建设规划以及干部管理体制的建议，指导领导班子思想作风建设</w:t>
      </w:r>
      <w:r>
        <w:rPr>
          <w:rFonts w:hint="eastAsia" w:ascii="宋体" w:hAnsi="宋体" w:eastAsia="仿宋_GB2312" w:cs="仿宋_GB2312"/>
          <w:spacing w:val="0"/>
          <w:sz w:val="32"/>
          <w:szCs w:val="32"/>
        </w:rPr>
        <w:t>；负责提出各乡（镇、区）</w:t>
      </w:r>
      <w:r>
        <w:rPr>
          <w:rFonts w:hint="eastAsia" w:ascii="宋体" w:hAnsi="宋体" w:eastAsia="仿宋_GB2312" w:cs="仿宋_GB2312"/>
          <w:spacing w:val="0"/>
          <w:sz w:val="32"/>
          <w:szCs w:val="32"/>
          <w:lang w:val="zh-CN"/>
        </w:rPr>
        <w:t>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w:t>
      </w:r>
      <w:r>
        <w:rPr>
          <w:rFonts w:hint="eastAsia" w:ascii="宋体" w:hAnsi="宋体" w:eastAsia="仿宋_GB2312" w:cs="仿宋_GB2312"/>
          <w:spacing w:val="0"/>
          <w:sz w:val="32"/>
          <w:szCs w:val="32"/>
        </w:rPr>
        <w:t>各乡（镇、区）</w:t>
      </w:r>
      <w:r>
        <w:rPr>
          <w:rFonts w:hint="eastAsia" w:ascii="宋体" w:hAnsi="宋体" w:eastAsia="仿宋_GB2312" w:cs="仿宋_GB2312"/>
          <w:spacing w:val="0"/>
          <w:sz w:val="32"/>
          <w:szCs w:val="32"/>
          <w:lang w:val="zh-CN"/>
        </w:rPr>
        <w:t>和区直</w:t>
      </w:r>
      <w:r>
        <w:rPr>
          <w:rFonts w:hint="eastAsia" w:ascii="宋体" w:hAnsi="宋体" w:eastAsia="仿宋_GB2312" w:cs="仿宋_GB2312"/>
          <w:spacing w:val="0"/>
          <w:sz w:val="32"/>
          <w:szCs w:val="32"/>
        </w:rPr>
        <w:t>部门</w:t>
      </w:r>
      <w:r>
        <w:rPr>
          <w:rFonts w:hint="eastAsia" w:ascii="宋体" w:hAnsi="宋体" w:eastAsia="仿宋_GB2312" w:cs="仿宋_GB2312"/>
          <w:spacing w:val="0"/>
          <w:sz w:val="32"/>
          <w:szCs w:val="32"/>
          <w:lang w:val="zh-CN"/>
        </w:rPr>
        <w:t>股级干部的选任（备案审批）和日常监督管理工作；负责全区干部档案管理工作；负责省派选调生、大学生村官的培养、使用和管理；承办有关干部的调配、交流安置事宜。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w:t>
      </w:r>
      <w:r>
        <w:rPr>
          <w:rFonts w:hint="eastAsia" w:ascii="宋体" w:hAnsi="宋体" w:eastAsia="仿宋_GB2312" w:cs="仿宋_GB2312"/>
          <w:sz w:val="32"/>
          <w:szCs w:val="32"/>
          <w:lang w:val="zh-CN"/>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w:t>
      </w:r>
      <w:r>
        <w:rPr>
          <w:rFonts w:hint="eastAsia" w:ascii="宋体" w:hAnsi="宋体" w:eastAsia="仿宋_GB2312" w:cs="仿宋_GB2312"/>
          <w:sz w:val="32"/>
          <w:szCs w:val="32"/>
        </w:rPr>
        <w:t>负责全区干部考核工作，组织实施对区委管理领导班子和领导干部的考核工作，负责全区机关目标绩效管理，组织实施区级机关职能绩效目标考核；承担区委干部考核委员会日常工作。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（五）负责公务员、参照公务员法管理事业单位工作人员录用调配、考核奖惩、培训和工资福利等工作；研究拟订公务员管理办法并组织实施；指导全区公务员、参照公务员法管理事业单位工作人员队伍建设。</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rPr>
        <w:t>（六）负责全区人才工作和人才队伍建设的牵头抓总、统筹协调、推进落实；负责做好省管优秀专家、市管拔尖人才等重点人才推荐申报、</w:t>
      </w:r>
      <w:r>
        <w:rPr>
          <w:rFonts w:hint="eastAsia" w:ascii="宋体" w:hAnsi="宋体" w:eastAsia="仿宋_GB2312" w:cs="仿宋_GB2312"/>
          <w:sz w:val="32"/>
          <w:szCs w:val="32"/>
          <w:lang w:val="zh-CN"/>
        </w:rPr>
        <w:t>联系服务工作；负责区管拔尖人才的选拔管理；承担区委人才工作领导小组办公室日常工作。</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lang w:val="zh-CN"/>
        </w:rPr>
        <w:t>（七）负责组织系统新闻宣传、信息化建设和组织史征编工作。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val="zh-CN"/>
        </w:rPr>
        <w:t>（八）负责全区组织工作的检查督促，及时向区委反映重要情况并提出建议</w:t>
      </w:r>
      <w:r>
        <w:rPr>
          <w:rFonts w:hint="eastAsia" w:ascii="宋体" w:hAnsi="宋体" w:eastAsia="仿宋_GB2312" w:cs="仿宋_GB2312"/>
          <w:sz w:val="32"/>
          <w:szCs w:val="32"/>
        </w:rPr>
        <w:t>。</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（九）统一管理区委机构编制委员会办公室，归口管理区委老干部局。</w:t>
      </w:r>
    </w:p>
    <w:p>
      <w:pPr>
        <w:pStyle w:val="25"/>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（十）完成区委交办的其他任务。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中共石家庄市鹿泉区委组织部</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bl>
    <w:p>
      <w:pPr>
        <w:widowControl/>
        <w:spacing w:before="0" w:beforeLines="0" w:beforeAutospacing="0" w:after="0" w:afterLines="0" w:afterAutospacing="0" w:line="360" w:lineRule="auto"/>
        <w:ind w:firstLine="640" w:firstLineChars="200"/>
        <w:jc w:val="left"/>
        <w:rPr>
          <w:rFonts w:ascii="Times New Roman" w:eastAsia="黑体"/>
          <w:b w:val="0"/>
          <w:sz w:val="44"/>
          <w:szCs w:val="44"/>
        </w:rPr>
      </w:pPr>
      <w:r>
        <w:rPr>
          <w:rFonts w:hint="eastAsia" w:ascii="Times New Roman" w:eastAsia="仿宋_GB2312"/>
          <w:b w:val="0"/>
          <w:sz w:val="32"/>
          <w:szCs w:val="32"/>
        </w:rPr>
        <w:t>我部门无二级预算单位，因此中共石家庄市</w:t>
      </w:r>
      <w:r>
        <w:rPr>
          <w:rFonts w:hint="eastAsia" w:ascii="Times New Roman" w:eastAsia="仿宋_GB2312"/>
          <w:b w:val="0"/>
          <w:sz w:val="32"/>
          <w:szCs w:val="32"/>
          <w:lang w:val="en-US" w:eastAsia="zh-CN"/>
        </w:rPr>
        <w:t>鹿泉区</w:t>
      </w:r>
      <w:r>
        <w:rPr>
          <w:rFonts w:hint="eastAsia" w:ascii="Times New Roman" w:eastAsia="仿宋_GB2312"/>
          <w:b w:val="0"/>
          <w:sz w:val="32"/>
          <w:szCs w:val="32"/>
        </w:rPr>
        <w:t>委组织部2024年度部门决算即中共石家庄市</w:t>
      </w:r>
      <w:r>
        <w:rPr>
          <w:rFonts w:hint="eastAsia" w:ascii="Times New Roman" w:eastAsia="仿宋_GB2312"/>
          <w:b w:val="0"/>
          <w:sz w:val="32"/>
          <w:szCs w:val="32"/>
          <w:lang w:val="en-US" w:eastAsia="zh-CN"/>
        </w:rPr>
        <w:t>鹿泉区</w:t>
      </w:r>
      <w:r>
        <w:rPr>
          <w:rFonts w:hint="eastAsia" w:ascii="Times New Roman" w:eastAsia="仿宋_GB2312"/>
          <w:b w:val="0"/>
          <w:sz w:val="32"/>
          <w:szCs w:val="32"/>
        </w:rPr>
        <w:t>委组织部本级2024年度决算。</w:t>
      </w: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部门</w:t>
      </w:r>
      <w:r>
        <w:rPr>
          <w:rFonts w:ascii="Times New Roman" w:eastAsia="黑体"/>
          <w:b w:val="0"/>
          <w:sz w:val="44"/>
          <w:szCs w:val="44"/>
        </w:rPr>
        <w:t>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部门（单位）：中共石家庄市鹿泉区委组织部</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7,169.57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12,951.25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12,936.25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7,154.57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7,154.57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6,562.75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6,562.75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对高校毕业生到基层任职补助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5,568.58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12,951.25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765.42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12,185.83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6,577.75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6,577.75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7,154.57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7,154.57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5,600.94</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12,936.25</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39"/>
        <w:gridCol w:w="3235"/>
        <w:gridCol w:w="1061"/>
        <w:gridCol w:w="499"/>
        <w:gridCol w:w="522"/>
        <w:gridCol w:w="360"/>
        <w:gridCol w:w="11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6135"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编制部门（单位）：中共石家庄市鹿泉区委组织部(本级)</w:t>
            </w:r>
          </w:p>
        </w:tc>
        <w:tc>
          <w:tcPr>
            <w:tcW w:w="102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41"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623"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2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56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82"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8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8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2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6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8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2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6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8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18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7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12,936.25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765.42</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12,170.83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7,154.57</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7,154.57</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6,562.75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68.91</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59.08</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43.63</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5,568.58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2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56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88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61.05</w:t>
            </w:r>
          </w:p>
        </w:tc>
        <w:tc>
          <w:tcPr>
            <w:tcW w:w="11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部门（单位）：中共石家庄市鹿泉区委组织部(本级)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642.72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150.45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12.82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119.75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132.36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59.08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43.63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61.06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37.28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660.97</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部门（单位）：中共石家庄市鹿泉区委组织部(本级)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部门（单位）：中共石家庄市鹿泉区委组织部(本级)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部门（单位）：中共石家庄市鹿泉区委组织部(本级)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1.25</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4.90</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3.65</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2024年度收、支总计（含结转和结余）均为12,951.25万元。与2023年度决算相比，收支各增加2,713.78万元，增长26.5%，主要原因是</w:t>
      </w:r>
      <w:r>
        <w:rPr>
          <w:rFonts w:hint="eastAsia" w:ascii="Times New Roman" w:eastAsia="仿宋_GB2312"/>
          <w:b w:val="0"/>
          <w:sz w:val="32"/>
          <w:szCs w:val="32"/>
          <w:lang w:val="en-US" w:eastAsia="zh-CN"/>
        </w:rPr>
        <w:t>人数变化导致</w:t>
      </w:r>
      <w:r>
        <w:rPr>
          <w:rFonts w:ascii="Times New Roman" w:eastAsia="仿宋_GB2312"/>
          <w:b w:val="0"/>
          <w:sz w:val="32"/>
          <w:szCs w:val="32"/>
        </w:rPr>
        <w:t>人才绿卡补贴增加，村干部好青年基础职务补贴增加，社区工作者工资增加。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本年收入合计12,951.25万元，其中：财政拨款收入12,936.25万元，占99.9%；上级补助收入0.00万元，占0.0%；事业收入0.00万元，占0.0%；经营收入0.00万元，占0.0%；附属单位上缴收入0.00万元，占0.0%；其他收入15.00万元，占0.1%。</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2024年度本年支出合计12,951.25万元，其中：基本支出765.42万元，占5.9%；项目支出12,185.83万元，占94.1%；上缴上级支出0.00万元，占0.0%；经营支出0.00万元，占0.0%；对附属单位补助支出0.00万元，占0.0%。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财政拨款收、支总计（含结转和结余）均为12,936.25万元。与2023年度相比，财政拨款收支各增加2,711.21万元，增长26.5%，主要原因是人才绿卡补贴增加，村干部好青年基础职务补贴增加，社区工作者工资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2024年度财政拨款本年收入12,936.25万元,比上年增加2,711.21万元，增长26.5%，主要原因是</w:t>
      </w:r>
      <w:r>
        <w:rPr>
          <w:rFonts w:hint="eastAsia" w:ascii="Times New Roman" w:eastAsia="仿宋_GB2312"/>
          <w:b w:val="0"/>
          <w:sz w:val="32"/>
          <w:szCs w:val="32"/>
          <w:lang w:val="en-US" w:eastAsia="zh-CN"/>
        </w:rPr>
        <w:t>人数增加导致</w:t>
      </w:r>
      <w:r>
        <w:rPr>
          <w:rFonts w:ascii="Times New Roman" w:eastAsia="仿宋_GB2312"/>
          <w:b w:val="0"/>
          <w:sz w:val="32"/>
          <w:szCs w:val="32"/>
        </w:rPr>
        <w:t>人才绿卡补贴增加，村干部好青年基础职务补贴增加，社区工作者工资增加；本年支出12,936.25万元，比上年增加2,711.21万元，增长26.5%，主要原因是人才绿卡补贴增加，村干部好青年基础职务补贴增加，社区工作者工资增加。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12,936.25万元,比上年增加2,711.21万元，增长26.5%，主要原因是人才绿卡补贴增加，村干部好青年基础职务补贴增加，社区工作者工资增加；本年支出12,936.25万元，比上年增加2,711.21万元，增长26.5%，主要原因是人才绿卡补贴增加，村干部好青年基础职务补贴增加，社区工作者工资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2024年度财政拨款本年收入12,936.25万元，完成年初预算的98.6%，比年初预算减少178.59万元，决算数小于预算数主要原因是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 ；本年支出12,936.25万元，完成年初预算的98.6%，比年初预算减少178.59万元，决算数小于预算数主要原因是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 。具体情况如下：</w:t>
      </w:r>
    </w:p>
    <w:p>
      <w:pPr>
        <w:widowControl/>
        <w:spacing w:before="0" w:beforeLines="0" w:beforeAutospacing="0" w:after="0" w:afterLines="0" w:afterAutospacing="0" w:line="360" w:lineRule="auto"/>
        <w:ind w:firstLine="640" w:firstLineChars="200"/>
        <w:jc w:val="left"/>
        <w:rPr>
          <w:rFonts w:hint="default" w:ascii="Times New Roman" w:hAnsi="Times New Roman" w:eastAsia="Arial" w:cs="Times New Roman"/>
          <w:highlight w:val="none"/>
        </w:rPr>
      </w:pPr>
      <w:r>
        <w:rPr>
          <w:rFonts w:ascii="Times New Roman" w:eastAsia="仿宋_GB2312"/>
          <w:b w:val="0"/>
          <w:sz w:val="32"/>
          <w:szCs w:val="32"/>
        </w:rPr>
        <w:t>1. 一般公共预算财政拨款本年收入完成年初预算的98.6%，比年初预算减少178.59万元，主要原因是；支出完成年初预算的98.6%，比年初预算减少178.59万元，主要原因是</w:t>
      </w:r>
      <w:r>
        <w:rPr>
          <w:rFonts w:hint="eastAsia" w:ascii="Times New Roman" w:eastAsia="仿宋_GB2312"/>
          <w:b w:val="0"/>
          <w:sz w:val="32"/>
          <w:szCs w:val="32"/>
          <w:lang w:val="en-US" w:eastAsia="zh-CN"/>
        </w:rPr>
        <w:t>村级党组织活动经费和社区工作经费转及部分项目结转至下一年度支付</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2024年度财政拨款支出12,936.25万元，主要用于以下方面：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一般公共服务（类）支出7,154.57万元，占55.3%，主要用于</w:t>
      </w:r>
      <w:r>
        <w:rPr>
          <w:rFonts w:hint="eastAsia" w:ascii="Times New Roman" w:eastAsia="仿宋_GB2312"/>
          <w:b w:val="0"/>
          <w:sz w:val="32"/>
          <w:szCs w:val="32"/>
          <w:lang w:val="en-US" w:eastAsia="zh-CN"/>
        </w:rPr>
        <w:t>人才工作经费房租补贴、社区工作者工资、社区工作经费</w:t>
      </w:r>
      <w:r>
        <w:rPr>
          <w:rFonts w:ascii="Times New Roman" w:eastAsia="仿宋_GB2312"/>
          <w:b w:val="0"/>
          <w:sz w:val="32"/>
          <w:szCs w:val="32"/>
        </w:rPr>
        <w:t>等支出；社会保障和就业 （类）支出76.05万元，占0.6%，主要用于</w:t>
      </w:r>
      <w:r>
        <w:rPr>
          <w:rFonts w:hint="eastAsia" w:ascii="Times New Roman" w:eastAsia="仿宋_GB2312"/>
          <w:b w:val="0"/>
          <w:sz w:val="32"/>
          <w:szCs w:val="32"/>
          <w:lang w:val="en-US" w:eastAsia="zh-CN"/>
        </w:rPr>
        <w:t>在职人员养老保险</w:t>
      </w:r>
      <w:r>
        <w:rPr>
          <w:rFonts w:ascii="Times New Roman" w:eastAsia="仿宋_GB2312"/>
          <w:b w:val="0"/>
          <w:sz w:val="32"/>
          <w:szCs w:val="32"/>
        </w:rPr>
        <w:t>等支出；卫生健康（类）支出43.63万元，占0.3%，主要用于</w:t>
      </w:r>
      <w:r>
        <w:rPr>
          <w:rFonts w:hint="eastAsia" w:ascii="Times New Roman" w:eastAsia="仿宋_GB2312"/>
          <w:b w:val="0"/>
          <w:sz w:val="32"/>
          <w:szCs w:val="32"/>
          <w:lang w:val="en-US" w:eastAsia="zh-CN"/>
        </w:rPr>
        <w:t>在职人员医疗保险</w:t>
      </w:r>
      <w:r>
        <w:rPr>
          <w:rFonts w:ascii="Times New Roman" w:eastAsia="仿宋_GB2312"/>
          <w:b w:val="0"/>
          <w:sz w:val="32"/>
          <w:szCs w:val="32"/>
        </w:rPr>
        <w:t>等支出；农林水（类）支出5,600.94万元，占43.3%，主要用于</w:t>
      </w:r>
      <w:r>
        <w:rPr>
          <w:rFonts w:hint="eastAsia" w:ascii="Times New Roman" w:eastAsia="仿宋_GB2312"/>
          <w:b w:val="0"/>
          <w:sz w:val="32"/>
          <w:szCs w:val="32"/>
          <w:lang w:val="en-US" w:eastAsia="zh-CN"/>
        </w:rPr>
        <w:t>农村干部好青年职务补贴、村级服务群众经费</w:t>
      </w:r>
      <w:r>
        <w:rPr>
          <w:rFonts w:ascii="Times New Roman" w:eastAsia="仿宋_GB2312"/>
          <w:b w:val="0"/>
          <w:sz w:val="32"/>
          <w:szCs w:val="32"/>
        </w:rPr>
        <w:t>等支出；住房保障（类）支出61.05万元，占0.5%，主要用于</w:t>
      </w:r>
      <w:r>
        <w:rPr>
          <w:rFonts w:hint="eastAsia" w:ascii="Times New Roman" w:eastAsia="仿宋_GB2312"/>
          <w:b w:val="0"/>
          <w:sz w:val="32"/>
          <w:szCs w:val="32"/>
          <w:lang w:val="en-US" w:eastAsia="zh-CN"/>
        </w:rPr>
        <w:t>在职人员住房公积金</w:t>
      </w:r>
      <w:r>
        <w:rPr>
          <w:rFonts w:ascii="Times New Roman" w:eastAsia="仿宋_GB2312"/>
          <w:b w:val="0"/>
          <w:sz w:val="32"/>
          <w:szCs w:val="32"/>
        </w:rPr>
        <w:t>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2024年度财政拨款基本支出765.42万元，其中：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660.97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公用经费104.45万元，主要包括办公费、印刷费、咨询费、手续费、水费、电费、邮电费、取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2024年度“三公”经费财政拨款支出预算为4.90万元，支出决算为4.90万元，完成预算的100.0%，较预算增加0.00万元，增长0.0%，主要原因是</w:t>
      </w:r>
      <w:r>
        <w:rPr>
          <w:rFonts w:hint="eastAsia" w:ascii="Times New Roman" w:eastAsia="仿宋_GB2312"/>
          <w:b w:val="0"/>
          <w:sz w:val="32"/>
          <w:szCs w:val="32"/>
          <w:lang w:val="en-US" w:eastAsia="zh-CN"/>
        </w:rPr>
        <w:t>本年度预算均已支出</w:t>
      </w:r>
      <w:r>
        <w:rPr>
          <w:rFonts w:ascii="Times New Roman" w:eastAsia="仿宋_GB2312"/>
          <w:b w:val="0"/>
          <w:sz w:val="32"/>
          <w:szCs w:val="32"/>
        </w:rPr>
        <w:t>；较2023年度决算减少0.15万元，降低3.0%，主要原因是</w:t>
      </w:r>
      <w:r>
        <w:rPr>
          <w:rFonts w:hint="eastAsia" w:ascii="Times New Roman" w:eastAsia="仿宋_GB2312"/>
          <w:b w:val="0"/>
          <w:sz w:val="32"/>
          <w:szCs w:val="32"/>
          <w:lang w:val="en-US" w:eastAsia="zh-CN"/>
        </w:rPr>
        <w:t>压减了公务接待支出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keepNext w:val="0"/>
        <w:keepLines w:val="0"/>
        <w:widowControl/>
        <w:suppressLineNumbers w:val="0"/>
        <w:jc w:val="left"/>
        <w:rPr>
          <w:rFonts w:ascii="Times New Roman" w:eastAsia="仿宋_GB2312"/>
          <w:sz w:val="32"/>
          <w:szCs w:val="32"/>
        </w:rPr>
      </w:pPr>
      <w:r>
        <w:rPr>
          <w:rFonts w:ascii="Times New Roman" w:eastAsia="楷体_GB2312"/>
          <w:b/>
          <w:sz w:val="32"/>
          <w:szCs w:val="32"/>
        </w:rPr>
        <w:t> 1.因公出国（境）费支出情况。</w:t>
      </w:r>
      <w:r>
        <w:rPr>
          <w:rFonts w:hint="eastAsia" w:ascii="Times New Roman" w:eastAsia="仿宋_GB2312"/>
          <w:b w:val="0"/>
          <w:sz w:val="32"/>
          <w:szCs w:val="32"/>
          <w:lang w:eastAsia="zh-CN"/>
        </w:rPr>
        <w:t>本部门</w:t>
      </w:r>
      <w:r>
        <w:rPr>
          <w:rFonts w:ascii="Times New Roman" w:eastAsia="仿宋_GB2312"/>
          <w:b w:val="0"/>
          <w:sz w:val="32"/>
          <w:szCs w:val="32"/>
        </w:rPr>
        <w:t>2024年度因公出国（境）费支出预算为0.00万元,支出决算0.00万元。完成预算的0.0%。</w:t>
      </w:r>
      <w:r>
        <w:rPr>
          <w:rFonts w:hint="eastAsia" w:ascii="Times New Roman" w:eastAsia="仿宋_GB2312"/>
          <w:b w:val="0"/>
          <w:sz w:val="32"/>
          <w:szCs w:val="32"/>
          <w:lang w:val="en-US" w:eastAsia="zh-CN"/>
        </w:rPr>
        <w:t>因公出国（镜）费支出较预算持平，较上年持平，</w:t>
      </w:r>
      <w:r>
        <w:rPr>
          <w:rFonts w:ascii="Times New Roman" w:eastAsia="仿宋_GB2312"/>
          <w:b w:val="0"/>
          <w:sz w:val="32"/>
          <w:szCs w:val="32"/>
        </w:rPr>
        <w:t>主要原因是</w:t>
      </w:r>
      <w:r>
        <w:rPr>
          <w:rFonts w:ascii="仿宋_GB2312" w:hAnsi="宋体" w:eastAsia="仿宋_GB2312" w:cs="仿宋_GB2312"/>
          <w:color w:val="000000"/>
          <w:kern w:val="0"/>
          <w:sz w:val="31"/>
          <w:szCs w:val="31"/>
          <w:lang w:val="en-US" w:eastAsia="zh-CN" w:bidi="ar"/>
        </w:rPr>
        <w:t>我部门无因公出</w:t>
      </w:r>
      <w:r>
        <w:rPr>
          <w:rFonts w:hint="eastAsia" w:ascii="仿宋_GB2312" w:hAnsi="宋体" w:eastAsia="仿宋_GB2312" w:cs="仿宋_GB2312"/>
          <w:color w:val="000000"/>
          <w:kern w:val="0"/>
          <w:sz w:val="31"/>
          <w:szCs w:val="31"/>
          <w:lang w:val="en-US" w:eastAsia="zh-CN" w:bidi="ar"/>
        </w:rPr>
        <w:t>国支出</w:t>
      </w:r>
      <w:r>
        <w:rPr>
          <w:rFonts w:ascii="Times New Roman" w:eastAsia="仿宋_GB2312"/>
          <w:b w:val="0"/>
          <w:sz w:val="32"/>
          <w:szCs w:val="32"/>
        </w:rPr>
        <w:t>。</w:t>
      </w:r>
      <w:r>
        <w:rPr>
          <w:rFonts w:hint="eastAsia" w:ascii="Times New Roman" w:eastAsia="仿宋_GB2312"/>
          <w:b w:val="0"/>
          <w:sz w:val="32"/>
          <w:szCs w:val="32"/>
        </w:rPr>
        <w:t>无本部门组织及参加其他部门组织的出国（境）团组。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hint="eastAsia" w:ascii="Times New Roman" w:eastAsia="仿宋_GB2312"/>
          <w:b w:val="0"/>
          <w:sz w:val="32"/>
          <w:szCs w:val="32"/>
          <w:lang w:eastAsia="zh-CN"/>
        </w:rPr>
        <w:t>本部门</w:t>
      </w:r>
      <w:r>
        <w:rPr>
          <w:rFonts w:ascii="Times New Roman" w:eastAsia="仿宋_GB2312"/>
          <w:b w:val="0"/>
          <w:sz w:val="32"/>
          <w:szCs w:val="32"/>
        </w:rPr>
        <w:t>2024年度公务用车购置及运行维护费预算为3.65万元，支出决算3.65万元，完成预算的100.0%,较预算增加0.00万元，增长0.0%,主要原因是</w:t>
      </w:r>
      <w:r>
        <w:rPr>
          <w:rFonts w:hint="eastAsia" w:ascii="Times New Roman" w:eastAsia="仿宋_GB2312"/>
          <w:b w:val="0"/>
          <w:sz w:val="32"/>
          <w:szCs w:val="32"/>
          <w:lang w:val="en-US" w:eastAsia="zh-CN"/>
        </w:rPr>
        <w:t>本年度预算均已支付</w:t>
      </w:r>
      <w:r>
        <w:rPr>
          <w:rFonts w:ascii="Times New Roman" w:eastAsia="仿宋_GB2312"/>
          <w:b w:val="0"/>
          <w:sz w:val="32"/>
          <w:szCs w:val="32"/>
        </w:rPr>
        <w:t>；较上年增加0.05万元，增长1.4%,主要原因是</w:t>
      </w:r>
      <w:r>
        <w:rPr>
          <w:rFonts w:hint="eastAsia" w:ascii="Times New Roman" w:eastAsia="仿宋_GB2312"/>
          <w:b w:val="0"/>
          <w:sz w:val="32"/>
          <w:szCs w:val="32"/>
          <w:lang w:val="en-US" w:eastAsia="zh-CN"/>
        </w:rPr>
        <w:t>公车维修费用增加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hint="eastAsia" w:ascii="Times New Roman" w:eastAsia="仿宋_GB2312"/>
          <w:b w:val="0"/>
          <w:sz w:val="32"/>
          <w:szCs w:val="32"/>
          <w:lang w:eastAsia="zh-CN"/>
        </w:rPr>
        <w:t>本部门</w:t>
      </w:r>
      <w:r>
        <w:rPr>
          <w:rFonts w:ascii="Times New Roman" w:eastAsia="仿宋_GB2312"/>
          <w:b w:val="0"/>
          <w:sz w:val="32"/>
          <w:szCs w:val="32"/>
        </w:rPr>
        <w:t>2024年度公务用车购置量0辆，发生“公务用车购置”经费支出0.00 万元。</w:t>
      </w:r>
      <w:r>
        <w:rPr>
          <w:rFonts w:hint="eastAsia" w:ascii="Times New Roman" w:eastAsia="仿宋_GB2312"/>
          <w:b w:val="0"/>
          <w:sz w:val="32"/>
          <w:szCs w:val="32"/>
        </w:rPr>
        <w:t>公务用车购置费支出较预算持平，主要是无公务用车购置预算；较上年持平，主要是无公务用车购置预算。</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公务用车运行维护费支出3.65万元：</w:t>
      </w:r>
      <w:r>
        <w:rPr>
          <w:rFonts w:hint="eastAsia" w:ascii="Times New Roman" w:eastAsia="仿宋_GB2312"/>
          <w:b w:val="0"/>
          <w:sz w:val="32"/>
          <w:szCs w:val="32"/>
          <w:lang w:eastAsia="zh-CN"/>
        </w:rPr>
        <w:t>本部门</w:t>
      </w:r>
      <w:r>
        <w:rPr>
          <w:rFonts w:ascii="Times New Roman" w:eastAsia="仿宋_GB2312"/>
          <w:b w:val="0"/>
          <w:sz w:val="32"/>
          <w:szCs w:val="32"/>
        </w:rPr>
        <w:t>2024年度单位公务用车保有量2辆，发生运行维护费支出3.65万元。公车运行维护费支出较预算增加0.00万元，增长0.0%,主要原因是</w:t>
      </w:r>
      <w:r>
        <w:rPr>
          <w:rFonts w:hint="eastAsia" w:ascii="Times New Roman" w:eastAsia="仿宋_GB2312"/>
          <w:b w:val="0"/>
          <w:sz w:val="32"/>
          <w:szCs w:val="32"/>
        </w:rPr>
        <w:t>本年度预算均已支付</w:t>
      </w:r>
      <w:r>
        <w:rPr>
          <w:rFonts w:ascii="Times New Roman" w:eastAsia="仿宋_GB2312"/>
          <w:b w:val="0"/>
          <w:sz w:val="32"/>
          <w:szCs w:val="32"/>
        </w:rPr>
        <w:t>；较上年增加0.05万元，增长1.4%，主要原因是</w:t>
      </w:r>
      <w:r>
        <w:rPr>
          <w:rFonts w:hint="eastAsia" w:ascii="Times New Roman" w:eastAsia="仿宋_GB2312"/>
          <w:b w:val="0"/>
          <w:sz w:val="32"/>
          <w:szCs w:val="32"/>
          <w:lang w:val="en-US" w:eastAsia="zh-CN"/>
        </w:rPr>
        <w:t>公车维修费用增加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hint="eastAsia" w:ascii="Times New Roman" w:eastAsia="仿宋_GB2312"/>
          <w:b w:val="0"/>
          <w:sz w:val="32"/>
          <w:szCs w:val="32"/>
          <w:lang w:eastAsia="zh-CN"/>
        </w:rPr>
        <w:t>本部门</w:t>
      </w:r>
      <w:r>
        <w:rPr>
          <w:rFonts w:ascii="Times New Roman" w:eastAsia="仿宋_GB2312"/>
          <w:b w:val="0"/>
          <w:sz w:val="32"/>
          <w:szCs w:val="32"/>
        </w:rPr>
        <w:t>2024年度公务接待费支出预算为1.25万元，支出决算1.25万元，完成预算的100.0%。公务接待费支出较预算增加0.00万元，增长0.0%,主要原因是</w:t>
      </w:r>
      <w:r>
        <w:rPr>
          <w:rFonts w:hint="eastAsia" w:ascii="Times New Roman" w:eastAsia="仿宋_GB2312"/>
          <w:b w:val="0"/>
          <w:sz w:val="32"/>
          <w:szCs w:val="32"/>
        </w:rPr>
        <w:t>本年度预算均已支付</w:t>
      </w:r>
      <w:r>
        <w:rPr>
          <w:rFonts w:ascii="Times New Roman" w:eastAsia="仿宋_GB2312"/>
          <w:b w:val="0"/>
          <w:sz w:val="32"/>
          <w:szCs w:val="32"/>
        </w:rPr>
        <w:t>；较上年度减少0.20万元，降低13.8%,主要原因是</w:t>
      </w:r>
      <w:r>
        <w:rPr>
          <w:rFonts w:hint="eastAsia" w:ascii="Times New Roman" w:eastAsia="仿宋_GB2312"/>
          <w:b w:val="0"/>
          <w:sz w:val="32"/>
          <w:szCs w:val="32"/>
          <w:lang w:val="en-US" w:eastAsia="zh-CN"/>
        </w:rPr>
        <w:t>公务接待人次减少</w:t>
      </w:r>
      <w:r>
        <w:rPr>
          <w:rFonts w:ascii="Times New Roman" w:eastAsia="仿宋_GB2312"/>
          <w:b w:val="0"/>
          <w:sz w:val="32"/>
          <w:szCs w:val="32"/>
        </w:rPr>
        <w:t>。本年度</w:t>
      </w:r>
      <w:r>
        <w:rPr>
          <w:rFonts w:ascii="Times New Roman" w:eastAsia="仿宋_GB2312"/>
          <w:b w:val="0"/>
          <w:sz w:val="32"/>
          <w:szCs w:val="32"/>
          <w:highlight w:val="none"/>
        </w:rPr>
        <w:t>共发生公务接待</w:t>
      </w:r>
      <w:r>
        <w:rPr>
          <w:rFonts w:hint="eastAsia" w:ascii="Times New Roman" w:eastAsia="仿宋_GB2312"/>
          <w:b w:val="0"/>
          <w:sz w:val="32"/>
          <w:szCs w:val="32"/>
          <w:highlight w:val="none"/>
          <w:lang w:val="en-US" w:eastAsia="zh-CN"/>
        </w:rPr>
        <w:t>4</w:t>
      </w:r>
      <w:r>
        <w:rPr>
          <w:rFonts w:ascii="Times New Roman" w:eastAsia="仿宋_GB2312"/>
          <w:b w:val="0"/>
          <w:sz w:val="32"/>
          <w:szCs w:val="32"/>
          <w:highlight w:val="none"/>
        </w:rPr>
        <w:t>批次、</w:t>
      </w:r>
      <w:r>
        <w:rPr>
          <w:rFonts w:hint="eastAsia" w:ascii="Times New Roman" w:eastAsia="仿宋_GB2312"/>
          <w:b w:val="0"/>
          <w:sz w:val="32"/>
          <w:szCs w:val="32"/>
          <w:highlight w:val="none"/>
          <w:lang w:val="en-US" w:eastAsia="zh-CN"/>
        </w:rPr>
        <w:t>60</w:t>
      </w:r>
      <w:r>
        <w:rPr>
          <w:rFonts w:ascii="Times New Roman" w:eastAsia="仿宋_GB2312"/>
          <w:b w:val="0"/>
          <w:sz w:val="32"/>
          <w:szCs w:val="32"/>
          <w:highlight w:val="none"/>
        </w:rPr>
        <w:t>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2024年度机关运行经费支出104.45万元，较2023年度减少6.73万元，降低6.1%。主要原因是</w:t>
      </w:r>
      <w:r>
        <w:rPr>
          <w:rFonts w:hint="eastAsia" w:ascii="Times New Roman" w:eastAsia="仿宋_GB2312"/>
          <w:b w:val="0"/>
          <w:sz w:val="32"/>
          <w:szCs w:val="32"/>
        </w:rPr>
        <w:t>人员变动，机关运行费相应减少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2024年度政府采购支出总额19.22万元，从采购类型来看，政府采购货物支出5.00万元、政府采购工程支出0.00万元、政府采购服务支出14.22万元。授予中小企业合同金额19.22万元，占政府采购支出总额的100.0%，其中授予小微企业合同金额19.22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w:t>
      </w:r>
      <w:r>
        <w:rPr>
          <w:rFonts w:hint="eastAsia" w:ascii="Times New Roman" w:eastAsia="仿宋_GB2312"/>
          <w:b w:val="0"/>
          <w:sz w:val="32"/>
          <w:szCs w:val="32"/>
          <w:lang w:eastAsia="zh-CN"/>
        </w:rPr>
        <w:t>本部门</w:t>
      </w:r>
      <w:r>
        <w:rPr>
          <w:rFonts w:ascii="Times New Roman" w:eastAsia="仿宋_GB2312"/>
          <w:b w:val="0"/>
          <w:sz w:val="32"/>
          <w:szCs w:val="32"/>
        </w:rPr>
        <w:t>共有车辆2辆，比上年增加0辆，主要是。其中，副部（省）级及以上领导用车0辆，主要负责人用车0辆，机要通信用车0辆，应急保障用车2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w:t>
      </w:r>
      <w:r>
        <w:rPr>
          <w:rFonts w:hint="eastAsia" w:ascii="Times New Roman" w:eastAsia="仿宋_GB2312"/>
          <w:b w:val="0"/>
          <w:sz w:val="32"/>
          <w:szCs w:val="32"/>
          <w:lang w:eastAsia="zh-CN"/>
        </w:rPr>
        <w:t>本部门</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eastAsia="zh-CN"/>
        </w:rPr>
        <w:t>12170.83</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46</w:t>
      </w:r>
      <w:r>
        <w:rPr>
          <w:rFonts w:ascii="Times New Roman" w:eastAsia="仿宋_GB2312"/>
          <w:b w:val="0"/>
          <w:sz w:val="32"/>
          <w:szCs w:val="32"/>
        </w:rPr>
        <w:t>个，涉及资金</w:t>
      </w:r>
      <w:r>
        <w:rPr>
          <w:rFonts w:hint="eastAsia" w:ascii="Times New Roman" w:eastAsia="仿宋_GB2312"/>
          <w:b w:val="0"/>
          <w:sz w:val="32"/>
          <w:szCs w:val="32"/>
          <w:lang w:eastAsia="zh-CN"/>
        </w:rPr>
        <w:t>12170.83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村干部基础职务补贴、人才绿卡C卡房租补贴、人才绿卡AB卡房租补贴、社区工作者工资</w:t>
      </w:r>
      <w:r>
        <w:rPr>
          <w:rFonts w:ascii="Times New Roman" w:eastAsia="仿宋_GB2312"/>
          <w:b w:val="0"/>
          <w:sz w:val="32"/>
          <w:szCs w:val="32"/>
        </w:rPr>
        <w:t>等</w:t>
      </w:r>
      <w:r>
        <w:rPr>
          <w:rFonts w:hint="eastAsia" w:ascii="Times New Roman" w:eastAsia="仿宋_GB2312"/>
          <w:b w:val="0"/>
          <w:sz w:val="32"/>
          <w:szCs w:val="32"/>
          <w:lang w:val="en-US" w:eastAsia="zh-CN"/>
        </w:rPr>
        <w:t>6</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5277.71</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评价等级为“优”的项目6个，评优率为100%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本部门</w:t>
      </w:r>
      <w:r>
        <w:rPr>
          <w:rFonts w:ascii="Times New Roman" w:eastAsia="仿宋_GB2312"/>
          <w:b w:val="0"/>
          <w:sz w:val="32"/>
          <w:szCs w:val="32"/>
        </w:rPr>
        <w:t>在今年部门决算公开中反映</w:t>
      </w:r>
      <w:r>
        <w:rPr>
          <w:rFonts w:hint="eastAsia" w:ascii="Times New Roman" w:eastAsia="仿宋_GB2312"/>
          <w:b w:val="0"/>
          <w:sz w:val="32"/>
          <w:szCs w:val="32"/>
          <w:lang w:val="en-US" w:eastAsia="zh-CN"/>
        </w:rPr>
        <w:t>村干部基础职务补贴、人才绿卡c卡房租补贴</w:t>
      </w:r>
      <w:r>
        <w:rPr>
          <w:rFonts w:ascii="Times New Roman" w:eastAsia="仿宋_GB2312"/>
          <w:b w:val="0"/>
          <w:sz w:val="32"/>
          <w:szCs w:val="32"/>
        </w:rPr>
        <w:t>等</w:t>
      </w:r>
      <w:r>
        <w:rPr>
          <w:rFonts w:hint="eastAsia" w:ascii="Times New Roman" w:eastAsia="仿宋_GB2312"/>
          <w:b w:val="0"/>
          <w:sz w:val="32"/>
          <w:szCs w:val="32"/>
          <w:lang w:val="en-US" w:eastAsia="zh-CN"/>
        </w:rPr>
        <w:t>46</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详见绩效自评汇总表</w:t>
      </w:r>
      <w:r>
        <w:rPr>
          <w:rFonts w:ascii="Times New Roman" w:eastAsia="仿宋_GB2312"/>
          <w:b w:val="0"/>
          <w:sz w:val="32"/>
          <w:szCs w:val="32"/>
        </w:rPr>
        <w:t>（绩效自评表附后）。全年预算数</w:t>
      </w:r>
      <w:r>
        <w:rPr>
          <w:rFonts w:hint="eastAsia" w:ascii="Times New Roman" w:eastAsia="仿宋_GB2312"/>
          <w:b w:val="0"/>
          <w:sz w:val="32"/>
          <w:szCs w:val="32"/>
          <w:lang w:val="en-US" w:eastAsia="zh-CN"/>
        </w:rPr>
        <w:t>为2199.23</w:t>
      </w:r>
      <w:r>
        <w:rPr>
          <w:rFonts w:ascii="Times New Roman" w:eastAsia="仿宋_GB2312"/>
          <w:b w:val="0"/>
          <w:sz w:val="32"/>
          <w:szCs w:val="32"/>
        </w:rPr>
        <w:t>万元，执行数为</w:t>
      </w:r>
      <w:r>
        <w:rPr>
          <w:rFonts w:hint="eastAsia" w:ascii="Times New Roman" w:eastAsia="仿宋_GB2312"/>
          <w:b w:val="0"/>
          <w:sz w:val="32"/>
          <w:szCs w:val="32"/>
          <w:lang w:eastAsia="zh-CN"/>
        </w:rPr>
        <w:t>12170.83</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99.77</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经费使用符合国家有关制度规定</w:t>
      </w:r>
      <w:r>
        <w:rPr>
          <w:rFonts w:ascii="Times New Roman" w:eastAsia="仿宋_GB2312"/>
          <w:b w:val="0"/>
          <w:sz w:val="32"/>
          <w:szCs w:val="32"/>
        </w:rPr>
        <w:t>；二是</w:t>
      </w:r>
      <w:r>
        <w:rPr>
          <w:rFonts w:hint="eastAsia" w:ascii="Times New Roman" w:eastAsia="仿宋_GB2312"/>
          <w:b w:val="0"/>
          <w:sz w:val="32"/>
          <w:szCs w:val="32"/>
          <w:lang w:val="en-US" w:eastAsia="zh-CN"/>
        </w:rPr>
        <w:t>拨付有完整的审批程序和手续，且已支出到位</w:t>
      </w:r>
      <w:r>
        <w:rPr>
          <w:rFonts w:ascii="Times New Roman" w:eastAsia="仿宋_GB2312"/>
          <w:b w:val="0"/>
          <w:sz w:val="32"/>
          <w:szCs w:val="32"/>
        </w:rPr>
        <w:t>。发现的主要问题及原因是：一是</w:t>
      </w:r>
      <w:r>
        <w:rPr>
          <w:rFonts w:hint="eastAsia" w:ascii="Times New Roman" w:eastAsia="仿宋_GB2312"/>
          <w:b w:val="0"/>
          <w:sz w:val="32"/>
          <w:szCs w:val="32"/>
        </w:rPr>
        <w:t>年初预算不够准确，年中追加预算金额较大</w:t>
      </w:r>
      <w:r>
        <w:rPr>
          <w:rFonts w:ascii="Times New Roman" w:eastAsia="仿宋_GB2312"/>
          <w:b w:val="0"/>
          <w:sz w:val="32"/>
          <w:szCs w:val="32"/>
        </w:rPr>
        <w:t>；二是</w:t>
      </w:r>
      <w:r>
        <w:rPr>
          <w:rFonts w:hint="eastAsia" w:ascii="Times New Roman" w:eastAsia="仿宋_GB2312"/>
          <w:b w:val="0"/>
          <w:sz w:val="32"/>
          <w:szCs w:val="32"/>
        </w:rPr>
        <w:t>绩效监控质量不达标，填报内容简单，对绩效目标偏差问题缺乏有效分析，无法监控绩效目标的实现程度，还有待进一步提升项目科室整体绩效管理理念</w:t>
      </w:r>
      <w:r>
        <w:rPr>
          <w:rFonts w:ascii="Times New Roman" w:eastAsia="仿宋_GB2312"/>
          <w:b w:val="0"/>
          <w:sz w:val="32"/>
          <w:szCs w:val="32"/>
        </w:rPr>
        <w:t>。下一步改进措施：一是</w:t>
      </w:r>
      <w:r>
        <w:rPr>
          <w:rFonts w:hint="eastAsia" w:ascii="Times New Roman" w:eastAsia="仿宋_GB2312"/>
          <w:b w:val="0"/>
          <w:sz w:val="32"/>
          <w:szCs w:val="32"/>
        </w:rPr>
        <w:t>结合上一年度预算执行和本年度预算收支因素，科学、合理地编制本年预算支出，尽可能的缩小预算执行率</w:t>
      </w:r>
      <w:r>
        <w:rPr>
          <w:rFonts w:ascii="Times New Roman" w:eastAsia="仿宋_GB2312"/>
          <w:b w:val="0"/>
          <w:sz w:val="32"/>
          <w:szCs w:val="32"/>
        </w:rPr>
        <w:t>；二是</w:t>
      </w:r>
      <w:r>
        <w:rPr>
          <w:rFonts w:hint="eastAsia" w:ascii="Times New Roman" w:eastAsia="仿宋_GB2312"/>
          <w:b w:val="0"/>
          <w:sz w:val="32"/>
          <w:szCs w:val="32"/>
        </w:rPr>
        <w:t>加强绩效监控，根据监控结果通过中期合理调配资金，增强与各业务股室协调合作，提高项目执行率，提高资金支付效率</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三是管理规范，监督有效。为进一步规范财务管理，严格资金使用程序，健全资金管理制度，定期对资金使用情况进行检查，严格确保项目质量。</w:t>
      </w:r>
    </w:p>
    <w:p>
      <w:pPr>
        <w:widowControl/>
        <w:spacing w:before="0" w:beforeLines="0" w:beforeAutospacing="0" w:after="0" w:afterLines="0" w:afterAutospacing="0" w:line="360" w:lineRule="auto"/>
        <w:ind w:firstLine="720" w:firstLineChars="200"/>
        <w:jc w:val="left"/>
        <w:rPr>
          <w:rFonts w:hint="default" w:ascii="Times New Roman" w:eastAsia="仿宋_GB2312"/>
          <w:b w:val="0"/>
          <w:sz w:val="36"/>
          <w:szCs w:val="36"/>
          <w:lang w:val="en-US" w:eastAsia="zh-CN"/>
        </w:rPr>
      </w:pPr>
      <w:r>
        <w:rPr>
          <w:rFonts w:hint="eastAsia" w:ascii="Times New Roman" w:eastAsia="仿宋_GB2312"/>
          <w:b w:val="0"/>
          <w:sz w:val="36"/>
          <w:szCs w:val="36"/>
          <w:lang w:val="en-US" w:eastAsia="zh-CN"/>
        </w:rPr>
        <w:t>部门</w:t>
      </w:r>
      <w:r>
        <w:rPr>
          <w:rFonts w:hint="default" w:ascii="Times New Roman" w:eastAsia="仿宋_GB2312"/>
          <w:b w:val="0"/>
          <w:sz w:val="36"/>
          <w:szCs w:val="36"/>
          <w:lang w:val="en-US" w:eastAsia="zh-CN"/>
        </w:rPr>
        <w:t>绩效自评结果公开汇总表</w:t>
      </w:r>
    </w:p>
    <w:tbl>
      <w:tblPr>
        <w:tblStyle w:val="11"/>
        <w:tblW w:w="95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50"/>
        <w:gridCol w:w="1504"/>
        <w:gridCol w:w="1348"/>
        <w:gridCol w:w="1536"/>
        <w:gridCol w:w="1536"/>
        <w:gridCol w:w="1176"/>
        <w:gridCol w:w="1003"/>
        <w:gridCol w:w="902"/>
      </w:tblGrid>
      <w:tr>
        <w:tblPrEx>
          <w:shd w:val="clear" w:color="auto" w:fill="auto"/>
          <w:tblLayout w:type="fixed"/>
          <w:tblCellMar>
            <w:top w:w="0" w:type="dxa"/>
            <w:left w:w="108" w:type="dxa"/>
            <w:bottom w:w="0" w:type="dxa"/>
            <w:right w:w="108" w:type="dxa"/>
          </w:tblCellMar>
        </w:tblPrEx>
        <w:trPr>
          <w:trHeight w:val="285" w:hRule="atLeast"/>
        </w:trPr>
        <w:tc>
          <w:tcPr>
            <w:tcW w:w="6474" w:type="dxa"/>
            <w:gridSpan w:val="5"/>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单位名称：中共石家庄市鹿泉区委组织部</w:t>
            </w:r>
          </w:p>
        </w:tc>
        <w:tc>
          <w:tcPr>
            <w:tcW w:w="1176" w:type="dxa"/>
            <w:tcBorders>
              <w:top w:val="nil"/>
              <w:left w:val="nil"/>
              <w:bottom w:val="nil"/>
              <w:right w:val="nil"/>
            </w:tcBorders>
            <w:shd w:val="clear" w:color="auto" w:fill="auto"/>
            <w:vAlign w:val="bottom"/>
          </w:tcPr>
          <w:p>
            <w:pPr>
              <w:rPr>
                <w:rFonts w:hint="eastAsia" w:ascii="宋体" w:hAnsi="宋体" w:eastAsia="宋体" w:cs="宋体"/>
                <w:i w:val="0"/>
                <w:iCs w:val="0"/>
                <w:color w:val="000000"/>
                <w:sz w:val="24"/>
                <w:szCs w:val="24"/>
                <w:u w:val="none"/>
              </w:rPr>
            </w:pPr>
          </w:p>
        </w:tc>
        <w:tc>
          <w:tcPr>
            <w:tcW w:w="1905"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 2024年底）</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2024年度好青年基础职务补贴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375.253053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375.253053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2024年好青年基础职务补贴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21.594885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21.594885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2024年村干部基础职务补贴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3607.081212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3607.081212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2024年服务群众专项经费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2024年村级办公经费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99.2425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99.2425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2024年离任村干部生活补贴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232.462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232.462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2024年村党组织活动经费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283.7</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283.7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2024年村党组织书记、村委会主任养老保险奖励</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49.25023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49.25023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2024年老党员生活补贴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5.032138</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5.032138</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2024年人才绿卡A卡生活补助</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185.05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185.05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2024年考核专项业务费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1.4462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1.314</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0.1322</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99</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2024年干部人事档案库房建设项目</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19.594362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19.594362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2024年人才绿卡AB卡房租补贴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1109.65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1109.65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2024年村改居社区工作经费和党建惠民经费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2024年2023年干部能力提升专项培训行动经费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40.70945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40.70945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2024年干部档案数字化建设工程经费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8.749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8.749</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2024年2023年社区工作者招聘面试经费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2024年专项公用经费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26.17881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26.17881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2024年社区工作经费和党建惠民经费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2024年党员培训教育经费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19.99261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19.99261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2024年乡村振兴重点村驻村工作队经费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2024年档案系统国产化升级改造工作</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2024年会议接待费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2024年培训费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28.99576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0.00424</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2024年区管拔尖人才工作津贴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69.03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69.03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2024年人才工作专项经费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4.501262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4.501262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2024年社区工作者工资</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1316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2024年干部信息管理专项经费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2.379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2.379</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2024年主题教育工作专项经费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29.38446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29.38446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44.25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18.73747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25.51253</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提前下达2024年市级优抚补助资金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提前下达2024年省级财政优抚对象补助经费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提前下达2023年度下派选调生到村工作中央财政补助资金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3.07037</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3.07037</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结算下达2023年下派选调生到村工作中央财政补助资金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2024年下沉工作队综合经费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“英才入石”招聘工作经费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6.33975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6.33975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38</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干部人事档案管理信息系统国产化升级改造追加经费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39</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乡村振兴重点村驻村工作队追加经费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80</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干部信息移动查询端设备经费</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追加人才绿卡C卡房租补贴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550.455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550.455</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追加人才绿卡C卡房租补贴</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下达市级企业全职引进高层次人才奖励资金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5.073862</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5.073862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社区工作者工资追加</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102.06293</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102.06293</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5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社区工作者12月工资及社保追加</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147.538006</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147.538006</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0"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46</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下达2024年市级第三批优抚对象补助（提标部分）资金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中共石家庄市鹿泉区委组织部</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0.05</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95</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 w:hRule="atLeast"/>
        </w:trPr>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合计</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12199.23109</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12170.83212</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bl>
    <w:p>
      <w:pPr>
        <w:widowControl/>
        <w:spacing w:before="0" w:beforeLines="0" w:beforeAutospacing="0" w:after="0" w:afterLines="0" w:afterAutospacing="0" w:line="360" w:lineRule="auto"/>
        <w:ind w:firstLine="720" w:firstLineChars="200"/>
        <w:jc w:val="left"/>
        <w:rPr>
          <w:rFonts w:hint="default" w:ascii="Times New Roman" w:eastAsia="仿宋_GB2312"/>
          <w:b w:val="0"/>
          <w:sz w:val="36"/>
          <w:szCs w:val="36"/>
          <w:lang w:val="en-US" w:eastAsia="zh-CN"/>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w:t>
      </w:r>
      <w:r>
        <w:rPr>
          <w:rFonts w:hint="eastAsia" w:ascii="Times New Roman" w:eastAsia="仿宋_GB2312"/>
          <w:b w:val="0"/>
          <w:sz w:val="32"/>
          <w:szCs w:val="32"/>
          <w:lang w:eastAsia="zh-CN"/>
        </w:rPr>
        <w:t>本部门</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DDFF8B3-6035-4185-8D81-6B51DF18BFB4}"/>
  </w:font>
  <w:font w:name="黑体">
    <w:panose1 w:val="02010609060101010101"/>
    <w:charset w:val="86"/>
    <w:family w:val="auto"/>
    <w:pitch w:val="default"/>
    <w:sig w:usb0="800002BF" w:usb1="38CF7CFA" w:usb2="00000016" w:usb3="00000000" w:csb0="00040001" w:csb1="00000000"/>
    <w:embedRegular r:id="rId2" w:fontKey="{1B1DDB5A-0BFE-4150-A81A-168985B8FA6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C0307D1-3011-493F-8088-0A801B73F7AF}"/>
  </w:font>
  <w:font w:name="仿宋">
    <w:panose1 w:val="02010609060101010101"/>
    <w:charset w:val="86"/>
    <w:family w:val="modern"/>
    <w:pitch w:val="default"/>
    <w:sig w:usb0="800002BF" w:usb1="38CF7CFA" w:usb2="00000016" w:usb3="00000000" w:csb0="00040001" w:csb1="00000000"/>
    <w:embedRegular r:id="rId4" w:fontKey="{FA920B97-B14D-4FEC-9617-AEA1208249D1}"/>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PMingLiU">
    <w:panose1 w:val="02020500000000000000"/>
    <w:charset w:val="88"/>
    <w:family w:val="roman"/>
    <w:pitch w:val="default"/>
    <w:sig w:usb0="A00002FF" w:usb1="28CFFCFA" w:usb2="00000016" w:usb3="00000000" w:csb0="00100001" w:csb1="00000000"/>
  </w:font>
  <w:font w:name="楷体_GB2312">
    <w:panose1 w:val="02010609030101010101"/>
    <w:charset w:val="86"/>
    <w:family w:val="auto"/>
    <w:pitch w:val="default"/>
    <w:sig w:usb0="00000001" w:usb1="080E0000" w:usb2="00000000" w:usb3="00000000" w:csb0="00040000" w:csb1="00000000"/>
    <w:embedRegular r:id="rId5" w:fontKey="{04A8234F-9344-45C6-8BCA-41D2A3F25017}"/>
  </w:font>
  <w:font w:name="方正小标宋_GBK">
    <w:panose1 w:val="02000000000000000000"/>
    <w:charset w:val="86"/>
    <w:family w:val="script"/>
    <w:pitch w:val="default"/>
    <w:sig w:usb0="00000000" w:usb1="00000000" w:usb2="00000000" w:usb3="00000000" w:csb0="00000000" w:csb1="00000000"/>
    <w:embedRegular r:id="rId6" w:fontKey="{0887E3C6-C8DA-46DB-B853-EBABA78A7361}"/>
  </w:font>
  <w:font w:name="仿宋_GB2312">
    <w:panose1 w:val="02010609030101010101"/>
    <w:charset w:val="86"/>
    <w:family w:val="auto"/>
    <w:pitch w:val="default"/>
    <w:sig w:usb0="00000001" w:usb1="080E0000" w:usb2="00000000" w:usb3="00000000" w:csb0="00040000" w:csb1="00000000"/>
    <w:embedRegular r:id="rId7" w:fontKey="{CE46E1E4-013B-4797-B822-AA2E9612FB1E}"/>
  </w:font>
  <w:font w:name="ArialUnicodeMS">
    <w:altName w:val="Malgun Gothic"/>
    <w:panose1 w:val="00000000000000000000"/>
    <w:charset w:val="81"/>
    <w:family w:val="auto"/>
    <w:pitch w:val="default"/>
    <w:sig w:usb0="00000000" w:usb1="00000000" w:usb2="00000010" w:usb3="00000000" w:csb0="00080001" w:csb1="00000000"/>
    <w:embedRegular r:id="rId8" w:fontKey="{34186DD3-9431-445D-A817-EF563B152B01}"/>
  </w:font>
  <w:font w:name="方正仿宋_GB2312">
    <w:panose1 w:val="02000000000000000000"/>
    <w:charset w:val="86"/>
    <w:family w:val="auto"/>
    <w:pitch w:val="default"/>
    <w:sig w:usb0="00000000" w:usb1="00000000" w:usb2="00000000" w:usb3="00000000" w:csb0="00000000" w:csb1="00000000"/>
    <w:embedRegular r:id="rId9" w:fontKey="{470345C1-1FD0-4EED-9D2F-B6F8505135E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182699"/>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213CA5"/>
    <w:rsid w:val="07533AFE"/>
    <w:rsid w:val="07AC18F2"/>
    <w:rsid w:val="07B3657A"/>
    <w:rsid w:val="07C857D0"/>
    <w:rsid w:val="083F3A0A"/>
    <w:rsid w:val="08AB5AAF"/>
    <w:rsid w:val="08C02FFE"/>
    <w:rsid w:val="09012C64"/>
    <w:rsid w:val="093B2E99"/>
    <w:rsid w:val="095D7943"/>
    <w:rsid w:val="09C006C6"/>
    <w:rsid w:val="0A10621F"/>
    <w:rsid w:val="0A464C4F"/>
    <w:rsid w:val="0A6729A3"/>
    <w:rsid w:val="0A694877"/>
    <w:rsid w:val="0AA954BE"/>
    <w:rsid w:val="0AE70639"/>
    <w:rsid w:val="0B1C38EB"/>
    <w:rsid w:val="0B4F5E6D"/>
    <w:rsid w:val="0B753AE2"/>
    <w:rsid w:val="0BAC099F"/>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5F64E85"/>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46DA6"/>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264628"/>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BC4A5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8F9077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453146"/>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15EC5"/>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8263F2"/>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6F623C"/>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6BA4522"/>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634E27"/>
    <w:rsid w:val="5B830730"/>
    <w:rsid w:val="5BBB2DD6"/>
    <w:rsid w:val="5BE263B6"/>
    <w:rsid w:val="5C8E5C5A"/>
    <w:rsid w:val="5C965E61"/>
    <w:rsid w:val="5CF0089C"/>
    <w:rsid w:val="5CF5796F"/>
    <w:rsid w:val="5D242A11"/>
    <w:rsid w:val="5D9217C2"/>
    <w:rsid w:val="5D9D4E8B"/>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0B6820"/>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9C44F9"/>
    <w:rsid w:val="6FA14A81"/>
    <w:rsid w:val="6FA3261F"/>
    <w:rsid w:val="6FB44BAA"/>
    <w:rsid w:val="6FC0033B"/>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DE36E0"/>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5E069B"/>
    <w:rsid w:val="768216BE"/>
    <w:rsid w:val="76C23B43"/>
    <w:rsid w:val="76FD6F97"/>
    <w:rsid w:val="770218E8"/>
    <w:rsid w:val="779469CE"/>
    <w:rsid w:val="77C875A5"/>
    <w:rsid w:val="77DD5B97"/>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805B16"/>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10237.47</c:v>
                </c:pt>
                <c:pt idx="1">
                  <c:v>12951.25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129362513.85</c:v>
                </c:pt>
                <c:pt idx="1">
                  <c:v>0</c:v>
                </c:pt>
                <c:pt idx="2">
                  <c:v>0</c:v>
                </c:pt>
                <c:pt idx="3">
                  <c:v>0</c:v>
                </c:pt>
                <c:pt idx="4">
                  <c:v>0</c:v>
                </c:pt>
                <c:pt idx="5">
                  <c:v>150000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7654192.65</c:v>
                </c:pt>
                <c:pt idx="1">
                  <c:v>121858321.2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Sheet1!$B$2:$B$9</c15:sqref>
                  </c15:fullRef>
                </c:ext>
              </c:extLst>
              <c:f>Sheet1!$B$2:$B$5</c:f>
              <c:numCache>
                <c:formatCode>General</c:formatCode>
                <c:ptCount val="4"/>
                <c:pt idx="0">
                  <c:v>10225.04</c:v>
                </c:pt>
                <c:pt idx="1">
                  <c:v>10225.04</c:v>
                </c:pt>
                <c:pt idx="2">
                  <c:v>10225.04</c:v>
                </c:pt>
                <c:pt idx="3">
                  <c:v>10225.04</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Sheet1!$C$2:$C$9</c15:sqref>
                  </c15:fullRef>
                </c:ext>
              </c:extLst>
              <c:f>Sheet1!$C$2:$C$5</c:f>
              <c:numCache>
                <c:formatCode>General</c:formatCode>
                <c:ptCount val="4"/>
                <c:pt idx="0">
                  <c:v>12936.25</c:v>
                </c:pt>
                <c:pt idx="1">
                  <c:v>12936.25</c:v>
                </c:pt>
                <c:pt idx="2">
                  <c:v>12936.25</c:v>
                </c:pt>
                <c:pt idx="3">
                  <c:v>12936.25</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Sheet1!$B$2:$B$9</c15:sqref>
                  </c15:fullRef>
                </c:ext>
              </c:extLst>
              <c:f>Sheet1!$B$2:$B$5</c:f>
              <c:numCache>
                <c:formatCode>General</c:formatCode>
                <c:ptCount val="4"/>
                <c:pt idx="0">
                  <c:v>13114.85</c:v>
                </c:pt>
                <c:pt idx="1">
                  <c:v>13114.85</c:v>
                </c:pt>
                <c:pt idx="2">
                  <c:v>13114.85</c:v>
                </c:pt>
                <c:pt idx="3">
                  <c:v>13114.85</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Sheet1!$A$2:$A$9</c15:sqref>
                  </c15:fullRef>
                </c:ext>
              </c:extLst>
              <c:f>Sheet1!$A$2:$A$5</c:f>
              <c:strCache>
                <c:ptCount val="4"/>
                <c:pt idx="0">
                  <c:v>财政拨款收入</c:v>
                </c:pt>
                <c:pt idx="1">
                  <c:v>财政拨款支出</c:v>
                </c:pt>
                <c:pt idx="2">
                  <c:v>一般公共预算财政拨款收入</c:v>
                </c:pt>
                <c:pt idx="3">
                  <c:v>一般公共预算财政拨款支出</c:v>
                </c:pt>
              </c:strCache>
            </c:strRef>
          </c:cat>
          <c:val>
            <c:numRef>
              <c:extLst>
                <c:ext xmlns:c15="http://schemas.microsoft.com/office/drawing/2012/chart" uri="{02D57815-91ED-43cb-92C2-25804820EDAC}">
                  <c15:fullRef>
                    <c15:sqref>Sheet1!$C$2:$C$9</c15:sqref>
                  </c15:fullRef>
                </c:ext>
              </c:extLst>
              <c:f>Sheet1!$C$2:$C$5</c:f>
              <c:numCache>
                <c:formatCode>General</c:formatCode>
                <c:ptCount val="4"/>
                <c:pt idx="0">
                  <c:v>12936.25</c:v>
                </c:pt>
                <c:pt idx="1">
                  <c:v>12936.25</c:v>
                </c:pt>
                <c:pt idx="2">
                  <c:v>12936.25</c:v>
                </c:pt>
                <c:pt idx="3">
                  <c:v>12936.25</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1"/>
              <c:layout>
                <c:manualLayout>
                  <c:x val="-0.121924785954265"/>
                  <c:y val="-0.0031874203144921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975398287634117"/>
                  <c:y val="0.028686782830429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143058415519671"/>
                  <c:y val="0.0127496812579686"/>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Sheet1!$A$2:$A$27</c15:sqref>
                  </c15:fullRef>
                </c:ext>
              </c:extLst>
              <c:f>(Sheet1!$A$2,Sheet1!$A$9:$A$10,Sheet1!$A$13,Sheet1!$A$20)</c:f>
              <c:strCache>
                <c:ptCount val="5"/>
                <c:pt idx="0">
                  <c:v>一般公共服务支出</c:v>
                </c:pt>
                <c:pt idx="1">
                  <c:v>社会保障和就业支出</c:v>
                </c:pt>
                <c:pt idx="2">
                  <c:v>卫生健康支出</c:v>
                </c:pt>
                <c:pt idx="3">
                  <c:v>农林水支出</c:v>
                </c:pt>
                <c:pt idx="4">
                  <c:v>住房保障支出</c:v>
                </c:pt>
              </c:strCache>
            </c:strRef>
          </c:cat>
          <c:val>
            <c:numRef>
              <c:extLst>
                <c:ext xmlns:c15="http://schemas.microsoft.com/office/drawing/2012/chart" uri="{02D57815-91ED-43cb-92C2-25804820EDAC}">
                  <c15:fullRef>
                    <c15:sqref>Sheet1!$B$2:$B$27</c15:sqref>
                  </c15:fullRef>
                </c:ext>
              </c:extLst>
              <c:f>(Sheet1!$B$2,Sheet1!$B$9:$B$10,Sheet1!$B$13,Sheet1!$B$20)</c:f>
              <c:numCache>
                <c:formatCode>General</c:formatCode>
                <c:ptCount val="5"/>
                <c:pt idx="0">
                  <c:v>7154.57</c:v>
                </c:pt>
                <c:pt idx="1">
                  <c:v>76.05</c:v>
                </c:pt>
                <c:pt idx="2">
                  <c:v>43.63</c:v>
                </c:pt>
                <c:pt idx="3">
                  <c:v>5600.94</c:v>
                </c:pt>
                <c:pt idx="4">
                  <c:v>61.05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2647</Words>
  <Characters>3135</Characters>
  <Lines>86</Lines>
  <Paragraphs>24</Paragraphs>
  <TotalTime>177</TotalTime>
  <ScaleCrop>false</ScaleCrop>
  <LinksUpToDate>false</LinksUpToDate>
  <CharactersWithSpaces>3270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苏~ </cp:lastModifiedBy>
  <cp:lastPrinted>2023-08-04T01:00:00Z</cp:lastPrinted>
  <dcterms:modified xsi:type="dcterms:W3CDTF">2025-11-24T06:03:24Z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eyJoZGlkIjoiMWVmMzhmZTY1YzIwOWQ5NDNmMjBlZGE4NzQ0MGIyZmUifQ==</vt:lpwstr>
  </property>
</Properties>
</file>