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default" w:ascii="楷体_GB2312" w:hAnsi="楷体_GB2312" w:eastAsia="楷体_GB2312" w:cs="楷体_GB2312"/>
          <w:color w:val="000000"/>
          <w:sz w:val="40"/>
          <w:szCs w:val="40"/>
          <w:lang w:val="en-US"/>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XbLP3tgAAAAKAQAADwAAAAAA&#10;AAABACAAAAAiAAAAZHJzL2Rvd25yZXYueG1sUEsBAhQAFAAAAAgAh07iQCBW79PaAQAAgAMAAA4A&#10;AAAAAAAAAQAgAAAAJwEAAGRycy9lMm9Eb2MueG1sUEsFBgAAAAAGAAYAWQEAAHMFA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r>
        <w:rPr>
          <w:rFonts w:hint="eastAsia" w:ascii="楷体_GB2312" w:hAnsi="楷体_GB2312" w:eastAsia="楷体_GB2312" w:cs="楷体_GB2312"/>
          <w:color w:val="000000"/>
          <w:sz w:val="40"/>
          <w:szCs w:val="40"/>
          <w:lang w:val="en-US" w:eastAsia="zh-CN"/>
        </w:rPr>
        <w:t xml:space="preserve">       </w: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203001</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：中共石家庄市鹿泉区委组织部(本级)</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中共石家庄市鹿泉区委组织部(本级)</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w:t>
      </w:r>
      <w:r>
        <w:rPr>
          <w:rFonts w:hint="eastAsia" w:ascii="Times New Roman" w:eastAsia="方正小标宋_GBK"/>
          <w:b w:val="0"/>
          <w:sz w:val="72"/>
          <w:szCs w:val="72"/>
          <w:lang w:val="en-US" w:eastAsia="zh-CN"/>
        </w:rPr>
        <w:t>单位</w:t>
      </w:r>
      <w:r>
        <w:rPr>
          <w:rFonts w:ascii="Times New Roman" w:eastAsia="方正小标宋_GBK"/>
          <w:b w:val="0"/>
          <w:sz w:val="72"/>
          <w:szCs w:val="72"/>
        </w:rPr>
        <w:t>决算</w:t>
      </w:r>
      <w:r>
        <w:rPr>
          <w:rFonts w:hint="eastAsia" w:ascii="Times New Roman" w:eastAsia="方正小标宋_GBK"/>
          <w:b w:val="0"/>
          <w:sz w:val="72"/>
          <w:szCs w:val="72"/>
          <w:lang w:val="en-US" w:eastAsia="zh-CN"/>
        </w:rPr>
        <w:t>公</w:t>
      </w:r>
      <w:r>
        <w:rPr>
          <w:rFonts w:ascii="Times New Roman" w:eastAsia="方正小标宋_GBK"/>
          <w:b w:val="0"/>
          <w:sz w:val="72"/>
          <w:szCs w:val="72"/>
        </w:rPr>
        <w:t>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中共石家庄市鹿泉区委组织部(本级)(单位名称，加盖公章）</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单位概况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w:t>
      </w:r>
      <w:r>
        <w:rPr>
          <w:rFonts w:hint="eastAsia" w:ascii="Times New Roman" w:eastAsia="黑体"/>
          <w:b w:val="0"/>
          <w:sz w:val="32"/>
          <w:szCs w:val="32"/>
          <w:lang w:val="en-US" w:eastAsia="zh-CN"/>
        </w:rPr>
        <w:t>单位</w:t>
      </w:r>
      <w:r>
        <w:rPr>
          <w:rFonts w:ascii="Times New Roman" w:eastAsia="黑体"/>
          <w:b w:val="0"/>
          <w:sz w:val="32"/>
          <w:szCs w:val="32"/>
        </w:rPr>
        <w:t>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w:t>
      </w:r>
      <w:r>
        <w:rPr>
          <w:rFonts w:hint="eastAsia" w:ascii="Times New Roman" w:eastAsia="黑体"/>
          <w:b w:val="0"/>
          <w:sz w:val="32"/>
          <w:szCs w:val="32"/>
          <w:lang w:val="en-US" w:eastAsia="zh-CN"/>
        </w:rPr>
        <w:t>单位</w:t>
      </w:r>
      <w:r>
        <w:rPr>
          <w:rFonts w:ascii="Times New Roman" w:eastAsia="黑体"/>
          <w:b w:val="0"/>
          <w:sz w:val="32"/>
          <w:szCs w:val="32"/>
        </w:rPr>
        <w:t>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单位概况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pPr>
        <w:spacing w:line="578" w:lineRule="exact"/>
        <w:ind w:firstLine="640" w:firstLineChars="200"/>
        <w:rPr>
          <w:rFonts w:hint="eastAsia" w:ascii="宋体" w:hAnsi="宋体" w:eastAsia="仿宋_GB2312" w:cs="仿宋_GB2312"/>
          <w:color w:val="000000"/>
          <w:sz w:val="32"/>
          <w:szCs w:val="32"/>
        </w:rPr>
      </w:pPr>
      <w:r>
        <w:rPr>
          <w:rFonts w:hint="eastAsia" w:ascii="宋体" w:hAnsi="宋体" w:eastAsia="仿宋_GB2312" w:cs="仿宋_GB2312"/>
          <w:color w:val="000000"/>
          <w:sz w:val="32"/>
          <w:szCs w:val="32"/>
        </w:rPr>
        <w:t>（一）承担区委党的建设（基层组织建设）工作领导小组办公室工作职责。围绕党的重大理论和实践问题调查研究，提出加强全区党的建设的建议；负责党的建设制度改革的宏观指导，研究党的组织工作、干部工作、人才工作的贯彻落实措施，制定或参与制定全区性重要政策和制度；负责“区委基层组织建设联</w:t>
      </w:r>
      <w:r>
        <w:rPr>
          <w:rFonts w:hint="eastAsia" w:ascii="宋体" w:hAnsi="宋体" w:eastAsia="仿宋_GB2312" w:cs="仿宋_GB2312"/>
          <w:color w:val="000000"/>
          <w:sz w:val="32"/>
          <w:szCs w:val="32"/>
          <w:lang w:val="en-US" w:eastAsia="zh-CN"/>
        </w:rPr>
        <w:t>席</w:t>
      </w:r>
      <w:r>
        <w:rPr>
          <w:rFonts w:hint="eastAsia" w:ascii="宋体" w:hAnsi="宋体" w:eastAsia="仿宋_GB2312" w:cs="仿宋_GB2312"/>
          <w:color w:val="000000"/>
          <w:sz w:val="32"/>
          <w:szCs w:val="32"/>
        </w:rPr>
        <w:t>会议”牵头抓总工作。</w:t>
      </w:r>
    </w:p>
    <w:p>
      <w:pPr>
        <w:spacing w:line="578" w:lineRule="exact"/>
        <w:ind w:firstLine="640" w:firstLineChars="200"/>
        <w:rPr>
          <w:rFonts w:hint="eastAsia" w:ascii="宋体" w:hAnsi="宋体" w:eastAsia="仿宋_GB2312" w:cs="仿宋_GB2312"/>
          <w:sz w:val="32"/>
          <w:szCs w:val="32"/>
        </w:rPr>
      </w:pPr>
      <w:r>
        <w:rPr>
          <w:rFonts w:hint="eastAsia" w:ascii="宋体" w:hAnsi="宋体" w:eastAsia="仿宋_GB2312" w:cs="仿宋_GB2312"/>
          <w:color w:val="000000"/>
          <w:sz w:val="32"/>
          <w:szCs w:val="32"/>
        </w:rPr>
        <w:t>（二）负责党员队伍建设、组织员队伍建设以及党员发展、教育、管理工作，负责党的组织制度、党内生活制度建设；组织协调全区党代表大会、党代表会议、人民代表大会的选举工作，负责全区党代表大会代表的日常管理和服务工作；负责党组织建设特别是党的基层组织建设的调查研究，</w:t>
      </w:r>
      <w:r>
        <w:rPr>
          <w:rFonts w:hint="eastAsia" w:ascii="宋体" w:hAnsi="宋体" w:eastAsia="仿宋_GB2312" w:cs="仿宋_GB2312"/>
          <w:sz w:val="32"/>
          <w:szCs w:val="32"/>
          <w:lang w:val="zh-CN"/>
        </w:rPr>
        <w:t>负责谋划指导和组织推动全区抓党建促脱贫攻坚工作；承担区委非公有制经济组织和社会组织工作委员会职责。</w:t>
      </w:r>
    </w:p>
    <w:p>
      <w:pPr>
        <w:pStyle w:val="25"/>
        <w:shd w:val="clear" w:color="auto" w:fill="auto"/>
        <w:tabs>
          <w:tab w:val="left" w:pos="1430"/>
        </w:tabs>
        <w:spacing w:line="578" w:lineRule="exact"/>
        <w:ind w:firstLine="660"/>
        <w:jc w:val="both"/>
        <w:rPr>
          <w:rFonts w:hint="eastAsia" w:ascii="宋体" w:hAnsi="宋体" w:eastAsia="仿宋_GB2312" w:cs="仿宋_GB2312"/>
          <w:spacing w:val="0"/>
          <w:sz w:val="32"/>
          <w:szCs w:val="32"/>
          <w:u w:val="single"/>
        </w:rPr>
      </w:pPr>
      <w:r>
        <w:rPr>
          <w:rFonts w:hint="eastAsia" w:ascii="宋体" w:hAnsi="宋体" w:eastAsia="仿宋_GB2312" w:cs="仿宋_GB2312"/>
          <w:spacing w:val="0"/>
          <w:sz w:val="32"/>
          <w:szCs w:val="32"/>
          <w:lang w:val="zh-CN"/>
        </w:rPr>
        <w:t>（三）负责乡局级领导班子和干部队伍建设的宏观管理。研究提出领导班子和领导干部队伍建设规划以及干部管理体制的建议，指导领导班子思想作风建设</w:t>
      </w:r>
      <w:r>
        <w:rPr>
          <w:rFonts w:hint="eastAsia" w:ascii="宋体" w:hAnsi="宋体" w:eastAsia="仿宋_GB2312" w:cs="仿宋_GB2312"/>
          <w:spacing w:val="0"/>
          <w:sz w:val="32"/>
          <w:szCs w:val="32"/>
        </w:rPr>
        <w:t>；负责提出各乡（镇、区）</w:t>
      </w:r>
      <w:r>
        <w:rPr>
          <w:rFonts w:hint="eastAsia" w:ascii="宋体" w:hAnsi="宋体" w:eastAsia="仿宋_GB2312" w:cs="仿宋_GB2312"/>
          <w:spacing w:val="0"/>
          <w:sz w:val="32"/>
          <w:szCs w:val="32"/>
          <w:lang w:val="zh-CN"/>
        </w:rPr>
        <w:t>和区直各部门以及其他列入区委管理的领导班子调整、配备的建议；负责区委管理干部的考察、综合分析研判，办理职务任免、工资、待遇、退休审批手续；综合管理优秀年轻干部队伍，统筹选育管用工作，组织协调女干部、少数民族干部和党外干部培养选拔工作；负责</w:t>
      </w:r>
      <w:r>
        <w:rPr>
          <w:rFonts w:hint="eastAsia" w:ascii="宋体" w:hAnsi="宋体" w:eastAsia="仿宋_GB2312" w:cs="仿宋_GB2312"/>
          <w:spacing w:val="0"/>
          <w:sz w:val="32"/>
          <w:szCs w:val="32"/>
        </w:rPr>
        <w:t>各乡（镇、区）</w:t>
      </w:r>
      <w:r>
        <w:rPr>
          <w:rFonts w:hint="eastAsia" w:ascii="宋体" w:hAnsi="宋体" w:eastAsia="仿宋_GB2312" w:cs="仿宋_GB2312"/>
          <w:spacing w:val="0"/>
          <w:sz w:val="32"/>
          <w:szCs w:val="32"/>
          <w:lang w:val="zh-CN"/>
        </w:rPr>
        <w:t>和区直</w:t>
      </w:r>
      <w:r>
        <w:rPr>
          <w:rFonts w:hint="eastAsia" w:ascii="宋体" w:hAnsi="宋体" w:eastAsia="仿宋_GB2312" w:cs="仿宋_GB2312"/>
          <w:spacing w:val="0"/>
          <w:sz w:val="32"/>
          <w:szCs w:val="32"/>
        </w:rPr>
        <w:t>部门</w:t>
      </w:r>
      <w:r>
        <w:rPr>
          <w:rFonts w:hint="eastAsia" w:ascii="宋体" w:hAnsi="宋体" w:eastAsia="仿宋_GB2312" w:cs="仿宋_GB2312"/>
          <w:spacing w:val="0"/>
          <w:sz w:val="32"/>
          <w:szCs w:val="32"/>
          <w:lang w:val="zh-CN"/>
        </w:rPr>
        <w:t>股级干部的选任（备案审批）和日常监督管理工作；负责全区干部档案管理工作；负责省派选调生、大学生村官的培养、使用和管理；承办有关干部的调配、交流安置事宜。</w:t>
      </w:r>
    </w:p>
    <w:p>
      <w:pPr>
        <w:spacing w:line="578" w:lineRule="exact"/>
        <w:ind w:firstLine="640" w:firstLineChars="200"/>
        <w:rPr>
          <w:rFonts w:hint="eastAsia" w:ascii="宋体" w:hAnsi="宋体" w:eastAsia="仿宋_GB2312" w:cs="仿宋_GB2312"/>
          <w:sz w:val="32"/>
          <w:szCs w:val="32"/>
        </w:rPr>
      </w:pPr>
      <w:r>
        <w:rPr>
          <w:rFonts w:hint="eastAsia" w:ascii="宋体" w:hAnsi="宋体" w:eastAsia="仿宋_GB2312" w:cs="仿宋_GB2312"/>
          <w:sz w:val="32"/>
          <w:szCs w:val="32"/>
        </w:rPr>
        <w:t>（</w:t>
      </w:r>
      <w:r>
        <w:rPr>
          <w:rFonts w:hint="eastAsia" w:ascii="宋体" w:hAnsi="宋体" w:eastAsia="仿宋_GB2312" w:cs="仿宋_GB2312"/>
          <w:sz w:val="32"/>
          <w:szCs w:val="32"/>
          <w:lang w:val="zh-CN"/>
        </w:rPr>
        <w:t>四）负责全区干部教育、培训工作；拟订干部教育培训工作规划，组织实施区委管理干部和一定层次其他干部的培训；负责组织系统干部监督工作，组织开展选人用人和执行干部监督制度规定情况的监督检查，处理反映选人用人问题及领导干部相关问题的举报；</w:t>
      </w:r>
      <w:r>
        <w:rPr>
          <w:rFonts w:hint="eastAsia" w:ascii="宋体" w:hAnsi="宋体" w:eastAsia="仿宋_GB2312" w:cs="仿宋_GB2312"/>
          <w:sz w:val="32"/>
          <w:szCs w:val="32"/>
        </w:rPr>
        <w:t>负责全区干部考核工作，组织实施对区委管理领导班子和领导干部的考核工作，负责全区机关目标绩效管理，组织实施区级机关职能绩效目标考核；承担区委干部考核委员会日常工作。</w:t>
      </w:r>
    </w:p>
    <w:p>
      <w:pPr>
        <w:spacing w:line="578" w:lineRule="exact"/>
        <w:ind w:firstLine="640" w:firstLineChars="200"/>
        <w:rPr>
          <w:rFonts w:hint="eastAsia" w:ascii="宋体" w:hAnsi="宋体" w:eastAsia="仿宋_GB2312" w:cs="仿宋_GB2312"/>
          <w:sz w:val="32"/>
          <w:szCs w:val="32"/>
        </w:rPr>
      </w:pPr>
      <w:r>
        <w:rPr>
          <w:rFonts w:hint="eastAsia" w:ascii="宋体" w:hAnsi="宋体" w:eastAsia="仿宋_GB2312" w:cs="仿宋_GB2312"/>
          <w:sz w:val="32"/>
          <w:szCs w:val="32"/>
        </w:rPr>
        <w:t>（五）负责公务员、参照公务员法管理事业单位工作人员录用调配、考核奖惩、培训和工资福利等工作；研究拟订公务员管理办法并组织实施；指导全区公务员、参照公务员法管理事业单位工作人员队伍建设。</w:t>
      </w:r>
    </w:p>
    <w:p>
      <w:pPr>
        <w:spacing w:line="578" w:lineRule="exact"/>
        <w:ind w:firstLine="640" w:firstLineChars="200"/>
        <w:rPr>
          <w:rFonts w:hint="eastAsia" w:ascii="宋体" w:hAnsi="宋体" w:eastAsia="仿宋_GB2312" w:cs="仿宋_GB2312"/>
          <w:sz w:val="32"/>
          <w:szCs w:val="32"/>
          <w:lang w:val="zh-CN"/>
        </w:rPr>
      </w:pPr>
      <w:r>
        <w:rPr>
          <w:rFonts w:hint="eastAsia" w:ascii="宋体" w:hAnsi="宋体" w:eastAsia="仿宋_GB2312" w:cs="仿宋_GB2312"/>
          <w:sz w:val="32"/>
          <w:szCs w:val="32"/>
        </w:rPr>
        <w:t>（六）负责全区人才工作和人才队伍建设的牵头抓总、统筹协调、推进落实；负责做好省管优秀专家、市管拔尖人才等重点人才推荐申报、</w:t>
      </w:r>
      <w:bookmarkStart w:id="0" w:name="_GoBack"/>
      <w:r>
        <w:rPr>
          <w:rFonts w:hint="eastAsia" w:ascii="宋体" w:hAnsi="宋体" w:eastAsia="仿宋_GB2312" w:cs="仿宋_GB2312"/>
          <w:sz w:val="32"/>
          <w:szCs w:val="32"/>
          <w:lang w:val="zh-CN"/>
        </w:rPr>
        <w:t>联系</w:t>
      </w:r>
      <w:bookmarkEnd w:id="0"/>
      <w:r>
        <w:rPr>
          <w:rFonts w:hint="eastAsia" w:ascii="宋体" w:hAnsi="宋体" w:eastAsia="仿宋_GB2312" w:cs="仿宋_GB2312"/>
          <w:sz w:val="32"/>
          <w:szCs w:val="32"/>
          <w:lang w:val="zh-CN"/>
        </w:rPr>
        <w:t>服务工作；负责区管拔尖人才的选拔管理；承担区委人才工作领导小组办公室日常工作。</w:t>
      </w:r>
    </w:p>
    <w:p>
      <w:pPr>
        <w:spacing w:line="578" w:lineRule="exact"/>
        <w:ind w:firstLine="640" w:firstLineChars="200"/>
        <w:rPr>
          <w:rFonts w:hint="eastAsia" w:ascii="宋体" w:hAnsi="宋体" w:eastAsia="仿宋_GB2312" w:cs="仿宋_GB2312"/>
          <w:sz w:val="32"/>
          <w:szCs w:val="32"/>
          <w:lang w:val="zh-CN"/>
        </w:rPr>
      </w:pPr>
      <w:r>
        <w:rPr>
          <w:rFonts w:hint="eastAsia" w:ascii="宋体" w:hAnsi="宋体" w:eastAsia="仿宋_GB2312" w:cs="仿宋_GB2312"/>
          <w:sz w:val="32"/>
          <w:szCs w:val="32"/>
          <w:lang w:val="zh-CN"/>
        </w:rPr>
        <w:t>（七）负责组织系统新闻宣传、信息化建设和组织史征编工作。</w:t>
      </w:r>
    </w:p>
    <w:p>
      <w:pPr>
        <w:spacing w:line="578" w:lineRule="exact"/>
        <w:ind w:firstLine="640" w:firstLineChars="200"/>
        <w:rPr>
          <w:rFonts w:hint="eastAsia" w:ascii="宋体" w:hAnsi="宋体" w:eastAsia="仿宋_GB2312" w:cs="仿宋_GB2312"/>
          <w:sz w:val="32"/>
          <w:szCs w:val="32"/>
        </w:rPr>
      </w:pPr>
      <w:r>
        <w:rPr>
          <w:rFonts w:hint="eastAsia" w:ascii="宋体" w:hAnsi="宋体" w:eastAsia="仿宋_GB2312" w:cs="仿宋_GB2312"/>
          <w:sz w:val="32"/>
          <w:szCs w:val="32"/>
          <w:lang w:val="zh-CN"/>
        </w:rPr>
        <w:t>（八）负责全区组织工作的检查督促，及时向区委反映重要情况并提出建议</w:t>
      </w:r>
      <w:r>
        <w:rPr>
          <w:rFonts w:hint="eastAsia" w:ascii="宋体" w:hAnsi="宋体" w:eastAsia="仿宋_GB2312" w:cs="仿宋_GB2312"/>
          <w:sz w:val="32"/>
          <w:szCs w:val="32"/>
        </w:rPr>
        <w:t>。</w:t>
      </w:r>
    </w:p>
    <w:p>
      <w:pPr>
        <w:pStyle w:val="25"/>
        <w:shd w:val="clear" w:color="auto" w:fill="auto"/>
        <w:tabs>
          <w:tab w:val="left" w:pos="1430"/>
        </w:tabs>
        <w:spacing w:line="578" w:lineRule="exact"/>
        <w:ind w:firstLine="660"/>
        <w:jc w:val="both"/>
        <w:rPr>
          <w:rFonts w:hint="eastAsia" w:ascii="宋体" w:hAnsi="宋体" w:eastAsia="仿宋_GB2312" w:cs="仿宋_GB2312"/>
          <w:spacing w:val="0"/>
          <w:sz w:val="32"/>
          <w:szCs w:val="32"/>
          <w:lang w:val="zh-CN"/>
        </w:rPr>
      </w:pPr>
      <w:r>
        <w:rPr>
          <w:rFonts w:hint="eastAsia" w:ascii="宋体" w:hAnsi="宋体" w:eastAsia="仿宋_GB2312" w:cs="仿宋_GB2312"/>
          <w:spacing w:val="0"/>
          <w:sz w:val="32"/>
          <w:szCs w:val="32"/>
          <w:lang w:val="zh-CN"/>
        </w:rPr>
        <w:t>（九）统一管理区委机构编制委员会办公室，归口管理区委老干部局。</w:t>
      </w:r>
    </w:p>
    <w:p>
      <w:pPr>
        <w:pStyle w:val="25"/>
        <w:shd w:val="clear" w:color="auto" w:fill="auto"/>
        <w:tabs>
          <w:tab w:val="left" w:pos="1430"/>
        </w:tabs>
        <w:spacing w:line="578" w:lineRule="exact"/>
        <w:ind w:firstLine="660"/>
        <w:jc w:val="both"/>
        <w:rPr>
          <w:rFonts w:hint="eastAsia" w:ascii="宋体" w:hAnsi="宋体" w:eastAsia="仿宋_GB2312" w:cs="仿宋_GB2312"/>
          <w:spacing w:val="0"/>
          <w:sz w:val="32"/>
          <w:szCs w:val="32"/>
          <w:lang w:val="zh-CN"/>
        </w:rPr>
      </w:pPr>
      <w:r>
        <w:rPr>
          <w:rFonts w:hint="eastAsia" w:ascii="宋体" w:hAnsi="宋体" w:eastAsia="仿宋_GB2312" w:cs="仿宋_GB2312"/>
          <w:spacing w:val="0"/>
          <w:sz w:val="32"/>
          <w:szCs w:val="32"/>
          <w:lang w:val="zh-CN"/>
        </w:rPr>
        <w:t>（十）完成区委交办的其他任务。</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中共石家庄市鹿泉区委组织部(本级)</w:t>
            </w:r>
          </w:p>
        </w:tc>
        <w:tc>
          <w:tcPr>
            <w:tcW w:w="2445" w:type="dxa"/>
          </w:tcPr>
          <w:p>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行政单位</w:t>
            </w:r>
          </w:p>
        </w:tc>
        <w:tc>
          <w:tcPr>
            <w:tcW w:w="2665" w:type="dxa"/>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财政拨款</w:t>
            </w:r>
          </w:p>
        </w:tc>
      </w:tr>
    </w:tbl>
    <w:p>
      <w:pPr>
        <w:widowControl/>
        <w:spacing w:before="0" w:beforeLines="0" w:beforeAutospacing="0" w:after="0" w:afterLines="0" w:afterAutospacing="0" w:line="360" w:lineRule="auto"/>
        <w:ind w:firstLine="640" w:firstLineChars="200"/>
        <w:jc w:val="left"/>
        <w:rPr>
          <w:rFonts w:ascii="Times New Roman" w:eastAsia="黑体"/>
          <w:b w:val="0"/>
          <w:sz w:val="44"/>
          <w:szCs w:val="44"/>
        </w:rPr>
      </w:pPr>
      <w:r>
        <w:rPr>
          <w:rFonts w:hint="eastAsia" w:ascii="Times New Roman" w:eastAsia="仿宋_GB2312"/>
          <w:b w:val="0"/>
          <w:sz w:val="32"/>
          <w:szCs w:val="32"/>
        </w:rPr>
        <w:t>我部门无二级预算单位，因此中共石家庄市</w:t>
      </w:r>
      <w:r>
        <w:rPr>
          <w:rFonts w:hint="eastAsia" w:ascii="Times New Roman" w:eastAsia="仿宋_GB2312"/>
          <w:b w:val="0"/>
          <w:sz w:val="32"/>
          <w:szCs w:val="32"/>
          <w:lang w:val="en-US" w:eastAsia="zh-CN"/>
        </w:rPr>
        <w:t>鹿泉区</w:t>
      </w:r>
      <w:r>
        <w:rPr>
          <w:rFonts w:hint="eastAsia" w:ascii="Times New Roman" w:eastAsia="仿宋_GB2312"/>
          <w:b w:val="0"/>
          <w:sz w:val="32"/>
          <w:szCs w:val="32"/>
        </w:rPr>
        <w:t>委组织部2024年度部门决算即中共石家庄市</w:t>
      </w:r>
      <w:r>
        <w:rPr>
          <w:rFonts w:hint="eastAsia" w:ascii="Times New Roman" w:eastAsia="仿宋_GB2312"/>
          <w:b w:val="0"/>
          <w:sz w:val="32"/>
          <w:szCs w:val="32"/>
          <w:lang w:val="en-US" w:eastAsia="zh-CN"/>
        </w:rPr>
        <w:t>鹿泉区</w:t>
      </w:r>
      <w:r>
        <w:rPr>
          <w:rFonts w:hint="eastAsia" w:ascii="Times New Roman" w:eastAsia="仿宋_GB2312"/>
          <w:b w:val="0"/>
          <w:sz w:val="32"/>
          <w:szCs w:val="32"/>
        </w:rPr>
        <w:t>委组织部本级2024年度决算。</w:t>
      </w: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单位</w:t>
      </w:r>
      <w:r>
        <w:rPr>
          <w:rFonts w:ascii="Times New Roman" w:eastAsia="黑体"/>
          <w:b w:val="0"/>
          <w:sz w:val="44"/>
          <w:szCs w:val="44"/>
        </w:rPr>
        <w:t>决算表</w:t>
      </w: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部门（单位）：中共石家庄市鹿泉区委组织部(本级)</w:t>
            </w:r>
          </w:p>
        </w:tc>
        <w:tc>
          <w:tcPr>
            <w:tcW w:w="2945" w:type="dxa"/>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12,936.25</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7,169.57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15.00</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5,600.94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12,951.25</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12,951.25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12,951.25</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12,951.25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部门（单位）：中共石家庄市鹿泉区委组织部(本级)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12,951.25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12,936.25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7,169.57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7,154.57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组织事务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7,169.57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7,154.57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606.83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591.83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2013202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6,562.75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6,562.75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68.91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68.91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59.08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59.08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抚恤</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2080899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其他优抚支出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43.63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43.63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43.63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43.63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43.63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43.63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5,600.94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5,600.94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32.36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32.36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2130152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对高校毕业生到基层任职补助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32.36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32.36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农村综合改革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5,568.58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5,568.58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对村民委员会和村党支部的补助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5,568.58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5,568.58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34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部门（单位）：中共石家庄市鹿泉区委组织部(本级)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12,951.25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765.42</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12,185.83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7,169.57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591.83</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6,577.75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组织事务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7,169.57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591.83</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6,577.75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606.83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591.83</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6,562.75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6,562.75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68.91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68.91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68.91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9.83</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59.08</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抚恤</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其他优抚支出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43.63</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43.63</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43.63</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5,600.94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5,600.94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2130152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对高校毕业生到基层任职补助</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5,568.58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5,568.58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5,568.58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5,568.58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61.05</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61.05</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61.05</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部门（单位）：中共石家庄市鹿泉区委组织部(本级)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12,936.25</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7,154.57</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7,154.57</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76.05</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76.05</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43.63</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43.63</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5,600.94</w:t>
            </w: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5,600.94</w:t>
            </w: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61.05</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61.05</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12,936.25</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12,936.25</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12,936.25</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12,936.25</w:t>
            </w:r>
          </w:p>
        </w:tc>
        <w:tc>
          <w:tcPr>
            <w:tcW w:w="2098" w:type="dxa"/>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12,936.25</w:t>
            </w: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12,936.25</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8697"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839"/>
        <w:gridCol w:w="3235"/>
        <w:gridCol w:w="1061"/>
        <w:gridCol w:w="499"/>
        <w:gridCol w:w="522"/>
        <w:gridCol w:w="360"/>
        <w:gridCol w:w="118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57" w:hRule="atLeast"/>
        </w:trPr>
        <w:tc>
          <w:tcPr>
            <w:tcW w:w="8697" w:type="dxa"/>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8697" w:type="dxa"/>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6135"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编制部门（单位）：中共石家庄市鹿泉区委组织部(本级)</w:t>
            </w:r>
          </w:p>
        </w:tc>
        <w:tc>
          <w:tcPr>
            <w:tcW w:w="1021" w:type="dxa"/>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41" w:type="dxa"/>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507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623"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83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3235"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560"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882"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81"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6" w:hRule="atLeast"/>
        </w:trPr>
        <w:tc>
          <w:tcPr>
            <w:tcW w:w="183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3235"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56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882"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1"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83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3235"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56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882"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1"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507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181"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507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12,936.25</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765.42</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12,170.83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7,154.57</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591.83</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6,562.75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组织事务</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7,154.57</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591.83</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6,562.75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2013201</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591.83</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591.83</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2013202</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6,562.75</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6,562.75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76.05</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68.91</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68.91</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68.91</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9.83</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9.83</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59.08</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59.08</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抚恤</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7.14</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2080899</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其他优抚支出</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7.14</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43.63</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43.63</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43.63</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43.63</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43.63</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43.63</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5,600.94</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5,600.94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32.36</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2130152</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对高校毕业生到基层任职补助</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32.36</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5,568.58</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5,568.58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5,568.58</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5,568.58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61.05</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61.05</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61.05</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61.05</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61.05</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61.05</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8697" w:type="dxa"/>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部门（单位）：中共石家庄市鹿泉区委组织部(本级)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642.72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104.45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150.45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12.82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119.75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132.36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65.80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59.08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0.53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18.86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43.63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10.59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3.41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61.06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18.25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18.21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37.28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3.71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3.65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19.71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660.97</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104.45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部门（单位）：中共石家庄市鹿泉区委组织部(本级)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部门（单位）：中共石家庄市鹿泉区委组织部(本级)</w:t>
            </w:r>
          </w:p>
        </w:tc>
        <w:tc>
          <w:tcPr>
            <w:tcW w:w="2680" w:type="dxa"/>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部门（单位）：中共石家庄市鹿泉区委组织部(本级)</w:t>
            </w:r>
          </w:p>
        </w:tc>
        <w:tc>
          <w:tcPr>
            <w:tcW w:w="2166"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4.90</w:t>
            </w:r>
          </w:p>
        </w:tc>
        <w:tc>
          <w:tcPr>
            <w:tcW w:w="12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3.65</w:t>
            </w: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3.65</w:t>
            </w:r>
          </w:p>
        </w:tc>
        <w:tc>
          <w:tcPr>
            <w:tcW w:w="77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1.25</w:t>
            </w:r>
          </w:p>
        </w:tc>
        <w:tc>
          <w:tcPr>
            <w:tcW w:w="85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4.90</w:t>
            </w:r>
          </w:p>
        </w:tc>
        <w:tc>
          <w:tcPr>
            <w:tcW w:w="113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3.65</w:t>
            </w: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3.65</w:t>
            </w:r>
          </w:p>
        </w:tc>
        <w:tc>
          <w:tcPr>
            <w:tcW w:w="11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本单位2024年度收、支总计（含结转和结余）均为12,951.25万元。与2023年度决算相比，收支各增加2,713.78万元，增长26.5%，主要原因是</w:t>
      </w:r>
      <w:r>
        <w:rPr>
          <w:rFonts w:hint="eastAsia" w:ascii="Times New Roman" w:eastAsia="仿宋_GB2312"/>
          <w:b w:val="0"/>
          <w:sz w:val="32"/>
          <w:szCs w:val="32"/>
          <w:lang w:val="en-US" w:eastAsia="zh-CN"/>
        </w:rPr>
        <w:t>人数变化导致</w:t>
      </w:r>
      <w:r>
        <w:rPr>
          <w:rFonts w:ascii="Times New Roman" w:eastAsia="仿宋_GB2312"/>
          <w:b w:val="0"/>
          <w:sz w:val="32"/>
          <w:szCs w:val="32"/>
        </w:rPr>
        <w:t>人才绿卡补贴增加，村干部好青年基础职务补贴增加，社区工作者工资增加。</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12,951.25万元，其中：财政拨款收入12,936.25万元，占99.9%​；上级补助收入0.00万元，占0.0%；事业收入0.00万元，占0.0%；经营收入0.00万元，占0.0%；附属单位上缴收入0.00万元，占0.0%；其他收入15.00万元，占0.1%。</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本单位2024年度本年支出合计12,951.25万元，其中：基本支出765.42万元，占5.9%；项目支出12,185.83万元，占94.1%；上缴上级支出0.00万元，占0.0%；经营支出0.00万元，占0.0%；对附属单位补助支出0.00万元，占0.0%。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12,936.25万元。与2023年度相比，财政拨款收支各增加2,711.21万元，增长26.5%，主要原因是人才绿卡补贴增加，村干部好青年基础职务补贴增加，社区工作者工资增加。</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本单位2024年度财政拨款本年收入12,936.25万元,比上年增加2,711.21万元，增长26.5%，主要原因是</w:t>
      </w:r>
      <w:r>
        <w:rPr>
          <w:rFonts w:hint="eastAsia" w:ascii="Times New Roman" w:eastAsia="仿宋_GB2312"/>
          <w:b w:val="0"/>
          <w:sz w:val="32"/>
          <w:szCs w:val="32"/>
          <w:lang w:val="en-US" w:eastAsia="zh-CN"/>
        </w:rPr>
        <w:t>人数增加导致</w:t>
      </w:r>
      <w:r>
        <w:rPr>
          <w:rFonts w:ascii="Times New Roman" w:eastAsia="仿宋_GB2312"/>
          <w:b w:val="0"/>
          <w:sz w:val="32"/>
          <w:szCs w:val="32"/>
        </w:rPr>
        <w:t>人才绿卡补贴增加，村干部好青年基础职务补贴增加，社区工作者工资增加；本年支出12,936.25万元，比上年增加2,711.21万元，增长26.5%，主要原因是人才绿卡补贴增加，村干部好青年基础职务补贴增加，社区工作者工资增加。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12,936.25万元,比上年增加2,711.21万元，增长26.5%，主要原因是人才绿卡补贴增加，村干部好青年基础职务补贴增加，社区工作者工资增加；本年支出12,936.25万元，比上年增加2,711.21万元，增长26.5%，主要原因是人才绿卡补贴增加，村干部好青年基础职务补贴增加，社区工作者工资增加。</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本单位2024年度财政拨款本年收入12,936.25万元，完成年初预算的98.6%，比年初预算减少178.59万元，决算数小于预算数主要原因是</w:t>
      </w:r>
      <w:r>
        <w:rPr>
          <w:rFonts w:hint="eastAsia" w:ascii="Times New Roman" w:eastAsia="仿宋_GB2312"/>
          <w:b w:val="0"/>
          <w:sz w:val="32"/>
          <w:szCs w:val="32"/>
          <w:lang w:val="en-US" w:eastAsia="zh-CN"/>
        </w:rPr>
        <w:t>村级党组织活动经费和社区工作经费转及部分项目结转至下一年度支付</w:t>
      </w:r>
      <w:r>
        <w:rPr>
          <w:rFonts w:ascii="Times New Roman" w:eastAsia="仿宋_GB2312"/>
          <w:b w:val="0"/>
          <w:sz w:val="32"/>
          <w:szCs w:val="32"/>
        </w:rPr>
        <w:t> ；本年支出12,936.25万元，完成年初预算的98.6%，比年初预算减少178.59万元，决算数小于预算数主要原因是</w:t>
      </w:r>
      <w:r>
        <w:rPr>
          <w:rFonts w:hint="eastAsia" w:ascii="Times New Roman" w:eastAsia="仿宋_GB2312"/>
          <w:b w:val="0"/>
          <w:sz w:val="32"/>
          <w:szCs w:val="32"/>
          <w:lang w:val="en-US" w:eastAsia="zh-CN"/>
        </w:rPr>
        <w:t>村级党组织活动经费和社区工作经费转及部分项目结转至下一年度支付</w:t>
      </w:r>
      <w:r>
        <w:rPr>
          <w:rFonts w:ascii="Times New Roman" w:eastAsia="仿宋_GB2312"/>
          <w:b w:val="0"/>
          <w:sz w:val="32"/>
          <w:szCs w:val="32"/>
        </w:rPr>
        <w:t> 。具体情况如下：</w:t>
      </w:r>
    </w:p>
    <w:p>
      <w:pPr>
        <w:widowControl/>
        <w:spacing w:before="0" w:beforeLines="0" w:beforeAutospacing="0" w:after="0" w:afterLines="0" w:afterAutospacing="0" w:line="360" w:lineRule="auto"/>
        <w:ind w:firstLine="640" w:firstLineChars="200"/>
        <w:jc w:val="left"/>
        <w:rPr>
          <w:rFonts w:hint="default" w:ascii="Times New Roman" w:hAnsi="Times New Roman" w:eastAsia="Arial" w:cs="Times New Roman"/>
          <w:highlight w:val="none"/>
        </w:rPr>
      </w:pPr>
      <w:r>
        <w:rPr>
          <w:rFonts w:ascii="Times New Roman" w:eastAsia="仿宋_GB2312"/>
          <w:b w:val="0"/>
          <w:sz w:val="32"/>
          <w:szCs w:val="32"/>
        </w:rPr>
        <w:t>1. 一般公共预算财政拨款本年收入完成年初预算的98.6%，比年初预算减少178.59万元，主要原因是；支出完成年初预算的98.6%，比年初预算减少178.59万元，主要原因是</w:t>
      </w:r>
      <w:r>
        <w:rPr>
          <w:rFonts w:hint="eastAsia" w:ascii="Times New Roman" w:eastAsia="仿宋_GB2312"/>
          <w:b w:val="0"/>
          <w:sz w:val="32"/>
          <w:szCs w:val="32"/>
          <w:lang w:val="en-US" w:eastAsia="zh-CN"/>
        </w:rPr>
        <w:t>村级党组织活动经费和社区工作经费转及部分项目结转至下一年度支付</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2024年度财政拨款支出12,936.25万元，主要用于以下方面：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一般公共服务（类）支出7,154.57万元，占55.3%，主要用于</w:t>
      </w:r>
      <w:r>
        <w:rPr>
          <w:rFonts w:hint="eastAsia" w:ascii="Times New Roman" w:eastAsia="仿宋_GB2312"/>
          <w:b w:val="0"/>
          <w:sz w:val="32"/>
          <w:szCs w:val="32"/>
          <w:lang w:val="en-US" w:eastAsia="zh-CN"/>
        </w:rPr>
        <w:t>人才工作经费房租补贴、社区工作者工资、社区工作经费</w:t>
      </w:r>
      <w:r>
        <w:rPr>
          <w:rFonts w:ascii="Times New Roman" w:eastAsia="仿宋_GB2312"/>
          <w:b w:val="0"/>
          <w:sz w:val="32"/>
          <w:szCs w:val="32"/>
        </w:rPr>
        <w:t>等支出；社会保障和就业 （类）支出76.05万元，占0.6%，主要用于</w:t>
      </w:r>
      <w:r>
        <w:rPr>
          <w:rFonts w:hint="eastAsia" w:ascii="Times New Roman" w:eastAsia="仿宋_GB2312"/>
          <w:b w:val="0"/>
          <w:sz w:val="32"/>
          <w:szCs w:val="32"/>
          <w:lang w:val="en-US" w:eastAsia="zh-CN"/>
        </w:rPr>
        <w:t>在职人员养老保险</w:t>
      </w:r>
      <w:r>
        <w:rPr>
          <w:rFonts w:ascii="Times New Roman" w:eastAsia="仿宋_GB2312"/>
          <w:b w:val="0"/>
          <w:sz w:val="32"/>
          <w:szCs w:val="32"/>
        </w:rPr>
        <w:t>等支出；卫生健康（类）支出43.63万元，占0.3%，主要用于</w:t>
      </w:r>
      <w:r>
        <w:rPr>
          <w:rFonts w:hint="eastAsia" w:ascii="Times New Roman" w:eastAsia="仿宋_GB2312"/>
          <w:b w:val="0"/>
          <w:sz w:val="32"/>
          <w:szCs w:val="32"/>
          <w:lang w:val="en-US" w:eastAsia="zh-CN"/>
        </w:rPr>
        <w:t>在职人员医疗保险</w:t>
      </w:r>
      <w:r>
        <w:rPr>
          <w:rFonts w:ascii="Times New Roman" w:eastAsia="仿宋_GB2312"/>
          <w:b w:val="0"/>
          <w:sz w:val="32"/>
          <w:szCs w:val="32"/>
        </w:rPr>
        <w:t>等支出；农林水（类）支出5,600.94万元，占43.3%，主要用于</w:t>
      </w:r>
      <w:r>
        <w:rPr>
          <w:rFonts w:hint="eastAsia" w:ascii="Times New Roman" w:eastAsia="仿宋_GB2312"/>
          <w:b w:val="0"/>
          <w:sz w:val="32"/>
          <w:szCs w:val="32"/>
          <w:lang w:val="en-US" w:eastAsia="zh-CN"/>
        </w:rPr>
        <w:t>农村干部好青年职务补贴、村级服务群众经费</w:t>
      </w:r>
      <w:r>
        <w:rPr>
          <w:rFonts w:ascii="Times New Roman" w:eastAsia="仿宋_GB2312"/>
          <w:b w:val="0"/>
          <w:sz w:val="32"/>
          <w:szCs w:val="32"/>
        </w:rPr>
        <w:t>等支出；住房保障（类）支出61.05万元，占0.5%，主要用于</w:t>
      </w:r>
      <w:r>
        <w:rPr>
          <w:rFonts w:hint="eastAsia" w:ascii="Times New Roman" w:eastAsia="仿宋_GB2312"/>
          <w:b w:val="0"/>
          <w:sz w:val="32"/>
          <w:szCs w:val="32"/>
          <w:lang w:val="en-US" w:eastAsia="zh-CN"/>
        </w:rPr>
        <w:t>在职人员住房公积金</w:t>
      </w:r>
      <w:r>
        <w:rPr>
          <w:rFonts w:ascii="Times New Roman" w:eastAsia="仿宋_GB2312"/>
          <w:b w:val="0"/>
          <w:sz w:val="32"/>
          <w:szCs w:val="32"/>
        </w:rPr>
        <w:t>等支出；</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2024年度财政拨款基本支出765.42万元，其中：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660.97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公用经费104.45万元，主要包括办公费、印刷费、咨询费、手续费、水费、电费、邮电费、取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本单位2024年度“三公”经费财政拨款支出预算为4.90万元，支出决算为4.90万元，完成预算的100.0%，较预算增加0.00万元，增长0.0%，主要原因是</w:t>
      </w:r>
      <w:r>
        <w:rPr>
          <w:rFonts w:hint="eastAsia" w:ascii="Times New Roman" w:eastAsia="仿宋_GB2312"/>
          <w:b w:val="0"/>
          <w:sz w:val="32"/>
          <w:szCs w:val="32"/>
          <w:lang w:val="en-US" w:eastAsia="zh-CN"/>
        </w:rPr>
        <w:t>本年度预算均已支出</w:t>
      </w:r>
      <w:r>
        <w:rPr>
          <w:rFonts w:ascii="Times New Roman" w:eastAsia="仿宋_GB2312"/>
          <w:b w:val="0"/>
          <w:sz w:val="32"/>
          <w:szCs w:val="32"/>
        </w:rPr>
        <w:t>；较2023年度决算减少0.15万元，降低3.0%，主要原因是</w:t>
      </w:r>
      <w:r>
        <w:rPr>
          <w:rFonts w:hint="eastAsia" w:ascii="Times New Roman" w:eastAsia="仿宋_GB2312"/>
          <w:b w:val="0"/>
          <w:sz w:val="32"/>
          <w:szCs w:val="32"/>
          <w:lang w:val="en-US" w:eastAsia="zh-CN"/>
        </w:rPr>
        <w:t>压减了公务接待支出</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keepNext w:val="0"/>
        <w:keepLines w:val="0"/>
        <w:widowControl/>
        <w:suppressLineNumbers w:val="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本单位2024年度因公出国（境）费支出预算为0.00万元,支出决算0.00万元。完成预算的0.0%。</w:t>
      </w:r>
      <w:r>
        <w:rPr>
          <w:rFonts w:hint="eastAsia" w:ascii="Times New Roman" w:eastAsia="仿宋_GB2312"/>
          <w:b w:val="0"/>
          <w:sz w:val="32"/>
          <w:szCs w:val="32"/>
          <w:lang w:val="en-US" w:eastAsia="zh-CN"/>
        </w:rPr>
        <w:t>因公出国（镜）费支出较预算持平，较上年持平，</w:t>
      </w:r>
      <w:r>
        <w:rPr>
          <w:rFonts w:ascii="Times New Roman" w:eastAsia="仿宋_GB2312"/>
          <w:b w:val="0"/>
          <w:sz w:val="32"/>
          <w:szCs w:val="32"/>
        </w:rPr>
        <w:t>主要原因是</w:t>
      </w:r>
      <w:r>
        <w:rPr>
          <w:rFonts w:ascii="仿宋_GB2312" w:hAnsi="宋体" w:eastAsia="仿宋_GB2312" w:cs="仿宋_GB2312"/>
          <w:color w:val="000000"/>
          <w:kern w:val="0"/>
          <w:sz w:val="31"/>
          <w:szCs w:val="31"/>
          <w:lang w:val="en-US" w:eastAsia="zh-CN" w:bidi="ar"/>
        </w:rPr>
        <w:t>我部门无因公出</w:t>
      </w:r>
      <w:r>
        <w:rPr>
          <w:rFonts w:hint="eastAsia" w:ascii="仿宋_GB2312" w:hAnsi="宋体" w:eastAsia="仿宋_GB2312" w:cs="仿宋_GB2312"/>
          <w:color w:val="000000"/>
          <w:kern w:val="0"/>
          <w:sz w:val="31"/>
          <w:szCs w:val="31"/>
          <w:lang w:val="en-US" w:eastAsia="zh-CN" w:bidi="ar"/>
        </w:rPr>
        <w:t>国支出</w:t>
      </w:r>
      <w:r>
        <w:rPr>
          <w:rFonts w:ascii="Times New Roman" w:eastAsia="仿宋_GB2312"/>
          <w:b w:val="0"/>
          <w:sz w:val="32"/>
          <w:szCs w:val="32"/>
        </w:rPr>
        <w:t>。</w:t>
      </w:r>
      <w:r>
        <w:rPr>
          <w:rFonts w:hint="eastAsia" w:ascii="Times New Roman" w:eastAsia="仿宋_GB2312"/>
          <w:b w:val="0"/>
          <w:sz w:val="32"/>
          <w:szCs w:val="32"/>
        </w:rPr>
        <w:t>无本部门组织及参加其他部门组织的出国（境）团组。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本单位2024年度公务用车购置及运行维护费预算为3.65万元，支出决算3.65万元，完成预算的100.0%,较预算增加0.00万元，增长0.0%,主要原因是</w:t>
      </w:r>
      <w:r>
        <w:rPr>
          <w:rFonts w:hint="eastAsia" w:ascii="Times New Roman" w:eastAsia="仿宋_GB2312"/>
          <w:b w:val="0"/>
          <w:sz w:val="32"/>
          <w:szCs w:val="32"/>
          <w:lang w:val="en-US" w:eastAsia="zh-CN"/>
        </w:rPr>
        <w:t>本年度预算均已支付</w:t>
      </w:r>
      <w:r>
        <w:rPr>
          <w:rFonts w:ascii="Times New Roman" w:eastAsia="仿宋_GB2312"/>
          <w:b w:val="0"/>
          <w:sz w:val="32"/>
          <w:szCs w:val="32"/>
        </w:rPr>
        <w:t>；较上年增加0.05万元，增长1.4%,主要原因是</w:t>
      </w:r>
      <w:r>
        <w:rPr>
          <w:rFonts w:hint="eastAsia" w:ascii="Times New Roman" w:eastAsia="仿宋_GB2312"/>
          <w:b w:val="0"/>
          <w:sz w:val="32"/>
          <w:szCs w:val="32"/>
          <w:lang w:val="en-US" w:eastAsia="zh-CN"/>
        </w:rPr>
        <w:t>公车维修费用增加</w:t>
      </w:r>
      <w:r>
        <w:rPr>
          <w:rFonts w:ascii="Times New Roman" w:eastAsia="仿宋_GB2312"/>
          <w:b w:val="0"/>
          <w:sz w:val="32"/>
          <w:szCs w:val="32"/>
        </w:rPr>
        <w:t>。其中：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 万元。</w:t>
      </w:r>
      <w:r>
        <w:rPr>
          <w:rFonts w:hint="eastAsia" w:ascii="Times New Roman" w:eastAsia="仿宋_GB2312"/>
          <w:b w:val="0"/>
          <w:sz w:val="32"/>
          <w:szCs w:val="32"/>
        </w:rPr>
        <w:t>公务用车购置费支出较预算持平，主要是无公务用车购置预算；较上年持平，主要是无公务用车购置预算。</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公务用车运行维护费支出3.65万元：</w:t>
      </w:r>
      <w:r>
        <w:rPr>
          <w:rFonts w:ascii="Times New Roman" w:eastAsia="仿宋_GB2312"/>
          <w:b w:val="0"/>
          <w:sz w:val="32"/>
          <w:szCs w:val="32"/>
        </w:rPr>
        <w:t>本单位2024年度单位公务用车保有量2辆，发生运行维护费支出3.65万元。公车运行维护费支出较预算增加0.00万元，增长0.0%,主要原因是</w:t>
      </w:r>
      <w:r>
        <w:rPr>
          <w:rFonts w:hint="eastAsia" w:ascii="Times New Roman" w:eastAsia="仿宋_GB2312"/>
          <w:b w:val="0"/>
          <w:sz w:val="32"/>
          <w:szCs w:val="32"/>
        </w:rPr>
        <w:t>本年度预算均已支付</w:t>
      </w:r>
      <w:r>
        <w:rPr>
          <w:rFonts w:ascii="Times New Roman" w:eastAsia="仿宋_GB2312"/>
          <w:b w:val="0"/>
          <w:sz w:val="32"/>
          <w:szCs w:val="32"/>
        </w:rPr>
        <w:t>；较上年增加0.05万元，增长1.4%，主要原因是</w:t>
      </w:r>
      <w:r>
        <w:rPr>
          <w:rFonts w:hint="eastAsia" w:ascii="Times New Roman" w:eastAsia="仿宋_GB2312"/>
          <w:b w:val="0"/>
          <w:sz w:val="32"/>
          <w:szCs w:val="32"/>
          <w:lang w:val="en-US" w:eastAsia="zh-CN"/>
        </w:rPr>
        <w:t>公车维修费用增加</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本单位2024年度公务接待费支出预算为1.25万元，支出决算1.25万元，完成预算的100.0%。公务接待费支出较预算增加0.00万元，增长0.0%,主要原因是</w:t>
      </w:r>
      <w:r>
        <w:rPr>
          <w:rFonts w:hint="eastAsia" w:ascii="Times New Roman" w:eastAsia="仿宋_GB2312"/>
          <w:b w:val="0"/>
          <w:sz w:val="32"/>
          <w:szCs w:val="32"/>
        </w:rPr>
        <w:t>本年度预算均已支付</w:t>
      </w:r>
      <w:r>
        <w:rPr>
          <w:rFonts w:ascii="Times New Roman" w:eastAsia="仿宋_GB2312"/>
          <w:b w:val="0"/>
          <w:sz w:val="32"/>
          <w:szCs w:val="32"/>
        </w:rPr>
        <w:t>；较上年度减少0.20万元，降低13.8%,主要原因是</w:t>
      </w:r>
      <w:r>
        <w:rPr>
          <w:rFonts w:hint="eastAsia" w:ascii="Times New Roman" w:eastAsia="仿宋_GB2312"/>
          <w:b w:val="0"/>
          <w:sz w:val="32"/>
          <w:szCs w:val="32"/>
          <w:lang w:val="en-US" w:eastAsia="zh-CN"/>
        </w:rPr>
        <w:t>公务接待人次减少</w:t>
      </w:r>
      <w:r>
        <w:rPr>
          <w:rFonts w:ascii="Times New Roman" w:eastAsia="仿宋_GB2312"/>
          <w:b w:val="0"/>
          <w:sz w:val="32"/>
          <w:szCs w:val="32"/>
        </w:rPr>
        <w:t>。本年度</w:t>
      </w:r>
      <w:r>
        <w:rPr>
          <w:rFonts w:ascii="Times New Roman" w:eastAsia="仿宋_GB2312"/>
          <w:b w:val="0"/>
          <w:sz w:val="32"/>
          <w:szCs w:val="32"/>
          <w:highlight w:val="none"/>
        </w:rPr>
        <w:t>共发生公务接待</w:t>
      </w:r>
      <w:r>
        <w:rPr>
          <w:rFonts w:hint="eastAsia" w:ascii="Times New Roman" w:eastAsia="仿宋_GB2312"/>
          <w:b w:val="0"/>
          <w:sz w:val="32"/>
          <w:szCs w:val="32"/>
          <w:highlight w:val="none"/>
          <w:lang w:val="en-US" w:eastAsia="zh-CN"/>
        </w:rPr>
        <w:t>4</w:t>
      </w:r>
      <w:r>
        <w:rPr>
          <w:rFonts w:ascii="Times New Roman" w:eastAsia="仿宋_GB2312"/>
          <w:b w:val="0"/>
          <w:sz w:val="32"/>
          <w:szCs w:val="32"/>
          <w:highlight w:val="none"/>
        </w:rPr>
        <w:t>批次、</w:t>
      </w:r>
      <w:r>
        <w:rPr>
          <w:rFonts w:hint="eastAsia" w:ascii="Times New Roman" w:eastAsia="仿宋_GB2312"/>
          <w:b w:val="0"/>
          <w:sz w:val="32"/>
          <w:szCs w:val="32"/>
          <w:highlight w:val="none"/>
          <w:lang w:val="en-US" w:eastAsia="zh-CN"/>
        </w:rPr>
        <w:t>60</w:t>
      </w:r>
      <w:r>
        <w:rPr>
          <w:rFonts w:ascii="Times New Roman" w:eastAsia="仿宋_GB2312"/>
          <w:b w:val="0"/>
          <w:sz w:val="32"/>
          <w:szCs w:val="32"/>
          <w:highlight w:val="none"/>
        </w:rPr>
        <w:t>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本单位2024年度机关运行经费支出104.45万元，较2023年度减少6.73万元，降低6.1%。主要原因是</w:t>
      </w:r>
      <w:r>
        <w:rPr>
          <w:rFonts w:hint="eastAsia" w:ascii="Times New Roman" w:eastAsia="仿宋_GB2312"/>
          <w:b w:val="0"/>
          <w:sz w:val="32"/>
          <w:szCs w:val="32"/>
        </w:rPr>
        <w:t>人员变动，机关运行费相应减少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19.22万元，从采购类型来看，政府采购货物支出5.00万元、政府采购工程支出0.00万元、政府采购服务支出14.22万元。授予中小企业合同金额19.22万元，占政府采购支出总额的100.0%，其中授予小微企业合同金额19.22万元，占政府采购支出总额的100.0%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2辆，比上年增加0辆，主要是。其中，副部（省）级及以上领导用车0辆，主要负责人用车0辆，机要通信用车0辆，应急保障用车2辆，执法执勤用车0辆，特种专业技术用车0辆，离退休干部用车0辆，其他用车0辆，其他用车主要是。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eastAsia="zh-CN"/>
        </w:rPr>
        <w:t>12170.83</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46</w:t>
      </w:r>
      <w:r>
        <w:rPr>
          <w:rFonts w:ascii="Times New Roman" w:eastAsia="仿宋_GB2312"/>
          <w:b w:val="0"/>
          <w:sz w:val="32"/>
          <w:szCs w:val="32"/>
        </w:rPr>
        <w:t>个，涉及资金</w:t>
      </w:r>
      <w:r>
        <w:rPr>
          <w:rFonts w:hint="eastAsia" w:ascii="Times New Roman" w:eastAsia="仿宋_GB2312"/>
          <w:b w:val="0"/>
          <w:sz w:val="32"/>
          <w:szCs w:val="32"/>
          <w:lang w:eastAsia="zh-CN"/>
        </w:rPr>
        <w:t>12170.83</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lang w:val="en-US" w:eastAsia="zh-CN"/>
        </w:rPr>
        <w:t>村干部基础职务补贴、人才绿卡C卡房租补贴、人才绿卡AB卡房租补贴、社区工作者工资</w:t>
      </w:r>
      <w:r>
        <w:rPr>
          <w:rFonts w:ascii="Times New Roman" w:eastAsia="仿宋_GB2312"/>
          <w:b w:val="0"/>
          <w:sz w:val="32"/>
          <w:szCs w:val="32"/>
        </w:rPr>
        <w:t>等</w:t>
      </w:r>
      <w:r>
        <w:rPr>
          <w:rFonts w:hint="eastAsia" w:ascii="Times New Roman" w:eastAsia="仿宋_GB2312"/>
          <w:b w:val="0"/>
          <w:sz w:val="32"/>
          <w:szCs w:val="32"/>
          <w:lang w:val="en-US" w:eastAsia="zh-CN"/>
        </w:rPr>
        <w:t>6</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5277.71</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hint="eastAsia" w:ascii="Times New Roman" w:eastAsia="仿宋_GB2312"/>
          <w:b w:val="0"/>
          <w:sz w:val="32"/>
          <w:szCs w:val="32"/>
          <w:lang w:val="en-US" w:eastAsia="zh-CN"/>
        </w:rPr>
        <w:t>评价等级为“优”的项目6个，评优率为100%</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w:t>
      </w:r>
      <w:r>
        <w:rPr>
          <w:rFonts w:hint="eastAsia" w:ascii="Times New Roman" w:eastAsia="仿宋_GB2312"/>
          <w:b w:val="0"/>
          <w:sz w:val="32"/>
          <w:szCs w:val="32"/>
          <w:lang w:val="en-US" w:eastAsia="zh-CN"/>
        </w:rPr>
        <w:t>村干部基础职务补贴、人才绿卡c卡房租补贴</w:t>
      </w:r>
      <w:r>
        <w:rPr>
          <w:rFonts w:ascii="Times New Roman" w:eastAsia="仿宋_GB2312"/>
          <w:b w:val="0"/>
          <w:sz w:val="32"/>
          <w:szCs w:val="32"/>
        </w:rPr>
        <w:t>等</w:t>
      </w:r>
      <w:r>
        <w:rPr>
          <w:rFonts w:hint="eastAsia" w:ascii="Times New Roman" w:eastAsia="仿宋_GB2312"/>
          <w:b w:val="0"/>
          <w:sz w:val="32"/>
          <w:szCs w:val="32"/>
          <w:lang w:val="en-US" w:eastAsia="zh-CN"/>
        </w:rPr>
        <w:t>46</w:t>
      </w:r>
      <w:r>
        <w:rPr>
          <w:rFonts w:ascii="Times New Roman" w:eastAsia="仿宋_GB2312"/>
          <w:b w:val="0"/>
          <w:sz w:val="32"/>
          <w:szCs w:val="32"/>
        </w:rPr>
        <w:t>个项目绩效自评结果。</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ascii="Times New Roman" w:eastAsia="仿宋_GB2312"/>
          <w:b w:val="0"/>
          <w:sz w:val="32"/>
          <w:szCs w:val="32"/>
        </w:rPr>
        <w:t>项目绩效自评情况：根据年初设定的绩效目标，项目绩效自评得分</w:t>
      </w:r>
      <w:r>
        <w:rPr>
          <w:rFonts w:hint="eastAsia" w:ascii="Times New Roman" w:eastAsia="仿宋_GB2312"/>
          <w:b w:val="0"/>
          <w:sz w:val="32"/>
          <w:szCs w:val="32"/>
          <w:lang w:val="en-US" w:eastAsia="zh-CN"/>
        </w:rPr>
        <w:t>详见绩效自评汇总表</w:t>
      </w:r>
      <w:r>
        <w:rPr>
          <w:rFonts w:ascii="Times New Roman" w:eastAsia="仿宋_GB2312"/>
          <w:b w:val="0"/>
          <w:sz w:val="32"/>
          <w:szCs w:val="32"/>
        </w:rPr>
        <w:t>（绩效自评表附后）。全年预算数</w:t>
      </w:r>
      <w:r>
        <w:rPr>
          <w:rFonts w:hint="eastAsia" w:ascii="Times New Roman" w:eastAsia="仿宋_GB2312"/>
          <w:b w:val="0"/>
          <w:sz w:val="32"/>
          <w:szCs w:val="32"/>
          <w:lang w:val="en-US" w:eastAsia="zh-CN"/>
        </w:rPr>
        <w:t>为2199.23</w:t>
      </w:r>
      <w:r>
        <w:rPr>
          <w:rFonts w:ascii="Times New Roman" w:eastAsia="仿宋_GB2312"/>
          <w:b w:val="0"/>
          <w:sz w:val="32"/>
          <w:szCs w:val="32"/>
        </w:rPr>
        <w:t>万元，执行数为</w:t>
      </w:r>
      <w:r>
        <w:rPr>
          <w:rFonts w:hint="eastAsia" w:ascii="Times New Roman" w:eastAsia="仿宋_GB2312"/>
          <w:b w:val="0"/>
          <w:sz w:val="32"/>
          <w:szCs w:val="32"/>
          <w:lang w:eastAsia="zh-CN"/>
        </w:rPr>
        <w:t>12170.83</w:t>
      </w:r>
      <w:r>
        <w:rPr>
          <w:rFonts w:ascii="Times New Roman" w:eastAsia="仿宋_GB2312"/>
          <w:b w:val="0"/>
          <w:sz w:val="32"/>
          <w:szCs w:val="32"/>
        </w:rPr>
        <w:t>万元，完成预算的</w:t>
      </w:r>
      <w:r>
        <w:rPr>
          <w:rFonts w:hint="eastAsia" w:ascii="Times New Roman" w:eastAsia="仿宋_GB2312"/>
          <w:b w:val="0"/>
          <w:sz w:val="32"/>
          <w:szCs w:val="32"/>
          <w:lang w:val="en-US" w:eastAsia="zh-CN"/>
        </w:rPr>
        <w:t>99.77</w:t>
      </w:r>
      <w:r>
        <w:rPr>
          <w:rFonts w:ascii="Times New Roman" w:eastAsia="仿宋_GB2312"/>
          <w:b w:val="0"/>
          <w:sz w:val="32"/>
          <w:szCs w:val="32"/>
        </w:rPr>
        <w:t>%。项目绩效目标完成情况：一是</w:t>
      </w:r>
      <w:r>
        <w:rPr>
          <w:rFonts w:hint="eastAsia" w:ascii="Times New Roman" w:eastAsia="仿宋_GB2312"/>
          <w:b w:val="0"/>
          <w:sz w:val="32"/>
          <w:szCs w:val="32"/>
          <w:lang w:val="en-US" w:eastAsia="zh-CN"/>
        </w:rPr>
        <w:t>经费使用符合国家有关制度规定</w:t>
      </w:r>
      <w:r>
        <w:rPr>
          <w:rFonts w:ascii="Times New Roman" w:eastAsia="仿宋_GB2312"/>
          <w:b w:val="0"/>
          <w:sz w:val="32"/>
          <w:szCs w:val="32"/>
        </w:rPr>
        <w:t>；二是</w:t>
      </w:r>
      <w:r>
        <w:rPr>
          <w:rFonts w:hint="eastAsia" w:ascii="Times New Roman" w:eastAsia="仿宋_GB2312"/>
          <w:b w:val="0"/>
          <w:sz w:val="32"/>
          <w:szCs w:val="32"/>
          <w:lang w:val="en-US" w:eastAsia="zh-CN"/>
        </w:rPr>
        <w:t>拨付有完整的审批程序和手续，且已支出到位</w:t>
      </w:r>
      <w:r>
        <w:rPr>
          <w:rFonts w:ascii="Times New Roman" w:eastAsia="仿宋_GB2312"/>
          <w:b w:val="0"/>
          <w:sz w:val="32"/>
          <w:szCs w:val="32"/>
        </w:rPr>
        <w:t>。发现的主要问题及原因是：一是</w:t>
      </w:r>
      <w:r>
        <w:rPr>
          <w:rFonts w:hint="eastAsia" w:ascii="Times New Roman" w:eastAsia="仿宋_GB2312"/>
          <w:b w:val="0"/>
          <w:sz w:val="32"/>
          <w:szCs w:val="32"/>
        </w:rPr>
        <w:t>年初预算不够准确，年中追加预算金额较大</w:t>
      </w:r>
      <w:r>
        <w:rPr>
          <w:rFonts w:ascii="Times New Roman" w:eastAsia="仿宋_GB2312"/>
          <w:b w:val="0"/>
          <w:sz w:val="32"/>
          <w:szCs w:val="32"/>
        </w:rPr>
        <w:t>；二是</w:t>
      </w:r>
      <w:r>
        <w:rPr>
          <w:rFonts w:hint="eastAsia" w:ascii="Times New Roman" w:eastAsia="仿宋_GB2312"/>
          <w:b w:val="0"/>
          <w:sz w:val="32"/>
          <w:szCs w:val="32"/>
        </w:rPr>
        <w:t>绩效监控质量不达标，填报内容简单，对绩效目标偏差问题缺乏有效分析，无法监控绩效目标的实现程度，还有待进一步提升项目科室整体绩效管理理念</w:t>
      </w:r>
      <w:r>
        <w:rPr>
          <w:rFonts w:ascii="Times New Roman" w:eastAsia="仿宋_GB2312"/>
          <w:b w:val="0"/>
          <w:sz w:val="32"/>
          <w:szCs w:val="32"/>
        </w:rPr>
        <w:t>。下一步改进措施：一是</w:t>
      </w:r>
      <w:r>
        <w:rPr>
          <w:rFonts w:hint="eastAsia" w:ascii="Times New Roman" w:eastAsia="仿宋_GB2312"/>
          <w:b w:val="0"/>
          <w:sz w:val="32"/>
          <w:szCs w:val="32"/>
        </w:rPr>
        <w:t>结合上一年度预算执行和本年度预算收支因素，科学、合理地编制本年预算支出，尽可能的缩小预算执行率</w:t>
      </w:r>
      <w:r>
        <w:rPr>
          <w:rFonts w:ascii="Times New Roman" w:eastAsia="仿宋_GB2312"/>
          <w:b w:val="0"/>
          <w:sz w:val="32"/>
          <w:szCs w:val="32"/>
        </w:rPr>
        <w:t>；二是</w:t>
      </w:r>
      <w:r>
        <w:rPr>
          <w:rFonts w:hint="eastAsia" w:ascii="Times New Roman" w:eastAsia="仿宋_GB2312"/>
          <w:b w:val="0"/>
          <w:sz w:val="32"/>
          <w:szCs w:val="32"/>
        </w:rPr>
        <w:t>加强绩效监控，根据监控结果通过中期合理调配资金，增强与各业务股室协调合作，提高项目执行率，提高资金支付效率</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三是管理规范，监督有效。为进一步规范财务管理，严格资金使用程序，健全资金管理制度，定期对资金使用情况进行检查，严格确保项目质量。</w:t>
      </w:r>
    </w:p>
    <w:p>
      <w:pPr>
        <w:widowControl/>
        <w:spacing w:before="0" w:beforeLines="0" w:beforeAutospacing="0" w:after="0" w:afterLines="0" w:afterAutospacing="0" w:line="360" w:lineRule="auto"/>
        <w:ind w:firstLine="720" w:firstLineChars="200"/>
        <w:jc w:val="left"/>
        <w:rPr>
          <w:rFonts w:hint="default" w:ascii="Times New Roman" w:eastAsia="仿宋_GB2312"/>
          <w:b w:val="0"/>
          <w:sz w:val="36"/>
          <w:szCs w:val="36"/>
          <w:lang w:val="en-US" w:eastAsia="zh-CN"/>
        </w:rPr>
      </w:pPr>
      <w:r>
        <w:rPr>
          <w:rFonts w:hint="default" w:ascii="Times New Roman" w:eastAsia="仿宋_GB2312"/>
          <w:b w:val="0"/>
          <w:sz w:val="36"/>
          <w:szCs w:val="36"/>
          <w:lang w:val="en-US" w:eastAsia="zh-CN"/>
        </w:rPr>
        <w:t>单位绩效自评结果公开汇总表</w:t>
      </w:r>
    </w:p>
    <w:tbl>
      <w:tblPr>
        <w:tblStyle w:val="11"/>
        <w:tblW w:w="955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50"/>
        <w:gridCol w:w="1504"/>
        <w:gridCol w:w="1348"/>
        <w:gridCol w:w="1536"/>
        <w:gridCol w:w="1536"/>
        <w:gridCol w:w="1176"/>
        <w:gridCol w:w="1003"/>
        <w:gridCol w:w="90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85" w:hRule="atLeast"/>
        </w:trPr>
        <w:tc>
          <w:tcPr>
            <w:tcW w:w="6474" w:type="dxa"/>
            <w:gridSpan w:val="5"/>
            <w:tcBorders>
              <w:top w:val="nil"/>
              <w:left w:val="nil"/>
              <w:bottom w:val="nil"/>
              <w:right w:val="nil"/>
            </w:tcBorders>
            <w:shd w:val="clear" w:color="auto" w:fill="auto"/>
            <w:vAlign w:val="bottom"/>
          </w:tcPr>
          <w:p>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单位名称：中共石家庄市鹿泉区委组织部（本级）</w:t>
            </w:r>
          </w:p>
        </w:tc>
        <w:tc>
          <w:tcPr>
            <w:tcW w:w="1176" w:type="dxa"/>
            <w:tcBorders>
              <w:top w:val="nil"/>
              <w:left w:val="nil"/>
              <w:bottom w:val="nil"/>
              <w:right w:val="nil"/>
            </w:tcBorders>
            <w:shd w:val="clear" w:color="auto" w:fill="auto"/>
            <w:vAlign w:val="bottom"/>
          </w:tcPr>
          <w:p>
            <w:pPr>
              <w:rPr>
                <w:rFonts w:hint="eastAsia" w:ascii="宋体" w:hAnsi="宋体" w:eastAsia="宋体" w:cs="宋体"/>
                <w:i w:val="0"/>
                <w:iCs w:val="0"/>
                <w:color w:val="000000"/>
                <w:sz w:val="24"/>
                <w:szCs w:val="24"/>
                <w:u w:val="none"/>
              </w:rPr>
            </w:pPr>
          </w:p>
        </w:tc>
        <w:tc>
          <w:tcPr>
            <w:tcW w:w="1905" w:type="dxa"/>
            <w:gridSpan w:val="2"/>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40"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项目名称</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项目实施单位</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预算数（调整后）</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执行数（至 2024年底）</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结余交回财政数</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自评得分</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自评结果应用意见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2024年度好青年基础职务补贴</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375.253053</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375.253053</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2024年好青年基础职务补贴</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21.594885</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21.594885</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2024年村干部基础职务补贴</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3607.081212</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3607.081212</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2024年服务群众专项经费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900</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900</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2024年村级办公经费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99.2425</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99.2425</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2024年离任村干部生活补贴</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232.462</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232.462</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2024年村党组织活动经费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283.7</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283.7</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2024年村党组织书记、村委会主任养老保险奖励</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49.25023</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49.25023</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2024年老党员生活补贴</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5.032138</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5.032138</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2024年人才绿卡A卡生活补助</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185.05</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185.05</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11</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2024年考核专项业务费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1.4462</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1.314</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0.1322</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99</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12</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2024年干部人事档案库房建设项目</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19.594362</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19.594362</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13</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2024年人才绿卡AB卡房租补贴</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1109.65</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1109.65</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14</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2024年村改居社区工作经费和党建惠民经费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70</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70</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15</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2024年2023年干部能力提升专项培训行动经费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40.70945</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40.70945</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16</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2024年干部档案数字化建设工程经费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8.749</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8.749</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17</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2024年2023年社区工作者招聘面试经费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3.6</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3.6</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18</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2024年专项公用经费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26.17881</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26.17881</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19</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2024年社区工作经费和党建惠民经费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573</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573</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2024年党员培训教育经费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19.99261</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19.99261</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21</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2024年乡村振兴重点村驻村工作队经费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22</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2024年档案系统国产化升级改造工作</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30</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30</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23</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2024年人才绿卡C卡房租补贴</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2000</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2000</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24</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2024年会议接待费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4.25</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1.55</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2.7</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96</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25</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2024年培训费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29</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28.99576</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0.00424</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95</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26</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2024年区管拔尖人才工作津贴</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69.03</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69.03</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27</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2024年人才工作专项经费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4.501262</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4.501262</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28</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2024年社区工作者工资</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1316</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1316</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29</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2024年干部信息管理专项经费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2.379</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2.379</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30</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2024年主题教育工作专项经费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29.38446</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29.38446</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40"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31</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提前下达2024年下派选调生到村工作中央财政补助资金</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44.25</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18.73747</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25.51253</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95</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32</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提前下达2024年市级优抚补助资金</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1.81</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1.81</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33</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提前下达2024年省级财政优抚对象补助经费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0.3</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0.3</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40"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34</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提前下达2023年度下派选调生到村工作中央财政补助资金</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3.07037</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3.07037</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40"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35</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结算下达2023年下派选调生到村工作中央财政补助资金</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10.55</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10.55</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36</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2024年下沉工作队综合经费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32</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32</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37</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“英才入石”招聘工作经费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6.33975</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6.33975</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40"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38</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干部人事档案管理信息系统国产化升级改造追加经费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30</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30</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39</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乡村振兴重点村驻村工作队追加经费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80</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80</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40</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干部信息移动查询端设备经费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9.6</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9.6</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41</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追加人才绿卡C卡房租补贴</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550.455</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550.455</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42</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追加人才绿卡C卡房租补贴</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52</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52</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43</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下达市级企业全职引进高层次人才奖励资金</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5.073862</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5.073862</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44</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社区工作者工资追加</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102.06293</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102.06293</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45</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社区工作者12月工资及社保追加</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147.538006</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147.538006</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40"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46</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下达2024年市级第三批优抚对象补助（提标部分）资金</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中共石家庄市鹿泉区委组织部（本级）</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0.05</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0.05</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95</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8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合计</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12199.23109</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12170.83212</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bl>
    <w:p>
      <w:pPr>
        <w:widowControl/>
        <w:spacing w:before="0" w:beforeLines="0" w:beforeAutospacing="0" w:after="0" w:afterLines="0" w:afterAutospacing="0" w:line="360" w:lineRule="auto"/>
        <w:ind w:firstLine="720" w:firstLineChars="200"/>
        <w:jc w:val="left"/>
        <w:rPr>
          <w:rFonts w:hint="default" w:ascii="Times New Roman" w:eastAsia="仿宋_GB2312"/>
          <w:b w:val="0"/>
          <w:sz w:val="36"/>
          <w:szCs w:val="36"/>
          <w:lang w:val="en-US" w:eastAsia="zh-CN"/>
        </w:rPr>
      </w:pP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sz w:val="32"/>
          <w:szCs w:val="32"/>
        </w:rPr>
        <w:t>我部门无部门评价项目。</w:t>
      </w: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171005AF-B0FF-4AD7-9FA7-D63889C62FB5}"/>
  </w:font>
  <w:font w:name="黑体">
    <w:panose1 w:val="02010609060101010101"/>
    <w:charset w:val="86"/>
    <w:family w:val="auto"/>
    <w:pitch w:val="default"/>
    <w:sig w:usb0="800002BF" w:usb1="38CF7CFA" w:usb2="00000016" w:usb3="00000000" w:csb0="00040001" w:csb1="00000000"/>
    <w:embedRegular r:id="rId2" w:fontKey="{4E0F7BCF-0493-4977-8B80-6A6CA885FB7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02638257-3A1E-49DA-9453-50C1CFABF71F}"/>
  </w:font>
  <w:font w:name="仿宋">
    <w:panose1 w:val="02010609060101010101"/>
    <w:charset w:val="86"/>
    <w:family w:val="modern"/>
    <w:pitch w:val="default"/>
    <w:sig w:usb0="800002BF" w:usb1="38CF7CFA" w:usb2="00000016" w:usb3="00000000" w:csb0="00040001" w:csb1="00000000"/>
    <w:embedRegular r:id="rId4" w:fontKey="{AAA07DA7-EFEC-4E88-8776-FF37995E6BC5}"/>
  </w:font>
  <w:font w:name="Calibri Light">
    <w:panose1 w:val="020F0302020204030204"/>
    <w:charset w:val="00"/>
    <w:family w:val="auto"/>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PMingLiU">
    <w:panose1 w:val="02020500000000000000"/>
    <w:charset w:val="88"/>
    <w:family w:val="roman"/>
    <w:pitch w:val="default"/>
    <w:sig w:usb0="A00002FF" w:usb1="28CFFCFA" w:usb2="00000016" w:usb3="00000000" w:csb0="00100001" w:csb1="00000000"/>
  </w:font>
  <w:font w:name="楷体_GB2312">
    <w:panose1 w:val="02010609030101010101"/>
    <w:charset w:val="86"/>
    <w:family w:val="auto"/>
    <w:pitch w:val="default"/>
    <w:sig w:usb0="00000001" w:usb1="080E0000" w:usb2="00000000" w:usb3="00000000" w:csb0="00040000" w:csb1="00000000"/>
    <w:embedRegular r:id="rId5" w:fontKey="{101EA9CD-857C-4BD0-AD53-BC91B75BCFCB}"/>
  </w:font>
  <w:font w:name="方正小标宋_GBK">
    <w:panose1 w:val="02000000000000000000"/>
    <w:charset w:val="86"/>
    <w:family w:val="script"/>
    <w:pitch w:val="default"/>
    <w:sig w:usb0="00000000" w:usb1="00000000" w:usb2="00000000" w:usb3="00000000" w:csb0="00000000" w:csb1="00000000"/>
    <w:embedRegular r:id="rId6" w:fontKey="{8F9C10CE-D326-457E-BB1B-65B794EEE9A7}"/>
  </w:font>
  <w:font w:name="仿宋_GB2312">
    <w:panose1 w:val="02010609030101010101"/>
    <w:charset w:val="86"/>
    <w:family w:val="auto"/>
    <w:pitch w:val="default"/>
    <w:sig w:usb0="00000001" w:usb1="080E0000" w:usb2="00000000" w:usb3="00000000" w:csb0="00040000" w:csb1="00000000"/>
    <w:embedRegular r:id="rId7" w:fontKey="{38518FAC-9A33-4C14-9A5C-FE9BCAAA6C6E}"/>
  </w:font>
  <w:font w:name="ArialUnicodeMS">
    <w:altName w:val="Malgun Gothic"/>
    <w:panose1 w:val="00000000000000000000"/>
    <w:charset w:val="81"/>
    <w:family w:val="auto"/>
    <w:pitch w:val="default"/>
    <w:sig w:usb0="00000000" w:usb1="00000000" w:usb2="00000010" w:usb3="00000000" w:csb0="00080001" w:csb1="00000000"/>
    <w:embedRegular r:id="rId8" w:fontKey="{44D57366-4CAC-4A41-B320-52666297388D}"/>
  </w:font>
  <w:font w:name="方正仿宋_GB2312">
    <w:panose1 w:val="02000000000000000000"/>
    <w:charset w:val="86"/>
    <w:family w:val="auto"/>
    <w:pitch w:val="default"/>
    <w:sig w:usb0="00000000" w:usb1="00000000" w:usb2="00000000" w:usb3="00000000" w:csb0="00000000" w:csb1="00000000"/>
    <w:embedRegular r:id="rId9" w:fontKey="{3533E8F9-D5A2-4FE1-84B7-5DE6ED17AFF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182699"/>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213CA5"/>
    <w:rsid w:val="07533AFE"/>
    <w:rsid w:val="07AC18F2"/>
    <w:rsid w:val="07B3657A"/>
    <w:rsid w:val="07C857D0"/>
    <w:rsid w:val="083F3A0A"/>
    <w:rsid w:val="08AB5AAF"/>
    <w:rsid w:val="08C02FFE"/>
    <w:rsid w:val="09012C64"/>
    <w:rsid w:val="093B2E99"/>
    <w:rsid w:val="095D7943"/>
    <w:rsid w:val="09C006C6"/>
    <w:rsid w:val="0A10621F"/>
    <w:rsid w:val="0A464C4F"/>
    <w:rsid w:val="0A6729A3"/>
    <w:rsid w:val="0A694877"/>
    <w:rsid w:val="0AA954BE"/>
    <w:rsid w:val="0AE70639"/>
    <w:rsid w:val="0B4F5E6D"/>
    <w:rsid w:val="0B753AE2"/>
    <w:rsid w:val="0BAC099F"/>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5F64E85"/>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BC4A5A"/>
    <w:rsid w:val="23FC3864"/>
    <w:rsid w:val="24857B00"/>
    <w:rsid w:val="24F25212"/>
    <w:rsid w:val="251B0465"/>
    <w:rsid w:val="254B0AC6"/>
    <w:rsid w:val="25571AB6"/>
    <w:rsid w:val="25B40AD6"/>
    <w:rsid w:val="25BE7872"/>
    <w:rsid w:val="25BF702A"/>
    <w:rsid w:val="261E2291"/>
    <w:rsid w:val="26390459"/>
    <w:rsid w:val="264D2D17"/>
    <w:rsid w:val="26D50E55"/>
    <w:rsid w:val="271A539C"/>
    <w:rsid w:val="273823FA"/>
    <w:rsid w:val="274972D4"/>
    <w:rsid w:val="27AA3D97"/>
    <w:rsid w:val="280A3758"/>
    <w:rsid w:val="28292E99"/>
    <w:rsid w:val="289057C5"/>
    <w:rsid w:val="28A67C7A"/>
    <w:rsid w:val="28EA3248"/>
    <w:rsid w:val="28F879DA"/>
    <w:rsid w:val="28F9077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453146"/>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622E60"/>
    <w:rsid w:val="447537F1"/>
    <w:rsid w:val="44870D07"/>
    <w:rsid w:val="44D33826"/>
    <w:rsid w:val="45315EC5"/>
    <w:rsid w:val="45344EFF"/>
    <w:rsid w:val="45513D03"/>
    <w:rsid w:val="45541E1C"/>
    <w:rsid w:val="45FE7734"/>
    <w:rsid w:val="461F0A8B"/>
    <w:rsid w:val="4648721E"/>
    <w:rsid w:val="46663E71"/>
    <w:rsid w:val="466A37AC"/>
    <w:rsid w:val="468A1A00"/>
    <w:rsid w:val="46CB071B"/>
    <w:rsid w:val="46DE140B"/>
    <w:rsid w:val="46E77334"/>
    <w:rsid w:val="46F22E29"/>
    <w:rsid w:val="46F7142F"/>
    <w:rsid w:val="46FF36F0"/>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8263F2"/>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6BA4522"/>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634E27"/>
    <w:rsid w:val="5B830730"/>
    <w:rsid w:val="5BBB2DD6"/>
    <w:rsid w:val="5BE263B6"/>
    <w:rsid w:val="5C8E5C5A"/>
    <w:rsid w:val="5C965E61"/>
    <w:rsid w:val="5CF0089C"/>
    <w:rsid w:val="5CF5796F"/>
    <w:rsid w:val="5D242A11"/>
    <w:rsid w:val="5D9217C2"/>
    <w:rsid w:val="5D9D4E8B"/>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0B6820"/>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6FC0033B"/>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2DE36E0"/>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5E069B"/>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805B16"/>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paragraph" w:customStyle="1" w:styleId="25">
    <w:name w:val="Body text|2"/>
    <w:basedOn w:val="1"/>
    <w:qFormat/>
    <w:uiPriority w:val="0"/>
    <w:pPr>
      <w:widowControl w:val="0"/>
      <w:shd w:val="clear" w:color="auto" w:fill="FFFFFF"/>
      <w:spacing w:line="547" w:lineRule="exact"/>
      <w:jc w:val="distribute"/>
    </w:pPr>
    <w:rPr>
      <w:rFonts w:ascii="PMingLiU" w:hAnsi="PMingLiU" w:eastAsia="PMingLiU" w:cs="PMingLiU"/>
      <w:spacing w:val="50"/>
      <w:sz w:val="28"/>
      <w:szCs w:val="28"/>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10237.47</c:v>
                </c:pt>
                <c:pt idx="1">
                  <c:v>12951.25</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129362513.85</c:v>
                </c:pt>
                <c:pt idx="1">
                  <c:v>0</c:v>
                </c:pt>
                <c:pt idx="2">
                  <c:v>0</c:v>
                </c:pt>
                <c:pt idx="3">
                  <c:v>0</c:v>
                </c:pt>
                <c:pt idx="4">
                  <c:v>0</c:v>
                </c:pt>
                <c:pt idx="5">
                  <c:v>150000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7654192.65</c:v>
                </c:pt>
                <c:pt idx="1">
                  <c:v>121858321.2</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xmlns:c15="http://schemas.microsoft.com/office/drawing/2012/chart" uri="{02D57815-91ED-43cb-92C2-25804820EDAC}">
                  <c15:fullRef>
                    <c15:sqref>Sheet1!$A$2:$A$9</c15:sqref>
                  </c15:fullRef>
                </c:ext>
              </c:extLst>
              <c:f>Sheet1!$A$2:$A$5</c:f>
              <c:strCache>
                <c:ptCount val="4"/>
                <c:pt idx="0">
                  <c:v>财政拨款收入</c:v>
                </c:pt>
                <c:pt idx="1">
                  <c:v>财政拨款支出</c:v>
                </c:pt>
                <c:pt idx="2">
                  <c:v>一般公共预算财政拨款收入</c:v>
                </c:pt>
                <c:pt idx="3">
                  <c:v>一般公共预算财政拨款支出</c:v>
                </c:pt>
              </c:strCache>
            </c:strRef>
          </c:cat>
          <c:val>
            <c:numRef>
              <c:extLst>
                <c:ext xmlns:c15="http://schemas.microsoft.com/office/drawing/2012/chart" uri="{02D57815-91ED-43cb-92C2-25804820EDAC}">
                  <c15:fullRef>
                    <c15:sqref>Sheet1!$B$2:$B$9</c15:sqref>
                  </c15:fullRef>
                </c:ext>
              </c:extLst>
              <c:f>Sheet1!$B$2:$B$5</c:f>
              <c:numCache>
                <c:formatCode>General</c:formatCode>
                <c:ptCount val="4"/>
                <c:pt idx="0">
                  <c:v>10225.04</c:v>
                </c:pt>
                <c:pt idx="1">
                  <c:v>10225.04</c:v>
                </c:pt>
                <c:pt idx="2">
                  <c:v>10225.04</c:v>
                </c:pt>
                <c:pt idx="3">
                  <c:v>10225.04</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xmlns:c15="http://schemas.microsoft.com/office/drawing/2012/chart" uri="{02D57815-91ED-43cb-92C2-25804820EDAC}">
                  <c15:fullRef>
                    <c15:sqref>Sheet1!$A$2:$A$9</c15:sqref>
                  </c15:fullRef>
                </c:ext>
              </c:extLst>
              <c:f>Sheet1!$A$2:$A$5</c:f>
              <c:strCache>
                <c:ptCount val="4"/>
                <c:pt idx="0">
                  <c:v>财政拨款收入</c:v>
                </c:pt>
                <c:pt idx="1">
                  <c:v>财政拨款支出</c:v>
                </c:pt>
                <c:pt idx="2">
                  <c:v>一般公共预算财政拨款收入</c:v>
                </c:pt>
                <c:pt idx="3">
                  <c:v>一般公共预算财政拨款支出</c:v>
                </c:pt>
              </c:strCache>
            </c:strRef>
          </c:cat>
          <c:val>
            <c:numRef>
              <c:extLst>
                <c:ext xmlns:c15="http://schemas.microsoft.com/office/drawing/2012/chart" uri="{02D57815-91ED-43cb-92C2-25804820EDAC}">
                  <c15:fullRef>
                    <c15:sqref>Sheet1!$C$2:$C$9</c15:sqref>
                  </c15:fullRef>
                </c:ext>
              </c:extLst>
              <c:f>Sheet1!$C$2:$C$5</c:f>
              <c:numCache>
                <c:formatCode>General</c:formatCode>
                <c:ptCount val="4"/>
                <c:pt idx="0">
                  <c:v>12936.25</c:v>
                </c:pt>
                <c:pt idx="1">
                  <c:v>12936.25</c:v>
                </c:pt>
                <c:pt idx="2">
                  <c:v>12936.25</c:v>
                </c:pt>
                <c:pt idx="3">
                  <c:v>12936.25</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xmlns:c15="http://schemas.microsoft.com/office/drawing/2012/chart" uri="{02D57815-91ED-43cb-92C2-25804820EDAC}">
                  <c15:fullRef>
                    <c15:sqref>Sheet1!$A$2:$A$9</c15:sqref>
                  </c15:fullRef>
                </c:ext>
              </c:extLst>
              <c:f>Sheet1!$A$2:$A$5</c:f>
              <c:strCache>
                <c:ptCount val="4"/>
                <c:pt idx="0">
                  <c:v>财政拨款收入</c:v>
                </c:pt>
                <c:pt idx="1">
                  <c:v>财政拨款支出</c:v>
                </c:pt>
                <c:pt idx="2">
                  <c:v>一般公共预算财政拨款收入</c:v>
                </c:pt>
                <c:pt idx="3">
                  <c:v>一般公共预算财政拨款支出</c:v>
                </c:pt>
              </c:strCache>
            </c:strRef>
          </c:cat>
          <c:val>
            <c:numRef>
              <c:extLst>
                <c:ext xmlns:c15="http://schemas.microsoft.com/office/drawing/2012/chart" uri="{02D57815-91ED-43cb-92C2-25804820EDAC}">
                  <c15:fullRef>
                    <c15:sqref>Sheet1!$B$2:$B$9</c15:sqref>
                  </c15:fullRef>
                </c:ext>
              </c:extLst>
              <c:f>Sheet1!$B$2:$B$5</c:f>
              <c:numCache>
                <c:formatCode>General</c:formatCode>
                <c:ptCount val="4"/>
                <c:pt idx="0">
                  <c:v>13114.85</c:v>
                </c:pt>
                <c:pt idx="1">
                  <c:v>13114.85</c:v>
                </c:pt>
                <c:pt idx="2">
                  <c:v>13114.85</c:v>
                </c:pt>
                <c:pt idx="3">
                  <c:v>13114.85</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xmlns:c15="http://schemas.microsoft.com/office/drawing/2012/chart" uri="{02D57815-91ED-43cb-92C2-25804820EDAC}">
                  <c15:fullRef>
                    <c15:sqref>Sheet1!$A$2:$A$9</c15:sqref>
                  </c15:fullRef>
                </c:ext>
              </c:extLst>
              <c:f>Sheet1!$A$2:$A$5</c:f>
              <c:strCache>
                <c:ptCount val="4"/>
                <c:pt idx="0">
                  <c:v>财政拨款收入</c:v>
                </c:pt>
                <c:pt idx="1">
                  <c:v>财政拨款支出</c:v>
                </c:pt>
                <c:pt idx="2">
                  <c:v>一般公共预算财政拨款收入</c:v>
                </c:pt>
                <c:pt idx="3">
                  <c:v>一般公共预算财政拨款支出</c:v>
                </c:pt>
              </c:strCache>
            </c:strRef>
          </c:cat>
          <c:val>
            <c:numRef>
              <c:extLst>
                <c:ext xmlns:c15="http://schemas.microsoft.com/office/drawing/2012/chart" uri="{02D57815-91ED-43cb-92C2-25804820EDAC}">
                  <c15:fullRef>
                    <c15:sqref>Sheet1!$C$2:$C$9</c15:sqref>
                  </c15:fullRef>
                </c:ext>
              </c:extLst>
              <c:f>Sheet1!$C$2:$C$5</c:f>
              <c:numCache>
                <c:formatCode>General</c:formatCode>
                <c:ptCount val="4"/>
                <c:pt idx="0">
                  <c:v>12936.25</c:v>
                </c:pt>
                <c:pt idx="1">
                  <c:v>12936.25</c:v>
                </c:pt>
                <c:pt idx="2">
                  <c:v>12936.25</c:v>
                </c:pt>
                <c:pt idx="3">
                  <c:v>12936.25</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1"/>
              <c:layout>
                <c:manualLayout>
                  <c:x val="-0.121924785954265"/>
                  <c:y val="-0.00318742031449214"/>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975398287634117"/>
                  <c:y val="0.0286867828304292"/>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143058415519671"/>
                  <c:y val="0.0127496812579686"/>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xmlns:c15="http://schemas.microsoft.com/office/drawing/2012/chart" uri="{02D57815-91ED-43cb-92C2-25804820EDAC}">
                  <c15:fullRef>
                    <c15:sqref>Sheet1!$A$2:$A$27</c15:sqref>
                  </c15:fullRef>
                </c:ext>
              </c:extLst>
              <c:f>(Sheet1!$A$2,Sheet1!$A$9:$A$10,Sheet1!$A$13,Sheet1!$A$20)</c:f>
              <c:strCache>
                <c:ptCount val="5"/>
                <c:pt idx="0">
                  <c:v>一般公共服务支出</c:v>
                </c:pt>
                <c:pt idx="1">
                  <c:v>社会保障和就业支出</c:v>
                </c:pt>
                <c:pt idx="2">
                  <c:v>卫生健康支出</c:v>
                </c:pt>
                <c:pt idx="3">
                  <c:v>农林水支出</c:v>
                </c:pt>
                <c:pt idx="4">
                  <c:v>住房保障支出</c:v>
                </c:pt>
              </c:strCache>
            </c:strRef>
          </c:cat>
          <c:val>
            <c:numRef>
              <c:extLst>
                <c:ext xmlns:c15="http://schemas.microsoft.com/office/drawing/2012/chart" uri="{02D57815-91ED-43cb-92C2-25804820EDAC}">
                  <c15:fullRef>
                    <c15:sqref>Sheet1!$B$2:$B$27</c15:sqref>
                  </c15:fullRef>
                </c:ext>
              </c:extLst>
              <c:f>(Sheet1!$B$2,Sheet1!$B$9:$B$10,Sheet1!$B$13,Sheet1!$B$20)</c:f>
              <c:numCache>
                <c:formatCode>General</c:formatCode>
                <c:ptCount val="5"/>
                <c:pt idx="0">
                  <c:v>7154.57</c:v>
                </c:pt>
                <c:pt idx="1">
                  <c:v>76.05</c:v>
                </c:pt>
                <c:pt idx="2">
                  <c:v>43.63</c:v>
                </c:pt>
                <c:pt idx="3">
                  <c:v>5600.94</c:v>
                </c:pt>
                <c:pt idx="4">
                  <c:v>61.05</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42</Pages>
  <Words>2647</Words>
  <Characters>3135</Characters>
  <Lines>86</Lines>
  <Paragraphs>24</Paragraphs>
  <TotalTime>0</TotalTime>
  <ScaleCrop>false</ScaleCrop>
  <LinksUpToDate>false</LinksUpToDate>
  <CharactersWithSpaces>3263</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苏~ </cp:lastModifiedBy>
  <cp:lastPrinted>2023-08-04T01:00:00Z</cp:lastPrinted>
  <dcterms:modified xsi:type="dcterms:W3CDTF">2025-11-24T06:02:14Z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eyJoZGlkIjoiMWVmMzhmZTY1YzIwOWQ5NDNmMjBlZGE4NzQ0MGIyZmUifQ==</vt:lpwstr>
  </property>
</Properties>
</file>