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7" w:name="_GoBack"/>
      <w:bookmarkEnd w:id="7"/>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95</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118</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四、石家庄市鹿泉区建筑和房地产市场稽查大队收支预算</w:t>
      </w:r>
      <w:r>
        <w:tab/>
      </w:r>
      <w:r>
        <w:fldChar w:fldCharType="begin"/>
      </w:r>
      <w:r>
        <w:instrText xml:space="preserve">PAGEREF _Toc_4_4_0000000004 \h</w:instrText>
      </w:r>
      <w:r>
        <w:fldChar w:fldCharType="separate"/>
      </w:r>
      <w:r>
        <w:t>137</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156</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177</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202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14884.32</w:t>
            </w:r>
          </w:p>
        </w:tc>
        <w:tc>
          <w:tcPr>
            <w:tcW w:w="2959" w:type="dxa"/>
            <w:vAlign w:val="center"/>
          </w:tcPr>
          <w:p>
            <w:pPr>
              <w:pStyle w:val="12"/>
            </w:pPr>
            <w:r>
              <w:t>一、一般公共服务支出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1391.20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9044.37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447.98</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16275.52</w:t>
            </w:r>
          </w:p>
        </w:tc>
        <w:tc>
          <w:tcPr>
            <w:tcW w:w="2959" w:type="dxa"/>
            <w:vAlign w:val="center"/>
          </w:tcPr>
          <w:p>
            <w:pPr>
              <w:pStyle w:val="14"/>
            </w:pPr>
            <w:r>
              <w:t>本年支出合计</w:t>
            </w:r>
          </w:p>
        </w:tc>
        <w:tc>
          <w:tcPr>
            <w:tcW w:w="2959" w:type="dxa"/>
            <w:vAlign w:val="center"/>
          </w:tcPr>
          <w:p>
            <w:pPr>
              <w:pStyle w:val="15"/>
            </w:pPr>
            <w:r>
              <w:t>37604.37</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21328.84</w:t>
            </w:r>
          </w:p>
        </w:tc>
        <w:tc>
          <w:tcPr>
            <w:tcW w:w="2959" w:type="dxa"/>
            <w:vAlign w:val="center"/>
          </w:tcPr>
          <w:p>
            <w:pPr>
              <w:pStyle w:val="12"/>
            </w:pPr>
            <w:r>
              <w:t>年终结转结余</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37604.37</w:t>
            </w:r>
          </w:p>
        </w:tc>
        <w:tc>
          <w:tcPr>
            <w:tcW w:w="2959" w:type="dxa"/>
            <w:vAlign w:val="center"/>
          </w:tcPr>
          <w:p>
            <w:pPr>
              <w:pStyle w:val="14"/>
            </w:pPr>
            <w:r>
              <w:t>支出总计</w:t>
            </w:r>
          </w:p>
        </w:tc>
        <w:tc>
          <w:tcPr>
            <w:tcW w:w="2959" w:type="dxa"/>
            <w:vAlign w:val="center"/>
          </w:tcPr>
          <w:p>
            <w:pPr>
              <w:pStyle w:val="15"/>
            </w:pPr>
            <w:r>
              <w:t>37604.37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37604.37</w:t>
            </w:r>
          </w:p>
        </w:tc>
        <w:tc>
          <w:tcPr>
            <w:tcW w:w="758" w:type="dxa"/>
            <w:vAlign w:val="center"/>
          </w:tcPr>
          <w:p>
            <w:pPr>
              <w:pStyle w:val="15"/>
            </w:pPr>
            <w:r>
              <w:t>16275.52</w:t>
            </w:r>
          </w:p>
        </w:tc>
        <w:tc>
          <w:tcPr>
            <w:tcW w:w="758" w:type="dxa"/>
            <w:vAlign w:val="center"/>
          </w:tcPr>
          <w:p>
            <w:pPr>
              <w:pStyle w:val="15"/>
            </w:pPr>
            <w:r>
              <w:t>16275.52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21328.84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11243.14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11183.14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2110301</w:t>
            </w:r>
          </w:p>
        </w:tc>
        <w:tc>
          <w:tcPr>
            <w:tcW w:w="758" w:type="dxa"/>
            <w:vAlign w:val="center"/>
          </w:tcPr>
          <w:p>
            <w:pPr>
              <w:pStyle w:val="12"/>
            </w:pPr>
            <w:r>
              <w:t>大气</w:t>
            </w:r>
          </w:p>
        </w:tc>
        <w:tc>
          <w:tcPr>
            <w:tcW w:w="758" w:type="dxa"/>
            <w:vAlign w:val="center"/>
          </w:tcPr>
          <w:p>
            <w:pPr>
              <w:pStyle w:val="11"/>
            </w:pPr>
            <w:r>
              <w:t>4863.00</w:t>
            </w:r>
          </w:p>
        </w:tc>
        <w:tc>
          <w:tcPr>
            <w:tcW w:w="758" w:type="dxa"/>
            <w:vAlign w:val="center"/>
          </w:tcPr>
          <w:p>
            <w:pPr>
              <w:pStyle w:val="11"/>
            </w:pPr>
            <w:r>
              <w:t>4049.00</w:t>
            </w:r>
          </w:p>
        </w:tc>
        <w:tc>
          <w:tcPr>
            <w:tcW w:w="758" w:type="dxa"/>
            <w:vAlign w:val="center"/>
          </w:tcPr>
          <w:p>
            <w:pPr>
              <w:pStyle w:val="11"/>
            </w:pPr>
            <w:r>
              <w:t>4049.00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21104</w:t>
            </w:r>
          </w:p>
        </w:tc>
        <w:tc>
          <w:tcPr>
            <w:tcW w:w="758" w:type="dxa"/>
            <w:vAlign w:val="center"/>
          </w:tcPr>
          <w:p>
            <w:pPr>
              <w:pStyle w:val="12"/>
            </w:pPr>
            <w:r>
              <w:t>自然生态保护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2110402</w:t>
            </w:r>
          </w:p>
        </w:tc>
        <w:tc>
          <w:tcPr>
            <w:tcW w:w="758" w:type="dxa"/>
            <w:vAlign w:val="center"/>
          </w:tcPr>
          <w:p>
            <w:pPr>
              <w:pStyle w:val="12"/>
            </w:pPr>
            <w:r>
              <w:t>农村环境保护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9044.37</w:t>
            </w:r>
          </w:p>
        </w:tc>
        <w:tc>
          <w:tcPr>
            <w:tcW w:w="758" w:type="dxa"/>
            <w:vAlign w:val="center"/>
          </w:tcPr>
          <w:p>
            <w:pPr>
              <w:pStyle w:val="11"/>
            </w:pPr>
            <w:r>
              <w:t>5209.63</w:t>
            </w:r>
          </w:p>
        </w:tc>
        <w:tc>
          <w:tcPr>
            <w:tcW w:w="758" w:type="dxa"/>
            <w:vAlign w:val="center"/>
          </w:tcPr>
          <w:p>
            <w:pPr>
              <w:pStyle w:val="11"/>
            </w:pPr>
            <w:r>
              <w:t>5209.63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2120803</w:t>
            </w:r>
          </w:p>
        </w:tc>
        <w:tc>
          <w:tcPr>
            <w:tcW w:w="758" w:type="dxa"/>
            <w:vAlign w:val="center"/>
          </w:tcPr>
          <w:p>
            <w:pPr>
              <w:pStyle w:val="12"/>
            </w:pPr>
            <w:r>
              <w:t>城市建设支出</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2120804</w:t>
            </w:r>
          </w:p>
        </w:tc>
        <w:tc>
          <w:tcPr>
            <w:tcW w:w="758" w:type="dxa"/>
            <w:vAlign w:val="center"/>
          </w:tcPr>
          <w:p>
            <w:pPr>
              <w:pStyle w:val="12"/>
            </w:pPr>
            <w:r>
              <w:t>农村基础设施建设支出</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21214</w:t>
            </w:r>
          </w:p>
        </w:tc>
        <w:tc>
          <w:tcPr>
            <w:tcW w:w="758" w:type="dxa"/>
            <w:vAlign w:val="center"/>
          </w:tcPr>
          <w:p>
            <w:pPr>
              <w:pStyle w:val="12"/>
            </w:pPr>
            <w:r>
              <w:t>污水处理费安排的支出</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2121401</w:t>
            </w:r>
          </w:p>
        </w:tc>
        <w:tc>
          <w:tcPr>
            <w:tcW w:w="758" w:type="dxa"/>
            <w:vAlign w:val="center"/>
          </w:tcPr>
          <w:p>
            <w:pPr>
              <w:pStyle w:val="12"/>
            </w:pPr>
            <w:r>
              <w:t>污水处理设施建设和运营</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21216</w:t>
            </w:r>
          </w:p>
        </w:tc>
        <w:tc>
          <w:tcPr>
            <w:tcW w:w="758" w:type="dxa"/>
            <w:vAlign w:val="center"/>
          </w:tcPr>
          <w:p>
            <w:pPr>
              <w:pStyle w:val="12"/>
            </w:pPr>
            <w:r>
              <w:t>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2121699</w:t>
            </w:r>
          </w:p>
        </w:tc>
        <w:tc>
          <w:tcPr>
            <w:tcW w:w="758" w:type="dxa"/>
            <w:vAlign w:val="center"/>
          </w:tcPr>
          <w:p>
            <w:pPr>
              <w:pStyle w:val="12"/>
            </w:pPr>
            <w:r>
              <w:t>其他棚户区改造专项债券收入安排的支出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31</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32</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33</w:t>
            </w:r>
          </w:p>
        </w:tc>
        <w:tc>
          <w:tcPr>
            <w:tcW w:w="758" w:type="dxa"/>
            <w:vAlign w:val="center"/>
          </w:tcPr>
          <w:p>
            <w:pPr>
              <w:pStyle w:val="12"/>
            </w:pPr>
            <w:r>
              <w:t>2210108</w:t>
            </w:r>
          </w:p>
        </w:tc>
        <w:tc>
          <w:tcPr>
            <w:tcW w:w="758" w:type="dxa"/>
            <w:vAlign w:val="center"/>
          </w:tcPr>
          <w:p>
            <w:pPr>
              <w:pStyle w:val="12"/>
            </w:pPr>
            <w:r>
              <w:t>老旧小区改造</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36</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37</w:t>
            </w:r>
          </w:p>
        </w:tc>
        <w:tc>
          <w:tcPr>
            <w:tcW w:w="758" w:type="dxa"/>
            <w:vAlign w:val="center"/>
          </w:tcPr>
          <w:p>
            <w:pPr>
              <w:pStyle w:val="12"/>
            </w:pPr>
            <w:r>
              <w:t>22904</w:t>
            </w:r>
          </w:p>
        </w:tc>
        <w:tc>
          <w:tcPr>
            <w:tcW w:w="758" w:type="dxa"/>
            <w:vAlign w:val="center"/>
          </w:tcPr>
          <w:p>
            <w:pPr>
              <w:pStyle w:val="12"/>
            </w:pPr>
            <w:r>
              <w:t>其他政府性基金及对应专项债务收入安排的支出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38</w:t>
            </w:r>
          </w:p>
        </w:tc>
        <w:tc>
          <w:tcPr>
            <w:tcW w:w="758" w:type="dxa"/>
            <w:vAlign w:val="center"/>
          </w:tcPr>
          <w:p>
            <w:pPr>
              <w:pStyle w:val="12"/>
            </w:pPr>
            <w:r>
              <w:t>2290402</w:t>
            </w:r>
          </w:p>
        </w:tc>
        <w:tc>
          <w:tcPr>
            <w:tcW w:w="758" w:type="dxa"/>
            <w:vAlign w:val="center"/>
          </w:tcPr>
          <w:p>
            <w:pPr>
              <w:pStyle w:val="12"/>
            </w:pPr>
            <w:r>
              <w:t>其他地方自行试点项目收益专项债券收入安排的支出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37604.37</w:t>
            </w:r>
          </w:p>
        </w:tc>
        <w:tc>
          <w:tcPr>
            <w:tcW w:w="1095" w:type="dxa"/>
            <w:vAlign w:val="center"/>
          </w:tcPr>
          <w:p>
            <w:pPr>
              <w:pStyle w:val="15"/>
            </w:pPr>
            <w:r>
              <w:t>529.63</w:t>
            </w:r>
          </w:p>
        </w:tc>
        <w:tc>
          <w:tcPr>
            <w:tcW w:w="1095" w:type="dxa"/>
            <w:vAlign w:val="center"/>
          </w:tcPr>
          <w:p>
            <w:pPr>
              <w:pStyle w:val="15"/>
            </w:pPr>
            <w:r>
              <w:t>37074.74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149.39</w:t>
            </w:r>
          </w:p>
        </w:tc>
        <w:tc>
          <w:tcPr>
            <w:tcW w:w="1095" w:type="dxa"/>
            <w:vAlign w:val="center"/>
          </w:tcPr>
          <w:p>
            <w:pPr>
              <w:pStyle w:val="11"/>
            </w:pPr>
            <w:r>
              <w:t>149.39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22.87</w:t>
            </w:r>
          </w:p>
        </w:tc>
        <w:tc>
          <w:tcPr>
            <w:tcW w:w="1095" w:type="dxa"/>
            <w:vAlign w:val="center"/>
          </w:tcPr>
          <w:p>
            <w:pPr>
              <w:pStyle w:val="11"/>
            </w:pPr>
            <w:r>
              <w:t>22.87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2110301</w:t>
            </w:r>
          </w:p>
        </w:tc>
        <w:tc>
          <w:tcPr>
            <w:tcW w:w="1095" w:type="dxa"/>
            <w:vAlign w:val="center"/>
          </w:tcPr>
          <w:p>
            <w:pPr>
              <w:pStyle w:val="12"/>
            </w:pPr>
            <w:r>
              <w:t>大气</w:t>
            </w: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21104</w:t>
            </w:r>
          </w:p>
        </w:tc>
        <w:tc>
          <w:tcPr>
            <w:tcW w:w="1095" w:type="dxa"/>
            <w:vAlign w:val="center"/>
          </w:tcPr>
          <w:p>
            <w:pPr>
              <w:pStyle w:val="12"/>
            </w:pPr>
            <w:r>
              <w:t>自然生态保护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2110402</w:t>
            </w:r>
          </w:p>
        </w:tc>
        <w:tc>
          <w:tcPr>
            <w:tcW w:w="1095" w:type="dxa"/>
            <w:vAlign w:val="center"/>
          </w:tcPr>
          <w:p>
            <w:pPr>
              <w:pStyle w:val="12"/>
            </w:pPr>
            <w:r>
              <w:t>农村环境保护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9044.37</w:t>
            </w:r>
          </w:p>
        </w:tc>
        <w:tc>
          <w:tcPr>
            <w:tcW w:w="1095" w:type="dxa"/>
            <w:vAlign w:val="center"/>
          </w:tcPr>
          <w:p>
            <w:pPr>
              <w:pStyle w:val="11"/>
            </w:pPr>
            <w:r>
              <w:t>317.88</w:t>
            </w:r>
          </w:p>
        </w:tc>
        <w:tc>
          <w:tcPr>
            <w:tcW w:w="1095" w:type="dxa"/>
            <w:vAlign w:val="center"/>
          </w:tcPr>
          <w:p>
            <w:pPr>
              <w:pStyle w:val="11"/>
            </w:pPr>
            <w:r>
              <w:t>8726.50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422.88</w:t>
            </w:r>
          </w:p>
        </w:tc>
        <w:tc>
          <w:tcPr>
            <w:tcW w:w="1095" w:type="dxa"/>
            <w:vAlign w:val="center"/>
          </w:tcPr>
          <w:p>
            <w:pPr>
              <w:pStyle w:val="11"/>
            </w:pPr>
            <w:r>
              <w:t>317.88</w:t>
            </w: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372.88</w:t>
            </w:r>
          </w:p>
        </w:tc>
        <w:tc>
          <w:tcPr>
            <w:tcW w:w="1095" w:type="dxa"/>
            <w:vAlign w:val="center"/>
          </w:tcPr>
          <w:p>
            <w:pPr>
              <w:pStyle w:val="11"/>
            </w:pPr>
            <w:r>
              <w:t>317.88</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2120803</w:t>
            </w:r>
          </w:p>
        </w:tc>
        <w:tc>
          <w:tcPr>
            <w:tcW w:w="1095" w:type="dxa"/>
            <w:vAlign w:val="center"/>
          </w:tcPr>
          <w:p>
            <w:pPr>
              <w:pStyle w:val="12"/>
            </w:pPr>
            <w:r>
              <w:t>城市建设支出</w:t>
            </w: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2120804</w:t>
            </w:r>
          </w:p>
        </w:tc>
        <w:tc>
          <w:tcPr>
            <w:tcW w:w="1095" w:type="dxa"/>
            <w:vAlign w:val="center"/>
          </w:tcPr>
          <w:p>
            <w:pPr>
              <w:pStyle w:val="12"/>
            </w:pPr>
            <w:r>
              <w:t>农村基础设施建设支出</w:t>
            </w: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21214</w:t>
            </w:r>
          </w:p>
        </w:tc>
        <w:tc>
          <w:tcPr>
            <w:tcW w:w="1095" w:type="dxa"/>
            <w:vAlign w:val="center"/>
          </w:tcPr>
          <w:p>
            <w:pPr>
              <w:pStyle w:val="12"/>
            </w:pPr>
            <w:r>
              <w:t>污水处理费安排的支出</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2121401</w:t>
            </w:r>
          </w:p>
        </w:tc>
        <w:tc>
          <w:tcPr>
            <w:tcW w:w="1095" w:type="dxa"/>
            <w:vAlign w:val="center"/>
          </w:tcPr>
          <w:p>
            <w:pPr>
              <w:pStyle w:val="12"/>
            </w:pPr>
            <w:r>
              <w:t>污水处理设施建设和运营</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21216</w:t>
            </w:r>
          </w:p>
        </w:tc>
        <w:tc>
          <w:tcPr>
            <w:tcW w:w="1095" w:type="dxa"/>
            <w:vAlign w:val="center"/>
          </w:tcPr>
          <w:p>
            <w:pPr>
              <w:pStyle w:val="12"/>
            </w:pPr>
            <w:r>
              <w:t>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2121699</w:t>
            </w:r>
          </w:p>
        </w:tc>
        <w:tc>
          <w:tcPr>
            <w:tcW w:w="1095" w:type="dxa"/>
            <w:vAlign w:val="center"/>
          </w:tcPr>
          <w:p>
            <w:pPr>
              <w:pStyle w:val="12"/>
            </w:pPr>
            <w:r>
              <w:t>其他棚户区改造专项债券收入安排的支出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31</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447.98</w:t>
            </w:r>
          </w:p>
        </w:tc>
        <w:tc>
          <w:tcPr>
            <w:tcW w:w="1095" w:type="dxa"/>
            <w:vAlign w:val="center"/>
          </w:tcPr>
          <w:p>
            <w:pPr>
              <w:pStyle w:val="11"/>
            </w:pPr>
            <w:r>
              <w:t>22.98</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32</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33</w:t>
            </w:r>
          </w:p>
        </w:tc>
        <w:tc>
          <w:tcPr>
            <w:tcW w:w="1095" w:type="dxa"/>
            <w:vAlign w:val="center"/>
          </w:tcPr>
          <w:p>
            <w:pPr>
              <w:pStyle w:val="12"/>
            </w:pPr>
            <w:r>
              <w:t>2210108</w:t>
            </w:r>
          </w:p>
        </w:tc>
        <w:tc>
          <w:tcPr>
            <w:tcW w:w="1095" w:type="dxa"/>
            <w:vAlign w:val="center"/>
          </w:tcPr>
          <w:p>
            <w:pPr>
              <w:pStyle w:val="12"/>
            </w:pPr>
            <w:r>
              <w:t>老旧小区改造</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36</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37</w:t>
            </w:r>
          </w:p>
        </w:tc>
        <w:tc>
          <w:tcPr>
            <w:tcW w:w="1095" w:type="dxa"/>
            <w:vAlign w:val="center"/>
          </w:tcPr>
          <w:p>
            <w:pPr>
              <w:pStyle w:val="12"/>
            </w:pPr>
            <w:r>
              <w:t>22904</w:t>
            </w:r>
          </w:p>
        </w:tc>
        <w:tc>
          <w:tcPr>
            <w:tcW w:w="1095" w:type="dxa"/>
            <w:vAlign w:val="center"/>
          </w:tcPr>
          <w:p>
            <w:pPr>
              <w:pStyle w:val="12"/>
            </w:pPr>
            <w:r>
              <w:t>其他政府性基金及对应专项债务收入安排的支出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38</w:t>
            </w:r>
          </w:p>
        </w:tc>
        <w:tc>
          <w:tcPr>
            <w:tcW w:w="1095" w:type="dxa"/>
            <w:vAlign w:val="center"/>
          </w:tcPr>
          <w:p>
            <w:pPr>
              <w:pStyle w:val="12"/>
            </w:pPr>
            <w:r>
              <w:t>2290402</w:t>
            </w:r>
          </w:p>
        </w:tc>
        <w:tc>
          <w:tcPr>
            <w:tcW w:w="1095" w:type="dxa"/>
            <w:vAlign w:val="center"/>
          </w:tcPr>
          <w:p>
            <w:pPr>
              <w:pStyle w:val="12"/>
            </w:pPr>
            <w:r>
              <w:t>其他地方自行试点项目收益专项债券收入安排的支出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14884.32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1391.20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172.26</w:t>
            </w:r>
          </w:p>
        </w:tc>
        <w:tc>
          <w:tcPr>
            <w:tcW w:w="1232" w:type="dxa"/>
            <w:vAlign w:val="center"/>
          </w:tcPr>
          <w:p>
            <w:pPr>
              <w:pStyle w:val="11"/>
            </w:pPr>
            <w:r>
              <w:t>172.26</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16.50</w:t>
            </w:r>
          </w:p>
        </w:tc>
        <w:tc>
          <w:tcPr>
            <w:tcW w:w="1232" w:type="dxa"/>
            <w:vAlign w:val="center"/>
          </w:tcPr>
          <w:p>
            <w:pPr>
              <w:pStyle w:val="11"/>
            </w:pPr>
            <w:r>
              <w:t>16.50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11243.14</w:t>
            </w:r>
          </w:p>
        </w:tc>
        <w:tc>
          <w:tcPr>
            <w:tcW w:w="1232" w:type="dxa"/>
            <w:vAlign w:val="center"/>
          </w:tcPr>
          <w:p>
            <w:pPr>
              <w:pStyle w:val="11"/>
            </w:pPr>
            <w:r>
              <w:t>11243.14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9044.37</w:t>
            </w:r>
          </w:p>
        </w:tc>
        <w:tc>
          <w:tcPr>
            <w:tcW w:w="1232" w:type="dxa"/>
            <w:vAlign w:val="center"/>
          </w:tcPr>
          <w:p>
            <w:pPr>
              <w:pStyle w:val="11"/>
            </w:pPr>
            <w:r>
              <w:t>3818.43</w:t>
            </w:r>
          </w:p>
        </w:tc>
        <w:tc>
          <w:tcPr>
            <w:tcW w:w="1232" w:type="dxa"/>
            <w:vAlign w:val="center"/>
          </w:tcPr>
          <w:p>
            <w:pPr>
              <w:pStyle w:val="11"/>
            </w:pPr>
            <w:r>
              <w:t>5225.94</w:t>
            </w: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60.00</w:t>
            </w:r>
          </w:p>
        </w:tc>
        <w:tc>
          <w:tcPr>
            <w:tcW w:w="1232" w:type="dxa"/>
            <w:vAlign w:val="center"/>
          </w:tcPr>
          <w:p>
            <w:pPr>
              <w:pStyle w:val="11"/>
            </w:pPr>
            <w:r>
              <w:t>60.00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447.98</w:t>
            </w:r>
          </w:p>
        </w:tc>
        <w:tc>
          <w:tcPr>
            <w:tcW w:w="1232" w:type="dxa"/>
            <w:vAlign w:val="center"/>
          </w:tcPr>
          <w:p>
            <w:pPr>
              <w:pStyle w:val="11"/>
            </w:pPr>
            <w:r>
              <w:t>447.98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16620.10</w:t>
            </w:r>
          </w:p>
        </w:tc>
        <w:tc>
          <w:tcPr>
            <w:tcW w:w="1232" w:type="dxa"/>
            <w:vAlign w:val="center"/>
          </w:tcPr>
          <w:p>
            <w:pPr>
              <w:pStyle w:val="11"/>
            </w:pPr>
          </w:p>
        </w:tc>
        <w:tc>
          <w:tcPr>
            <w:tcW w:w="1232" w:type="dxa"/>
            <w:vAlign w:val="center"/>
          </w:tcPr>
          <w:p>
            <w:pPr>
              <w:pStyle w:val="11"/>
            </w:pPr>
            <w:r>
              <w:t>16620.10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16275.52</w:t>
            </w:r>
          </w:p>
        </w:tc>
        <w:tc>
          <w:tcPr>
            <w:tcW w:w="1232" w:type="dxa"/>
            <w:vAlign w:val="center"/>
          </w:tcPr>
          <w:p>
            <w:pPr>
              <w:pStyle w:val="14"/>
            </w:pPr>
            <w:r>
              <w:t>本年支出合计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21328.84</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874.00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20454.84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37604.37</w:t>
            </w:r>
          </w:p>
        </w:tc>
        <w:tc>
          <w:tcPr>
            <w:tcW w:w="1232" w:type="dxa"/>
            <w:vAlign w:val="center"/>
          </w:tcPr>
          <w:p>
            <w:pPr>
              <w:pStyle w:val="14"/>
            </w:pPr>
            <w:r>
              <w:t>支出总计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15758.32</w:t>
            </w:r>
          </w:p>
        </w:tc>
        <w:tc>
          <w:tcPr>
            <w:tcW w:w="1643" w:type="dxa"/>
            <w:vAlign w:val="center"/>
          </w:tcPr>
          <w:p>
            <w:pPr>
              <w:pStyle w:val="15"/>
            </w:pPr>
            <w:r>
              <w:t>529.63</w:t>
            </w:r>
          </w:p>
        </w:tc>
        <w:tc>
          <w:tcPr>
            <w:tcW w:w="1643" w:type="dxa"/>
            <w:vAlign w:val="center"/>
          </w:tcPr>
          <w:p>
            <w:pPr>
              <w:pStyle w:val="15"/>
            </w:pPr>
            <w:r>
              <w:t>15228.69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149.39</w:t>
            </w:r>
          </w:p>
        </w:tc>
        <w:tc>
          <w:tcPr>
            <w:tcW w:w="1643" w:type="dxa"/>
            <w:vAlign w:val="center"/>
          </w:tcPr>
          <w:p>
            <w:pPr>
              <w:pStyle w:val="11"/>
            </w:pPr>
            <w:r>
              <w:t>149.39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11243.14</w:t>
            </w:r>
          </w:p>
        </w:tc>
        <w:tc>
          <w:tcPr>
            <w:tcW w:w="1643" w:type="dxa"/>
            <w:vAlign w:val="center"/>
          </w:tcPr>
          <w:p>
            <w:pPr>
              <w:pStyle w:val="11"/>
            </w:pPr>
          </w:p>
        </w:tc>
        <w:tc>
          <w:tcPr>
            <w:tcW w:w="1643"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11183.14</w:t>
            </w:r>
          </w:p>
        </w:tc>
        <w:tc>
          <w:tcPr>
            <w:tcW w:w="1643" w:type="dxa"/>
            <w:vAlign w:val="center"/>
          </w:tcPr>
          <w:p>
            <w:pPr>
              <w:pStyle w:val="11"/>
            </w:pPr>
          </w:p>
        </w:tc>
        <w:tc>
          <w:tcPr>
            <w:tcW w:w="1643" w:type="dxa"/>
            <w:vAlign w:val="center"/>
          </w:tcPr>
          <w:p>
            <w:pPr>
              <w:pStyle w:val="11"/>
            </w:pPr>
            <w:r>
              <w:t>11183.14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2110301</w:t>
            </w:r>
          </w:p>
        </w:tc>
        <w:tc>
          <w:tcPr>
            <w:tcW w:w="1643" w:type="dxa"/>
            <w:vAlign w:val="center"/>
          </w:tcPr>
          <w:p>
            <w:pPr>
              <w:pStyle w:val="12"/>
            </w:pPr>
            <w:r>
              <w:t>大气</w:t>
            </w:r>
          </w:p>
        </w:tc>
        <w:tc>
          <w:tcPr>
            <w:tcW w:w="1643" w:type="dxa"/>
            <w:vAlign w:val="center"/>
          </w:tcPr>
          <w:p>
            <w:pPr>
              <w:pStyle w:val="11"/>
            </w:pPr>
            <w:r>
              <w:t>4863.00</w:t>
            </w:r>
          </w:p>
        </w:tc>
        <w:tc>
          <w:tcPr>
            <w:tcW w:w="1643" w:type="dxa"/>
            <w:vAlign w:val="center"/>
          </w:tcPr>
          <w:p>
            <w:pPr>
              <w:pStyle w:val="11"/>
            </w:pPr>
          </w:p>
        </w:tc>
        <w:tc>
          <w:tcPr>
            <w:tcW w:w="1643" w:type="dxa"/>
            <w:vAlign w:val="center"/>
          </w:tcPr>
          <w:p>
            <w:pPr>
              <w:pStyle w:val="11"/>
            </w:pPr>
            <w:r>
              <w:t>4863.00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6320.14</w:t>
            </w:r>
          </w:p>
        </w:tc>
        <w:tc>
          <w:tcPr>
            <w:tcW w:w="1643" w:type="dxa"/>
            <w:vAlign w:val="center"/>
          </w:tcPr>
          <w:p>
            <w:pPr>
              <w:pStyle w:val="11"/>
            </w:pPr>
          </w:p>
        </w:tc>
        <w:tc>
          <w:tcPr>
            <w:tcW w:w="1643" w:type="dxa"/>
            <w:vAlign w:val="center"/>
          </w:tcPr>
          <w:p>
            <w:pPr>
              <w:pStyle w:val="11"/>
            </w:pPr>
            <w:r>
              <w:t>6320.14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21104</w:t>
            </w:r>
          </w:p>
        </w:tc>
        <w:tc>
          <w:tcPr>
            <w:tcW w:w="1643" w:type="dxa"/>
            <w:vAlign w:val="center"/>
          </w:tcPr>
          <w:p>
            <w:pPr>
              <w:pStyle w:val="12"/>
            </w:pPr>
            <w:r>
              <w:t>自然生态保护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2110402</w:t>
            </w:r>
          </w:p>
        </w:tc>
        <w:tc>
          <w:tcPr>
            <w:tcW w:w="1643" w:type="dxa"/>
            <w:vAlign w:val="center"/>
          </w:tcPr>
          <w:p>
            <w:pPr>
              <w:pStyle w:val="12"/>
            </w:pPr>
            <w:r>
              <w:t>农村环境保护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3818.43</w:t>
            </w:r>
          </w:p>
        </w:tc>
        <w:tc>
          <w:tcPr>
            <w:tcW w:w="1643" w:type="dxa"/>
            <w:vAlign w:val="center"/>
          </w:tcPr>
          <w:p>
            <w:pPr>
              <w:pStyle w:val="11"/>
            </w:pPr>
            <w:r>
              <w:t>317.88</w:t>
            </w:r>
          </w:p>
        </w:tc>
        <w:tc>
          <w:tcPr>
            <w:tcW w:w="1643" w:type="dxa"/>
            <w:vAlign w:val="center"/>
          </w:tcPr>
          <w:p>
            <w:pPr>
              <w:pStyle w:val="11"/>
            </w:pPr>
            <w:r>
              <w:t>3500.55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422.88</w:t>
            </w:r>
          </w:p>
        </w:tc>
        <w:tc>
          <w:tcPr>
            <w:tcW w:w="1643" w:type="dxa"/>
            <w:vAlign w:val="center"/>
          </w:tcPr>
          <w:p>
            <w:pPr>
              <w:pStyle w:val="11"/>
            </w:pPr>
            <w:r>
              <w:t>317.88</w:t>
            </w:r>
          </w:p>
        </w:tc>
        <w:tc>
          <w:tcPr>
            <w:tcW w:w="1643"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372.88</w:t>
            </w:r>
          </w:p>
        </w:tc>
        <w:tc>
          <w:tcPr>
            <w:tcW w:w="1643" w:type="dxa"/>
            <w:vAlign w:val="center"/>
          </w:tcPr>
          <w:p>
            <w:pPr>
              <w:pStyle w:val="11"/>
            </w:pPr>
            <w:r>
              <w:t>317.88</w:t>
            </w:r>
          </w:p>
        </w:tc>
        <w:tc>
          <w:tcPr>
            <w:tcW w:w="1643"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50.00</w:t>
            </w:r>
          </w:p>
        </w:tc>
        <w:tc>
          <w:tcPr>
            <w:tcW w:w="1643" w:type="dxa"/>
            <w:vAlign w:val="center"/>
          </w:tcPr>
          <w:p>
            <w:pPr>
              <w:pStyle w:val="11"/>
            </w:pPr>
          </w:p>
        </w:tc>
        <w:tc>
          <w:tcPr>
            <w:tcW w:w="1643"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447.98</w:t>
            </w:r>
          </w:p>
        </w:tc>
        <w:tc>
          <w:tcPr>
            <w:tcW w:w="1643" w:type="dxa"/>
            <w:vAlign w:val="center"/>
          </w:tcPr>
          <w:p>
            <w:pPr>
              <w:pStyle w:val="11"/>
            </w:pPr>
            <w:r>
              <w:t>22.98</w:t>
            </w: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2210108</w:t>
            </w:r>
          </w:p>
        </w:tc>
        <w:tc>
          <w:tcPr>
            <w:tcW w:w="1643" w:type="dxa"/>
            <w:vAlign w:val="center"/>
          </w:tcPr>
          <w:p>
            <w:pPr>
              <w:pStyle w:val="12"/>
            </w:pPr>
            <w:r>
              <w:t>老旧小区改造</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529.63</w:t>
            </w:r>
          </w:p>
        </w:tc>
        <w:tc>
          <w:tcPr>
            <w:tcW w:w="1643" w:type="dxa"/>
            <w:vAlign w:val="center"/>
          </w:tcPr>
          <w:p>
            <w:pPr>
              <w:pStyle w:val="15"/>
            </w:pPr>
            <w:r>
              <w:t>390.88</w:t>
            </w:r>
          </w:p>
        </w:tc>
        <w:tc>
          <w:tcPr>
            <w:tcW w:w="1643" w:type="dxa"/>
            <w:vAlign w:val="center"/>
          </w:tcPr>
          <w:p>
            <w:pPr>
              <w:pStyle w:val="15"/>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243.38</w:t>
            </w:r>
          </w:p>
        </w:tc>
        <w:tc>
          <w:tcPr>
            <w:tcW w:w="1643" w:type="dxa"/>
            <w:vAlign w:val="center"/>
          </w:tcPr>
          <w:p>
            <w:pPr>
              <w:pStyle w:val="11"/>
            </w:pPr>
            <w:r>
              <w:t>243.38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65.24</w:t>
            </w:r>
          </w:p>
        </w:tc>
        <w:tc>
          <w:tcPr>
            <w:tcW w:w="1643" w:type="dxa"/>
            <w:vAlign w:val="center"/>
          </w:tcPr>
          <w:p>
            <w:pPr>
              <w:pStyle w:val="11"/>
            </w:pPr>
            <w:r>
              <w:t>65.24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51.44</w:t>
            </w:r>
          </w:p>
        </w:tc>
        <w:tc>
          <w:tcPr>
            <w:tcW w:w="1643" w:type="dxa"/>
            <w:vAlign w:val="center"/>
          </w:tcPr>
          <w:p>
            <w:pPr>
              <w:pStyle w:val="11"/>
            </w:pPr>
            <w:r>
              <w:t>51.44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58.06</w:t>
            </w:r>
          </w:p>
        </w:tc>
        <w:tc>
          <w:tcPr>
            <w:tcW w:w="1643" w:type="dxa"/>
            <w:vAlign w:val="center"/>
          </w:tcPr>
          <w:p>
            <w:pPr>
              <w:pStyle w:val="11"/>
            </w:pPr>
            <w:r>
              <w:t>58.06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9.30</w:t>
            </w:r>
          </w:p>
        </w:tc>
        <w:tc>
          <w:tcPr>
            <w:tcW w:w="1643" w:type="dxa"/>
            <w:vAlign w:val="center"/>
          </w:tcPr>
          <w:p>
            <w:pPr>
              <w:pStyle w:val="11"/>
            </w:pPr>
            <w:r>
              <w:t>9.30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7.20</w:t>
            </w:r>
          </w:p>
        </w:tc>
        <w:tc>
          <w:tcPr>
            <w:tcW w:w="1643" w:type="dxa"/>
            <w:vAlign w:val="center"/>
          </w:tcPr>
          <w:p>
            <w:pPr>
              <w:pStyle w:val="11"/>
            </w:pPr>
            <w:r>
              <w:t>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6.27</w:t>
            </w:r>
          </w:p>
        </w:tc>
        <w:tc>
          <w:tcPr>
            <w:tcW w:w="1643" w:type="dxa"/>
            <w:vAlign w:val="center"/>
          </w:tcPr>
          <w:p>
            <w:pPr>
              <w:pStyle w:val="11"/>
            </w:pPr>
            <w:r>
              <w:t>6.27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138.75</w:t>
            </w:r>
          </w:p>
        </w:tc>
        <w:tc>
          <w:tcPr>
            <w:tcW w:w="1643" w:type="dxa"/>
            <w:vAlign w:val="center"/>
          </w:tcPr>
          <w:p>
            <w:pPr>
              <w:pStyle w:val="11"/>
            </w:pPr>
          </w:p>
        </w:tc>
        <w:tc>
          <w:tcPr>
            <w:tcW w:w="1643" w:type="dxa"/>
            <w:vAlign w:val="center"/>
          </w:tcPr>
          <w:p>
            <w:pPr>
              <w:pStyle w:val="11"/>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7.80</w:t>
            </w:r>
          </w:p>
        </w:tc>
        <w:tc>
          <w:tcPr>
            <w:tcW w:w="1643" w:type="dxa"/>
            <w:vAlign w:val="center"/>
          </w:tcPr>
          <w:p>
            <w:pPr>
              <w:pStyle w:val="11"/>
            </w:pPr>
          </w:p>
        </w:tc>
        <w:tc>
          <w:tcPr>
            <w:tcW w:w="1643"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7.52</w:t>
            </w:r>
          </w:p>
        </w:tc>
        <w:tc>
          <w:tcPr>
            <w:tcW w:w="1643" w:type="dxa"/>
            <w:vAlign w:val="center"/>
          </w:tcPr>
          <w:p>
            <w:pPr>
              <w:pStyle w:val="11"/>
            </w:pPr>
          </w:p>
        </w:tc>
        <w:tc>
          <w:tcPr>
            <w:tcW w:w="1643" w:type="dxa"/>
            <w:vAlign w:val="center"/>
          </w:tcPr>
          <w:p>
            <w:pPr>
              <w:pStyle w:val="11"/>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88.76</w:t>
            </w:r>
          </w:p>
        </w:tc>
        <w:tc>
          <w:tcPr>
            <w:tcW w:w="1643" w:type="dxa"/>
            <w:vAlign w:val="center"/>
          </w:tcPr>
          <w:p>
            <w:pPr>
              <w:pStyle w:val="11"/>
            </w:pPr>
          </w:p>
        </w:tc>
        <w:tc>
          <w:tcPr>
            <w:tcW w:w="1643" w:type="dxa"/>
            <w:vAlign w:val="center"/>
          </w:tcPr>
          <w:p>
            <w:pPr>
              <w:pStyle w:val="11"/>
            </w:pPr>
            <w:r>
              <w:t>88.76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1.31</w:t>
            </w:r>
          </w:p>
        </w:tc>
        <w:tc>
          <w:tcPr>
            <w:tcW w:w="1643" w:type="dxa"/>
            <w:vAlign w:val="center"/>
          </w:tcPr>
          <w:p>
            <w:pPr>
              <w:pStyle w:val="11"/>
            </w:pPr>
          </w:p>
        </w:tc>
        <w:tc>
          <w:tcPr>
            <w:tcW w:w="1643"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1.63</w:t>
            </w:r>
          </w:p>
        </w:tc>
        <w:tc>
          <w:tcPr>
            <w:tcW w:w="1643" w:type="dxa"/>
            <w:vAlign w:val="center"/>
          </w:tcPr>
          <w:p>
            <w:pPr>
              <w:pStyle w:val="11"/>
            </w:pPr>
          </w:p>
        </w:tc>
        <w:tc>
          <w:tcPr>
            <w:tcW w:w="1643"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9.54</w:t>
            </w:r>
          </w:p>
        </w:tc>
        <w:tc>
          <w:tcPr>
            <w:tcW w:w="1643" w:type="dxa"/>
            <w:vAlign w:val="center"/>
          </w:tcPr>
          <w:p>
            <w:pPr>
              <w:pStyle w:val="11"/>
            </w:pPr>
          </w:p>
        </w:tc>
        <w:tc>
          <w:tcPr>
            <w:tcW w:w="1643" w:type="dxa"/>
            <w:vAlign w:val="center"/>
          </w:tcPr>
          <w:p>
            <w:pPr>
              <w:pStyle w:val="11"/>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4.08</w:t>
            </w:r>
          </w:p>
        </w:tc>
        <w:tc>
          <w:tcPr>
            <w:tcW w:w="1643" w:type="dxa"/>
            <w:vAlign w:val="center"/>
          </w:tcPr>
          <w:p>
            <w:pPr>
              <w:pStyle w:val="11"/>
            </w:pPr>
          </w:p>
        </w:tc>
        <w:tc>
          <w:tcPr>
            <w:tcW w:w="1643"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147.50</w:t>
            </w:r>
          </w:p>
        </w:tc>
        <w:tc>
          <w:tcPr>
            <w:tcW w:w="1643" w:type="dxa"/>
            <w:vAlign w:val="center"/>
          </w:tcPr>
          <w:p>
            <w:pPr>
              <w:pStyle w:val="11"/>
            </w:pPr>
            <w:r>
              <w:t>147.50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30301</w:t>
            </w:r>
          </w:p>
        </w:tc>
        <w:tc>
          <w:tcPr>
            <w:tcW w:w="1643" w:type="dxa"/>
            <w:vAlign w:val="center"/>
          </w:tcPr>
          <w:p>
            <w:pPr>
              <w:pStyle w:val="12"/>
            </w:pPr>
            <w:r>
              <w:t>离休费</w:t>
            </w:r>
          </w:p>
        </w:tc>
        <w:tc>
          <w:tcPr>
            <w:tcW w:w="1643" w:type="dxa"/>
            <w:vAlign w:val="center"/>
          </w:tcPr>
          <w:p>
            <w:pPr>
              <w:pStyle w:val="11"/>
            </w:pPr>
            <w:r>
              <w:t>32.16</w:t>
            </w:r>
          </w:p>
        </w:tc>
        <w:tc>
          <w:tcPr>
            <w:tcW w:w="1643" w:type="dxa"/>
            <w:vAlign w:val="center"/>
          </w:tcPr>
          <w:p>
            <w:pPr>
              <w:pStyle w:val="11"/>
            </w:pPr>
            <w:r>
              <w:t>32.16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113.39</w:t>
            </w:r>
          </w:p>
        </w:tc>
        <w:tc>
          <w:tcPr>
            <w:tcW w:w="1643" w:type="dxa"/>
            <w:vAlign w:val="center"/>
          </w:tcPr>
          <w:p>
            <w:pPr>
              <w:pStyle w:val="11"/>
            </w:pPr>
            <w:r>
              <w:t>113.39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1.94</w:t>
            </w:r>
          </w:p>
        </w:tc>
        <w:tc>
          <w:tcPr>
            <w:tcW w:w="1643" w:type="dxa"/>
            <w:vAlign w:val="center"/>
          </w:tcPr>
          <w:p>
            <w:pPr>
              <w:pStyle w:val="11"/>
            </w:pPr>
            <w:r>
              <w:t>1.94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21846.04</w:t>
            </w:r>
          </w:p>
        </w:tc>
        <w:tc>
          <w:tcPr>
            <w:tcW w:w="1643" w:type="dxa"/>
            <w:vAlign w:val="center"/>
          </w:tcPr>
          <w:p>
            <w:pPr>
              <w:pStyle w:val="15"/>
            </w:pPr>
          </w:p>
        </w:tc>
        <w:tc>
          <w:tcPr>
            <w:tcW w:w="1643" w:type="dxa"/>
            <w:vAlign w:val="center"/>
          </w:tcPr>
          <w:p>
            <w:pPr>
              <w:pStyle w:val="15"/>
            </w:pPr>
            <w:r>
              <w:t>21846.04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5225.94</w:t>
            </w:r>
          </w:p>
        </w:tc>
        <w:tc>
          <w:tcPr>
            <w:tcW w:w="1643" w:type="dxa"/>
            <w:vAlign w:val="center"/>
          </w:tcPr>
          <w:p>
            <w:pPr>
              <w:pStyle w:val="11"/>
            </w:pPr>
          </w:p>
        </w:tc>
        <w:tc>
          <w:tcPr>
            <w:tcW w:w="1643" w:type="dxa"/>
            <w:vAlign w:val="center"/>
          </w:tcPr>
          <w:p>
            <w:pPr>
              <w:pStyle w:val="11"/>
            </w:pPr>
            <w:r>
              <w:t>5225.94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411.20</w:t>
            </w:r>
          </w:p>
        </w:tc>
        <w:tc>
          <w:tcPr>
            <w:tcW w:w="1643" w:type="dxa"/>
            <w:vAlign w:val="center"/>
          </w:tcPr>
          <w:p>
            <w:pPr>
              <w:pStyle w:val="11"/>
            </w:pPr>
          </w:p>
        </w:tc>
        <w:tc>
          <w:tcPr>
            <w:tcW w:w="1643" w:type="dxa"/>
            <w:vAlign w:val="center"/>
          </w:tcPr>
          <w:p>
            <w:pPr>
              <w:pStyle w:val="11"/>
            </w:pPr>
            <w:r>
              <w:t>411.20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2120803</w:t>
            </w:r>
          </w:p>
        </w:tc>
        <w:tc>
          <w:tcPr>
            <w:tcW w:w="1643" w:type="dxa"/>
            <w:vAlign w:val="center"/>
          </w:tcPr>
          <w:p>
            <w:pPr>
              <w:pStyle w:val="12"/>
            </w:pPr>
            <w:r>
              <w:t>城市建设支出</w:t>
            </w:r>
          </w:p>
        </w:tc>
        <w:tc>
          <w:tcPr>
            <w:tcW w:w="1643" w:type="dxa"/>
            <w:vAlign w:val="center"/>
          </w:tcPr>
          <w:p>
            <w:pPr>
              <w:pStyle w:val="11"/>
            </w:pPr>
            <w:r>
              <w:t>1.20</w:t>
            </w:r>
          </w:p>
        </w:tc>
        <w:tc>
          <w:tcPr>
            <w:tcW w:w="1643" w:type="dxa"/>
            <w:vAlign w:val="center"/>
          </w:tcPr>
          <w:p>
            <w:pPr>
              <w:pStyle w:val="11"/>
            </w:pPr>
          </w:p>
        </w:tc>
        <w:tc>
          <w:tcPr>
            <w:tcW w:w="1643" w:type="dxa"/>
            <w:vAlign w:val="center"/>
          </w:tcPr>
          <w:p>
            <w:pPr>
              <w:pStyle w:val="11"/>
            </w:pPr>
            <w:r>
              <w:t>1.20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2120804</w:t>
            </w:r>
          </w:p>
        </w:tc>
        <w:tc>
          <w:tcPr>
            <w:tcW w:w="1643" w:type="dxa"/>
            <w:vAlign w:val="center"/>
          </w:tcPr>
          <w:p>
            <w:pPr>
              <w:pStyle w:val="12"/>
            </w:pPr>
            <w:r>
              <w:t>农村基础设施建设支出</w:t>
            </w:r>
          </w:p>
        </w:tc>
        <w:tc>
          <w:tcPr>
            <w:tcW w:w="1643" w:type="dxa"/>
            <w:vAlign w:val="center"/>
          </w:tcPr>
          <w:p>
            <w:pPr>
              <w:pStyle w:val="11"/>
            </w:pPr>
            <w:r>
              <w:t>410.00</w:t>
            </w:r>
          </w:p>
        </w:tc>
        <w:tc>
          <w:tcPr>
            <w:tcW w:w="1643" w:type="dxa"/>
            <w:vAlign w:val="center"/>
          </w:tcPr>
          <w:p>
            <w:pPr>
              <w:pStyle w:val="11"/>
            </w:pPr>
          </w:p>
        </w:tc>
        <w:tc>
          <w:tcPr>
            <w:tcW w:w="1643" w:type="dxa"/>
            <w:vAlign w:val="center"/>
          </w:tcPr>
          <w:p>
            <w:pPr>
              <w:pStyle w:val="11"/>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21214</w:t>
            </w:r>
          </w:p>
        </w:tc>
        <w:tc>
          <w:tcPr>
            <w:tcW w:w="1643" w:type="dxa"/>
            <w:vAlign w:val="center"/>
          </w:tcPr>
          <w:p>
            <w:pPr>
              <w:pStyle w:val="12"/>
            </w:pPr>
            <w:r>
              <w:t>污水处理费安排的支出</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2121401</w:t>
            </w:r>
          </w:p>
        </w:tc>
        <w:tc>
          <w:tcPr>
            <w:tcW w:w="1643" w:type="dxa"/>
            <w:vAlign w:val="center"/>
          </w:tcPr>
          <w:p>
            <w:pPr>
              <w:pStyle w:val="12"/>
            </w:pPr>
            <w:r>
              <w:t>污水处理设施建设和运营</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21216</w:t>
            </w:r>
          </w:p>
        </w:tc>
        <w:tc>
          <w:tcPr>
            <w:tcW w:w="1643" w:type="dxa"/>
            <w:vAlign w:val="center"/>
          </w:tcPr>
          <w:p>
            <w:pPr>
              <w:pStyle w:val="12"/>
            </w:pPr>
            <w:r>
              <w:t>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2121699</w:t>
            </w:r>
          </w:p>
        </w:tc>
        <w:tc>
          <w:tcPr>
            <w:tcW w:w="1643" w:type="dxa"/>
            <w:vAlign w:val="center"/>
          </w:tcPr>
          <w:p>
            <w:pPr>
              <w:pStyle w:val="12"/>
            </w:pPr>
            <w:r>
              <w:t>其他棚户区改造专项债券收入安排的支出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22904</w:t>
            </w:r>
          </w:p>
        </w:tc>
        <w:tc>
          <w:tcPr>
            <w:tcW w:w="1643" w:type="dxa"/>
            <w:vAlign w:val="center"/>
          </w:tcPr>
          <w:p>
            <w:pPr>
              <w:pStyle w:val="12"/>
            </w:pPr>
            <w:r>
              <w:t>其他政府性基金及对应专项债务收入安排的支出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2290402</w:t>
            </w:r>
          </w:p>
        </w:tc>
        <w:tc>
          <w:tcPr>
            <w:tcW w:w="1643" w:type="dxa"/>
            <w:vAlign w:val="center"/>
          </w:tcPr>
          <w:p>
            <w:pPr>
              <w:pStyle w:val="12"/>
            </w:pPr>
            <w:r>
              <w:t>其他地方自行试点项目收益专项债券收入安排的支出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8.10</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石家庄市鹿泉区住房和城乡建设局本级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37604.37万元，其中：一般公共预算收入14884.32万元，基金预算收入1391.20万元，国有资本经营预算收入0.00万元，财政专户核拨收入0.00万元，单位资金收入0.00万元，上年结转结余21328.84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2024年支出预算37604.37万元，其中基本支出529.63万元，包括人员经费390.88万元和日常公用经费138.75万元；项目支出37074.74万元，主要为基础设施建设及大气污染防治等。</w:t>
      </w:r>
    </w:p>
    <w:p>
      <w:pPr>
        <w:pStyle w:val="18"/>
      </w:pPr>
      <w:r>
        <w:t>3、比上年增减情况</w:t>
      </w:r>
    </w:p>
    <w:p>
      <w:pPr>
        <w:pStyle w:val="18"/>
      </w:pPr>
      <w:r>
        <w:t>2024年预算收支安排37604.37万元，较2023年预算增加5477.80万元，其中：基本支出减少26.86万元，主要为人员工资减少。项目支出增加5504.66万元，主要为基础设施建设增加。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2024年，我单位机关运行经费共计安排138.75万元，主要用于日常维修、办公用房水电费、办公用房取暖费、办公用房物业管理费等日常运行支出。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8.10万元，其中因公出国（境）费0.00万元；公务用车购置及运维费8.10万元（其中：公务用车购置费为0.00万元，公务用车运维费8.10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1、2016-2020年双代特殊群体补贴费用绩效目标表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13011024P000001100582</w:t>
            </w:r>
          </w:p>
        </w:tc>
        <w:tc>
          <w:tcPr>
            <w:tcW w:w="2114" w:type="dxa"/>
            <w:vAlign w:val="center"/>
          </w:tcPr>
          <w:p>
            <w:pPr>
              <w:pStyle w:val="10"/>
            </w:pPr>
            <w:r>
              <w:t>项目名称</w:t>
            </w:r>
          </w:p>
        </w:tc>
        <w:tc>
          <w:tcPr>
            <w:tcW w:w="6342" w:type="dxa"/>
            <w:gridSpan w:val="3"/>
            <w:vAlign w:val="center"/>
          </w:tcPr>
          <w:p>
            <w:pPr>
              <w:pStyle w:val="12"/>
            </w:pPr>
            <w:r>
              <w:t>2016-2020年双代特殊群体补贴费用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65.00</w:t>
            </w:r>
          </w:p>
        </w:tc>
        <w:tc>
          <w:tcPr>
            <w:tcW w:w="2114" w:type="dxa"/>
            <w:vAlign w:val="center"/>
          </w:tcPr>
          <w:p>
            <w:pPr>
              <w:pStyle w:val="10"/>
            </w:pPr>
            <w:r>
              <w:t>其中：财政    资金</w:t>
            </w:r>
          </w:p>
        </w:tc>
        <w:tc>
          <w:tcPr>
            <w:tcW w:w="2114" w:type="dxa"/>
            <w:vAlign w:val="center"/>
          </w:tcPr>
          <w:p>
            <w:pPr>
              <w:pStyle w:val="12"/>
            </w:pPr>
            <w:r>
              <w:t>65.00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为全区1579户特殊贫困群体进行燃气运行补贴共113.74万元，保障特殊特殊贫困群体户安全温暖过冬</w:t>
            </w:r>
            <w:r>
              <w:tab/>
            </w:r>
            <w:r>
              <w:t>。</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1.为全区1579户特殊贫困群体进行燃气运行补贴共113.74万元，保障特殊特殊贫困群体户安全温暖过冬</w:t>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补助双代特殊群体户数</w:t>
            </w:r>
          </w:p>
        </w:tc>
        <w:tc>
          <w:tcPr>
            <w:tcW w:w="4228" w:type="dxa"/>
            <w:vAlign w:val="center"/>
          </w:tcPr>
          <w:p>
            <w:pPr>
              <w:pStyle w:val="12"/>
            </w:pPr>
            <w:r>
              <w:t>享受特殊贫困群体户数</w:t>
            </w:r>
          </w:p>
        </w:tc>
        <w:tc>
          <w:tcPr>
            <w:tcW w:w="2114" w:type="dxa"/>
            <w:vAlign w:val="center"/>
          </w:tcPr>
          <w:p>
            <w:pPr>
              <w:pStyle w:val="12"/>
            </w:pPr>
            <w:r>
              <w:t>≤1579户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特殊群体补贴任务完成率</w:t>
            </w:r>
          </w:p>
        </w:tc>
        <w:tc>
          <w:tcPr>
            <w:tcW w:w="4228" w:type="dxa"/>
            <w:vAlign w:val="center"/>
          </w:tcPr>
          <w:p>
            <w:pPr>
              <w:pStyle w:val="12"/>
            </w:pPr>
            <w:r>
              <w:t>已经发放特殊群体双代补贴占应补贴完成率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特殊群体天然气补贴标准</w:t>
            </w:r>
          </w:p>
        </w:tc>
        <w:tc>
          <w:tcPr>
            <w:tcW w:w="4228" w:type="dxa"/>
            <w:vAlign w:val="center"/>
          </w:tcPr>
          <w:p>
            <w:pPr>
              <w:pStyle w:val="12"/>
            </w:pPr>
            <w:r>
              <w:t>对2016-2020年特殊贫困群体天然气用户均补贴标准</w:t>
            </w:r>
          </w:p>
        </w:tc>
        <w:tc>
          <w:tcPr>
            <w:tcW w:w="2114" w:type="dxa"/>
            <w:vAlign w:val="center"/>
          </w:tcPr>
          <w:p>
            <w:pPr>
              <w:pStyle w:val="12"/>
            </w:pPr>
            <w:r>
              <w:t>0.6元/户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特殊群体煤改电补贴标准</w:t>
            </w:r>
          </w:p>
        </w:tc>
        <w:tc>
          <w:tcPr>
            <w:tcW w:w="4228" w:type="dxa"/>
            <w:vAlign w:val="center"/>
          </w:tcPr>
          <w:p>
            <w:pPr>
              <w:pStyle w:val="12"/>
            </w:pPr>
            <w:r>
              <w:t>对2016-2020年特殊贫困群体煤改电用户均补贴标准</w:t>
            </w:r>
          </w:p>
        </w:tc>
        <w:tc>
          <w:tcPr>
            <w:tcW w:w="2114" w:type="dxa"/>
            <w:vAlign w:val="center"/>
          </w:tcPr>
          <w:p>
            <w:pPr>
              <w:pStyle w:val="12"/>
            </w:pPr>
            <w:r>
              <w:t>0.08元/户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发放特困补贴时间</w:t>
            </w:r>
          </w:p>
        </w:tc>
        <w:tc>
          <w:tcPr>
            <w:tcW w:w="4228" w:type="dxa"/>
            <w:vAlign w:val="center"/>
          </w:tcPr>
          <w:p>
            <w:pPr>
              <w:pStyle w:val="12"/>
            </w:pPr>
            <w:r>
              <w:t>采暖季结束后督促各乡镇、（区）提供人员名单、民政局复核后，资金由财政局保障</w:t>
            </w:r>
          </w:p>
        </w:tc>
        <w:tc>
          <w:tcPr>
            <w:tcW w:w="2114" w:type="dxa"/>
            <w:vAlign w:val="center"/>
          </w:tcPr>
          <w:p>
            <w:pPr>
              <w:pStyle w:val="12"/>
            </w:pPr>
            <w:r>
              <w:t>国家政策</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特殊群体双代补贴受益户数</w:t>
            </w:r>
          </w:p>
        </w:tc>
        <w:tc>
          <w:tcPr>
            <w:tcW w:w="4228" w:type="dxa"/>
            <w:vAlign w:val="center"/>
          </w:tcPr>
          <w:p>
            <w:pPr>
              <w:pStyle w:val="12"/>
            </w:pPr>
            <w:r>
              <w:t>2016-2020年特殊群体补贴户数</w:t>
            </w:r>
          </w:p>
        </w:tc>
        <w:tc>
          <w:tcPr>
            <w:tcW w:w="2114" w:type="dxa"/>
            <w:vAlign w:val="center"/>
          </w:tcPr>
          <w:p>
            <w:pPr>
              <w:pStyle w:val="12"/>
            </w:pPr>
            <w:r>
              <w:t>≤1562户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特殊群体双代补受益时间</w:t>
            </w:r>
          </w:p>
        </w:tc>
        <w:tc>
          <w:tcPr>
            <w:tcW w:w="4228" w:type="dxa"/>
            <w:vAlign w:val="center"/>
          </w:tcPr>
          <w:p>
            <w:pPr>
              <w:pStyle w:val="12"/>
            </w:pPr>
            <w:r>
              <w:t>2016-2020年特殊群体补贴时间</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2、2016年双代用户2023-2024年运行补贴费用（第八年）绩效目标表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13011024P000001101829</w:t>
            </w:r>
          </w:p>
        </w:tc>
        <w:tc>
          <w:tcPr>
            <w:tcW w:w="2114" w:type="dxa"/>
            <w:vAlign w:val="center"/>
          </w:tcPr>
          <w:p>
            <w:pPr>
              <w:pStyle w:val="10"/>
            </w:pPr>
            <w:r>
              <w:t>项目名称</w:t>
            </w:r>
          </w:p>
        </w:tc>
        <w:tc>
          <w:tcPr>
            <w:tcW w:w="6342" w:type="dxa"/>
            <w:gridSpan w:val="3"/>
            <w:vAlign w:val="center"/>
          </w:tcPr>
          <w:p>
            <w:pPr>
              <w:pStyle w:val="12"/>
            </w:pPr>
            <w:r>
              <w:t>2016年双代用户2023-2024年运行补贴费用（第八年）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采暖季后对2016年2313户农村煤改气用户进行补贴，鼓励农户使用清洁能源取暖，减轻农户采暖费用，有效减少大气污染物排放。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发放天然气运行补贴时间</w:t>
            </w:r>
          </w:p>
        </w:tc>
        <w:tc>
          <w:tcPr>
            <w:tcW w:w="4228" w:type="dxa"/>
            <w:vAlign w:val="center"/>
          </w:tcPr>
          <w:p>
            <w:pPr>
              <w:pStyle w:val="12"/>
            </w:pPr>
            <w:r>
              <w:t>采暖季结束后督促相关燃气企业发放天然气运行补贴</w:t>
            </w:r>
          </w:p>
        </w:tc>
        <w:tc>
          <w:tcPr>
            <w:tcW w:w="2114" w:type="dxa"/>
            <w:vAlign w:val="center"/>
          </w:tcPr>
          <w:p>
            <w:pPr>
              <w:pStyle w:val="12"/>
            </w:pPr>
            <w:r>
              <w:t>≤30工作日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天然气运行补贴户数</w:t>
            </w:r>
          </w:p>
        </w:tc>
        <w:tc>
          <w:tcPr>
            <w:tcW w:w="4228" w:type="dxa"/>
            <w:vAlign w:val="center"/>
          </w:tcPr>
          <w:p>
            <w:pPr>
              <w:pStyle w:val="12"/>
            </w:pPr>
            <w:r>
              <w:t>2016年全区补贴天然气补贴户数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2016年度煤改气用户发放2023-2024年天然气用户均补贴标准</w:t>
            </w:r>
          </w:p>
        </w:tc>
        <w:tc>
          <w:tcPr>
            <w:tcW w:w="2114" w:type="dxa"/>
            <w:vAlign w:val="center"/>
          </w:tcPr>
          <w:p>
            <w:pPr>
              <w:pStyle w:val="12"/>
            </w:pPr>
            <w:r>
              <w:t>≤880元/户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天然气补贴任务完成率</w:t>
            </w:r>
          </w:p>
        </w:tc>
        <w:tc>
          <w:tcPr>
            <w:tcW w:w="4228" w:type="dxa"/>
            <w:vAlign w:val="center"/>
          </w:tcPr>
          <w:p>
            <w:pPr>
              <w:pStyle w:val="12"/>
            </w:pPr>
            <w:r>
              <w:t>已经发放燃气补贴占应补贴完成率</w:t>
            </w:r>
          </w:p>
        </w:tc>
        <w:tc>
          <w:tcPr>
            <w:tcW w:w="2114" w:type="dxa"/>
            <w:vAlign w:val="center"/>
          </w:tcPr>
          <w:p>
            <w:pPr>
              <w:pStyle w:val="12"/>
            </w:pPr>
            <w:r>
              <w:t>100%</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天然气补贴受益户数</w:t>
            </w:r>
          </w:p>
        </w:tc>
        <w:tc>
          <w:tcPr>
            <w:tcW w:w="4228" w:type="dxa"/>
            <w:vAlign w:val="center"/>
          </w:tcPr>
          <w:p>
            <w:pPr>
              <w:pStyle w:val="12"/>
            </w:pPr>
            <w:r>
              <w:t>2016年天然气补贴户数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2016年天然气补贴户数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100%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3、2017年双代用户2022-2023年运行补贴（第六年）绩效目标表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13011024P00000110353U</w:t>
            </w:r>
          </w:p>
        </w:tc>
        <w:tc>
          <w:tcPr>
            <w:tcW w:w="2114" w:type="dxa"/>
            <w:vAlign w:val="center"/>
          </w:tcPr>
          <w:p>
            <w:pPr>
              <w:pStyle w:val="10"/>
            </w:pPr>
            <w:r>
              <w:t>项目名称</w:t>
            </w:r>
          </w:p>
        </w:tc>
        <w:tc>
          <w:tcPr>
            <w:tcW w:w="6342" w:type="dxa"/>
            <w:gridSpan w:val="3"/>
            <w:vAlign w:val="center"/>
          </w:tcPr>
          <w:p>
            <w:pPr>
              <w:pStyle w:val="12"/>
            </w:pPr>
            <w:r>
              <w:t>2017年双代用户2022-2023年运行补贴（第六年）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83.00</w:t>
            </w:r>
          </w:p>
        </w:tc>
        <w:tc>
          <w:tcPr>
            <w:tcW w:w="2114" w:type="dxa"/>
            <w:vAlign w:val="center"/>
          </w:tcPr>
          <w:p>
            <w:pPr>
              <w:pStyle w:val="10"/>
            </w:pPr>
            <w:r>
              <w:t>其中：财政    资金</w:t>
            </w:r>
          </w:p>
        </w:tc>
        <w:tc>
          <w:tcPr>
            <w:tcW w:w="2114" w:type="dxa"/>
            <w:vAlign w:val="center"/>
          </w:tcPr>
          <w:p>
            <w:pPr>
              <w:pStyle w:val="12"/>
            </w:pPr>
            <w:r>
              <w:t>83.00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2017年度煤改气用户发放2022—2023年天然气用户均补贴标准</w:t>
            </w:r>
          </w:p>
        </w:tc>
        <w:tc>
          <w:tcPr>
            <w:tcW w:w="2114" w:type="dxa"/>
            <w:vAlign w:val="center"/>
          </w:tcPr>
          <w:p>
            <w:pPr>
              <w:pStyle w:val="12"/>
            </w:pPr>
            <w:r>
              <w:t>640元/户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对2017年度煤改电用户发放2022—2023年煤改电用户均补贴标准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4、2017年双代用户2022-2023年运行补贴费用（第七年）绩效目标表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13011024P00000110382U</w:t>
            </w:r>
          </w:p>
        </w:tc>
        <w:tc>
          <w:tcPr>
            <w:tcW w:w="2114" w:type="dxa"/>
            <w:vAlign w:val="center"/>
          </w:tcPr>
          <w:p>
            <w:pPr>
              <w:pStyle w:val="10"/>
            </w:pPr>
            <w:r>
              <w:t>项目名称</w:t>
            </w:r>
          </w:p>
        </w:tc>
        <w:tc>
          <w:tcPr>
            <w:tcW w:w="6342" w:type="dxa"/>
            <w:gridSpan w:val="3"/>
            <w:vAlign w:val="center"/>
          </w:tcPr>
          <w:p>
            <w:pPr>
              <w:pStyle w:val="12"/>
            </w:pPr>
            <w:r>
              <w:t>2017年双代用户2022-2023年运行补贴费用（第七年）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5、2017年双代用户2023-2024年运行补贴费用（第七年）绩效目标表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13011024P00000110183W</w:t>
            </w:r>
          </w:p>
        </w:tc>
        <w:tc>
          <w:tcPr>
            <w:tcW w:w="2114" w:type="dxa"/>
            <w:vAlign w:val="center"/>
          </w:tcPr>
          <w:p>
            <w:pPr>
              <w:pStyle w:val="10"/>
            </w:pPr>
            <w:r>
              <w:t>项目名称</w:t>
            </w:r>
          </w:p>
        </w:tc>
        <w:tc>
          <w:tcPr>
            <w:tcW w:w="6342" w:type="dxa"/>
            <w:gridSpan w:val="3"/>
            <w:vAlign w:val="center"/>
          </w:tcPr>
          <w:p>
            <w:pPr>
              <w:pStyle w:val="12"/>
            </w:pPr>
            <w:r>
              <w:t>2017年双代用户2023-2024年运行补贴费用（第七年）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1538.00</w:t>
            </w:r>
          </w:p>
        </w:tc>
        <w:tc>
          <w:tcPr>
            <w:tcW w:w="2114" w:type="dxa"/>
            <w:vAlign w:val="center"/>
          </w:tcPr>
          <w:p>
            <w:pPr>
              <w:pStyle w:val="10"/>
            </w:pPr>
            <w:r>
              <w:t>其中：财政    资金</w:t>
            </w:r>
          </w:p>
        </w:tc>
        <w:tc>
          <w:tcPr>
            <w:tcW w:w="2114" w:type="dxa"/>
            <w:vAlign w:val="center"/>
          </w:tcPr>
          <w:p>
            <w:pPr>
              <w:pStyle w:val="12"/>
            </w:pPr>
            <w:r>
              <w:t>1538.00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6、2018年双代用户2023-2024年运行补贴费用（第六年）绩效目标表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13011024P00000110184G</w:t>
            </w:r>
          </w:p>
        </w:tc>
        <w:tc>
          <w:tcPr>
            <w:tcW w:w="2114" w:type="dxa"/>
            <w:vAlign w:val="center"/>
          </w:tcPr>
          <w:p>
            <w:pPr>
              <w:pStyle w:val="10"/>
            </w:pPr>
            <w:r>
              <w:t>项目名称</w:t>
            </w:r>
          </w:p>
        </w:tc>
        <w:tc>
          <w:tcPr>
            <w:tcW w:w="6342" w:type="dxa"/>
            <w:gridSpan w:val="3"/>
            <w:vAlign w:val="center"/>
          </w:tcPr>
          <w:p>
            <w:pPr>
              <w:pStyle w:val="12"/>
            </w:pPr>
            <w:r>
              <w:t>2018年双代用户2023-2024年运行补贴费用（第六年）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410.00</w:t>
            </w:r>
          </w:p>
        </w:tc>
        <w:tc>
          <w:tcPr>
            <w:tcW w:w="2114" w:type="dxa"/>
            <w:vAlign w:val="center"/>
          </w:tcPr>
          <w:p>
            <w:pPr>
              <w:pStyle w:val="10"/>
            </w:pPr>
            <w:r>
              <w:t>其中：财政    资金</w:t>
            </w:r>
          </w:p>
        </w:tc>
        <w:tc>
          <w:tcPr>
            <w:tcW w:w="2114" w:type="dxa"/>
            <w:vAlign w:val="center"/>
          </w:tcPr>
          <w:p>
            <w:pPr>
              <w:pStyle w:val="12"/>
            </w:pPr>
            <w:r>
              <w:t>410.00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采暖季后对2018年5340户农村煤改气和煤改电使用进行补贴，鼓励农户使用清洁能源取暖，减轻农户采暖费用，有效减少大气污染物排放。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1.采暖季后对2018年5340户农村煤改气和煤改电使用进行补贴，鼓励农户使用清洁能源取暖，减轻农户采暖费用，有效减少大气污染物排放。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2018年全区双代运行补贴户数</w:t>
            </w:r>
          </w:p>
        </w:tc>
        <w:tc>
          <w:tcPr>
            <w:tcW w:w="2114" w:type="dxa"/>
            <w:vAlign w:val="center"/>
          </w:tcPr>
          <w:p>
            <w:pPr>
              <w:pStyle w:val="12"/>
            </w:pPr>
            <w:r>
              <w:t>≤5340户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对2018年度煤改气用户发放2023—2024年天然气用户均补贴标准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对2018年度煤改电用户发放2023—2024年煤改电用户均补贴标准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2018年双代补贴户数</w:t>
            </w:r>
          </w:p>
        </w:tc>
        <w:tc>
          <w:tcPr>
            <w:tcW w:w="2114" w:type="dxa"/>
            <w:vAlign w:val="center"/>
          </w:tcPr>
          <w:p>
            <w:pPr>
              <w:pStyle w:val="12"/>
            </w:pPr>
            <w:r>
              <w:t>≤5340元/户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2018年双代补贴户数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7、2019年双代用户2023-2024年运行补贴费用（第五年）绩效目标表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13011024P000001101854</w:t>
            </w:r>
          </w:p>
        </w:tc>
        <w:tc>
          <w:tcPr>
            <w:tcW w:w="2114" w:type="dxa"/>
            <w:vAlign w:val="center"/>
          </w:tcPr>
          <w:p>
            <w:pPr>
              <w:pStyle w:val="10"/>
            </w:pPr>
            <w:r>
              <w:t>项目名称</w:t>
            </w:r>
          </w:p>
        </w:tc>
        <w:tc>
          <w:tcPr>
            <w:tcW w:w="6342" w:type="dxa"/>
            <w:gridSpan w:val="3"/>
            <w:vAlign w:val="center"/>
          </w:tcPr>
          <w:p>
            <w:pPr>
              <w:pStyle w:val="12"/>
            </w:pPr>
            <w:r>
              <w:t>2019年双代用户2023-2024年运行补贴费用（第五年）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2019年双代改造2602户，其中气代煤2371户，电代煤231户，采暖季结束后根据相关企业提供具体明细进行补贴，巩固双代工程效果，减少大气污染,并长期减少污染物排放.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对2019年度煤改气用户发放2023-2024年天然气用户均补贴标准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对2019年度煤改电用户发放2023-2024年煤改电用户均补贴标准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2019年全区双代运行补贴户数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2019年双代补贴户数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2019年双代补贴户数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减少大气污染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8、2020年双代用户2023-2024年运行补贴费用（第四年）绩效目标表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13011024P00000110186P</w:t>
            </w:r>
          </w:p>
        </w:tc>
        <w:tc>
          <w:tcPr>
            <w:tcW w:w="2114" w:type="dxa"/>
            <w:vAlign w:val="center"/>
          </w:tcPr>
          <w:p>
            <w:pPr>
              <w:pStyle w:val="10"/>
            </w:pPr>
            <w:r>
              <w:t>项目名称</w:t>
            </w:r>
          </w:p>
        </w:tc>
        <w:tc>
          <w:tcPr>
            <w:tcW w:w="6342" w:type="dxa"/>
            <w:gridSpan w:val="3"/>
            <w:vAlign w:val="center"/>
          </w:tcPr>
          <w:p>
            <w:pPr>
              <w:pStyle w:val="12"/>
            </w:pPr>
            <w:r>
              <w:t>2020年双代用户2023-2024年运行补贴费用（第四年）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2020年气代煤3056户，采暖季结束后根据相关企业提供具体明细进行补贴，巩固双代工程效果，减少大气污染,并长期减少污染物排放。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对2020年度煤改气用户发放2023-2024年天然气用户均补贴标准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2020年全区双代运行补贴户数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9、2021年老旧小区改造主体（临时指标）绩效目标表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13011024P00000110357A</w:t>
            </w:r>
          </w:p>
        </w:tc>
        <w:tc>
          <w:tcPr>
            <w:tcW w:w="2114" w:type="dxa"/>
            <w:vAlign w:val="center"/>
          </w:tcPr>
          <w:p>
            <w:pPr>
              <w:pStyle w:val="10"/>
            </w:pPr>
            <w:r>
              <w:t>项目名称</w:t>
            </w:r>
          </w:p>
        </w:tc>
        <w:tc>
          <w:tcPr>
            <w:tcW w:w="6342" w:type="dxa"/>
            <w:gridSpan w:val="3"/>
            <w:vAlign w:val="center"/>
          </w:tcPr>
          <w:p>
            <w:pPr>
              <w:pStyle w:val="12"/>
            </w:pPr>
            <w:r>
              <w:t>2021年老旧小区改造主体（临时指标）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165.30</w:t>
            </w:r>
          </w:p>
        </w:tc>
        <w:tc>
          <w:tcPr>
            <w:tcW w:w="2114" w:type="dxa"/>
            <w:vAlign w:val="center"/>
          </w:tcPr>
          <w:p>
            <w:pPr>
              <w:pStyle w:val="10"/>
            </w:pPr>
            <w:r>
              <w:t>其中：财政    资金</w:t>
            </w:r>
          </w:p>
        </w:tc>
        <w:tc>
          <w:tcPr>
            <w:tcW w:w="2114" w:type="dxa"/>
            <w:vAlign w:val="center"/>
          </w:tcPr>
          <w:p>
            <w:pPr>
              <w:pStyle w:val="12"/>
            </w:pPr>
            <w:r>
              <w:t>165.30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10、2023-2024年采暖季农村“双代”运行补贴（临时）绩效目标表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13011024P00000110332G</w:t>
            </w:r>
          </w:p>
        </w:tc>
        <w:tc>
          <w:tcPr>
            <w:tcW w:w="2114" w:type="dxa"/>
            <w:vAlign w:val="center"/>
          </w:tcPr>
          <w:p>
            <w:pPr>
              <w:pStyle w:val="10"/>
            </w:pPr>
            <w:r>
              <w:t>项目名称</w:t>
            </w:r>
          </w:p>
        </w:tc>
        <w:tc>
          <w:tcPr>
            <w:tcW w:w="6342" w:type="dxa"/>
            <w:gridSpan w:val="3"/>
            <w:vAlign w:val="center"/>
          </w:tcPr>
          <w:p>
            <w:pPr>
              <w:pStyle w:val="12"/>
            </w:pPr>
            <w:r>
              <w:t>2023-2024年采暖季农村“双代”运行补贴（临时）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462.00</w:t>
            </w:r>
          </w:p>
        </w:tc>
        <w:tc>
          <w:tcPr>
            <w:tcW w:w="2114" w:type="dxa"/>
            <w:vAlign w:val="center"/>
          </w:tcPr>
          <w:p>
            <w:pPr>
              <w:pStyle w:val="10"/>
            </w:pPr>
            <w:r>
              <w:t>其中：财政    资金</w:t>
            </w:r>
          </w:p>
        </w:tc>
        <w:tc>
          <w:tcPr>
            <w:tcW w:w="2114" w:type="dxa"/>
            <w:vAlign w:val="center"/>
          </w:tcPr>
          <w:p>
            <w:pPr>
              <w:pStyle w:val="12"/>
            </w:pPr>
            <w:r>
              <w:t>462.00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全区双代运行补贴户数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13011024P000001100820</w:t>
            </w:r>
          </w:p>
        </w:tc>
        <w:tc>
          <w:tcPr>
            <w:tcW w:w="2114" w:type="dxa"/>
            <w:vAlign w:val="center"/>
          </w:tcPr>
          <w:p>
            <w:pPr>
              <w:pStyle w:val="10"/>
            </w:pPr>
            <w:r>
              <w:t>项目名称</w:t>
            </w:r>
          </w:p>
        </w:tc>
        <w:tc>
          <w:tcPr>
            <w:tcW w:w="6342" w:type="dxa"/>
            <w:gridSpan w:val="3"/>
            <w:vAlign w:val="center"/>
          </w:tcPr>
          <w:p>
            <w:pPr>
              <w:pStyle w:val="12"/>
            </w:pPr>
            <w:r>
              <w:t>2023年度石家庄市鹿泉区城市体检项目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22.00</w:t>
            </w:r>
          </w:p>
        </w:tc>
        <w:tc>
          <w:tcPr>
            <w:tcW w:w="2114" w:type="dxa"/>
            <w:vAlign w:val="center"/>
          </w:tcPr>
          <w:p>
            <w:pPr>
              <w:pStyle w:val="10"/>
            </w:pPr>
            <w:r>
              <w:t>其中：财政    资金</w:t>
            </w:r>
          </w:p>
        </w:tc>
        <w:tc>
          <w:tcPr>
            <w:tcW w:w="2114" w:type="dxa"/>
            <w:vAlign w:val="center"/>
          </w:tcPr>
          <w:p>
            <w:pPr>
              <w:pStyle w:val="12"/>
            </w:pPr>
            <w:r>
              <w:t>22.00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74.68万元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辖区建成区面积22.82平方公里</w:t>
            </w:r>
          </w:p>
        </w:tc>
        <w:tc>
          <w:tcPr>
            <w:tcW w:w="2114" w:type="dxa"/>
            <w:vAlign w:val="center"/>
          </w:tcPr>
          <w:p>
            <w:pPr>
              <w:pStyle w:val="12"/>
            </w:pPr>
            <w:r>
              <w:t>22.82平方公里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12、2023年鹿泉区历史建筑测绘建档及活化利用绩效目标表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13011024P000001100847</w:t>
            </w:r>
          </w:p>
        </w:tc>
        <w:tc>
          <w:tcPr>
            <w:tcW w:w="2114" w:type="dxa"/>
            <w:vAlign w:val="center"/>
          </w:tcPr>
          <w:p>
            <w:pPr>
              <w:pStyle w:val="10"/>
            </w:pPr>
            <w:r>
              <w:t>项目名称</w:t>
            </w:r>
          </w:p>
        </w:tc>
        <w:tc>
          <w:tcPr>
            <w:tcW w:w="6342" w:type="dxa"/>
            <w:gridSpan w:val="3"/>
            <w:vAlign w:val="center"/>
          </w:tcPr>
          <w:p>
            <w:pPr>
              <w:pStyle w:val="12"/>
            </w:pPr>
            <w:r>
              <w:t>2023年鹿泉区历史建筑测绘建档及活化利用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16.20</w:t>
            </w:r>
          </w:p>
        </w:tc>
        <w:tc>
          <w:tcPr>
            <w:tcW w:w="2114" w:type="dxa"/>
            <w:vAlign w:val="center"/>
          </w:tcPr>
          <w:p>
            <w:pPr>
              <w:pStyle w:val="10"/>
            </w:pPr>
            <w:r>
              <w:t>其中：财政    资金</w:t>
            </w:r>
          </w:p>
        </w:tc>
        <w:tc>
          <w:tcPr>
            <w:tcW w:w="2114" w:type="dxa"/>
            <w:vAlign w:val="center"/>
          </w:tcPr>
          <w:p>
            <w:pPr>
              <w:pStyle w:val="12"/>
            </w:pPr>
            <w:r>
              <w:t>16.20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对鹿泉区现有7处历史建筑测绘建档、编制历史建筑保护规划，使鹿泉区内的历史建筑得到保护，传承鹿泉历史文化。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1.对鹿泉区现有7处历史建筑测绘建档、编制历史建筑保护规划，使鹿泉区内的历史建筑得到保护，传承鹿泉历史文化。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鹿泉区历史建筑保护成本</w:t>
            </w:r>
          </w:p>
        </w:tc>
        <w:tc>
          <w:tcPr>
            <w:tcW w:w="4228" w:type="dxa"/>
            <w:vAlign w:val="center"/>
          </w:tcPr>
          <w:p>
            <w:pPr>
              <w:pStyle w:val="12"/>
            </w:pPr>
            <w:r>
              <w:t>历史建筑测绘建档、保护规划编制、挂牌、修缮总成本</w:t>
            </w:r>
          </w:p>
        </w:tc>
        <w:tc>
          <w:tcPr>
            <w:tcW w:w="2114" w:type="dxa"/>
            <w:vAlign w:val="center"/>
          </w:tcPr>
          <w:p>
            <w:pPr>
              <w:pStyle w:val="12"/>
            </w:pPr>
            <w:r>
              <w:t>21.5万元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鹿泉区历史建筑测绘建档完成数量</w:t>
            </w:r>
          </w:p>
        </w:tc>
        <w:tc>
          <w:tcPr>
            <w:tcW w:w="4228" w:type="dxa"/>
            <w:vAlign w:val="center"/>
          </w:tcPr>
          <w:p>
            <w:pPr>
              <w:pStyle w:val="12"/>
            </w:pPr>
            <w:r>
              <w:t>完成鹿泉区历史建筑测绘建档的数量</w:t>
            </w:r>
          </w:p>
        </w:tc>
        <w:tc>
          <w:tcPr>
            <w:tcW w:w="2114" w:type="dxa"/>
            <w:vAlign w:val="center"/>
          </w:tcPr>
          <w:p>
            <w:pPr>
              <w:pStyle w:val="12"/>
            </w:pPr>
            <w:r>
              <w:t>7处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历史建筑测绘建档上报率</w:t>
            </w:r>
          </w:p>
        </w:tc>
        <w:tc>
          <w:tcPr>
            <w:tcW w:w="4228" w:type="dxa"/>
            <w:vAlign w:val="center"/>
          </w:tcPr>
          <w:p>
            <w:pPr>
              <w:pStyle w:val="12"/>
            </w:pPr>
            <w:r>
              <w:t>完成测绘建档上报的历史建筑占鹿泉区历史建筑总数的比例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按时完成历史建筑测绘建档率</w:t>
            </w:r>
          </w:p>
        </w:tc>
        <w:tc>
          <w:tcPr>
            <w:tcW w:w="4228" w:type="dxa"/>
            <w:vAlign w:val="center"/>
          </w:tcPr>
          <w:p>
            <w:pPr>
              <w:pStyle w:val="12"/>
            </w:pPr>
            <w:r>
              <w:t>按时完成测绘建档的历史建筑占鹿泉区历史建筑总数的比例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历史建筑保护率</w:t>
            </w:r>
          </w:p>
        </w:tc>
        <w:tc>
          <w:tcPr>
            <w:tcW w:w="4228" w:type="dxa"/>
            <w:vAlign w:val="center"/>
          </w:tcPr>
          <w:p>
            <w:pPr>
              <w:pStyle w:val="12"/>
            </w:pPr>
            <w:r>
              <w:t>有效保护的历史建筑占鹿泉区历史建筑总数的比例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历史建筑活化利用率</w:t>
            </w:r>
          </w:p>
        </w:tc>
        <w:tc>
          <w:tcPr>
            <w:tcW w:w="4228" w:type="dxa"/>
            <w:vAlign w:val="center"/>
          </w:tcPr>
          <w:p>
            <w:pPr>
              <w:pStyle w:val="12"/>
            </w:pPr>
            <w:r>
              <w:t>活化利用的历史建筑占鹿泉区历史建筑总数的比例</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对历史建筑保护评价</w:t>
            </w:r>
          </w:p>
        </w:tc>
        <w:tc>
          <w:tcPr>
            <w:tcW w:w="4228" w:type="dxa"/>
            <w:vAlign w:val="center"/>
          </w:tcPr>
          <w:p>
            <w:pPr>
              <w:pStyle w:val="12"/>
            </w:pPr>
            <w:r>
              <w:t>群众满意度调查</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13011024P00000110079D</w:t>
            </w:r>
          </w:p>
        </w:tc>
        <w:tc>
          <w:tcPr>
            <w:tcW w:w="2114" w:type="dxa"/>
            <w:vAlign w:val="center"/>
          </w:tcPr>
          <w:p>
            <w:pPr>
              <w:pStyle w:val="10"/>
            </w:pPr>
            <w:r>
              <w:t>项目名称</w:t>
            </w:r>
          </w:p>
        </w:tc>
        <w:tc>
          <w:tcPr>
            <w:tcW w:w="6342" w:type="dxa"/>
            <w:gridSpan w:val="3"/>
            <w:vAlign w:val="center"/>
          </w:tcPr>
          <w:p>
            <w:pPr>
              <w:pStyle w:val="12"/>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65万元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辖区建成区面积41.93平方公里</w:t>
            </w:r>
          </w:p>
        </w:tc>
        <w:tc>
          <w:tcPr>
            <w:tcW w:w="2114" w:type="dxa"/>
            <w:vAlign w:val="center"/>
          </w:tcPr>
          <w:p>
            <w:pPr>
              <w:pStyle w:val="12"/>
            </w:pPr>
            <w:r>
              <w:t>41.93平方公里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14、城镇居民自闭阀安装补贴绩效目标表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13011024P00000110061L</w:t>
            </w:r>
          </w:p>
        </w:tc>
        <w:tc>
          <w:tcPr>
            <w:tcW w:w="2114" w:type="dxa"/>
            <w:vAlign w:val="center"/>
          </w:tcPr>
          <w:p>
            <w:pPr>
              <w:pStyle w:val="10"/>
            </w:pPr>
            <w:r>
              <w:t>项目名称</w:t>
            </w:r>
          </w:p>
        </w:tc>
        <w:tc>
          <w:tcPr>
            <w:tcW w:w="6342" w:type="dxa"/>
            <w:gridSpan w:val="3"/>
            <w:vAlign w:val="center"/>
          </w:tcPr>
          <w:p>
            <w:pPr>
              <w:pStyle w:val="12"/>
            </w:pPr>
            <w:r>
              <w:t>城镇居民自闭阀安装补贴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w:t>
            </w:r>
          </w:p>
        </w:tc>
        <w:tc>
          <w:tcPr>
            <w:tcW w:w="2114" w:type="dxa"/>
            <w:vAlign w:val="center"/>
          </w:tcPr>
          <w:p>
            <w:pPr>
              <w:pStyle w:val="10"/>
            </w:pPr>
            <w:r>
              <w:t>其中：财政    资金</w:t>
            </w:r>
          </w:p>
        </w:tc>
        <w:tc>
          <w:tcPr>
            <w:tcW w:w="2114" w:type="dxa"/>
            <w:vAlign w:val="center"/>
          </w:tcPr>
          <w:p>
            <w:pPr>
              <w:pStyle w:val="12"/>
            </w:pPr>
            <w:r>
              <w:t>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安装城镇既有管道燃气用户数量</w:t>
            </w:r>
          </w:p>
        </w:tc>
        <w:tc>
          <w:tcPr>
            <w:tcW w:w="4228" w:type="dxa"/>
            <w:vAlign w:val="center"/>
          </w:tcPr>
          <w:p>
            <w:pPr>
              <w:pStyle w:val="12"/>
            </w:pPr>
            <w:r>
              <w:t>享受自闭阀补贴户数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自闭阀安装补贴任务完成率</w:t>
            </w:r>
          </w:p>
        </w:tc>
        <w:tc>
          <w:tcPr>
            <w:tcW w:w="4228" w:type="dxa"/>
            <w:vAlign w:val="center"/>
          </w:tcPr>
          <w:p>
            <w:pPr>
              <w:pStyle w:val="12"/>
            </w:pPr>
            <w:r>
              <w:t xml:space="preserve">   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100 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安装发放自闭阀时间</w:t>
            </w:r>
          </w:p>
        </w:tc>
        <w:tc>
          <w:tcPr>
            <w:tcW w:w="4228" w:type="dxa"/>
            <w:vAlign w:val="center"/>
          </w:tcPr>
          <w:p>
            <w:pPr>
              <w:pStyle w:val="12"/>
            </w:pPr>
            <w:r>
              <w:t xml:space="preserve"> 安装发放自闭阀时间</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城镇自闭阀补贴受益户数</w:t>
            </w:r>
          </w:p>
        </w:tc>
        <w:tc>
          <w:tcPr>
            <w:tcW w:w="4228" w:type="dxa"/>
            <w:vAlign w:val="center"/>
          </w:tcPr>
          <w:p>
            <w:pPr>
              <w:pStyle w:val="12"/>
            </w:pPr>
            <w:r>
              <w:t>城镇自闭阀补贴户数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城镇自闭阀使用时间保障约8年</w:t>
            </w:r>
          </w:p>
        </w:tc>
        <w:tc>
          <w:tcPr>
            <w:tcW w:w="4228" w:type="dxa"/>
            <w:vAlign w:val="center"/>
          </w:tcPr>
          <w:p>
            <w:pPr>
              <w:pStyle w:val="12"/>
            </w:pPr>
            <w:r>
              <w:t>城镇自闭阀补贴受益户数保障约8年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15、传统村落规划编制专项资金绩效目标表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13011024P00000110070W</w:t>
            </w:r>
          </w:p>
        </w:tc>
        <w:tc>
          <w:tcPr>
            <w:tcW w:w="2114" w:type="dxa"/>
            <w:vAlign w:val="center"/>
          </w:tcPr>
          <w:p>
            <w:pPr>
              <w:pStyle w:val="10"/>
            </w:pPr>
            <w:r>
              <w:t>项目名称</w:t>
            </w:r>
          </w:p>
        </w:tc>
        <w:tc>
          <w:tcPr>
            <w:tcW w:w="6342" w:type="dxa"/>
            <w:gridSpan w:val="3"/>
            <w:vAlign w:val="center"/>
          </w:tcPr>
          <w:p>
            <w:pPr>
              <w:pStyle w:val="12"/>
            </w:pPr>
            <w:r>
              <w:t>传统村落规划编制专项资金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专项规划编制完成时间</w:t>
            </w:r>
          </w:p>
        </w:tc>
        <w:tc>
          <w:tcPr>
            <w:tcW w:w="4228" w:type="dxa"/>
            <w:vAlign w:val="center"/>
          </w:tcPr>
          <w:p>
            <w:pPr>
              <w:pStyle w:val="12"/>
            </w:pPr>
            <w:r>
              <w:t>完成规划期至2035年的保护利用专项规划编制、修编和报批</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涉及传统村落数量</w:t>
            </w:r>
          </w:p>
        </w:tc>
        <w:tc>
          <w:tcPr>
            <w:tcW w:w="4228" w:type="dxa"/>
            <w:vAlign w:val="center"/>
          </w:tcPr>
          <w:p>
            <w:pPr>
              <w:pStyle w:val="12"/>
            </w:pPr>
            <w:r>
              <w:t>按我区传统村落数量完成规划编制、修编</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专项编制实用率</w:t>
            </w:r>
          </w:p>
        </w:tc>
        <w:tc>
          <w:tcPr>
            <w:tcW w:w="4228" w:type="dxa"/>
            <w:vAlign w:val="center"/>
          </w:tcPr>
          <w:p>
            <w:pPr>
              <w:pStyle w:val="12"/>
            </w:pPr>
            <w:r>
              <w:t>编制规划对传统村落的保护和利用效果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完成专项编制、修编成本</w:t>
            </w:r>
          </w:p>
        </w:tc>
        <w:tc>
          <w:tcPr>
            <w:tcW w:w="4228" w:type="dxa"/>
            <w:vAlign w:val="center"/>
          </w:tcPr>
          <w:p>
            <w:pPr>
              <w:pStyle w:val="12"/>
            </w:pPr>
            <w:r>
              <w:t>完成传统村落保护利用专项编制、修编所需费用</w:t>
            </w:r>
          </w:p>
        </w:tc>
        <w:tc>
          <w:tcPr>
            <w:tcW w:w="2114" w:type="dxa"/>
            <w:vAlign w:val="center"/>
          </w:tcPr>
          <w:p>
            <w:pPr>
              <w:pStyle w:val="12"/>
            </w:pPr>
            <w:r>
              <w:t>23.6万元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传统村落利用保护数量</w:t>
            </w:r>
          </w:p>
        </w:tc>
        <w:tc>
          <w:tcPr>
            <w:tcW w:w="4228" w:type="dxa"/>
            <w:vAlign w:val="center"/>
          </w:tcPr>
          <w:p>
            <w:pPr>
              <w:pStyle w:val="12"/>
            </w:pPr>
            <w:r>
              <w:t>涉及我区两个传统村落</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项目持续发挥作用时间</w:t>
            </w:r>
          </w:p>
        </w:tc>
        <w:tc>
          <w:tcPr>
            <w:tcW w:w="4228" w:type="dxa"/>
            <w:vAlign w:val="center"/>
          </w:tcPr>
          <w:p>
            <w:pPr>
              <w:pStyle w:val="12"/>
            </w:pPr>
            <w:r>
              <w:t>传统村落专项规划编制、修编可持续期限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改善人居环境</w:t>
            </w:r>
          </w:p>
        </w:tc>
        <w:tc>
          <w:tcPr>
            <w:tcW w:w="4228" w:type="dxa"/>
            <w:vAlign w:val="center"/>
          </w:tcPr>
          <w:p>
            <w:pPr>
              <w:pStyle w:val="12"/>
            </w:pPr>
            <w:r>
              <w:t>完善基础设施、保护非物质文化遗产</w:t>
            </w:r>
          </w:p>
        </w:tc>
        <w:tc>
          <w:tcPr>
            <w:tcW w:w="2114" w:type="dxa"/>
            <w:vAlign w:val="center"/>
          </w:tcPr>
          <w:p>
            <w:pPr>
              <w:pStyle w:val="12"/>
            </w:pPr>
            <w:r>
              <w:t>较以前年度显著改善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2个传统村落</w:t>
            </w:r>
          </w:p>
        </w:tc>
        <w:tc>
          <w:tcPr>
            <w:tcW w:w="4228" w:type="dxa"/>
            <w:vAlign w:val="center"/>
          </w:tcPr>
          <w:p>
            <w:pPr>
              <w:pStyle w:val="12"/>
            </w:pPr>
            <w:r>
              <w:t>我区两个传统村落对规划编制的满意度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16、村级监管员工资绩效目标表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13011024P00000110189J</w:t>
            </w:r>
          </w:p>
        </w:tc>
        <w:tc>
          <w:tcPr>
            <w:tcW w:w="2114" w:type="dxa"/>
            <w:vAlign w:val="center"/>
          </w:tcPr>
          <w:p>
            <w:pPr>
              <w:pStyle w:val="10"/>
            </w:pPr>
            <w:r>
              <w:t>项目名称</w:t>
            </w:r>
          </w:p>
        </w:tc>
        <w:tc>
          <w:tcPr>
            <w:tcW w:w="6342" w:type="dxa"/>
            <w:gridSpan w:val="3"/>
            <w:vAlign w:val="center"/>
          </w:tcPr>
          <w:p>
            <w:pPr>
              <w:pStyle w:val="12"/>
            </w:pPr>
            <w:r>
              <w:t>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115.92</w:t>
            </w:r>
          </w:p>
        </w:tc>
        <w:tc>
          <w:tcPr>
            <w:tcW w:w="2114" w:type="dxa"/>
            <w:vAlign w:val="center"/>
          </w:tcPr>
          <w:p>
            <w:pPr>
              <w:pStyle w:val="10"/>
            </w:pPr>
            <w:r>
              <w:t>其中：财政    资金</w:t>
            </w:r>
          </w:p>
        </w:tc>
        <w:tc>
          <w:tcPr>
            <w:tcW w:w="2114" w:type="dxa"/>
            <w:vAlign w:val="center"/>
          </w:tcPr>
          <w:p>
            <w:pPr>
              <w:pStyle w:val="12"/>
            </w:pPr>
            <w:r>
              <w:t>115.92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实际发放采暖季燃气安全协管员补助标准</w:t>
            </w:r>
          </w:p>
        </w:tc>
        <w:tc>
          <w:tcPr>
            <w:tcW w:w="2114" w:type="dxa"/>
            <w:vAlign w:val="center"/>
          </w:tcPr>
          <w:p>
            <w:pPr>
              <w:pStyle w:val="12"/>
            </w:pPr>
            <w:r>
              <w:t>500月/人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燃气安全协管员人数</w:t>
            </w:r>
          </w:p>
        </w:tc>
        <w:tc>
          <w:tcPr>
            <w:tcW w:w="4228" w:type="dxa"/>
            <w:vAlign w:val="center"/>
          </w:tcPr>
          <w:p>
            <w:pPr>
              <w:pStyle w:val="12"/>
            </w:pPr>
            <w:r>
              <w:t>全区共实施煤改气项目201个村,按政策要求每村配置1-3名燃气安全协员</w:t>
            </w:r>
          </w:p>
        </w:tc>
        <w:tc>
          <w:tcPr>
            <w:tcW w:w="2114" w:type="dxa"/>
            <w:vAlign w:val="center"/>
          </w:tcPr>
          <w:p>
            <w:pPr>
              <w:pStyle w:val="12"/>
            </w:pPr>
            <w:r>
              <w:t>322名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安全隐患排查率</w:t>
            </w:r>
          </w:p>
        </w:tc>
        <w:tc>
          <w:tcPr>
            <w:tcW w:w="4228" w:type="dxa"/>
            <w:vAlign w:val="center"/>
          </w:tcPr>
          <w:p>
            <w:pPr>
              <w:pStyle w:val="12"/>
            </w:pPr>
            <w:r>
              <w:t>实际排查的隐患数量占发现数量的比例</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巡检覆盖率</w:t>
            </w:r>
          </w:p>
        </w:tc>
        <w:tc>
          <w:tcPr>
            <w:tcW w:w="4228" w:type="dxa"/>
            <w:vAlign w:val="center"/>
          </w:tcPr>
          <w:p>
            <w:pPr>
              <w:pStyle w:val="12"/>
            </w:pPr>
            <w:r>
              <w:t>村级安全员及燃气公司协管员在非采暖季及采暖季期间每月对村里农户壁挂炉及燃气管道进行常规巡检，并建立台账，及时给农户解决问题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实际发放非采暖季燃气安全协管员补助标准</w:t>
            </w:r>
          </w:p>
        </w:tc>
        <w:tc>
          <w:tcPr>
            <w:tcW w:w="2114" w:type="dxa"/>
            <w:vAlign w:val="center"/>
          </w:tcPr>
          <w:p>
            <w:pPr>
              <w:pStyle w:val="12"/>
            </w:pPr>
            <w:r>
              <w:t>200月/人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能够长期较好地开展燃气安全巡查工作，保障燃气使用安全。</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巡管安全员满意度</w:t>
            </w:r>
          </w:p>
        </w:tc>
        <w:tc>
          <w:tcPr>
            <w:tcW w:w="4228" w:type="dxa"/>
            <w:vAlign w:val="center"/>
          </w:tcPr>
          <w:p>
            <w:pPr>
              <w:pStyle w:val="12"/>
            </w:pPr>
            <w:r>
              <w:t>对燃气管道巡视安全人员和较满意的人员人数</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13011024P000001100486</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479.30</w:t>
            </w:r>
          </w:p>
        </w:tc>
        <w:tc>
          <w:tcPr>
            <w:tcW w:w="2114" w:type="dxa"/>
            <w:vAlign w:val="center"/>
          </w:tcPr>
          <w:p>
            <w:pPr>
              <w:pStyle w:val="10"/>
            </w:pPr>
            <w:r>
              <w:t>其中：财政    资金</w:t>
            </w:r>
          </w:p>
        </w:tc>
        <w:tc>
          <w:tcPr>
            <w:tcW w:w="2114" w:type="dxa"/>
            <w:vAlign w:val="center"/>
          </w:tcPr>
          <w:p>
            <w:pPr>
              <w:pStyle w:val="12"/>
            </w:pPr>
            <w:r>
              <w:t>479.30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814万元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13011024P00000110383F</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1100.00</w:t>
            </w:r>
          </w:p>
        </w:tc>
        <w:tc>
          <w:tcPr>
            <w:tcW w:w="2114" w:type="dxa"/>
            <w:vAlign w:val="center"/>
          </w:tcPr>
          <w:p>
            <w:pPr>
              <w:pStyle w:val="10"/>
            </w:pPr>
            <w:r>
              <w:t>其中：财政    资金</w:t>
            </w:r>
          </w:p>
        </w:tc>
        <w:tc>
          <w:tcPr>
            <w:tcW w:w="2114" w:type="dxa"/>
            <w:vAlign w:val="center"/>
          </w:tcPr>
          <w:p>
            <w:pPr>
              <w:pStyle w:val="12"/>
            </w:pPr>
            <w:r>
              <w:t>1100.00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≤13944.54万元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13011024P00000110354F</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w:t>
            </w:r>
          </w:p>
        </w:tc>
        <w:tc>
          <w:tcPr>
            <w:tcW w:w="2114" w:type="dxa"/>
            <w:vAlign w:val="center"/>
          </w:tcPr>
          <w:p>
            <w:pPr>
              <w:pStyle w:val="10"/>
            </w:pPr>
            <w:r>
              <w:t>其中：财政    资金</w:t>
            </w:r>
          </w:p>
        </w:tc>
        <w:tc>
          <w:tcPr>
            <w:tcW w:w="2114" w:type="dxa"/>
            <w:vAlign w:val="center"/>
          </w:tcPr>
          <w:p>
            <w:pPr>
              <w:pStyle w:val="12"/>
            </w:pPr>
            <w:r>
              <w:t>300.00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13011024P00000110358X</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34.70</w:t>
            </w:r>
          </w:p>
        </w:tc>
        <w:tc>
          <w:tcPr>
            <w:tcW w:w="2114" w:type="dxa"/>
            <w:vAlign w:val="center"/>
          </w:tcPr>
          <w:p>
            <w:pPr>
              <w:pStyle w:val="10"/>
            </w:pPr>
            <w:r>
              <w:t>其中：财政    资金</w:t>
            </w:r>
          </w:p>
        </w:tc>
        <w:tc>
          <w:tcPr>
            <w:tcW w:w="2114" w:type="dxa"/>
            <w:vAlign w:val="center"/>
          </w:tcPr>
          <w:p>
            <w:pPr>
              <w:pStyle w:val="12"/>
            </w:pPr>
            <w:r>
              <w:t>34.70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34.7万元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21、关于提前下达2023年市级大气污染防治资金（用于农村地区清洁取暖任务运行补贴）预算的通知绩效目标表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13011023P00001210023T</w:t>
            </w:r>
          </w:p>
        </w:tc>
        <w:tc>
          <w:tcPr>
            <w:tcW w:w="2114" w:type="dxa"/>
            <w:vAlign w:val="center"/>
          </w:tcPr>
          <w:p>
            <w:pPr>
              <w:pStyle w:val="10"/>
            </w:pPr>
            <w:r>
              <w:t>项目名称</w:t>
            </w:r>
          </w:p>
        </w:tc>
        <w:tc>
          <w:tcPr>
            <w:tcW w:w="6342" w:type="dxa"/>
            <w:gridSpan w:val="3"/>
            <w:vAlign w:val="center"/>
          </w:tcPr>
          <w:p>
            <w:pPr>
              <w:pStyle w:val="12"/>
            </w:pPr>
            <w:r>
              <w:t>关于提前下达2023年市级大气污染防治资金（用于农村地区清洁取暖任务运行补贴）预算的通知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273.00</w:t>
            </w:r>
          </w:p>
        </w:tc>
        <w:tc>
          <w:tcPr>
            <w:tcW w:w="2114" w:type="dxa"/>
            <w:vAlign w:val="center"/>
          </w:tcPr>
          <w:p>
            <w:pPr>
              <w:pStyle w:val="10"/>
            </w:pPr>
            <w:r>
              <w:t>其中：财政    资金</w:t>
            </w:r>
          </w:p>
        </w:tc>
        <w:tc>
          <w:tcPr>
            <w:tcW w:w="2114" w:type="dxa"/>
            <w:vAlign w:val="center"/>
          </w:tcPr>
          <w:p>
            <w:pPr>
              <w:pStyle w:val="12"/>
            </w:pPr>
            <w:r>
              <w:t>273.00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13011023P00001210019L</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436.00</w:t>
            </w:r>
          </w:p>
        </w:tc>
        <w:tc>
          <w:tcPr>
            <w:tcW w:w="2114" w:type="dxa"/>
            <w:vAlign w:val="center"/>
          </w:tcPr>
          <w:p>
            <w:pPr>
              <w:pStyle w:val="10"/>
            </w:pPr>
            <w:r>
              <w:t>其中：财政    资金</w:t>
            </w:r>
          </w:p>
        </w:tc>
        <w:tc>
          <w:tcPr>
            <w:tcW w:w="2114" w:type="dxa"/>
            <w:vAlign w:val="center"/>
          </w:tcPr>
          <w:p>
            <w:pPr>
              <w:pStyle w:val="12"/>
            </w:pPr>
            <w:r>
              <w:t>436.00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23、关于提前下达2023年中央大气污染防治资金（用于农村地区清洁取暖任务运行补贴）预算的通知绩效目标表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13011023P000012100227</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w:t>
            </w:r>
          </w:p>
        </w:tc>
        <w:tc>
          <w:tcPr>
            <w:tcW w:w="2114" w:type="dxa"/>
            <w:vAlign w:val="center"/>
          </w:tcPr>
          <w:p>
            <w:pPr>
              <w:pStyle w:val="10"/>
            </w:pPr>
            <w:r>
              <w:t>其中：财政    资金</w:t>
            </w:r>
          </w:p>
        </w:tc>
        <w:tc>
          <w:tcPr>
            <w:tcW w:w="2114" w:type="dxa"/>
            <w:vAlign w:val="center"/>
          </w:tcPr>
          <w:p>
            <w:pPr>
              <w:pStyle w:val="12"/>
            </w:pPr>
            <w:r>
              <w:t>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24、关于提前下达2024年部分中央财政城镇保障性安居工程补助资金（老旧小区改造）绩效目标表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13011024P00001210543F</w:t>
            </w:r>
          </w:p>
        </w:tc>
        <w:tc>
          <w:tcPr>
            <w:tcW w:w="2114" w:type="dxa"/>
            <w:vAlign w:val="center"/>
          </w:tcPr>
          <w:p>
            <w:pPr>
              <w:pStyle w:val="10"/>
            </w:pPr>
            <w:r>
              <w:t>项目名称</w:t>
            </w:r>
          </w:p>
        </w:tc>
        <w:tc>
          <w:tcPr>
            <w:tcW w:w="6342" w:type="dxa"/>
            <w:gridSpan w:val="3"/>
            <w:vAlign w:val="center"/>
          </w:tcPr>
          <w:p>
            <w:pPr>
              <w:pStyle w:val="12"/>
            </w:pPr>
            <w:r>
              <w:t>关于提前下达2024年部分中央财政城镇保障性安居工程补助资金（老旧小区改造）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425.00</w:t>
            </w:r>
          </w:p>
        </w:tc>
        <w:tc>
          <w:tcPr>
            <w:tcW w:w="2114" w:type="dxa"/>
            <w:vAlign w:val="center"/>
          </w:tcPr>
          <w:p>
            <w:pPr>
              <w:pStyle w:val="10"/>
            </w:pPr>
            <w:r>
              <w:t>其中：财政    资金</w:t>
            </w:r>
          </w:p>
        </w:tc>
        <w:tc>
          <w:tcPr>
            <w:tcW w:w="2114" w:type="dxa"/>
            <w:vAlign w:val="center"/>
          </w:tcPr>
          <w:p>
            <w:pPr>
              <w:pStyle w:val="12"/>
            </w:pPr>
            <w:r>
              <w:t>425.00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按期完成2024年7个老旧小区改造任务，保障工程质量，改善群众居住环境。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1.按期完成2024年7个老旧小区改造任务，保障工程质量，改善群众居住环境。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2024年老旧小区改造项目符合改造要求的老旧小区3</w:t>
            </w:r>
          </w:p>
        </w:tc>
        <w:tc>
          <w:tcPr>
            <w:tcW w:w="2114" w:type="dxa"/>
            <w:vAlign w:val="center"/>
          </w:tcPr>
          <w:p>
            <w:pPr>
              <w:pStyle w:val="12"/>
            </w:pPr>
            <w:r>
              <w:t>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2024年老旧小区改造项目完成率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2024年老旧小区改造项目按时完成率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2024年老旧小区改造项目部门成本425万元</w:t>
            </w:r>
          </w:p>
        </w:tc>
        <w:tc>
          <w:tcPr>
            <w:tcW w:w="2114" w:type="dxa"/>
            <w:vAlign w:val="center"/>
          </w:tcPr>
          <w:p>
            <w:pPr>
              <w:pStyle w:val="12"/>
            </w:pPr>
            <w:r>
              <w:t>425万元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2024年老旧小区改造项目长期使用性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2024年老旧小区改造项目社会效益受益户数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25、关于提前下达2024年中央大气污染防治资金（用于农村地区气代煤电代煤改造任务运行补助）预算的通知绩效目标表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13011024P00001210542U</w:t>
            </w:r>
          </w:p>
        </w:tc>
        <w:tc>
          <w:tcPr>
            <w:tcW w:w="2114" w:type="dxa"/>
            <w:vAlign w:val="center"/>
          </w:tcPr>
          <w:p>
            <w:pPr>
              <w:pStyle w:val="10"/>
            </w:pPr>
            <w:r>
              <w:t>项目名称</w:t>
            </w:r>
          </w:p>
        </w:tc>
        <w:tc>
          <w:tcPr>
            <w:tcW w:w="6342" w:type="dxa"/>
            <w:gridSpan w:val="3"/>
            <w:vAlign w:val="center"/>
          </w:tcPr>
          <w:p>
            <w:pPr>
              <w:pStyle w:val="12"/>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351.00</w:t>
            </w:r>
          </w:p>
        </w:tc>
        <w:tc>
          <w:tcPr>
            <w:tcW w:w="2114" w:type="dxa"/>
            <w:vAlign w:val="center"/>
          </w:tcPr>
          <w:p>
            <w:pPr>
              <w:pStyle w:val="10"/>
            </w:pPr>
            <w:r>
              <w:t>其中：财政    资金</w:t>
            </w:r>
          </w:p>
        </w:tc>
        <w:tc>
          <w:tcPr>
            <w:tcW w:w="2114" w:type="dxa"/>
            <w:vAlign w:val="center"/>
          </w:tcPr>
          <w:p>
            <w:pPr>
              <w:pStyle w:val="12"/>
            </w:pPr>
            <w:r>
              <w:t>351.00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26、关于下达2023年装配式农村住房建设试点补助资金预算的通知绩效目标表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13011023P00001210557B</w:t>
            </w:r>
          </w:p>
        </w:tc>
        <w:tc>
          <w:tcPr>
            <w:tcW w:w="2114" w:type="dxa"/>
            <w:vAlign w:val="center"/>
          </w:tcPr>
          <w:p>
            <w:pPr>
              <w:pStyle w:val="10"/>
            </w:pPr>
            <w:r>
              <w:t>项目名称</w:t>
            </w:r>
          </w:p>
        </w:tc>
        <w:tc>
          <w:tcPr>
            <w:tcW w:w="6342" w:type="dxa"/>
            <w:gridSpan w:val="3"/>
            <w:vAlign w:val="center"/>
          </w:tcPr>
          <w:p>
            <w:pPr>
              <w:pStyle w:val="12"/>
            </w:pPr>
            <w:r>
              <w:t>关于下达2023年装配式农村住房建设试点补助资金预算的通知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27、关于下达农村地区气代煤电代煤改造任务及洁净煤补助预算的通知绩效目标表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13011023P00001210556P</w:t>
            </w:r>
          </w:p>
        </w:tc>
        <w:tc>
          <w:tcPr>
            <w:tcW w:w="2114" w:type="dxa"/>
            <w:vAlign w:val="center"/>
          </w:tcPr>
          <w:p>
            <w:pPr>
              <w:pStyle w:val="10"/>
            </w:pPr>
            <w:r>
              <w:t>项目名称</w:t>
            </w:r>
          </w:p>
        </w:tc>
        <w:tc>
          <w:tcPr>
            <w:tcW w:w="6342" w:type="dxa"/>
            <w:gridSpan w:val="3"/>
            <w:vAlign w:val="center"/>
          </w:tcPr>
          <w:p>
            <w:pPr>
              <w:pStyle w:val="12"/>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54.00</w:t>
            </w:r>
          </w:p>
        </w:tc>
        <w:tc>
          <w:tcPr>
            <w:tcW w:w="2114" w:type="dxa"/>
            <w:vAlign w:val="center"/>
          </w:tcPr>
          <w:p>
            <w:pPr>
              <w:pStyle w:val="10"/>
            </w:pPr>
            <w:r>
              <w:t>其中：财政    资金</w:t>
            </w:r>
          </w:p>
        </w:tc>
        <w:tc>
          <w:tcPr>
            <w:tcW w:w="2114" w:type="dxa"/>
            <w:vAlign w:val="center"/>
          </w:tcPr>
          <w:p>
            <w:pPr>
              <w:pStyle w:val="12"/>
            </w:pPr>
            <w:r>
              <w:t>54.00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28、关于下达中央大气污染防治资金预算的通知绩效目标表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13011023P000012105554</w:t>
            </w:r>
          </w:p>
        </w:tc>
        <w:tc>
          <w:tcPr>
            <w:tcW w:w="2114" w:type="dxa"/>
            <w:vAlign w:val="center"/>
          </w:tcPr>
          <w:p>
            <w:pPr>
              <w:pStyle w:val="10"/>
            </w:pPr>
            <w:r>
              <w:t>项目名称</w:t>
            </w:r>
          </w:p>
        </w:tc>
        <w:tc>
          <w:tcPr>
            <w:tcW w:w="6342" w:type="dxa"/>
            <w:gridSpan w:val="3"/>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47.00</w:t>
            </w:r>
          </w:p>
        </w:tc>
        <w:tc>
          <w:tcPr>
            <w:tcW w:w="2114" w:type="dxa"/>
            <w:vAlign w:val="center"/>
          </w:tcPr>
          <w:p>
            <w:pPr>
              <w:pStyle w:val="10"/>
            </w:pPr>
            <w:r>
              <w:t>其中：财政    资金</w:t>
            </w:r>
          </w:p>
        </w:tc>
        <w:tc>
          <w:tcPr>
            <w:tcW w:w="2114" w:type="dxa"/>
            <w:vAlign w:val="center"/>
          </w:tcPr>
          <w:p>
            <w:pPr>
              <w:pStyle w:val="12"/>
            </w:pPr>
            <w:r>
              <w:t>47.00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29、光纤专线接入及监控维护费用绩效目标表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13011024P00000110074B</w:t>
            </w:r>
          </w:p>
        </w:tc>
        <w:tc>
          <w:tcPr>
            <w:tcW w:w="2114" w:type="dxa"/>
            <w:vAlign w:val="center"/>
          </w:tcPr>
          <w:p>
            <w:pPr>
              <w:pStyle w:val="10"/>
            </w:pPr>
            <w:r>
              <w:t>项目名称</w:t>
            </w:r>
          </w:p>
        </w:tc>
        <w:tc>
          <w:tcPr>
            <w:tcW w:w="6342" w:type="dxa"/>
            <w:gridSpan w:val="3"/>
            <w:vAlign w:val="center"/>
          </w:tcPr>
          <w:p>
            <w:pPr>
              <w:pStyle w:val="12"/>
            </w:pPr>
            <w:r>
              <w:t>光纤专线接入及监控维护费用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政务外网租赁成本</w:t>
            </w:r>
          </w:p>
        </w:tc>
        <w:tc>
          <w:tcPr>
            <w:tcW w:w="4228" w:type="dxa"/>
            <w:vAlign w:val="center"/>
          </w:tcPr>
          <w:p>
            <w:pPr>
              <w:pStyle w:val="12"/>
            </w:pPr>
            <w:r>
              <w:t>监控光纤政务外网费用</w:t>
            </w:r>
          </w:p>
        </w:tc>
        <w:tc>
          <w:tcPr>
            <w:tcW w:w="2114" w:type="dxa"/>
            <w:vAlign w:val="center"/>
          </w:tcPr>
          <w:p>
            <w:pPr>
              <w:pStyle w:val="12"/>
            </w:pPr>
            <w:r>
              <w:t>4.8万元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机房专线成本</w:t>
            </w:r>
          </w:p>
        </w:tc>
        <w:tc>
          <w:tcPr>
            <w:tcW w:w="4228" w:type="dxa"/>
            <w:vAlign w:val="center"/>
          </w:tcPr>
          <w:p>
            <w:pPr>
              <w:pStyle w:val="12"/>
            </w:pPr>
            <w:r>
              <w:t>机房专线费用</w:t>
            </w:r>
          </w:p>
        </w:tc>
        <w:tc>
          <w:tcPr>
            <w:tcW w:w="2114" w:type="dxa"/>
            <w:vAlign w:val="center"/>
          </w:tcPr>
          <w:p>
            <w:pPr>
              <w:pStyle w:val="12"/>
            </w:pPr>
            <w:r>
              <w:t>2.4万元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运维成本</w:t>
            </w:r>
          </w:p>
        </w:tc>
        <w:tc>
          <w:tcPr>
            <w:tcW w:w="4228" w:type="dxa"/>
            <w:vAlign w:val="center"/>
          </w:tcPr>
          <w:p>
            <w:pPr>
              <w:pStyle w:val="12"/>
            </w:pPr>
            <w:r>
              <w:t>监控运行维护费用</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光纤租用量</w:t>
            </w:r>
          </w:p>
        </w:tc>
        <w:tc>
          <w:tcPr>
            <w:tcW w:w="4228" w:type="dxa"/>
            <w:vAlign w:val="center"/>
          </w:tcPr>
          <w:p>
            <w:pPr>
              <w:pStyle w:val="12"/>
            </w:pPr>
            <w:r>
              <w:t>租用的光纤的量</w:t>
            </w:r>
          </w:p>
        </w:tc>
        <w:tc>
          <w:tcPr>
            <w:tcW w:w="2114" w:type="dxa"/>
            <w:vAlign w:val="center"/>
          </w:tcPr>
          <w:p>
            <w:pPr>
              <w:pStyle w:val="12"/>
            </w:pPr>
            <w:r>
              <w:t>150条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光纤租赁成本</w:t>
            </w:r>
          </w:p>
        </w:tc>
        <w:tc>
          <w:tcPr>
            <w:tcW w:w="4228" w:type="dxa"/>
            <w:vAlign w:val="center"/>
          </w:tcPr>
          <w:p>
            <w:pPr>
              <w:pStyle w:val="12"/>
            </w:pPr>
            <w:r>
              <w:t>光纤租赁成本</w:t>
            </w:r>
          </w:p>
        </w:tc>
        <w:tc>
          <w:tcPr>
            <w:tcW w:w="2114" w:type="dxa"/>
            <w:vAlign w:val="center"/>
          </w:tcPr>
          <w:p>
            <w:pPr>
              <w:pStyle w:val="12"/>
            </w:pPr>
            <w:r>
              <w:t>400元/月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光纤故障率</w:t>
            </w:r>
          </w:p>
        </w:tc>
        <w:tc>
          <w:tcPr>
            <w:tcW w:w="4228" w:type="dxa"/>
            <w:vAlign w:val="center"/>
          </w:tcPr>
          <w:p>
            <w:pPr>
              <w:pStyle w:val="12"/>
            </w:pPr>
            <w:r>
              <w:t>光纤故障率</w:t>
            </w:r>
          </w:p>
        </w:tc>
        <w:tc>
          <w:tcPr>
            <w:tcW w:w="2114" w:type="dxa"/>
            <w:vAlign w:val="center"/>
          </w:tcPr>
          <w:p>
            <w:pPr>
              <w:pStyle w:val="12"/>
            </w:pPr>
            <w:r>
              <w:t>达到《电信服务质量标准》保证通信业务安全畅通</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故障修复时限</w:t>
            </w:r>
          </w:p>
        </w:tc>
        <w:tc>
          <w:tcPr>
            <w:tcW w:w="4228" w:type="dxa"/>
            <w:vAlign w:val="center"/>
          </w:tcPr>
          <w:p>
            <w:pPr>
              <w:pStyle w:val="12"/>
            </w:pPr>
            <w:r>
              <w:t>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整改完成率</w:t>
            </w:r>
          </w:p>
        </w:tc>
        <w:tc>
          <w:tcPr>
            <w:tcW w:w="4228" w:type="dxa"/>
            <w:vAlign w:val="center"/>
          </w:tcPr>
          <w:p>
            <w:pPr>
              <w:pStyle w:val="12"/>
            </w:pPr>
            <w:r>
              <w:t>扬尘整改完成量占发现量的比例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施工过程达标情况</w:t>
            </w:r>
          </w:p>
        </w:tc>
        <w:tc>
          <w:tcPr>
            <w:tcW w:w="4228" w:type="dxa"/>
            <w:vAlign w:val="center"/>
          </w:tcPr>
          <w:p>
            <w:pPr>
              <w:pStyle w:val="12"/>
            </w:pPr>
            <w:r>
              <w:t>所有的施工现场达到的标准</w:t>
            </w:r>
          </w:p>
        </w:tc>
        <w:tc>
          <w:tcPr>
            <w:tcW w:w="2114" w:type="dxa"/>
            <w:vAlign w:val="center"/>
          </w:tcPr>
          <w:p>
            <w:pPr>
              <w:pStyle w:val="12"/>
            </w:pPr>
            <w:r>
              <w:t>“六个百分百”“两个全覆盖”</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群众对建筑施工现场扬尘治理整体满意度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30、华洁污水处理厂污水处理费（临时）绩效目标表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13011024P00000110344K</w:t>
            </w:r>
          </w:p>
        </w:tc>
        <w:tc>
          <w:tcPr>
            <w:tcW w:w="2114" w:type="dxa"/>
            <w:vAlign w:val="center"/>
          </w:tcPr>
          <w:p>
            <w:pPr>
              <w:pStyle w:val="10"/>
            </w:pPr>
            <w:r>
              <w:t>项目名称</w:t>
            </w:r>
          </w:p>
        </w:tc>
        <w:tc>
          <w:tcPr>
            <w:tcW w:w="6342" w:type="dxa"/>
            <w:gridSpan w:val="3"/>
            <w:vAlign w:val="center"/>
          </w:tcPr>
          <w:p>
            <w:pPr>
              <w:pStyle w:val="12"/>
            </w:pPr>
            <w:r>
              <w:t>华洁污水处理厂污水处理费（临时）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174.84</w:t>
            </w:r>
          </w:p>
        </w:tc>
        <w:tc>
          <w:tcPr>
            <w:tcW w:w="2114" w:type="dxa"/>
            <w:vAlign w:val="center"/>
          </w:tcPr>
          <w:p>
            <w:pPr>
              <w:pStyle w:val="10"/>
            </w:pPr>
            <w:r>
              <w:t>其中：财政    资金</w:t>
            </w:r>
          </w:p>
        </w:tc>
        <w:tc>
          <w:tcPr>
            <w:tcW w:w="2114" w:type="dxa"/>
            <w:vAlign w:val="center"/>
          </w:tcPr>
          <w:p>
            <w:pPr>
              <w:pStyle w:val="12"/>
            </w:pPr>
            <w:r>
              <w:t>174.84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31、局机关及各科室运行经费绩效目标表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13011024P00000110376E</w:t>
            </w:r>
          </w:p>
        </w:tc>
        <w:tc>
          <w:tcPr>
            <w:tcW w:w="2114" w:type="dxa"/>
            <w:vAlign w:val="center"/>
          </w:tcPr>
          <w:p>
            <w:pPr>
              <w:pStyle w:val="10"/>
            </w:pPr>
            <w:r>
              <w:t>项目名称</w:t>
            </w:r>
          </w:p>
        </w:tc>
        <w:tc>
          <w:tcPr>
            <w:tcW w:w="6342" w:type="dxa"/>
            <w:gridSpan w:val="3"/>
            <w:vAlign w:val="center"/>
          </w:tcPr>
          <w:p>
            <w:pPr>
              <w:pStyle w:val="12"/>
            </w:pPr>
            <w:r>
              <w:t>局机关及各科室运行经费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55.00</w:t>
            </w:r>
          </w:p>
        </w:tc>
        <w:tc>
          <w:tcPr>
            <w:tcW w:w="2114" w:type="dxa"/>
            <w:vAlign w:val="center"/>
          </w:tcPr>
          <w:p>
            <w:pPr>
              <w:pStyle w:val="10"/>
            </w:pPr>
            <w:r>
              <w:t>其中：财政    资金</w:t>
            </w:r>
          </w:p>
        </w:tc>
        <w:tc>
          <w:tcPr>
            <w:tcW w:w="2114" w:type="dxa"/>
            <w:vAlign w:val="center"/>
          </w:tcPr>
          <w:p>
            <w:pPr>
              <w:pStyle w:val="12"/>
            </w:pPr>
            <w:r>
              <w:t>55.00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≥100人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日常经费支出</w:t>
            </w:r>
          </w:p>
        </w:tc>
        <w:tc>
          <w:tcPr>
            <w:tcW w:w="4228" w:type="dxa"/>
            <w:vAlign w:val="center"/>
          </w:tcPr>
          <w:p>
            <w:pPr>
              <w:pStyle w:val="12"/>
            </w:pPr>
            <w:r>
              <w:t>办公费、水电费、维修维护费及其他费用的支出</w:t>
            </w:r>
          </w:p>
        </w:tc>
        <w:tc>
          <w:tcPr>
            <w:tcW w:w="2114" w:type="dxa"/>
            <w:vAlign w:val="center"/>
          </w:tcPr>
          <w:p>
            <w:pPr>
              <w:pStyle w:val="12"/>
            </w:pPr>
            <w:r>
              <w:t>按统一规定执行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保障日常需要维持单位正常运转</w:t>
            </w:r>
          </w:p>
        </w:tc>
        <w:tc>
          <w:tcPr>
            <w:tcW w:w="4228" w:type="dxa"/>
            <w:vAlign w:val="center"/>
          </w:tcPr>
          <w:p>
            <w:pPr>
              <w:pStyle w:val="12"/>
            </w:pPr>
            <w:r>
              <w:t>保障日常需要维持单位正常运转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业务能力增强</w:t>
            </w:r>
          </w:p>
        </w:tc>
        <w:tc>
          <w:tcPr>
            <w:tcW w:w="4228" w:type="dxa"/>
            <w:vAlign w:val="center"/>
          </w:tcPr>
          <w:p>
            <w:pPr>
              <w:pStyle w:val="12"/>
            </w:pPr>
            <w:r>
              <w:t>业务能力增强</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单位人员满意度</w:t>
            </w:r>
          </w:p>
        </w:tc>
        <w:tc>
          <w:tcPr>
            <w:tcW w:w="4228" w:type="dxa"/>
            <w:vAlign w:val="center"/>
          </w:tcPr>
          <w:p>
            <w:pPr>
              <w:pStyle w:val="12"/>
            </w:pPr>
            <w:r>
              <w:t>单位人员对日常工作满意程度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32、老旧小区物业全覆盖补贴费用绩效目标表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13011024P00000110049R</w:t>
            </w:r>
          </w:p>
        </w:tc>
        <w:tc>
          <w:tcPr>
            <w:tcW w:w="2114" w:type="dxa"/>
            <w:vAlign w:val="center"/>
          </w:tcPr>
          <w:p>
            <w:pPr>
              <w:pStyle w:val="10"/>
            </w:pPr>
            <w:r>
              <w:t>项目名称</w:t>
            </w:r>
          </w:p>
        </w:tc>
        <w:tc>
          <w:tcPr>
            <w:tcW w:w="6342" w:type="dxa"/>
            <w:gridSpan w:val="3"/>
            <w:vAlign w:val="center"/>
          </w:tcPr>
          <w:p>
            <w:pPr>
              <w:pStyle w:val="12"/>
            </w:pPr>
            <w:r>
              <w:t>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40.23</w:t>
            </w:r>
          </w:p>
        </w:tc>
        <w:tc>
          <w:tcPr>
            <w:tcW w:w="2114" w:type="dxa"/>
            <w:vAlign w:val="center"/>
          </w:tcPr>
          <w:p>
            <w:pPr>
              <w:pStyle w:val="10"/>
            </w:pPr>
            <w:r>
              <w:t>其中：财政    资金</w:t>
            </w:r>
          </w:p>
        </w:tc>
        <w:tc>
          <w:tcPr>
            <w:tcW w:w="2114" w:type="dxa"/>
            <w:vAlign w:val="center"/>
          </w:tcPr>
          <w:p>
            <w:pPr>
              <w:pStyle w:val="12"/>
            </w:pPr>
            <w:r>
              <w:t>40.23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老旧小区物业补贴面积</w:t>
            </w:r>
          </w:p>
        </w:tc>
        <w:tc>
          <w:tcPr>
            <w:tcW w:w="4228" w:type="dxa"/>
            <w:vAlign w:val="center"/>
          </w:tcPr>
          <w:p>
            <w:pPr>
              <w:pStyle w:val="12"/>
            </w:pPr>
            <w:r>
              <w:t>老旧小区物业补贴面积93.2万平方米</w:t>
            </w:r>
          </w:p>
        </w:tc>
        <w:tc>
          <w:tcPr>
            <w:tcW w:w="2114" w:type="dxa"/>
            <w:vAlign w:val="center"/>
          </w:tcPr>
          <w:p>
            <w:pPr>
              <w:pStyle w:val="12"/>
            </w:pPr>
            <w:r>
              <w:t>≥93.2万平房米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老旧小区物业补贴完成率</w:t>
            </w:r>
          </w:p>
        </w:tc>
        <w:tc>
          <w:tcPr>
            <w:tcW w:w="4228" w:type="dxa"/>
            <w:vAlign w:val="center"/>
          </w:tcPr>
          <w:p>
            <w:pPr>
              <w:pStyle w:val="12"/>
            </w:pPr>
            <w:r>
              <w:t>对引进物业的老旧小区补贴完成率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老旧小区物业补贴时间</w:t>
            </w:r>
          </w:p>
        </w:tc>
        <w:tc>
          <w:tcPr>
            <w:tcW w:w="4228" w:type="dxa"/>
            <w:vAlign w:val="center"/>
          </w:tcPr>
          <w:p>
            <w:pPr>
              <w:pStyle w:val="12"/>
            </w:pPr>
            <w:r>
              <w:t>入住的小区自2023年1月1日开始发放补助</w:t>
            </w:r>
          </w:p>
        </w:tc>
        <w:tc>
          <w:tcPr>
            <w:tcW w:w="2114" w:type="dxa"/>
            <w:vAlign w:val="center"/>
          </w:tcPr>
          <w:p>
            <w:pPr>
              <w:pStyle w:val="12"/>
            </w:pPr>
            <w:r>
              <w:t>2023年1月1日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老旧小区物业补贴单位成本</w:t>
            </w:r>
          </w:p>
        </w:tc>
        <w:tc>
          <w:tcPr>
            <w:tcW w:w="4228" w:type="dxa"/>
            <w:vAlign w:val="center"/>
          </w:tcPr>
          <w:p>
            <w:pPr>
              <w:pStyle w:val="12"/>
            </w:pPr>
            <w:r>
              <w:t>一类小区每平米补贴单价0.3元/月，二类小区每平米补贴单价0.15元/月。</w:t>
            </w:r>
          </w:p>
        </w:tc>
        <w:tc>
          <w:tcPr>
            <w:tcW w:w="2114" w:type="dxa"/>
            <w:vAlign w:val="center"/>
          </w:tcPr>
          <w:p>
            <w:pPr>
              <w:pStyle w:val="12"/>
            </w:pPr>
            <w:r>
              <w:t>按《鹿泉区“红色物业”承接老旧小区服务若干扶持办法》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社会影响力</w:t>
            </w:r>
          </w:p>
        </w:tc>
        <w:tc>
          <w:tcPr>
            <w:tcW w:w="4228" w:type="dxa"/>
            <w:vAlign w:val="center"/>
          </w:tcPr>
          <w:p>
            <w:pPr>
              <w:pStyle w:val="12"/>
            </w:pPr>
            <w:r>
              <w:t>完善老旧小区基础设施，便与引进物业管理，得到小区住户的充分认可。</w:t>
            </w:r>
          </w:p>
        </w:tc>
        <w:tc>
          <w:tcPr>
            <w:tcW w:w="2114" w:type="dxa"/>
            <w:vAlign w:val="center"/>
          </w:tcPr>
          <w:p>
            <w:pPr>
              <w:pStyle w:val="12"/>
            </w:pPr>
            <w:r>
              <w:t>小区业主认可</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老旧小区物业补贴群众满意度</w:t>
            </w:r>
          </w:p>
        </w:tc>
        <w:tc>
          <w:tcPr>
            <w:tcW w:w="4228" w:type="dxa"/>
            <w:vAlign w:val="center"/>
          </w:tcPr>
          <w:p>
            <w:pPr>
              <w:pStyle w:val="12"/>
            </w:pPr>
            <w:r>
              <w:t>群众满意数量占总数的比例</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33、两座污水处理厂污泥处置费绩效目标表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13011024P00000110052C</w:t>
            </w:r>
          </w:p>
        </w:tc>
        <w:tc>
          <w:tcPr>
            <w:tcW w:w="2114" w:type="dxa"/>
            <w:vAlign w:val="center"/>
          </w:tcPr>
          <w:p>
            <w:pPr>
              <w:pStyle w:val="10"/>
            </w:pPr>
            <w:r>
              <w:t>项目名称</w:t>
            </w:r>
          </w:p>
        </w:tc>
        <w:tc>
          <w:tcPr>
            <w:tcW w:w="6342" w:type="dxa"/>
            <w:gridSpan w:val="3"/>
            <w:vAlign w:val="center"/>
          </w:tcPr>
          <w:p>
            <w:pPr>
              <w:pStyle w:val="12"/>
            </w:pPr>
            <w:r>
              <w:t>两座污水处理厂污泥处置费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255.30</w:t>
            </w:r>
          </w:p>
        </w:tc>
        <w:tc>
          <w:tcPr>
            <w:tcW w:w="2114" w:type="dxa"/>
            <w:vAlign w:val="center"/>
          </w:tcPr>
          <w:p>
            <w:pPr>
              <w:pStyle w:val="10"/>
            </w:pPr>
            <w:r>
              <w:t>其中：财政    资金</w:t>
            </w:r>
          </w:p>
        </w:tc>
        <w:tc>
          <w:tcPr>
            <w:tcW w:w="2114" w:type="dxa"/>
            <w:vAlign w:val="center"/>
          </w:tcPr>
          <w:p>
            <w:pPr>
              <w:pStyle w:val="12"/>
            </w:pPr>
            <w:r>
              <w:t>255.30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13011024P000001103211</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29.51</w:t>
            </w:r>
          </w:p>
        </w:tc>
        <w:tc>
          <w:tcPr>
            <w:tcW w:w="2114" w:type="dxa"/>
            <w:vAlign w:val="center"/>
          </w:tcPr>
          <w:p>
            <w:pPr>
              <w:pStyle w:val="10"/>
            </w:pPr>
            <w:r>
              <w:t>其中：财政    资金</w:t>
            </w:r>
          </w:p>
        </w:tc>
        <w:tc>
          <w:tcPr>
            <w:tcW w:w="2114" w:type="dxa"/>
            <w:vAlign w:val="center"/>
          </w:tcPr>
          <w:p>
            <w:pPr>
              <w:pStyle w:val="12"/>
            </w:pPr>
            <w:r>
              <w:t>29.51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13011024P000001103457</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15.19</w:t>
            </w:r>
          </w:p>
        </w:tc>
        <w:tc>
          <w:tcPr>
            <w:tcW w:w="2114" w:type="dxa"/>
            <w:vAlign w:val="center"/>
          </w:tcPr>
          <w:p>
            <w:pPr>
              <w:pStyle w:val="10"/>
            </w:pPr>
            <w:r>
              <w:t>其中：财政    资金</w:t>
            </w:r>
          </w:p>
        </w:tc>
        <w:tc>
          <w:tcPr>
            <w:tcW w:w="2114" w:type="dxa"/>
            <w:vAlign w:val="center"/>
          </w:tcPr>
          <w:p>
            <w:pPr>
              <w:pStyle w:val="12"/>
            </w:pPr>
            <w:r>
              <w:t>15.19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36、鹿泉区2020年老旧小区改造提升项目绩效目标表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13011024P00000110385N</w:t>
            </w:r>
          </w:p>
        </w:tc>
        <w:tc>
          <w:tcPr>
            <w:tcW w:w="2114" w:type="dxa"/>
            <w:vAlign w:val="center"/>
          </w:tcPr>
          <w:p>
            <w:pPr>
              <w:pStyle w:val="10"/>
            </w:pPr>
            <w:r>
              <w:t>项目名称</w:t>
            </w:r>
          </w:p>
        </w:tc>
        <w:tc>
          <w:tcPr>
            <w:tcW w:w="6342" w:type="dxa"/>
            <w:gridSpan w:val="3"/>
            <w:vAlign w:val="center"/>
          </w:tcPr>
          <w:p>
            <w:pPr>
              <w:pStyle w:val="12"/>
            </w:pPr>
            <w:r>
              <w:t>鹿泉区2020年老旧小区改造提升项目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150.12</w:t>
            </w:r>
          </w:p>
        </w:tc>
        <w:tc>
          <w:tcPr>
            <w:tcW w:w="2114" w:type="dxa"/>
            <w:vAlign w:val="center"/>
          </w:tcPr>
          <w:p>
            <w:pPr>
              <w:pStyle w:val="10"/>
            </w:pPr>
            <w:r>
              <w:t>其中：财政    资金</w:t>
            </w:r>
          </w:p>
        </w:tc>
        <w:tc>
          <w:tcPr>
            <w:tcW w:w="2114" w:type="dxa"/>
            <w:vAlign w:val="center"/>
          </w:tcPr>
          <w:p>
            <w:pPr>
              <w:pStyle w:val="12"/>
            </w:pPr>
            <w:r>
              <w:t>150.12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完成2020年老旧小区改造，改善老旧小区居住环境。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1.完成2020年老旧小区改造，改善老旧小区居住环境。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2020年老旧小区改造配套基础设施项目符合改造要求的老旧小区9个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2020年老旧小区改造配套基础设施项目合格率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2020年老旧小区改造配套基础设施项目按时完成率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2020年老旧小区改造配套基础设施项目总成本2685.98万元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2020年老旧小区改造配套基础设施项目长期使用性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2020年老旧小区改造配套基础设施项目受益户数1342户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37、鹿泉区2021年老旧小区改造配套基础设施项目绩效目标表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13011024P00000110378M</w:t>
            </w:r>
          </w:p>
        </w:tc>
        <w:tc>
          <w:tcPr>
            <w:tcW w:w="2114" w:type="dxa"/>
            <w:vAlign w:val="center"/>
          </w:tcPr>
          <w:p>
            <w:pPr>
              <w:pStyle w:val="10"/>
            </w:pPr>
            <w:r>
              <w:t>项目名称</w:t>
            </w:r>
          </w:p>
        </w:tc>
        <w:tc>
          <w:tcPr>
            <w:tcW w:w="6342" w:type="dxa"/>
            <w:gridSpan w:val="3"/>
            <w:vAlign w:val="center"/>
          </w:tcPr>
          <w:p>
            <w:pPr>
              <w:pStyle w:val="12"/>
            </w:pPr>
            <w:r>
              <w:t>鹿泉区2021年老旧小区改造配套基础设施项目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76.56</w:t>
            </w:r>
          </w:p>
        </w:tc>
        <w:tc>
          <w:tcPr>
            <w:tcW w:w="2114" w:type="dxa"/>
            <w:vAlign w:val="center"/>
          </w:tcPr>
          <w:p>
            <w:pPr>
              <w:pStyle w:val="10"/>
            </w:pPr>
            <w:r>
              <w:t>其中：财政    资金</w:t>
            </w:r>
          </w:p>
        </w:tc>
        <w:tc>
          <w:tcPr>
            <w:tcW w:w="2114" w:type="dxa"/>
            <w:vAlign w:val="center"/>
          </w:tcPr>
          <w:p>
            <w:pPr>
              <w:pStyle w:val="12"/>
            </w:pPr>
            <w:r>
              <w:t>76.56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2685.98万元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38、鹿泉区车站区域基础设施综合建设工程（专项债券）绩效目标表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13011023P00033110002F</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6600.00</w:t>
            </w:r>
          </w:p>
        </w:tc>
        <w:tc>
          <w:tcPr>
            <w:tcW w:w="2114" w:type="dxa"/>
            <w:vAlign w:val="center"/>
          </w:tcPr>
          <w:p>
            <w:pPr>
              <w:pStyle w:val="10"/>
            </w:pPr>
            <w:r>
              <w:t>其中：财政    资金</w:t>
            </w:r>
          </w:p>
        </w:tc>
        <w:tc>
          <w:tcPr>
            <w:tcW w:w="2114" w:type="dxa"/>
            <w:vAlign w:val="center"/>
          </w:tcPr>
          <w:p>
            <w:pPr>
              <w:pStyle w:val="12"/>
            </w:pPr>
            <w:r>
              <w:t>6600.00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按时完成鹿泉区车站区域基础设施综合建设项目用地面积为26411.28平方米，改善站前街附近居民的便民服务基础设施。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w:t>
            </w:r>
          </w:p>
        </w:tc>
        <w:tc>
          <w:tcPr>
            <w:tcW w:w="2114" w:type="dxa"/>
            <w:vAlign w:val="center"/>
          </w:tcPr>
          <w:p>
            <w:pPr>
              <w:pStyle w:val="12"/>
            </w:pPr>
            <w:r>
              <w:t>26411.28平方米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基础设施项目成本</w:t>
            </w:r>
          </w:p>
        </w:tc>
        <w:tc>
          <w:tcPr>
            <w:tcW w:w="2114" w:type="dxa"/>
            <w:vAlign w:val="center"/>
          </w:tcPr>
          <w:p>
            <w:pPr>
              <w:pStyle w:val="12"/>
            </w:pPr>
            <w:r>
              <w:t>21514.26万元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39、鹿泉区车站区域基础设施综合建设工程项目绩效目标表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13011022P00287010003P</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按时完成鹿泉区车站区域基础设施综合建设项目用地面积为5384.68平方米，改善站前街附近居民的便民服务基础设施。</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基础设施项目用地面积5384.68平方米</w:t>
            </w:r>
          </w:p>
        </w:tc>
        <w:tc>
          <w:tcPr>
            <w:tcW w:w="2114" w:type="dxa"/>
            <w:vAlign w:val="center"/>
          </w:tcPr>
          <w:p>
            <w:pPr>
              <w:pStyle w:val="12"/>
            </w:pPr>
            <w:r>
              <w:t>5384.68平方米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基础设施项目部分成本</w:t>
            </w:r>
          </w:p>
        </w:tc>
        <w:tc>
          <w:tcPr>
            <w:tcW w:w="2114" w:type="dxa"/>
            <w:vAlign w:val="center"/>
          </w:tcPr>
          <w:p>
            <w:pPr>
              <w:pStyle w:val="12"/>
            </w:pPr>
            <w:r>
              <w:t>5000万元</w:t>
            </w:r>
          </w:p>
        </w:tc>
        <w:tc>
          <w:tcPr>
            <w:tcW w:w="2114" w:type="dxa"/>
            <w:vAlign w:val="center"/>
          </w:tcPr>
          <w:p>
            <w:pPr>
              <w:pStyle w:val="12"/>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40、鹿泉区车站区域集中安置棚户区改造项目（专项债券）绩效目标表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13011023P00033310002T</w:t>
            </w:r>
          </w:p>
        </w:tc>
        <w:tc>
          <w:tcPr>
            <w:tcW w:w="2114" w:type="dxa"/>
            <w:vAlign w:val="center"/>
          </w:tcPr>
          <w:p>
            <w:pPr>
              <w:pStyle w:val="10"/>
            </w:pPr>
            <w:r>
              <w:t>项目名称</w:t>
            </w:r>
          </w:p>
        </w:tc>
        <w:tc>
          <w:tcPr>
            <w:tcW w:w="6342" w:type="dxa"/>
            <w:gridSpan w:val="3"/>
            <w:vAlign w:val="center"/>
          </w:tcPr>
          <w:p>
            <w:pPr>
              <w:pStyle w:val="12"/>
            </w:pPr>
            <w:r>
              <w:t>鹿泉区车站区域集中安置棚户区改造项目（专项债券）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3834.74</w:t>
            </w:r>
          </w:p>
        </w:tc>
        <w:tc>
          <w:tcPr>
            <w:tcW w:w="2114" w:type="dxa"/>
            <w:vAlign w:val="center"/>
          </w:tcPr>
          <w:p>
            <w:pPr>
              <w:pStyle w:val="10"/>
            </w:pPr>
            <w:r>
              <w:t>其中：财政    资金</w:t>
            </w:r>
          </w:p>
        </w:tc>
        <w:tc>
          <w:tcPr>
            <w:tcW w:w="2114" w:type="dxa"/>
            <w:vAlign w:val="center"/>
          </w:tcPr>
          <w:p>
            <w:pPr>
              <w:pStyle w:val="12"/>
            </w:pPr>
            <w:r>
              <w:t>3834.74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棚户区改造项目用地面积</w:t>
            </w:r>
          </w:p>
        </w:tc>
        <w:tc>
          <w:tcPr>
            <w:tcW w:w="4228" w:type="dxa"/>
            <w:vAlign w:val="center"/>
          </w:tcPr>
          <w:p>
            <w:pPr>
              <w:pStyle w:val="12"/>
            </w:pPr>
            <w:r>
              <w:t>棚户区改造项目用地面积29485.36平方米</w:t>
            </w:r>
          </w:p>
        </w:tc>
        <w:tc>
          <w:tcPr>
            <w:tcW w:w="2114" w:type="dxa"/>
            <w:vAlign w:val="center"/>
          </w:tcPr>
          <w:p>
            <w:pPr>
              <w:pStyle w:val="12"/>
            </w:pPr>
            <w:r>
              <w:t>29485.36平方米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棚户区改造项目完成率</w:t>
            </w:r>
          </w:p>
        </w:tc>
        <w:tc>
          <w:tcPr>
            <w:tcW w:w="4228" w:type="dxa"/>
            <w:vAlign w:val="center"/>
          </w:tcPr>
          <w:p>
            <w:pPr>
              <w:pStyle w:val="12"/>
            </w:pPr>
            <w:r>
              <w:t>棚户区改造项目完成率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棚户区改造项目按时完成率</w:t>
            </w:r>
          </w:p>
        </w:tc>
        <w:tc>
          <w:tcPr>
            <w:tcW w:w="4228" w:type="dxa"/>
            <w:vAlign w:val="center"/>
          </w:tcPr>
          <w:p>
            <w:pPr>
              <w:pStyle w:val="12"/>
            </w:pPr>
            <w:r>
              <w:t>棚户区改造项目按时完成率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棚户区改造项目成本</w:t>
            </w:r>
          </w:p>
        </w:tc>
        <w:tc>
          <w:tcPr>
            <w:tcW w:w="4228" w:type="dxa"/>
            <w:vAlign w:val="center"/>
          </w:tcPr>
          <w:p>
            <w:pPr>
              <w:pStyle w:val="12"/>
            </w:pPr>
            <w:r>
              <w:t>棚户区改造项目成本</w:t>
            </w:r>
          </w:p>
        </w:tc>
        <w:tc>
          <w:tcPr>
            <w:tcW w:w="2114" w:type="dxa"/>
            <w:vAlign w:val="center"/>
          </w:tcPr>
          <w:p>
            <w:pPr>
              <w:pStyle w:val="12"/>
            </w:pPr>
            <w:r>
              <w:t>38046.65万元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棚户区改造项目长期使用性</w:t>
            </w:r>
          </w:p>
        </w:tc>
        <w:tc>
          <w:tcPr>
            <w:tcW w:w="4228" w:type="dxa"/>
            <w:vAlign w:val="center"/>
          </w:tcPr>
          <w:p>
            <w:pPr>
              <w:pStyle w:val="12"/>
            </w:pPr>
            <w:r>
              <w:t>棚户区改造项目长期使用性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棚户区改造项目受益户数</w:t>
            </w:r>
          </w:p>
        </w:tc>
        <w:tc>
          <w:tcPr>
            <w:tcW w:w="4228" w:type="dxa"/>
            <w:vAlign w:val="center"/>
          </w:tcPr>
          <w:p>
            <w:pPr>
              <w:pStyle w:val="12"/>
            </w:pPr>
            <w:r>
              <w:t>棚户区改造项目社会效益受益户数</w:t>
            </w:r>
          </w:p>
        </w:tc>
        <w:tc>
          <w:tcPr>
            <w:tcW w:w="2114" w:type="dxa"/>
            <w:vAlign w:val="center"/>
          </w:tcPr>
          <w:p>
            <w:pPr>
              <w:pStyle w:val="12"/>
            </w:pPr>
            <w:r>
              <w:t>484户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棚户区改造项目群众满意度</w:t>
            </w:r>
          </w:p>
        </w:tc>
        <w:tc>
          <w:tcPr>
            <w:tcW w:w="4228" w:type="dxa"/>
            <w:vAlign w:val="center"/>
          </w:tcPr>
          <w:p>
            <w:pPr>
              <w:pStyle w:val="12"/>
            </w:pPr>
            <w:r>
              <w:t>棚户区改造项目群众满意度数量满意占比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41、鹿泉区黄壁庄镇污水治理项目绩效目标表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13011024P000001103167</w:t>
            </w:r>
          </w:p>
        </w:tc>
        <w:tc>
          <w:tcPr>
            <w:tcW w:w="2114" w:type="dxa"/>
            <w:vAlign w:val="center"/>
          </w:tcPr>
          <w:p>
            <w:pPr>
              <w:pStyle w:val="10"/>
            </w:pPr>
            <w:r>
              <w:t>项目名称</w:t>
            </w:r>
          </w:p>
        </w:tc>
        <w:tc>
          <w:tcPr>
            <w:tcW w:w="6342" w:type="dxa"/>
            <w:gridSpan w:val="3"/>
            <w:vAlign w:val="center"/>
          </w:tcPr>
          <w:p>
            <w:pPr>
              <w:pStyle w:val="12"/>
            </w:pPr>
            <w:r>
              <w:t>鹿泉区黄壁庄镇污水治理项目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21.87</w:t>
            </w:r>
          </w:p>
        </w:tc>
        <w:tc>
          <w:tcPr>
            <w:tcW w:w="2114" w:type="dxa"/>
            <w:vAlign w:val="center"/>
          </w:tcPr>
          <w:p>
            <w:pPr>
              <w:pStyle w:val="10"/>
            </w:pPr>
            <w:r>
              <w:t>其中：财政    资金</w:t>
            </w:r>
          </w:p>
        </w:tc>
        <w:tc>
          <w:tcPr>
            <w:tcW w:w="2114" w:type="dxa"/>
            <w:vAlign w:val="center"/>
          </w:tcPr>
          <w:p>
            <w:pPr>
              <w:pStyle w:val="12"/>
            </w:pPr>
            <w:r>
              <w:t>21.87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1440.56万元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13011024P00000110337J</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13011024P00000110359H</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200万元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13011024P00000110051Q</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1497.11</w:t>
            </w:r>
          </w:p>
        </w:tc>
        <w:tc>
          <w:tcPr>
            <w:tcW w:w="2114" w:type="dxa"/>
            <w:vAlign w:val="center"/>
          </w:tcPr>
          <w:p>
            <w:pPr>
              <w:pStyle w:val="10"/>
            </w:pPr>
            <w:r>
              <w:t>其中：财政    资金</w:t>
            </w:r>
          </w:p>
        </w:tc>
        <w:tc>
          <w:tcPr>
            <w:tcW w:w="2114" w:type="dxa"/>
            <w:vAlign w:val="center"/>
          </w:tcPr>
          <w:p>
            <w:pPr>
              <w:pStyle w:val="12"/>
            </w:pPr>
            <w:r>
              <w:t>1497.11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13011024P000001103818</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940.00</w:t>
            </w:r>
          </w:p>
        </w:tc>
        <w:tc>
          <w:tcPr>
            <w:tcW w:w="2114" w:type="dxa"/>
            <w:vAlign w:val="center"/>
          </w:tcPr>
          <w:p>
            <w:pPr>
              <w:pStyle w:val="10"/>
            </w:pPr>
            <w:r>
              <w:t>其中：财政    资金</w:t>
            </w:r>
          </w:p>
        </w:tc>
        <w:tc>
          <w:tcPr>
            <w:tcW w:w="2114" w:type="dxa"/>
            <w:vAlign w:val="center"/>
          </w:tcPr>
          <w:p>
            <w:pPr>
              <w:pStyle w:val="12"/>
            </w:pPr>
            <w:r>
              <w:t>940.00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46、鹿泉区污水管网提升改造工程（专项债券）绩效目标表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13011022P00258710003F</w:t>
            </w:r>
          </w:p>
        </w:tc>
        <w:tc>
          <w:tcPr>
            <w:tcW w:w="2114" w:type="dxa"/>
            <w:vAlign w:val="center"/>
          </w:tcPr>
          <w:p>
            <w:pPr>
              <w:pStyle w:val="10"/>
            </w:pPr>
            <w:r>
              <w:t>项目名称</w:t>
            </w:r>
          </w:p>
        </w:tc>
        <w:tc>
          <w:tcPr>
            <w:tcW w:w="6342" w:type="dxa"/>
            <w:gridSpan w:val="3"/>
            <w:vAlign w:val="center"/>
          </w:tcPr>
          <w:p>
            <w:pPr>
              <w:pStyle w:val="12"/>
            </w:pPr>
            <w:r>
              <w:t>鹿泉区污水管网提升改造工程（专项债券）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383.20</w:t>
            </w:r>
          </w:p>
        </w:tc>
        <w:tc>
          <w:tcPr>
            <w:tcW w:w="2114" w:type="dxa"/>
            <w:vAlign w:val="center"/>
          </w:tcPr>
          <w:p>
            <w:pPr>
              <w:pStyle w:val="10"/>
            </w:pPr>
            <w:r>
              <w:t>其中：财政    资金</w:t>
            </w:r>
          </w:p>
        </w:tc>
        <w:tc>
          <w:tcPr>
            <w:tcW w:w="2114" w:type="dxa"/>
            <w:vAlign w:val="center"/>
          </w:tcPr>
          <w:p>
            <w:pPr>
              <w:pStyle w:val="12"/>
            </w:pPr>
            <w:r>
              <w:t>383.20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新建雨污水管道总厂为41860米，建成后能有效防止污水外溢，保护环境。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1.新建雨污水管道总长为41860米，雨污水管道建成后能有效防止污水外溢，保护环境。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新建雨污水管道长度</w:t>
            </w:r>
          </w:p>
        </w:tc>
        <w:tc>
          <w:tcPr>
            <w:tcW w:w="4228" w:type="dxa"/>
            <w:vAlign w:val="center"/>
          </w:tcPr>
          <w:p>
            <w:pPr>
              <w:pStyle w:val="12"/>
            </w:pPr>
            <w:r>
              <w:t>该项目新建雨污水管道总长度</w:t>
            </w:r>
          </w:p>
        </w:tc>
        <w:tc>
          <w:tcPr>
            <w:tcW w:w="2114" w:type="dxa"/>
            <w:vAlign w:val="center"/>
          </w:tcPr>
          <w:p>
            <w:pPr>
              <w:pStyle w:val="12"/>
            </w:pPr>
            <w:r>
              <w:t>41860米</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工程建设部分成本</w:t>
            </w:r>
          </w:p>
        </w:tc>
        <w:tc>
          <w:tcPr>
            <w:tcW w:w="2114" w:type="dxa"/>
            <w:vAlign w:val="center"/>
          </w:tcPr>
          <w:p>
            <w:pPr>
              <w:pStyle w:val="12"/>
            </w:pPr>
            <w:r>
              <w:t>16800万元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管道使用年限</w:t>
            </w:r>
          </w:p>
        </w:tc>
        <w:tc>
          <w:tcPr>
            <w:tcW w:w="4228" w:type="dxa"/>
            <w:vAlign w:val="center"/>
          </w:tcPr>
          <w:p>
            <w:pPr>
              <w:pStyle w:val="12"/>
            </w:pPr>
            <w:r>
              <w:t>管道使用年限</w:t>
            </w:r>
          </w:p>
        </w:tc>
        <w:tc>
          <w:tcPr>
            <w:tcW w:w="2114" w:type="dxa"/>
            <w:vAlign w:val="center"/>
          </w:tcPr>
          <w:p>
            <w:pPr>
              <w:pStyle w:val="12"/>
            </w:pPr>
            <w:r>
              <w:t>≥15年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47、鹿泉区小街巷改造提升工程绩效目标表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13011024P000001103799</w:t>
            </w:r>
          </w:p>
        </w:tc>
        <w:tc>
          <w:tcPr>
            <w:tcW w:w="2114" w:type="dxa"/>
            <w:vAlign w:val="center"/>
          </w:tcPr>
          <w:p>
            <w:pPr>
              <w:pStyle w:val="10"/>
            </w:pPr>
            <w:r>
              <w:t>项目名称</w:t>
            </w:r>
          </w:p>
        </w:tc>
        <w:tc>
          <w:tcPr>
            <w:tcW w:w="6342" w:type="dxa"/>
            <w:gridSpan w:val="3"/>
            <w:vAlign w:val="center"/>
          </w:tcPr>
          <w:p>
            <w:pPr>
              <w:pStyle w:val="12"/>
            </w:pPr>
            <w:r>
              <w:t>鹿泉区小街巷改造提升工程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85.83</w:t>
            </w:r>
          </w:p>
        </w:tc>
        <w:tc>
          <w:tcPr>
            <w:tcW w:w="2114" w:type="dxa"/>
            <w:vAlign w:val="center"/>
          </w:tcPr>
          <w:p>
            <w:pPr>
              <w:pStyle w:val="10"/>
            </w:pPr>
            <w:r>
              <w:t>其中：财政    资金</w:t>
            </w:r>
          </w:p>
        </w:tc>
        <w:tc>
          <w:tcPr>
            <w:tcW w:w="2114" w:type="dxa"/>
            <w:vAlign w:val="center"/>
          </w:tcPr>
          <w:p>
            <w:pPr>
              <w:pStyle w:val="12"/>
            </w:pPr>
            <w:r>
              <w:t>85.83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新建小街巷5000米</w:t>
            </w:r>
          </w:p>
        </w:tc>
        <w:tc>
          <w:tcPr>
            <w:tcW w:w="4228" w:type="dxa"/>
            <w:vAlign w:val="center"/>
          </w:tcPr>
          <w:p>
            <w:pPr>
              <w:pStyle w:val="12"/>
            </w:pPr>
            <w:r>
              <w:t>新建道路总长度</w:t>
            </w:r>
          </w:p>
        </w:tc>
        <w:tc>
          <w:tcPr>
            <w:tcW w:w="2114" w:type="dxa"/>
            <w:vAlign w:val="center"/>
          </w:tcPr>
          <w:p>
            <w:pPr>
              <w:pStyle w:val="12"/>
            </w:pPr>
            <w:r>
              <w:t>5000米</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≤1000万元</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48、农村气代煤更换安全保护装置绩效目标表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13011024P000001100628</w:t>
            </w:r>
          </w:p>
        </w:tc>
        <w:tc>
          <w:tcPr>
            <w:tcW w:w="2114" w:type="dxa"/>
            <w:vAlign w:val="center"/>
          </w:tcPr>
          <w:p>
            <w:pPr>
              <w:pStyle w:val="10"/>
            </w:pPr>
            <w:r>
              <w:t>项目名称</w:t>
            </w:r>
          </w:p>
        </w:tc>
        <w:tc>
          <w:tcPr>
            <w:tcW w:w="6342" w:type="dxa"/>
            <w:gridSpan w:val="3"/>
            <w:vAlign w:val="center"/>
          </w:tcPr>
          <w:p>
            <w:pPr>
              <w:pStyle w:val="12"/>
            </w:pPr>
            <w:r>
              <w:t>农村气代煤更换安全保护装置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140.00</w:t>
            </w:r>
          </w:p>
        </w:tc>
        <w:tc>
          <w:tcPr>
            <w:tcW w:w="2114" w:type="dxa"/>
            <w:vAlign w:val="center"/>
          </w:tcPr>
          <w:p>
            <w:pPr>
              <w:pStyle w:val="10"/>
            </w:pPr>
            <w:r>
              <w:t>其中：财政    资金</w:t>
            </w:r>
          </w:p>
        </w:tc>
        <w:tc>
          <w:tcPr>
            <w:tcW w:w="2114" w:type="dxa"/>
            <w:vAlign w:val="center"/>
          </w:tcPr>
          <w:p>
            <w:pPr>
              <w:pStyle w:val="12"/>
            </w:pPr>
            <w:r>
              <w:t>140.00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安装农村气代煤管道用气户数量</w:t>
            </w:r>
          </w:p>
        </w:tc>
        <w:tc>
          <w:tcPr>
            <w:tcW w:w="4228" w:type="dxa"/>
            <w:vAlign w:val="center"/>
          </w:tcPr>
          <w:p>
            <w:pPr>
              <w:pStyle w:val="12"/>
            </w:pPr>
            <w:r>
              <w:t>享受自闭阀补贴户数</w:t>
            </w:r>
          </w:p>
        </w:tc>
        <w:tc>
          <w:tcPr>
            <w:tcW w:w="2114" w:type="dxa"/>
            <w:vAlign w:val="center"/>
          </w:tcPr>
          <w:p>
            <w:pPr>
              <w:pStyle w:val="12"/>
            </w:pPr>
            <w:r>
              <w:t>94905户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自闭阀安装任务完成率</w:t>
            </w:r>
          </w:p>
        </w:tc>
        <w:tc>
          <w:tcPr>
            <w:tcW w:w="4228" w:type="dxa"/>
            <w:vAlign w:val="center"/>
          </w:tcPr>
          <w:p>
            <w:pPr>
              <w:pStyle w:val="12"/>
            </w:pPr>
            <w:r>
              <w:t>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安装发放自闭阀时间</w:t>
            </w:r>
          </w:p>
        </w:tc>
        <w:tc>
          <w:tcPr>
            <w:tcW w:w="4228" w:type="dxa"/>
            <w:vAlign w:val="center"/>
          </w:tcPr>
          <w:p>
            <w:pPr>
              <w:pStyle w:val="12"/>
            </w:pPr>
            <w:r>
              <w:t xml:space="preserve"> 按照要求及时安装自闭阀</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农村气代煤自闭阀补贴受益户数</w:t>
            </w:r>
          </w:p>
        </w:tc>
        <w:tc>
          <w:tcPr>
            <w:tcW w:w="4228" w:type="dxa"/>
            <w:vAlign w:val="center"/>
          </w:tcPr>
          <w:p>
            <w:pPr>
              <w:pStyle w:val="12"/>
            </w:pPr>
            <w:r>
              <w:t>农村气代煤自闭阀补贴户数</w:t>
            </w:r>
          </w:p>
        </w:tc>
        <w:tc>
          <w:tcPr>
            <w:tcW w:w="2114" w:type="dxa"/>
            <w:vAlign w:val="center"/>
          </w:tcPr>
          <w:p>
            <w:pPr>
              <w:pStyle w:val="12"/>
            </w:pPr>
            <w:r>
              <w:t>≤95000户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农村气代煤自闭阀使用时间保障约8年</w:t>
            </w:r>
          </w:p>
        </w:tc>
        <w:tc>
          <w:tcPr>
            <w:tcW w:w="4228" w:type="dxa"/>
            <w:vAlign w:val="center"/>
          </w:tcPr>
          <w:p>
            <w:pPr>
              <w:pStyle w:val="12"/>
            </w:pPr>
            <w:r>
              <w:t>农村气代煤自闭阀补贴受益户数保障约8年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49、气代煤售后服务补贴绩效目标表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13011024P00000110059M</w:t>
            </w:r>
          </w:p>
        </w:tc>
        <w:tc>
          <w:tcPr>
            <w:tcW w:w="2114" w:type="dxa"/>
            <w:vAlign w:val="center"/>
          </w:tcPr>
          <w:p>
            <w:pPr>
              <w:pStyle w:val="10"/>
            </w:pPr>
            <w:r>
              <w:t>项目名称</w:t>
            </w:r>
          </w:p>
        </w:tc>
        <w:tc>
          <w:tcPr>
            <w:tcW w:w="6342" w:type="dxa"/>
            <w:gridSpan w:val="3"/>
            <w:vAlign w:val="center"/>
          </w:tcPr>
          <w:p>
            <w:pPr>
              <w:pStyle w:val="12"/>
            </w:pPr>
            <w:r>
              <w:t>气代煤售后服务补贴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气代煤售后服务补贴户数</w:t>
            </w:r>
          </w:p>
        </w:tc>
        <w:tc>
          <w:tcPr>
            <w:tcW w:w="4228" w:type="dxa"/>
            <w:vAlign w:val="center"/>
          </w:tcPr>
          <w:p>
            <w:pPr>
              <w:pStyle w:val="12"/>
            </w:pPr>
            <w:r>
              <w:t>气代煤售后服务补贴户数</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气代煤售后服务完成率</w:t>
            </w:r>
          </w:p>
        </w:tc>
        <w:tc>
          <w:tcPr>
            <w:tcW w:w="4228" w:type="dxa"/>
            <w:vAlign w:val="center"/>
          </w:tcPr>
          <w:p>
            <w:pPr>
              <w:pStyle w:val="12"/>
            </w:pPr>
            <w:r>
              <w:t>完成气代气代煤用户安检、维修、保险情况</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售后服务及时率</w:t>
            </w:r>
          </w:p>
        </w:tc>
        <w:tc>
          <w:tcPr>
            <w:tcW w:w="4228" w:type="dxa"/>
            <w:vAlign w:val="center"/>
          </w:tcPr>
          <w:p>
            <w:pPr>
              <w:pStyle w:val="12"/>
            </w:pPr>
            <w:r>
              <w:t>及时完成每户售后服务安检维修保险</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售后维修补贴标准</w:t>
            </w:r>
          </w:p>
        </w:tc>
        <w:tc>
          <w:tcPr>
            <w:tcW w:w="4228" w:type="dxa"/>
            <w:vAlign w:val="center"/>
          </w:tcPr>
          <w:p>
            <w:pPr>
              <w:pStyle w:val="12"/>
            </w:pPr>
            <w:r>
              <w:t>售后服务补贴标准</w:t>
            </w:r>
          </w:p>
        </w:tc>
        <w:tc>
          <w:tcPr>
            <w:tcW w:w="2114" w:type="dxa"/>
            <w:vAlign w:val="center"/>
          </w:tcPr>
          <w:p>
            <w:pPr>
              <w:pStyle w:val="12"/>
            </w:pPr>
            <w:r>
              <w:t>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气代煤安全使用户数</w:t>
            </w:r>
          </w:p>
        </w:tc>
        <w:tc>
          <w:tcPr>
            <w:tcW w:w="4228" w:type="dxa"/>
            <w:vAlign w:val="center"/>
          </w:tcPr>
          <w:p>
            <w:pPr>
              <w:pStyle w:val="12"/>
            </w:pPr>
            <w:r>
              <w:t>确保气代煤用户安全用气,保障燃气壁挂炉稳定运行</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政策实施年限</w:t>
            </w:r>
          </w:p>
        </w:tc>
        <w:tc>
          <w:tcPr>
            <w:tcW w:w="4228" w:type="dxa"/>
            <w:vAlign w:val="center"/>
          </w:tcPr>
          <w:p>
            <w:pPr>
              <w:pStyle w:val="12"/>
            </w:pPr>
            <w:r>
              <w:t>确保气代煤用户安全用气,保障燃气壁挂炉稳定运行</w:t>
            </w:r>
          </w:p>
        </w:tc>
        <w:tc>
          <w:tcPr>
            <w:tcW w:w="2114" w:type="dxa"/>
            <w:vAlign w:val="center"/>
          </w:tcPr>
          <w:p>
            <w:pPr>
              <w:pStyle w:val="12"/>
            </w:pPr>
            <w:r>
              <w:t>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50、燃气管道全域总体规划绩效目标表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13011024P000001100601</w:t>
            </w:r>
          </w:p>
        </w:tc>
        <w:tc>
          <w:tcPr>
            <w:tcW w:w="2114" w:type="dxa"/>
            <w:vAlign w:val="center"/>
          </w:tcPr>
          <w:p>
            <w:pPr>
              <w:pStyle w:val="10"/>
            </w:pPr>
            <w:r>
              <w:t>项目名称</w:t>
            </w:r>
          </w:p>
        </w:tc>
        <w:tc>
          <w:tcPr>
            <w:tcW w:w="6342" w:type="dxa"/>
            <w:gridSpan w:val="3"/>
            <w:vAlign w:val="center"/>
          </w:tcPr>
          <w:p>
            <w:pPr>
              <w:pStyle w:val="12"/>
            </w:pPr>
            <w:r>
              <w:t>燃气管道全域总体规划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按时完成规划纲要、文本、图册的编制，对全区燃气主管网全覆盖做出规划、分支到村，为我区城市建设、道路工程施工和燃气利用等方面提供重要依据。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编制完成规划文本图册等相关文件</w:t>
            </w:r>
          </w:p>
        </w:tc>
        <w:tc>
          <w:tcPr>
            <w:tcW w:w="2114" w:type="dxa"/>
            <w:vAlign w:val="center"/>
          </w:tcPr>
          <w:p>
            <w:pPr>
              <w:pStyle w:val="12"/>
            </w:pPr>
            <w:r>
              <w:t>纸质成果10套，电子成果2套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委托第三方所需要成本</w:t>
            </w:r>
          </w:p>
        </w:tc>
        <w:tc>
          <w:tcPr>
            <w:tcW w:w="2114" w:type="dxa"/>
            <w:vAlign w:val="center"/>
          </w:tcPr>
          <w:p>
            <w:pPr>
              <w:pStyle w:val="12"/>
            </w:pPr>
            <w:r>
              <w:t>≤10万元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提交报告成果合格率</w:t>
            </w:r>
          </w:p>
        </w:tc>
        <w:tc>
          <w:tcPr>
            <w:tcW w:w="4228" w:type="dxa"/>
            <w:vAlign w:val="center"/>
          </w:tcPr>
          <w:p>
            <w:pPr>
              <w:pStyle w:val="12"/>
            </w:pPr>
            <w:r>
              <w:t>通过专家论证的成果数量占总成果数量的比例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燃气管道规划前期测量</w:t>
            </w:r>
          </w:p>
          <w:p>
            <w:pPr>
              <w:pStyle w:val="12"/>
            </w:pPr>
            <w:r>
              <w:t>时间</w:t>
            </w:r>
          </w:p>
        </w:tc>
        <w:tc>
          <w:tcPr>
            <w:tcW w:w="4228" w:type="dxa"/>
            <w:vAlign w:val="center"/>
          </w:tcPr>
          <w:p>
            <w:pPr>
              <w:pStyle w:val="12"/>
            </w:pPr>
            <w:r>
              <w:t>对燃气管道的前期摸排测量</w:t>
            </w:r>
          </w:p>
        </w:tc>
        <w:tc>
          <w:tcPr>
            <w:tcW w:w="2114" w:type="dxa"/>
            <w:vAlign w:val="center"/>
          </w:tcPr>
          <w:p>
            <w:pPr>
              <w:pStyle w:val="12"/>
            </w:pPr>
            <w:r>
              <w:t>2019年12月—2020年2月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燃气管道规划修编时间</w:t>
            </w:r>
          </w:p>
        </w:tc>
        <w:tc>
          <w:tcPr>
            <w:tcW w:w="4228" w:type="dxa"/>
            <w:vAlign w:val="center"/>
          </w:tcPr>
          <w:p>
            <w:pPr>
              <w:pStyle w:val="12"/>
            </w:pPr>
            <w:r>
              <w:t>规划文本修编时间</w:t>
            </w:r>
          </w:p>
        </w:tc>
        <w:tc>
          <w:tcPr>
            <w:tcW w:w="2114" w:type="dxa"/>
            <w:vAlign w:val="center"/>
          </w:tcPr>
          <w:p>
            <w:pPr>
              <w:pStyle w:val="12"/>
            </w:pPr>
            <w:r>
              <w:t>2020年2月—2020年3月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燃气管道规划验收时间</w:t>
            </w:r>
          </w:p>
        </w:tc>
        <w:tc>
          <w:tcPr>
            <w:tcW w:w="4228" w:type="dxa"/>
            <w:vAlign w:val="center"/>
          </w:tcPr>
          <w:p>
            <w:pPr>
              <w:pStyle w:val="12"/>
            </w:pPr>
            <w:r>
              <w:t>规划文本的验收时间</w:t>
            </w:r>
          </w:p>
        </w:tc>
        <w:tc>
          <w:tcPr>
            <w:tcW w:w="2114" w:type="dxa"/>
            <w:vAlign w:val="center"/>
          </w:tcPr>
          <w:p>
            <w:pPr>
              <w:pStyle w:val="12"/>
            </w:pPr>
            <w:r>
              <w:t>2020年3月—2020年6月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完成鹿泉区全域规划总面积</w:t>
            </w:r>
          </w:p>
        </w:tc>
        <w:tc>
          <w:tcPr>
            <w:tcW w:w="2114" w:type="dxa"/>
            <w:vAlign w:val="center"/>
          </w:tcPr>
          <w:p>
            <w:pPr>
              <w:pStyle w:val="12"/>
            </w:pPr>
            <w:r>
              <w:t>≥180平方公里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燃气管道规划使用年限</w:t>
            </w:r>
          </w:p>
        </w:tc>
        <w:tc>
          <w:tcPr>
            <w:tcW w:w="4228" w:type="dxa"/>
            <w:vAlign w:val="center"/>
          </w:tcPr>
          <w:p>
            <w:pPr>
              <w:pStyle w:val="12"/>
            </w:pPr>
            <w:r>
              <w:t>2021—2035年燃气管网走向及计划发展走向</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办理单位满意度</w:t>
            </w:r>
          </w:p>
        </w:tc>
        <w:tc>
          <w:tcPr>
            <w:tcW w:w="4228" w:type="dxa"/>
            <w:vAlign w:val="center"/>
          </w:tcPr>
          <w:p>
            <w:pPr>
              <w:pStyle w:val="12"/>
            </w:pPr>
            <w:r>
              <w:t>对燃气规划办理结果满意程度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13011024P000001100505</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1896.53</w:t>
            </w:r>
          </w:p>
        </w:tc>
        <w:tc>
          <w:tcPr>
            <w:tcW w:w="2114" w:type="dxa"/>
            <w:vAlign w:val="center"/>
          </w:tcPr>
          <w:p>
            <w:pPr>
              <w:pStyle w:val="10"/>
            </w:pPr>
            <w:r>
              <w:t>其中：财政    资金</w:t>
            </w:r>
          </w:p>
        </w:tc>
        <w:tc>
          <w:tcPr>
            <w:tcW w:w="2114" w:type="dxa"/>
            <w:vAlign w:val="center"/>
          </w:tcPr>
          <w:p>
            <w:pPr>
              <w:pStyle w:val="12"/>
            </w:pPr>
            <w:r>
              <w:t>1896.53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13011024P00000110294M</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680.00</w:t>
            </w:r>
          </w:p>
        </w:tc>
        <w:tc>
          <w:tcPr>
            <w:tcW w:w="2114" w:type="dxa"/>
            <w:vAlign w:val="center"/>
          </w:tcPr>
          <w:p>
            <w:pPr>
              <w:pStyle w:val="10"/>
            </w:pPr>
            <w:r>
              <w:t>其中：财政    资金</w:t>
            </w:r>
          </w:p>
        </w:tc>
        <w:tc>
          <w:tcPr>
            <w:tcW w:w="2114" w:type="dxa"/>
            <w:vAlign w:val="center"/>
          </w:tcPr>
          <w:p>
            <w:pPr>
              <w:pStyle w:val="12"/>
            </w:pPr>
            <w:r>
              <w:t>680.00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（1-3月份）1.1元/立方米/天。（4-12月份)1.88元/立方米/天。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13011024P00000110380L</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1570.00</w:t>
            </w:r>
          </w:p>
        </w:tc>
        <w:tc>
          <w:tcPr>
            <w:tcW w:w="2114" w:type="dxa"/>
            <w:vAlign w:val="center"/>
          </w:tcPr>
          <w:p>
            <w:pPr>
              <w:pStyle w:val="10"/>
            </w:pPr>
            <w:r>
              <w:t>其中：财政    资金</w:t>
            </w:r>
          </w:p>
        </w:tc>
        <w:tc>
          <w:tcPr>
            <w:tcW w:w="2114" w:type="dxa"/>
            <w:vAlign w:val="center"/>
          </w:tcPr>
          <w:p>
            <w:pPr>
              <w:pStyle w:val="12"/>
            </w:pPr>
            <w:r>
              <w:t>1570.00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54、上庄污水处理厂投资返还金（临时）绩效目标表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13011024P00000110320D</w:t>
            </w:r>
          </w:p>
        </w:tc>
        <w:tc>
          <w:tcPr>
            <w:tcW w:w="2114" w:type="dxa"/>
            <w:vAlign w:val="center"/>
          </w:tcPr>
          <w:p>
            <w:pPr>
              <w:pStyle w:val="10"/>
            </w:pPr>
            <w:r>
              <w:t>项目名称</w:t>
            </w:r>
          </w:p>
        </w:tc>
        <w:tc>
          <w:tcPr>
            <w:tcW w:w="6342" w:type="dxa"/>
            <w:gridSpan w:val="3"/>
            <w:vAlign w:val="center"/>
          </w:tcPr>
          <w:p>
            <w:pPr>
              <w:pStyle w:val="12"/>
            </w:pPr>
            <w:r>
              <w:t>上庄污水处理厂投资返还金（临时）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236.66</w:t>
            </w:r>
          </w:p>
        </w:tc>
        <w:tc>
          <w:tcPr>
            <w:tcW w:w="2114" w:type="dxa"/>
            <w:vAlign w:val="center"/>
          </w:tcPr>
          <w:p>
            <w:pPr>
              <w:pStyle w:val="10"/>
            </w:pPr>
            <w:r>
              <w:t>其中：财政    资金</w:t>
            </w:r>
          </w:p>
        </w:tc>
        <w:tc>
          <w:tcPr>
            <w:tcW w:w="2114" w:type="dxa"/>
            <w:vAlign w:val="center"/>
          </w:tcPr>
          <w:p>
            <w:pPr>
              <w:pStyle w:val="12"/>
            </w:pPr>
            <w:r>
              <w:t>236.66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55、石家庄市鹿泉区2022年老旧小区改造配套基础设施项目（专项债券）绩效目标表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13011022P00055210002L</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204.00</w:t>
            </w:r>
          </w:p>
        </w:tc>
        <w:tc>
          <w:tcPr>
            <w:tcW w:w="2114" w:type="dxa"/>
            <w:vAlign w:val="center"/>
          </w:tcPr>
          <w:p>
            <w:pPr>
              <w:pStyle w:val="10"/>
            </w:pPr>
            <w:r>
              <w:t>其中：财政    资金</w:t>
            </w:r>
          </w:p>
        </w:tc>
        <w:tc>
          <w:tcPr>
            <w:tcW w:w="2114" w:type="dxa"/>
            <w:vAlign w:val="center"/>
          </w:tcPr>
          <w:p>
            <w:pPr>
              <w:pStyle w:val="12"/>
            </w:pPr>
            <w:r>
              <w:t>204.00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按期完成37个小区改造任务，保障工程质量。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1.按期完成37个小区改造任务，保障工程质量，改善群众居住环境。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2022年老旧小区改造配套基础设施项目符合改造要求的老旧小区37个</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2022年老旧小区改造配套基础设施项目合格率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老旧小区改造完成率</w:t>
            </w:r>
          </w:p>
        </w:tc>
        <w:tc>
          <w:tcPr>
            <w:tcW w:w="4228" w:type="dxa"/>
            <w:vAlign w:val="center"/>
          </w:tcPr>
          <w:p>
            <w:pPr>
              <w:pStyle w:val="12"/>
            </w:pPr>
            <w:r>
              <w:t>2022年老旧小区改造配套基础设施项目按时完成率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2022年老旧小区改造配套基础设施项目总成本6532.37万元</w:t>
            </w:r>
          </w:p>
        </w:tc>
        <w:tc>
          <w:tcPr>
            <w:tcW w:w="2114" w:type="dxa"/>
            <w:vAlign w:val="center"/>
          </w:tcPr>
          <w:p>
            <w:pPr>
              <w:pStyle w:val="12"/>
            </w:pPr>
            <w:r>
              <w:t>2700万元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2022年老旧小区改造配套基础设施项目长期使用性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2022年老旧小区改造配套基础设施项目受益户数2123户</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改善居住环境</w:t>
            </w:r>
          </w:p>
        </w:tc>
        <w:tc>
          <w:tcPr>
            <w:tcW w:w="4228" w:type="dxa"/>
            <w:vAlign w:val="center"/>
          </w:tcPr>
          <w:p>
            <w:pPr>
              <w:pStyle w:val="12"/>
            </w:pPr>
            <w:r>
              <w:t>完善小区配套基础设施提升居住环境</w:t>
            </w:r>
          </w:p>
        </w:tc>
        <w:tc>
          <w:tcPr>
            <w:tcW w:w="2114" w:type="dxa"/>
            <w:vAlign w:val="center"/>
          </w:tcPr>
          <w:p>
            <w:pPr>
              <w:pStyle w:val="12"/>
            </w:pPr>
            <w:r>
              <w:t>改善居住环境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老旧小区改造项目群众满意度</w:t>
            </w:r>
          </w:p>
        </w:tc>
        <w:tc>
          <w:tcPr>
            <w:tcW w:w="4228" w:type="dxa"/>
            <w:vAlign w:val="center"/>
          </w:tcPr>
          <w:p>
            <w:pPr>
              <w:pStyle w:val="12"/>
            </w:pPr>
            <w:r>
              <w:t>2022年老旧小区改造配套基础设施项目群众满意度数量满意占比</w:t>
            </w:r>
          </w:p>
        </w:tc>
        <w:tc>
          <w:tcPr>
            <w:tcW w:w="2114" w:type="dxa"/>
            <w:vAlign w:val="center"/>
          </w:tcPr>
          <w:p>
            <w:pPr>
              <w:pStyle w:val="12"/>
            </w:pPr>
            <w:r>
              <w:t>≥95%</w:t>
            </w:r>
          </w:p>
          <w:p>
            <w:pPr>
              <w:pStyle w:val="12"/>
            </w:pP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56、石家庄市鹿泉区2022年老旧小区改造配套市政基础设施项目（专项债券）绩效目标表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13011023P00252710002Y</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石家庄市鹿泉区2022年老旧小区改造配套市政基础设施项目（专项债券）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w:t>
            </w:r>
          </w:p>
        </w:tc>
        <w:tc>
          <w:tcPr>
            <w:tcW w:w="2114" w:type="dxa"/>
            <w:vAlign w:val="center"/>
          </w:tcPr>
          <w:p>
            <w:pPr>
              <w:pStyle w:val="10"/>
            </w:pPr>
            <w:r>
              <w:t>其中：财政    资金</w:t>
            </w:r>
          </w:p>
        </w:tc>
        <w:tc>
          <w:tcPr>
            <w:tcW w:w="2114" w:type="dxa"/>
            <w:vAlign w:val="center"/>
          </w:tcPr>
          <w:p>
            <w:pPr>
              <w:pStyle w:val="12"/>
            </w:pPr>
            <w:r>
              <w:t>500.00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按期完成13个小区改造任务，保障工程质量，改善群众居住环境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1.按期完成13个小区改造任务，保障工程质量，改善群众居住环境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市政基础设施合格率</w:t>
            </w:r>
          </w:p>
        </w:tc>
        <w:tc>
          <w:tcPr>
            <w:tcW w:w="4228" w:type="dxa"/>
            <w:vAlign w:val="center"/>
          </w:tcPr>
          <w:p>
            <w:pPr>
              <w:pStyle w:val="12"/>
            </w:pPr>
            <w:r>
              <w:t>2022年老旧小区改造配套市政基础设施项目合格率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市政基础设施改造按时完成率</w:t>
            </w:r>
          </w:p>
        </w:tc>
        <w:tc>
          <w:tcPr>
            <w:tcW w:w="4228" w:type="dxa"/>
            <w:vAlign w:val="center"/>
          </w:tcPr>
          <w:p>
            <w:pPr>
              <w:pStyle w:val="12"/>
            </w:pPr>
            <w:r>
              <w:t>2022年老旧小区改造配套市政基础设施项目按时完成率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市政基础设施改造项目成本</w:t>
            </w:r>
          </w:p>
        </w:tc>
        <w:tc>
          <w:tcPr>
            <w:tcW w:w="4228" w:type="dxa"/>
            <w:vAlign w:val="center"/>
          </w:tcPr>
          <w:p>
            <w:pPr>
              <w:pStyle w:val="12"/>
            </w:pPr>
            <w:r>
              <w:t>2022年老旧小区改造配套市政基础设施项目总成本4165.73万元</w:t>
            </w:r>
          </w:p>
        </w:tc>
        <w:tc>
          <w:tcPr>
            <w:tcW w:w="2114" w:type="dxa"/>
            <w:vAlign w:val="center"/>
          </w:tcPr>
          <w:p>
            <w:pPr>
              <w:pStyle w:val="12"/>
            </w:pPr>
            <w:r>
              <w:t>1700万元</w:t>
            </w:r>
          </w:p>
        </w:tc>
        <w:tc>
          <w:tcPr>
            <w:tcW w:w="2114" w:type="dxa"/>
            <w:vAlign w:val="center"/>
          </w:tcPr>
          <w:p>
            <w:pPr>
              <w:pStyle w:val="12"/>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道路改造面积</w:t>
            </w:r>
          </w:p>
        </w:tc>
        <w:tc>
          <w:tcPr>
            <w:tcW w:w="4228" w:type="dxa"/>
            <w:vAlign w:val="center"/>
          </w:tcPr>
          <w:p>
            <w:pPr>
              <w:pStyle w:val="12"/>
            </w:pPr>
            <w:r>
              <w:t>2022年老旧小区改造配套市政基础设施项目道路改造面积46577平方米</w:t>
            </w:r>
          </w:p>
        </w:tc>
        <w:tc>
          <w:tcPr>
            <w:tcW w:w="2114" w:type="dxa"/>
            <w:vAlign w:val="center"/>
          </w:tcPr>
          <w:p>
            <w:pPr>
              <w:pStyle w:val="12"/>
            </w:pPr>
            <w:r>
              <w:t>46577平方米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铺设雨水管长度</w:t>
            </w:r>
          </w:p>
        </w:tc>
        <w:tc>
          <w:tcPr>
            <w:tcW w:w="4228" w:type="dxa"/>
            <w:vAlign w:val="center"/>
          </w:tcPr>
          <w:p>
            <w:pPr>
              <w:pStyle w:val="12"/>
            </w:pPr>
            <w:r>
              <w:t>2022年老旧小区改造配套市政基础设施项目铺设雨水管3315米</w:t>
            </w:r>
          </w:p>
        </w:tc>
        <w:tc>
          <w:tcPr>
            <w:tcW w:w="2114" w:type="dxa"/>
            <w:vAlign w:val="center"/>
          </w:tcPr>
          <w:p>
            <w:pPr>
              <w:pStyle w:val="12"/>
            </w:pPr>
            <w:r>
              <w:t>3315米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铺设污水管长度</w:t>
            </w:r>
          </w:p>
        </w:tc>
        <w:tc>
          <w:tcPr>
            <w:tcW w:w="4228" w:type="dxa"/>
            <w:vAlign w:val="center"/>
          </w:tcPr>
          <w:p>
            <w:pPr>
              <w:pStyle w:val="12"/>
            </w:pPr>
            <w:r>
              <w:t>2022年老旧小区改造配套市政基础设施项目铺设污水管3933米</w:t>
            </w:r>
          </w:p>
        </w:tc>
        <w:tc>
          <w:tcPr>
            <w:tcW w:w="2114" w:type="dxa"/>
            <w:vAlign w:val="center"/>
          </w:tcPr>
          <w:p>
            <w:pPr>
              <w:pStyle w:val="12"/>
            </w:pPr>
            <w:r>
              <w:t>3933米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新建路灯数量</w:t>
            </w:r>
          </w:p>
        </w:tc>
        <w:tc>
          <w:tcPr>
            <w:tcW w:w="4228" w:type="dxa"/>
            <w:vAlign w:val="center"/>
          </w:tcPr>
          <w:p>
            <w:pPr>
              <w:pStyle w:val="12"/>
            </w:pPr>
            <w:r>
              <w:t>2022年老旧小区改造配套市政基础设施项目新增路灯155个</w:t>
            </w:r>
          </w:p>
        </w:tc>
        <w:tc>
          <w:tcPr>
            <w:tcW w:w="2114" w:type="dxa"/>
            <w:vAlign w:val="center"/>
          </w:tcPr>
          <w:p>
            <w:pPr>
              <w:pStyle w:val="12"/>
            </w:pPr>
            <w:r>
              <w:t>155个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市政基础设施改造项目长期使用性</w:t>
            </w:r>
          </w:p>
        </w:tc>
        <w:tc>
          <w:tcPr>
            <w:tcW w:w="4228" w:type="dxa"/>
            <w:vAlign w:val="center"/>
          </w:tcPr>
          <w:p>
            <w:pPr>
              <w:pStyle w:val="12"/>
            </w:pPr>
            <w:r>
              <w:t>2022年老旧小区改造配套市政基础设施项目长期使用性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市政基础设施改造项目受益户数</w:t>
            </w:r>
          </w:p>
        </w:tc>
        <w:tc>
          <w:tcPr>
            <w:tcW w:w="4228" w:type="dxa"/>
            <w:vAlign w:val="center"/>
          </w:tcPr>
          <w:p>
            <w:pPr>
              <w:pStyle w:val="12"/>
            </w:pPr>
            <w:r>
              <w:t>2022年老旧小区改造配套市政基础设施项目受益户数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市政基础设施改造项目群众满意度</w:t>
            </w:r>
          </w:p>
        </w:tc>
        <w:tc>
          <w:tcPr>
            <w:tcW w:w="4228" w:type="dxa"/>
            <w:vAlign w:val="center"/>
          </w:tcPr>
          <w:p>
            <w:pPr>
              <w:pStyle w:val="12"/>
            </w:pPr>
            <w:r>
              <w:t>2022年老旧小区改造配套市政基础设施项目群众满意度数量满意度占比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57、石家庄市鹿泉区2022年老旧小区改造主体改造项目（专项债券）绩效目标表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13011022P00252910002U</w:t>
            </w:r>
          </w:p>
        </w:tc>
        <w:tc>
          <w:tcPr>
            <w:tcW w:w="2114" w:type="dxa"/>
            <w:vAlign w:val="center"/>
          </w:tcPr>
          <w:p>
            <w:pPr>
              <w:pStyle w:val="10"/>
            </w:pPr>
            <w:r>
              <w:t>项目名称</w:t>
            </w:r>
          </w:p>
        </w:tc>
        <w:tc>
          <w:tcPr>
            <w:tcW w:w="6342" w:type="dxa"/>
            <w:gridSpan w:val="3"/>
            <w:vAlign w:val="center"/>
          </w:tcPr>
          <w:p>
            <w:pPr>
              <w:pStyle w:val="12"/>
            </w:pPr>
            <w:r>
              <w:t>石家庄市鹿泉区2022年老旧小区改造主体改造项目（专项债券）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732.90</w:t>
            </w:r>
          </w:p>
        </w:tc>
        <w:tc>
          <w:tcPr>
            <w:tcW w:w="2114" w:type="dxa"/>
            <w:vAlign w:val="center"/>
          </w:tcPr>
          <w:p>
            <w:pPr>
              <w:pStyle w:val="10"/>
            </w:pPr>
            <w:r>
              <w:t>其中：财政    资金</w:t>
            </w:r>
          </w:p>
        </w:tc>
        <w:tc>
          <w:tcPr>
            <w:tcW w:w="2114" w:type="dxa"/>
            <w:vAlign w:val="center"/>
          </w:tcPr>
          <w:p>
            <w:pPr>
              <w:pStyle w:val="12"/>
            </w:pPr>
            <w:r>
              <w:t>732.90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完成2022年37个老旧小区改造任务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主体改造项目小区数</w:t>
            </w:r>
          </w:p>
        </w:tc>
        <w:tc>
          <w:tcPr>
            <w:tcW w:w="4228" w:type="dxa"/>
            <w:vAlign w:val="center"/>
          </w:tcPr>
          <w:p>
            <w:pPr>
              <w:pStyle w:val="12"/>
            </w:pPr>
            <w:r>
              <w:t>2022年老旧小区改造主体改造项目符合改造要求的老旧小区37</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主体改造项目完成率</w:t>
            </w:r>
          </w:p>
        </w:tc>
        <w:tc>
          <w:tcPr>
            <w:tcW w:w="4228" w:type="dxa"/>
            <w:vAlign w:val="center"/>
          </w:tcPr>
          <w:p>
            <w:pPr>
              <w:pStyle w:val="12"/>
            </w:pPr>
            <w:r>
              <w:t>2022年老旧小区改造主体改造项目完成率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主体改造按时完成率</w:t>
            </w:r>
          </w:p>
        </w:tc>
        <w:tc>
          <w:tcPr>
            <w:tcW w:w="4228" w:type="dxa"/>
            <w:vAlign w:val="center"/>
          </w:tcPr>
          <w:p>
            <w:pPr>
              <w:pStyle w:val="12"/>
            </w:pPr>
            <w:r>
              <w:t>2022年老旧小区改造主体改造项目按时完成率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主体改造项目成本</w:t>
            </w:r>
          </w:p>
        </w:tc>
        <w:tc>
          <w:tcPr>
            <w:tcW w:w="4228" w:type="dxa"/>
            <w:vAlign w:val="center"/>
          </w:tcPr>
          <w:p>
            <w:pPr>
              <w:pStyle w:val="12"/>
            </w:pPr>
            <w:r>
              <w:t>2022年老旧小区改造主体改造项目总成本9244.76万元</w:t>
            </w:r>
          </w:p>
        </w:tc>
        <w:tc>
          <w:tcPr>
            <w:tcW w:w="2114" w:type="dxa"/>
            <w:vAlign w:val="center"/>
          </w:tcPr>
          <w:p>
            <w:pPr>
              <w:pStyle w:val="12"/>
            </w:pPr>
            <w:r>
              <w:t>7300万元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主体改造项目长期使用性</w:t>
            </w:r>
          </w:p>
        </w:tc>
        <w:tc>
          <w:tcPr>
            <w:tcW w:w="4228" w:type="dxa"/>
            <w:vAlign w:val="center"/>
          </w:tcPr>
          <w:p>
            <w:pPr>
              <w:pStyle w:val="12"/>
            </w:pPr>
            <w:r>
              <w:t>2022年老旧小区改造主体改造项目长期使用性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主体改造项目受益户数</w:t>
            </w:r>
          </w:p>
        </w:tc>
        <w:tc>
          <w:tcPr>
            <w:tcW w:w="4228" w:type="dxa"/>
            <w:vAlign w:val="center"/>
          </w:tcPr>
          <w:p>
            <w:pPr>
              <w:pStyle w:val="12"/>
            </w:pPr>
            <w:r>
              <w:t>2022年老旧小区改造主体改造项目社会效益受益户数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主体改造项目群众满意度</w:t>
            </w:r>
          </w:p>
        </w:tc>
        <w:tc>
          <w:tcPr>
            <w:tcW w:w="4228" w:type="dxa"/>
            <w:vAlign w:val="center"/>
          </w:tcPr>
          <w:p>
            <w:pPr>
              <w:pStyle w:val="12"/>
            </w:pPr>
            <w:r>
              <w:t>2022年老旧小区改造主体改造项目群众满意度数量满意占比</w:t>
            </w:r>
          </w:p>
        </w:tc>
        <w:tc>
          <w:tcPr>
            <w:tcW w:w="2114" w:type="dxa"/>
            <w:vAlign w:val="center"/>
          </w:tcPr>
          <w:p>
            <w:pPr>
              <w:pStyle w:val="12"/>
            </w:pPr>
            <w:r>
              <w:t>≥95%</w:t>
            </w:r>
          </w:p>
          <w:p>
            <w:pPr>
              <w:pStyle w:val="12"/>
            </w:pP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58、石家庄市鹿泉区2023年老旧小区改造项目绩效目标表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13011024P00000110085T</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58.00</w:t>
            </w:r>
          </w:p>
        </w:tc>
        <w:tc>
          <w:tcPr>
            <w:tcW w:w="2114" w:type="dxa"/>
            <w:vAlign w:val="center"/>
          </w:tcPr>
          <w:p>
            <w:pPr>
              <w:pStyle w:val="10"/>
            </w:pPr>
            <w:r>
              <w:t>其中：财政    资金</w:t>
            </w:r>
          </w:p>
        </w:tc>
        <w:tc>
          <w:tcPr>
            <w:tcW w:w="2114" w:type="dxa"/>
            <w:vAlign w:val="center"/>
          </w:tcPr>
          <w:p>
            <w:pPr>
              <w:pStyle w:val="12"/>
            </w:pPr>
            <w:r>
              <w:t>58.00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59、石家庄市鹿泉区2023年老旧小区改造项目（专项债券）绩效目标表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13011023P00032710002A</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60、石家庄西部上庄污水处理厂控制性详细规划编制费绩效目标表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13011024P00000110078R</w:t>
            </w:r>
          </w:p>
        </w:tc>
        <w:tc>
          <w:tcPr>
            <w:tcW w:w="2114" w:type="dxa"/>
            <w:vAlign w:val="center"/>
          </w:tcPr>
          <w:p>
            <w:pPr>
              <w:pStyle w:val="10"/>
            </w:pPr>
            <w:r>
              <w:t>项目名称</w:t>
            </w:r>
          </w:p>
        </w:tc>
        <w:tc>
          <w:tcPr>
            <w:tcW w:w="6342" w:type="dxa"/>
            <w:gridSpan w:val="3"/>
            <w:vAlign w:val="center"/>
          </w:tcPr>
          <w:p>
            <w:pPr>
              <w:pStyle w:val="12"/>
            </w:pPr>
            <w:r>
              <w:t>石家庄西部上庄污水处理厂控制性详细规划编制费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按时完成规划纲要、文本、图册的编制，对鹿泉区上庄污水处理厂地块做出控制性详细规划，为上庄污水处理厂扩建提供重要依据。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1.按时完成规划纲要、文本、图册的编制，对鹿泉区上庄污水处理厂地块做出控制性详细规划，为上庄污水处理厂扩建提供重要依据。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编制完成规划文本，规划图册等相关文件</w:t>
            </w:r>
          </w:p>
        </w:tc>
        <w:tc>
          <w:tcPr>
            <w:tcW w:w="2114" w:type="dxa"/>
            <w:vAlign w:val="center"/>
          </w:tcPr>
          <w:p>
            <w:pPr>
              <w:pStyle w:val="12"/>
            </w:pPr>
            <w:r>
              <w:t>纸质成果10套，电子成果</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完成上庄污水处理厂地块控制性规划面积</w:t>
            </w:r>
          </w:p>
        </w:tc>
        <w:tc>
          <w:tcPr>
            <w:tcW w:w="2114" w:type="dxa"/>
            <w:vAlign w:val="center"/>
          </w:tcPr>
          <w:p>
            <w:pPr>
              <w:pStyle w:val="12"/>
            </w:pPr>
            <w:r>
              <w:t>≥11.3公顷</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规划编制时间</w:t>
            </w:r>
          </w:p>
        </w:tc>
        <w:tc>
          <w:tcPr>
            <w:tcW w:w="4228" w:type="dxa"/>
            <w:vAlign w:val="center"/>
          </w:tcPr>
          <w:p>
            <w:pPr>
              <w:pStyle w:val="12"/>
            </w:pPr>
            <w:r>
              <w:t>规划文本编制时间</w:t>
            </w:r>
          </w:p>
        </w:tc>
        <w:tc>
          <w:tcPr>
            <w:tcW w:w="2114" w:type="dxa"/>
            <w:vAlign w:val="center"/>
          </w:tcPr>
          <w:p>
            <w:pPr>
              <w:pStyle w:val="12"/>
            </w:pPr>
            <w:r>
              <w:t>≤6月</w:t>
            </w:r>
          </w:p>
        </w:tc>
        <w:tc>
          <w:tcPr>
            <w:tcW w:w="2114" w:type="dxa"/>
            <w:vAlign w:val="center"/>
          </w:tcPr>
          <w:p>
            <w:pPr>
              <w:pStyle w:val="12"/>
            </w:pPr>
            <w:r>
              <w:t>2022年度工作过计划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鹿泉区上庄污水处理厂地块控制性详细规划</w:t>
            </w:r>
          </w:p>
        </w:tc>
        <w:tc>
          <w:tcPr>
            <w:tcW w:w="4228" w:type="dxa"/>
            <w:vAlign w:val="center"/>
          </w:tcPr>
          <w:p>
            <w:pPr>
              <w:pStyle w:val="12"/>
            </w:pPr>
            <w:r>
              <w:t>规划编制费用成本</w:t>
            </w:r>
          </w:p>
        </w:tc>
        <w:tc>
          <w:tcPr>
            <w:tcW w:w="2114" w:type="dxa"/>
            <w:vAlign w:val="center"/>
          </w:tcPr>
          <w:p>
            <w:pPr>
              <w:pStyle w:val="12"/>
            </w:pPr>
            <w:r>
              <w:t>≤15万元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可持续使用时间</w:t>
            </w:r>
          </w:p>
        </w:tc>
        <w:tc>
          <w:tcPr>
            <w:tcW w:w="4228" w:type="dxa"/>
            <w:vAlign w:val="center"/>
          </w:tcPr>
          <w:p>
            <w:pPr>
              <w:pStyle w:val="12"/>
            </w:pPr>
            <w:r>
              <w:t>规划文本是使用是时间</w:t>
            </w:r>
          </w:p>
        </w:tc>
        <w:tc>
          <w:tcPr>
            <w:tcW w:w="2114" w:type="dxa"/>
            <w:vAlign w:val="center"/>
          </w:tcPr>
          <w:p>
            <w:pPr>
              <w:pStyle w:val="12"/>
            </w:pPr>
            <w:r>
              <w:t>≥10年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61、石家庄西部上庄污水处理厂扩建工程（专项债券）绩效目标表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13011023P000299100034</w:t>
            </w:r>
          </w:p>
        </w:tc>
        <w:tc>
          <w:tcPr>
            <w:tcW w:w="2114" w:type="dxa"/>
            <w:vAlign w:val="center"/>
          </w:tcPr>
          <w:p>
            <w:pPr>
              <w:pStyle w:val="10"/>
            </w:pPr>
            <w:r>
              <w:t>项目名称</w:t>
            </w:r>
          </w:p>
        </w:tc>
        <w:tc>
          <w:tcPr>
            <w:tcW w:w="6342" w:type="dxa"/>
            <w:gridSpan w:val="3"/>
            <w:vAlign w:val="center"/>
          </w:tcPr>
          <w:p>
            <w:pPr>
              <w:pStyle w:val="12"/>
            </w:pPr>
            <w:r>
              <w:t>石家庄西部上庄污水处理厂扩建工程（专项债券）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扩建增加每日的污水处理量</w:t>
            </w:r>
          </w:p>
        </w:tc>
        <w:tc>
          <w:tcPr>
            <w:tcW w:w="4228" w:type="dxa"/>
            <w:vAlign w:val="center"/>
          </w:tcPr>
          <w:p>
            <w:pPr>
              <w:pStyle w:val="12"/>
            </w:pPr>
            <w:r>
              <w:t>该项目扩建的污水处理每日的总量</w:t>
            </w:r>
          </w:p>
        </w:tc>
        <w:tc>
          <w:tcPr>
            <w:tcW w:w="2114" w:type="dxa"/>
            <w:vAlign w:val="center"/>
          </w:tcPr>
          <w:p>
            <w:pPr>
              <w:pStyle w:val="12"/>
            </w:pPr>
            <w:r>
              <w:t>5万立方米/日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工程建设成本</w:t>
            </w:r>
          </w:p>
        </w:tc>
        <w:tc>
          <w:tcPr>
            <w:tcW w:w="2114" w:type="dxa"/>
            <w:vAlign w:val="center"/>
          </w:tcPr>
          <w:p>
            <w:pPr>
              <w:pStyle w:val="12"/>
            </w:pPr>
            <w:r>
              <w:t>8000万元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污水处理厂使用年限</w:t>
            </w:r>
          </w:p>
        </w:tc>
        <w:tc>
          <w:tcPr>
            <w:tcW w:w="4228" w:type="dxa"/>
            <w:vAlign w:val="center"/>
          </w:tcPr>
          <w:p>
            <w:pPr>
              <w:pStyle w:val="12"/>
            </w:pPr>
            <w:r>
              <w:t>污水处理厂使用年限</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62、提前下达2024年省级乡村振兴（农村人居环境整治）专项资金绩效目标表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13011024P00001210581P</w:t>
            </w:r>
          </w:p>
        </w:tc>
        <w:tc>
          <w:tcPr>
            <w:tcW w:w="2114" w:type="dxa"/>
            <w:vAlign w:val="center"/>
          </w:tcPr>
          <w:p>
            <w:pPr>
              <w:pStyle w:val="10"/>
            </w:pPr>
            <w:r>
              <w:t>项目名称</w:t>
            </w:r>
          </w:p>
        </w:tc>
        <w:tc>
          <w:tcPr>
            <w:tcW w:w="6342" w:type="dxa"/>
            <w:gridSpan w:val="3"/>
            <w:vAlign w:val="center"/>
          </w:tcPr>
          <w:p>
            <w:pPr>
              <w:pStyle w:val="12"/>
            </w:pPr>
            <w:r>
              <w:t>提前下达2024年省级乡村振兴（农村人居环境整治）专项资金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补助的装配式农房数量</w:t>
            </w:r>
          </w:p>
        </w:tc>
        <w:tc>
          <w:tcPr>
            <w:tcW w:w="4228" w:type="dxa"/>
            <w:vAlign w:val="center"/>
          </w:tcPr>
          <w:p>
            <w:pPr>
              <w:pStyle w:val="12"/>
            </w:pPr>
            <w:r>
              <w:t>县（区）2024年装配式农房建设试点户数</w:t>
            </w:r>
          </w:p>
        </w:tc>
        <w:tc>
          <w:tcPr>
            <w:tcW w:w="2114" w:type="dxa"/>
            <w:vAlign w:val="center"/>
          </w:tcPr>
          <w:p>
            <w:pPr>
              <w:pStyle w:val="12"/>
            </w:pPr>
            <w:r>
              <w:t>60户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补助户选用装配式建筑方式</w:t>
            </w:r>
          </w:p>
        </w:tc>
        <w:tc>
          <w:tcPr>
            <w:tcW w:w="4228" w:type="dxa"/>
            <w:vAlign w:val="center"/>
          </w:tcPr>
          <w:p>
            <w:pPr>
              <w:pStyle w:val="12"/>
            </w:pPr>
            <w:r>
              <w:t>装配式农村住房建设完成后验收合格率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当年建设完成占需建设完成的比例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补助装配式农房标准</w:t>
            </w:r>
          </w:p>
        </w:tc>
        <w:tc>
          <w:tcPr>
            <w:tcW w:w="4228" w:type="dxa"/>
            <w:vAlign w:val="center"/>
          </w:tcPr>
          <w:p>
            <w:pPr>
              <w:pStyle w:val="12"/>
            </w:pPr>
            <w:r>
              <w:t>对装配式农村住房建设示范户我区补助不得少于1万元</w:t>
            </w:r>
          </w:p>
        </w:tc>
        <w:tc>
          <w:tcPr>
            <w:tcW w:w="2114" w:type="dxa"/>
            <w:vAlign w:val="center"/>
          </w:tcPr>
          <w:p>
            <w:pPr>
              <w:pStyle w:val="12"/>
            </w:pPr>
            <w:r>
              <w:t>1万元/户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引导提高农房建设水平</w:t>
            </w:r>
          </w:p>
        </w:tc>
        <w:tc>
          <w:tcPr>
            <w:tcW w:w="4228" w:type="dxa"/>
            <w:vAlign w:val="center"/>
          </w:tcPr>
          <w:p>
            <w:pPr>
              <w:pStyle w:val="12"/>
            </w:pPr>
            <w:r>
              <w:t>引导提高农房建设水平</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新建装配式农村住房示范户满意度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63、危房改造专项资金绩效目标表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13011024P00000110068X</w:t>
            </w:r>
          </w:p>
        </w:tc>
        <w:tc>
          <w:tcPr>
            <w:tcW w:w="2114" w:type="dxa"/>
            <w:vAlign w:val="center"/>
          </w:tcPr>
          <w:p>
            <w:pPr>
              <w:pStyle w:val="10"/>
            </w:pPr>
            <w:r>
              <w:t>项目名称</w:t>
            </w:r>
          </w:p>
        </w:tc>
        <w:tc>
          <w:tcPr>
            <w:tcW w:w="6342" w:type="dxa"/>
            <w:gridSpan w:val="3"/>
            <w:vAlign w:val="center"/>
          </w:tcPr>
          <w:p>
            <w:pPr>
              <w:pStyle w:val="12"/>
            </w:pPr>
            <w:r>
              <w:t>危房改造专项资金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改造危房20户，解决五保户、建档立卡贫困户等“四类重点人员”的住房安全问题。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危房改造数量</w:t>
            </w:r>
          </w:p>
        </w:tc>
        <w:tc>
          <w:tcPr>
            <w:tcW w:w="4228" w:type="dxa"/>
            <w:vAlign w:val="center"/>
          </w:tcPr>
          <w:p>
            <w:pPr>
              <w:pStyle w:val="12"/>
            </w:pPr>
            <w:r>
              <w:t>危房改造数量</w:t>
            </w:r>
          </w:p>
        </w:tc>
        <w:tc>
          <w:tcPr>
            <w:tcW w:w="2114" w:type="dxa"/>
            <w:vAlign w:val="center"/>
          </w:tcPr>
          <w:p>
            <w:pPr>
              <w:pStyle w:val="12"/>
            </w:pPr>
            <w:r>
              <w:t>≤20户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改造后验收合格率</w:t>
            </w:r>
          </w:p>
        </w:tc>
        <w:tc>
          <w:tcPr>
            <w:tcW w:w="4228" w:type="dxa"/>
            <w:vAlign w:val="center"/>
          </w:tcPr>
          <w:p>
            <w:pPr>
              <w:pStyle w:val="12"/>
            </w:pPr>
            <w:r>
              <w:t>危房改造验收合格率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危房改造按时完成率</w:t>
            </w:r>
          </w:p>
        </w:tc>
        <w:tc>
          <w:tcPr>
            <w:tcW w:w="4228" w:type="dxa"/>
            <w:vAlign w:val="center"/>
          </w:tcPr>
          <w:p>
            <w:pPr>
              <w:pStyle w:val="12"/>
            </w:pPr>
            <w:r>
              <w:t>当年改造完成占需改造危房的比率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补助资金发放标准</w:t>
            </w:r>
          </w:p>
        </w:tc>
        <w:tc>
          <w:tcPr>
            <w:tcW w:w="4228" w:type="dxa"/>
            <w:vAlign w:val="center"/>
          </w:tcPr>
          <w:p>
            <w:pPr>
              <w:pStyle w:val="12"/>
            </w:pPr>
            <w:r>
              <w:t>新建每户改造资金4万元</w:t>
            </w:r>
          </w:p>
        </w:tc>
        <w:tc>
          <w:tcPr>
            <w:tcW w:w="2114" w:type="dxa"/>
            <w:vAlign w:val="center"/>
          </w:tcPr>
          <w:p>
            <w:pPr>
              <w:pStyle w:val="12"/>
            </w:pPr>
            <w:r>
              <w:t>4万元/户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新建房屋保证安全期限</w:t>
            </w:r>
          </w:p>
        </w:tc>
        <w:tc>
          <w:tcPr>
            <w:tcW w:w="4228" w:type="dxa"/>
            <w:vAlign w:val="center"/>
          </w:tcPr>
          <w:p>
            <w:pPr>
              <w:pStyle w:val="12"/>
            </w:pPr>
            <w:r>
              <w:t>新建危房质量保证期限</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危房改造用户满意度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64、新型城镇化规划编制专项资金绩效目标表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13011024P00000110071G</w:t>
            </w:r>
          </w:p>
        </w:tc>
        <w:tc>
          <w:tcPr>
            <w:tcW w:w="2114" w:type="dxa"/>
            <w:vAlign w:val="center"/>
          </w:tcPr>
          <w:p>
            <w:pPr>
              <w:pStyle w:val="10"/>
            </w:pPr>
            <w:r>
              <w:t>项目名称</w:t>
            </w:r>
          </w:p>
        </w:tc>
        <w:tc>
          <w:tcPr>
            <w:tcW w:w="6342" w:type="dxa"/>
            <w:gridSpan w:val="3"/>
            <w:vAlign w:val="center"/>
          </w:tcPr>
          <w:p>
            <w:pPr>
              <w:pStyle w:val="12"/>
            </w:pPr>
            <w:r>
              <w:t>新型城镇化规划编制专项资金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规划编制完成率</w:t>
            </w:r>
          </w:p>
        </w:tc>
        <w:tc>
          <w:tcPr>
            <w:tcW w:w="4228" w:type="dxa"/>
            <w:vAlign w:val="center"/>
          </w:tcPr>
          <w:p>
            <w:pPr>
              <w:pStyle w:val="12"/>
            </w:pPr>
            <w:r>
              <w:t>鹿泉区新型城镇化规划（2021-2035）编制100%完成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规划编制实用率</w:t>
            </w:r>
          </w:p>
        </w:tc>
        <w:tc>
          <w:tcPr>
            <w:tcW w:w="4228" w:type="dxa"/>
            <w:vAlign w:val="center"/>
          </w:tcPr>
          <w:p>
            <w:pPr>
              <w:pStyle w:val="12"/>
            </w:pPr>
            <w:r>
              <w:t>新型城镇化规划对创建全国新型城镇化建设示范区的指导效果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规划编制完成时间</w:t>
            </w:r>
          </w:p>
        </w:tc>
        <w:tc>
          <w:tcPr>
            <w:tcW w:w="4228" w:type="dxa"/>
            <w:vAlign w:val="center"/>
          </w:tcPr>
          <w:p>
            <w:pPr>
              <w:pStyle w:val="12"/>
            </w:pPr>
            <w:r>
              <w:t>完成规划期至2035年的新型城镇化规划</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完成规划编制成本</w:t>
            </w:r>
          </w:p>
        </w:tc>
        <w:tc>
          <w:tcPr>
            <w:tcW w:w="4228" w:type="dxa"/>
            <w:vAlign w:val="center"/>
          </w:tcPr>
          <w:p>
            <w:pPr>
              <w:pStyle w:val="12"/>
            </w:pPr>
            <w:r>
              <w:t>完成鹿泉区新型城镇化规划（2021-2035）编制所需费用</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指导作用</w:t>
            </w:r>
          </w:p>
        </w:tc>
        <w:tc>
          <w:tcPr>
            <w:tcW w:w="4228" w:type="dxa"/>
            <w:vAlign w:val="center"/>
          </w:tcPr>
          <w:p>
            <w:pPr>
              <w:pStyle w:val="12"/>
            </w:pPr>
            <w:r>
              <w:t>指导鹿泉区达到全国新型城镇化建设示范区水平</w:t>
            </w:r>
          </w:p>
        </w:tc>
        <w:tc>
          <w:tcPr>
            <w:tcW w:w="2114" w:type="dxa"/>
            <w:vAlign w:val="center"/>
          </w:tcPr>
          <w:p>
            <w:pPr>
              <w:pStyle w:val="12"/>
            </w:pPr>
            <w:r>
              <w:t>达到全国示范区水平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规划持续发挥作用时间</w:t>
            </w:r>
          </w:p>
        </w:tc>
        <w:tc>
          <w:tcPr>
            <w:tcW w:w="4228" w:type="dxa"/>
            <w:vAlign w:val="center"/>
          </w:tcPr>
          <w:p>
            <w:pPr>
              <w:pStyle w:val="12"/>
            </w:pPr>
            <w:r>
              <w:t>规划编制可持续期限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群众对规划编制的满意率</w:t>
            </w:r>
          </w:p>
        </w:tc>
        <w:tc>
          <w:tcPr>
            <w:tcW w:w="2114" w:type="dxa"/>
            <w:vAlign w:val="center"/>
          </w:tcPr>
          <w:p>
            <w:pPr>
              <w:pStyle w:val="12"/>
            </w:pPr>
            <w:r>
              <w:t>≥90%</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65、玉石北路及学院街道路工程绩效目标表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13011024P00000110317T</w:t>
            </w:r>
          </w:p>
        </w:tc>
        <w:tc>
          <w:tcPr>
            <w:tcW w:w="2114" w:type="dxa"/>
            <w:vAlign w:val="center"/>
          </w:tcPr>
          <w:p>
            <w:pPr>
              <w:pStyle w:val="10"/>
            </w:pPr>
            <w:r>
              <w:t>项目名称</w:t>
            </w:r>
          </w:p>
        </w:tc>
        <w:tc>
          <w:tcPr>
            <w:tcW w:w="6342" w:type="dxa"/>
            <w:gridSpan w:val="3"/>
            <w:vAlign w:val="center"/>
          </w:tcPr>
          <w:p>
            <w:pPr>
              <w:pStyle w:val="12"/>
            </w:pPr>
            <w:r>
              <w:t>玉石北路及学院街道路工程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66、玉石北路及学院街道路工程9279绩效目标表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13011024P00000110336Y</w:t>
            </w:r>
          </w:p>
        </w:tc>
        <w:tc>
          <w:tcPr>
            <w:tcW w:w="2114" w:type="dxa"/>
            <w:vAlign w:val="center"/>
          </w:tcPr>
          <w:p>
            <w:pPr>
              <w:pStyle w:val="10"/>
            </w:pPr>
            <w:r>
              <w:t>项目名称</w:t>
            </w:r>
          </w:p>
        </w:tc>
        <w:tc>
          <w:tcPr>
            <w:tcW w:w="6342" w:type="dxa"/>
            <w:gridSpan w:val="3"/>
            <w:vAlign w:val="center"/>
          </w:tcPr>
          <w:p>
            <w:pPr>
              <w:pStyle w:val="12"/>
            </w:pPr>
            <w:r>
              <w:t>玉石北路及学院街道路工程9279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5.26</w:t>
            </w:r>
          </w:p>
        </w:tc>
        <w:tc>
          <w:tcPr>
            <w:tcW w:w="2114" w:type="dxa"/>
            <w:vAlign w:val="center"/>
          </w:tcPr>
          <w:p>
            <w:pPr>
              <w:pStyle w:val="10"/>
            </w:pPr>
            <w:r>
              <w:t>其中：财政    资金</w:t>
            </w:r>
          </w:p>
        </w:tc>
        <w:tc>
          <w:tcPr>
            <w:tcW w:w="2114" w:type="dxa"/>
            <w:vAlign w:val="center"/>
          </w:tcPr>
          <w:p>
            <w:pPr>
              <w:pStyle w:val="12"/>
            </w:pPr>
            <w:r>
              <w:t>5.26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67、再融资债券项目绩效评估报告费用绩效目标表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13011024P000001102959</w:t>
            </w:r>
          </w:p>
        </w:tc>
        <w:tc>
          <w:tcPr>
            <w:tcW w:w="2114" w:type="dxa"/>
            <w:vAlign w:val="center"/>
          </w:tcPr>
          <w:p>
            <w:pPr>
              <w:pStyle w:val="10"/>
            </w:pPr>
            <w:r>
              <w:t>项目名称</w:t>
            </w:r>
          </w:p>
        </w:tc>
        <w:tc>
          <w:tcPr>
            <w:tcW w:w="6342" w:type="dxa"/>
            <w:gridSpan w:val="3"/>
            <w:vAlign w:val="center"/>
          </w:tcPr>
          <w:p>
            <w:pPr>
              <w:pStyle w:val="12"/>
            </w:pPr>
            <w:r>
              <w:t>再融资债券项目绩效评估报告费用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w:t>
            </w:r>
          </w:p>
        </w:tc>
        <w:tc>
          <w:tcPr>
            <w:tcW w:w="2114" w:type="dxa"/>
            <w:vAlign w:val="center"/>
          </w:tcPr>
          <w:p>
            <w:pPr>
              <w:pStyle w:val="10"/>
            </w:pPr>
            <w:r>
              <w:t>其中：财政    资金</w:t>
            </w:r>
          </w:p>
        </w:tc>
        <w:tc>
          <w:tcPr>
            <w:tcW w:w="2114" w:type="dxa"/>
            <w:vAlign w:val="center"/>
          </w:tcPr>
          <w:p>
            <w:pPr>
              <w:pStyle w:val="12"/>
            </w:pPr>
            <w:r>
              <w:t>1.20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通过完成2个项目的绩效评价报告，完成债券的再融资，保证项目顺利完成。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1.通过完成2个项目的绩效评价报告，完成债券的再融资，保证项目顺利完成。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出具报告数量</w:t>
            </w:r>
          </w:p>
        </w:tc>
        <w:tc>
          <w:tcPr>
            <w:tcW w:w="4228" w:type="dxa"/>
            <w:vAlign w:val="center"/>
          </w:tcPr>
          <w:p>
            <w:pPr>
              <w:pStyle w:val="12"/>
            </w:pPr>
            <w:r>
              <w:t>出具绩效评价报告的份数</w:t>
            </w:r>
          </w:p>
        </w:tc>
        <w:tc>
          <w:tcPr>
            <w:tcW w:w="2114" w:type="dxa"/>
            <w:vAlign w:val="center"/>
          </w:tcPr>
          <w:p>
            <w:pPr>
              <w:pStyle w:val="12"/>
            </w:pPr>
            <w:r>
              <w:t>4份</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绩效评价项目数量</w:t>
            </w:r>
          </w:p>
        </w:tc>
        <w:tc>
          <w:tcPr>
            <w:tcW w:w="4228" w:type="dxa"/>
            <w:vAlign w:val="center"/>
          </w:tcPr>
          <w:p>
            <w:pPr>
              <w:pStyle w:val="12"/>
            </w:pPr>
            <w:r>
              <w:t>需出具绩效评价报告的项目数量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出具报告的质量</w:t>
            </w:r>
          </w:p>
        </w:tc>
        <w:tc>
          <w:tcPr>
            <w:tcW w:w="4228" w:type="dxa"/>
            <w:vAlign w:val="center"/>
          </w:tcPr>
          <w:p>
            <w:pPr>
              <w:pStyle w:val="12"/>
            </w:pPr>
            <w:r>
              <w:t>出具绩效评价报告的质量</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出具报告的时效</w:t>
            </w:r>
          </w:p>
        </w:tc>
        <w:tc>
          <w:tcPr>
            <w:tcW w:w="4228" w:type="dxa"/>
            <w:vAlign w:val="center"/>
          </w:tcPr>
          <w:p>
            <w:pPr>
              <w:pStyle w:val="12"/>
            </w:pPr>
            <w:r>
              <w:t>完成绩效评价的时间</w:t>
            </w:r>
          </w:p>
        </w:tc>
        <w:tc>
          <w:tcPr>
            <w:tcW w:w="2114" w:type="dxa"/>
            <w:vAlign w:val="center"/>
          </w:tcPr>
          <w:p>
            <w:pPr>
              <w:pStyle w:val="12"/>
            </w:pPr>
            <w:r>
              <w:t>按时出具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报告成本</w:t>
            </w:r>
          </w:p>
        </w:tc>
        <w:tc>
          <w:tcPr>
            <w:tcW w:w="4228" w:type="dxa"/>
            <w:vAlign w:val="center"/>
          </w:tcPr>
          <w:p>
            <w:pPr>
              <w:pStyle w:val="12"/>
            </w:pPr>
            <w:r>
              <w:t>绩效评价报告的单位成本</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绩效评价报告的影响</w:t>
            </w:r>
          </w:p>
        </w:tc>
        <w:tc>
          <w:tcPr>
            <w:tcW w:w="4228" w:type="dxa"/>
            <w:vAlign w:val="center"/>
          </w:tcPr>
          <w:p>
            <w:pPr>
              <w:pStyle w:val="12"/>
            </w:pPr>
            <w:r>
              <w:t>绩效评价报告的持续影响</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68、自然灾害普查经费绩效目标表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13011024P000001100724</w:t>
            </w:r>
          </w:p>
        </w:tc>
        <w:tc>
          <w:tcPr>
            <w:tcW w:w="2114" w:type="dxa"/>
            <w:vAlign w:val="center"/>
          </w:tcPr>
          <w:p>
            <w:pPr>
              <w:pStyle w:val="10"/>
            </w:pPr>
            <w:r>
              <w:t>项目名称</w:t>
            </w:r>
          </w:p>
        </w:tc>
        <w:tc>
          <w:tcPr>
            <w:tcW w:w="6342" w:type="dxa"/>
            <w:gridSpan w:val="3"/>
            <w:vAlign w:val="center"/>
          </w:tcPr>
          <w:p>
            <w:pPr>
              <w:pStyle w:val="12"/>
            </w:pPr>
            <w:r>
              <w:t>自然灾害普查经费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通过开展普查，摸清全国自然灾害风险隐患底数，查明地区抗灾能力，客观认识全国和各地区自然灾害综合风险水平。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1.通过开展普查，摸清全国自然灾害风险隐患底数，查明地区抗灾能力，客观认识全国和各地区自然灾害综合风险水平。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普查准确率</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普查按时完成率</w:t>
            </w:r>
          </w:p>
        </w:tc>
        <w:tc>
          <w:tcPr>
            <w:tcW w:w="4228" w:type="dxa"/>
            <w:vAlign w:val="center"/>
          </w:tcPr>
          <w:p>
            <w:pPr>
              <w:pStyle w:val="12"/>
            </w:pPr>
            <w:r>
              <w:t>按时完成普查数量占全部普查数量的比例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完成普查工作的成本</w:t>
            </w:r>
          </w:p>
        </w:tc>
        <w:tc>
          <w:tcPr>
            <w:tcW w:w="4228" w:type="dxa"/>
            <w:vAlign w:val="center"/>
          </w:tcPr>
          <w:p>
            <w:pPr>
              <w:pStyle w:val="12"/>
            </w:pPr>
            <w:r>
              <w:t>完成普查工作的部分成本</w:t>
            </w:r>
          </w:p>
        </w:tc>
        <w:tc>
          <w:tcPr>
            <w:tcW w:w="2114" w:type="dxa"/>
            <w:vAlign w:val="center"/>
          </w:tcPr>
          <w:p>
            <w:pPr>
              <w:pStyle w:val="12"/>
            </w:pPr>
            <w:r>
              <w:t>102.52万元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市政设施普查数量</w:t>
            </w:r>
          </w:p>
        </w:tc>
        <w:tc>
          <w:tcPr>
            <w:tcW w:w="4228" w:type="dxa"/>
            <w:vAlign w:val="center"/>
          </w:tcPr>
          <w:p>
            <w:pPr>
              <w:pStyle w:val="12"/>
            </w:pPr>
            <w:r>
              <w:t>需要普查的污水管网长度</w:t>
            </w:r>
          </w:p>
        </w:tc>
        <w:tc>
          <w:tcPr>
            <w:tcW w:w="2114" w:type="dxa"/>
            <w:vAlign w:val="center"/>
          </w:tcPr>
          <w:p>
            <w:pPr>
              <w:pStyle w:val="12"/>
            </w:pPr>
            <w:r>
              <w:t>≥60km</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城镇房屋普查数量</w:t>
            </w:r>
          </w:p>
        </w:tc>
        <w:tc>
          <w:tcPr>
            <w:tcW w:w="4228" w:type="dxa"/>
            <w:vAlign w:val="center"/>
          </w:tcPr>
          <w:p>
            <w:pPr>
              <w:pStyle w:val="12"/>
            </w:pPr>
            <w:r>
              <w:t>需要普查的城镇房屋（含经营用房）面积</w:t>
            </w:r>
          </w:p>
        </w:tc>
        <w:tc>
          <w:tcPr>
            <w:tcW w:w="2114" w:type="dxa"/>
            <w:vAlign w:val="center"/>
          </w:tcPr>
          <w:p>
            <w:pPr>
              <w:pStyle w:val="12"/>
            </w:pPr>
            <w:r>
              <w:t>≥754.2万平方米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农村非住宅房屋普查数量</w:t>
            </w:r>
          </w:p>
        </w:tc>
        <w:tc>
          <w:tcPr>
            <w:tcW w:w="4228" w:type="dxa"/>
            <w:vAlign w:val="center"/>
          </w:tcPr>
          <w:p>
            <w:pPr>
              <w:pStyle w:val="12"/>
            </w:pPr>
            <w:r>
              <w:t>需要普查的农村非住宅房屋户数</w:t>
            </w:r>
          </w:p>
        </w:tc>
        <w:tc>
          <w:tcPr>
            <w:tcW w:w="2114" w:type="dxa"/>
            <w:vAlign w:val="center"/>
          </w:tcPr>
          <w:p>
            <w:pPr>
              <w:pStyle w:val="12"/>
            </w:pPr>
            <w:r>
              <w:t>208村</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农村住宅房屋普查数量</w:t>
            </w:r>
          </w:p>
        </w:tc>
        <w:tc>
          <w:tcPr>
            <w:tcW w:w="4228" w:type="dxa"/>
            <w:vAlign w:val="center"/>
          </w:tcPr>
          <w:p>
            <w:pPr>
              <w:pStyle w:val="12"/>
            </w:pPr>
            <w:r>
              <w:t>需要普查的农村住宅房屋户数</w:t>
            </w:r>
          </w:p>
        </w:tc>
        <w:tc>
          <w:tcPr>
            <w:tcW w:w="2114" w:type="dxa"/>
            <w:vAlign w:val="center"/>
          </w:tcPr>
          <w:p>
            <w:pPr>
              <w:pStyle w:val="12"/>
            </w:pPr>
            <w:r>
              <w:t>≥98013户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受益村的数量</w:t>
            </w:r>
          </w:p>
        </w:tc>
        <w:tc>
          <w:tcPr>
            <w:tcW w:w="4228" w:type="dxa"/>
            <w:vAlign w:val="center"/>
          </w:tcPr>
          <w:p>
            <w:pPr>
              <w:pStyle w:val="12"/>
            </w:pPr>
            <w:r>
              <w:t>受益行政村的数量</w:t>
            </w:r>
          </w:p>
        </w:tc>
        <w:tc>
          <w:tcPr>
            <w:tcW w:w="2114" w:type="dxa"/>
            <w:vAlign w:val="center"/>
          </w:tcPr>
          <w:p>
            <w:pPr>
              <w:pStyle w:val="12"/>
            </w:pPr>
            <w:r>
              <w:t>208个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持续影响时间</w:t>
            </w:r>
          </w:p>
        </w:tc>
        <w:tc>
          <w:tcPr>
            <w:tcW w:w="4228" w:type="dxa"/>
            <w:vAlign w:val="center"/>
          </w:tcPr>
          <w:p>
            <w:pPr>
              <w:pStyle w:val="12"/>
            </w:pPr>
            <w:r>
              <w:t>反映项目实施带来影响的长效性</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风险普查满意度</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69、纵二街征地费用绩效目标表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13011024P00000110205E</w:t>
            </w:r>
          </w:p>
        </w:tc>
        <w:tc>
          <w:tcPr>
            <w:tcW w:w="2114" w:type="dxa"/>
            <w:vAlign w:val="center"/>
          </w:tcPr>
          <w:p>
            <w:pPr>
              <w:pStyle w:val="10"/>
            </w:pPr>
            <w:r>
              <w:t>项目名称</w:t>
            </w:r>
          </w:p>
        </w:tc>
        <w:tc>
          <w:tcPr>
            <w:tcW w:w="6342" w:type="dxa"/>
            <w:gridSpan w:val="3"/>
            <w:vAlign w:val="center"/>
          </w:tcPr>
          <w:p>
            <w:pPr>
              <w:pStyle w:val="12"/>
            </w:pPr>
            <w:r>
              <w:t>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54.26</w:t>
            </w:r>
          </w:p>
        </w:tc>
        <w:tc>
          <w:tcPr>
            <w:tcW w:w="2114" w:type="dxa"/>
            <w:vAlign w:val="center"/>
          </w:tcPr>
          <w:p>
            <w:pPr>
              <w:pStyle w:val="10"/>
            </w:pPr>
            <w:r>
              <w:t>其中：财政    资金</w:t>
            </w:r>
          </w:p>
        </w:tc>
        <w:tc>
          <w:tcPr>
            <w:tcW w:w="2114" w:type="dxa"/>
            <w:vAlign w:val="center"/>
          </w:tcPr>
          <w:p>
            <w:pPr>
              <w:pStyle w:val="12"/>
            </w:pPr>
            <w:r>
              <w:t>54.26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征用土地数量</w:t>
            </w:r>
          </w:p>
        </w:tc>
        <w:tc>
          <w:tcPr>
            <w:tcW w:w="2114" w:type="dxa"/>
            <w:vAlign w:val="center"/>
          </w:tcPr>
          <w:p>
            <w:pPr>
              <w:pStyle w:val="12"/>
            </w:pPr>
            <w:r>
              <w:t>10.65亩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征地费用发放准确率</w:t>
            </w:r>
          </w:p>
        </w:tc>
        <w:tc>
          <w:tcPr>
            <w:tcW w:w="4228" w:type="dxa"/>
            <w:vAlign w:val="center"/>
          </w:tcPr>
          <w:p>
            <w:pPr>
              <w:pStyle w:val="12"/>
            </w:pPr>
            <w:r>
              <w:t>征地费发放准确率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征地费用支付率</w:t>
            </w:r>
          </w:p>
        </w:tc>
        <w:tc>
          <w:tcPr>
            <w:tcW w:w="4228" w:type="dxa"/>
            <w:vAlign w:val="center"/>
          </w:tcPr>
          <w:p>
            <w:pPr>
              <w:pStyle w:val="12"/>
            </w:pPr>
            <w:r>
              <w:t>征地费用按时支付率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征地费用成本</w:t>
            </w:r>
          </w:p>
        </w:tc>
        <w:tc>
          <w:tcPr>
            <w:tcW w:w="4228" w:type="dxa"/>
            <w:vAlign w:val="center"/>
          </w:tcPr>
          <w:p>
            <w:pPr>
              <w:pStyle w:val="12"/>
            </w:pPr>
            <w:r>
              <w:t>征用单位成本</w:t>
            </w:r>
          </w:p>
        </w:tc>
        <w:tc>
          <w:tcPr>
            <w:tcW w:w="2114" w:type="dxa"/>
            <w:vAlign w:val="center"/>
          </w:tcPr>
          <w:p>
            <w:pPr>
              <w:pStyle w:val="12"/>
            </w:pPr>
            <w:r>
              <w:t>≤55万元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完成征地面积的建设完成率</w:t>
            </w:r>
          </w:p>
        </w:tc>
        <w:tc>
          <w:tcPr>
            <w:tcW w:w="4228" w:type="dxa"/>
            <w:vAlign w:val="center"/>
          </w:tcPr>
          <w:p>
            <w:pPr>
              <w:pStyle w:val="12"/>
            </w:pPr>
            <w:r>
              <w:t>实际收到征地费用户数占征地农户数的比例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满意和较满意人数占被征地人数的比例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70、租地费绩效目标表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13011024P00000110047J</w:t>
            </w:r>
          </w:p>
        </w:tc>
        <w:tc>
          <w:tcPr>
            <w:tcW w:w="2114" w:type="dxa"/>
            <w:vAlign w:val="center"/>
          </w:tcPr>
          <w:p>
            <w:pPr>
              <w:pStyle w:val="10"/>
            </w:pPr>
            <w:r>
              <w:t>项目名称</w:t>
            </w:r>
          </w:p>
        </w:tc>
        <w:tc>
          <w:tcPr>
            <w:tcW w:w="6342" w:type="dxa"/>
            <w:gridSpan w:val="3"/>
            <w:vAlign w:val="center"/>
          </w:tcPr>
          <w:p>
            <w:pPr>
              <w:pStyle w:val="12"/>
            </w:pPr>
            <w:r>
              <w:t>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85.00</w:t>
            </w:r>
          </w:p>
        </w:tc>
        <w:tc>
          <w:tcPr>
            <w:tcW w:w="2114" w:type="dxa"/>
            <w:vAlign w:val="center"/>
          </w:tcPr>
          <w:p>
            <w:pPr>
              <w:pStyle w:val="10"/>
            </w:pPr>
            <w:r>
              <w:t>其中：财政    资金</w:t>
            </w:r>
          </w:p>
        </w:tc>
        <w:tc>
          <w:tcPr>
            <w:tcW w:w="2114" w:type="dxa"/>
            <w:vAlign w:val="center"/>
          </w:tcPr>
          <w:p>
            <w:pPr>
              <w:pStyle w:val="12"/>
            </w:pPr>
            <w:r>
              <w:t>85.00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完成2024年建设租地费用补偿工作，确保资金及时拨付。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1.完成2024年建设租地费用补偿工作，确保资金及时拨付。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租地亩数</w:t>
            </w:r>
          </w:p>
        </w:tc>
        <w:tc>
          <w:tcPr>
            <w:tcW w:w="4228" w:type="dxa"/>
            <w:vAlign w:val="center"/>
          </w:tcPr>
          <w:p>
            <w:pPr>
              <w:pStyle w:val="12"/>
            </w:pPr>
            <w:r>
              <w:t>租用土地数量</w:t>
            </w:r>
          </w:p>
        </w:tc>
        <w:tc>
          <w:tcPr>
            <w:tcW w:w="2114" w:type="dxa"/>
            <w:vAlign w:val="center"/>
          </w:tcPr>
          <w:p>
            <w:pPr>
              <w:pStyle w:val="12"/>
            </w:pPr>
            <w:r>
              <w:t>537.13亩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租地补偿费发放标准达标率</w:t>
            </w:r>
          </w:p>
        </w:tc>
        <w:tc>
          <w:tcPr>
            <w:tcW w:w="4228" w:type="dxa"/>
            <w:vAlign w:val="center"/>
          </w:tcPr>
          <w:p>
            <w:pPr>
              <w:pStyle w:val="12"/>
            </w:pPr>
            <w:r>
              <w:t>补偿费发放标准达标率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租地费支付</w:t>
            </w:r>
          </w:p>
        </w:tc>
        <w:tc>
          <w:tcPr>
            <w:tcW w:w="4228" w:type="dxa"/>
            <w:vAlign w:val="center"/>
          </w:tcPr>
          <w:p>
            <w:pPr>
              <w:pStyle w:val="12"/>
            </w:pPr>
            <w:r>
              <w:t>每年租地费用支付按合同约定期限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租地标准</w:t>
            </w:r>
          </w:p>
        </w:tc>
        <w:tc>
          <w:tcPr>
            <w:tcW w:w="4228" w:type="dxa"/>
            <w:vAlign w:val="center"/>
          </w:tcPr>
          <w:p>
            <w:pPr>
              <w:pStyle w:val="12"/>
            </w:pPr>
            <w:r>
              <w:t>每亩地补贴标准</w:t>
            </w:r>
          </w:p>
        </w:tc>
        <w:tc>
          <w:tcPr>
            <w:tcW w:w="2114" w:type="dxa"/>
            <w:vAlign w:val="center"/>
          </w:tcPr>
          <w:p>
            <w:pPr>
              <w:pStyle w:val="12"/>
            </w:pPr>
            <w:r>
              <w:t>1440元/亩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完成租地面积的建设完成率</w:t>
            </w:r>
          </w:p>
        </w:tc>
        <w:tc>
          <w:tcPr>
            <w:tcW w:w="4228" w:type="dxa"/>
            <w:vAlign w:val="center"/>
          </w:tcPr>
          <w:p>
            <w:pPr>
              <w:pStyle w:val="12"/>
            </w:pPr>
            <w:r>
              <w:t>实际收到租地补贴户数占租地农户数的比例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满意和较满意人数占被补贴人数的比例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石家庄市鹿泉区住房和城乡建设局本级小计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2024年度石家庄市鹿泉区城市体检项目</w:t>
            </w:r>
          </w:p>
        </w:tc>
        <w:tc>
          <w:tcPr>
            <w:tcW w:w="986" w:type="dxa"/>
            <w:vAlign w:val="center"/>
          </w:tcPr>
          <w:p>
            <w:pPr>
              <w:pStyle w:val="11"/>
            </w:pPr>
            <w:r>
              <w:t>30.00</w:t>
            </w:r>
          </w:p>
        </w:tc>
        <w:tc>
          <w:tcPr>
            <w:tcW w:w="986" w:type="dxa"/>
            <w:vAlign w:val="center"/>
          </w:tcPr>
          <w:p>
            <w:pPr>
              <w:pStyle w:val="12"/>
            </w:pPr>
            <w:r>
              <w:t>区域规划和设计服务</w:t>
            </w:r>
          </w:p>
        </w:tc>
        <w:tc>
          <w:tcPr>
            <w:tcW w:w="986" w:type="dxa"/>
            <w:vAlign w:val="center"/>
          </w:tcPr>
          <w:p>
            <w:pPr>
              <w:pStyle w:val="12"/>
            </w:pPr>
            <w:r>
              <w:t>C13010000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关于提前下达2024年部分中央财政城镇保障性安居工程补助资金（老旧小区改造）</w:t>
            </w:r>
          </w:p>
        </w:tc>
        <w:tc>
          <w:tcPr>
            <w:tcW w:w="986" w:type="dxa"/>
            <w:vAlign w:val="center"/>
          </w:tcPr>
          <w:p>
            <w:pPr>
              <w:pStyle w:val="11"/>
            </w:pPr>
            <w:r>
              <w:t>425.00</w:t>
            </w:r>
          </w:p>
        </w:tc>
        <w:tc>
          <w:tcPr>
            <w:tcW w:w="986" w:type="dxa"/>
            <w:vAlign w:val="center"/>
          </w:tcPr>
          <w:p>
            <w:pPr>
              <w:pStyle w:val="12"/>
            </w:pPr>
            <w:r>
              <w:t>住宅施工</w:t>
            </w:r>
          </w:p>
        </w:tc>
        <w:tc>
          <w:tcPr>
            <w:tcW w:w="986" w:type="dxa"/>
            <w:vAlign w:val="center"/>
          </w:tcPr>
          <w:p>
            <w:pPr>
              <w:pStyle w:val="12"/>
            </w:pPr>
            <w:r>
              <w:t>B01050000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气代煤售后服务补贴</w:t>
            </w:r>
          </w:p>
        </w:tc>
        <w:tc>
          <w:tcPr>
            <w:tcW w:w="986" w:type="dxa"/>
            <w:vAlign w:val="center"/>
          </w:tcPr>
          <w:p>
            <w:pPr>
              <w:pStyle w:val="11"/>
            </w:pPr>
            <w:r>
              <w:t>200.00</w:t>
            </w:r>
          </w:p>
        </w:tc>
        <w:tc>
          <w:tcPr>
            <w:tcW w:w="986" w:type="dxa"/>
            <w:vAlign w:val="center"/>
          </w:tcPr>
          <w:p>
            <w:pPr>
              <w:pStyle w:val="12"/>
            </w:pPr>
            <w:r>
              <w:t>财产保险服务</w:t>
            </w:r>
          </w:p>
        </w:tc>
        <w:tc>
          <w:tcPr>
            <w:tcW w:w="986" w:type="dxa"/>
            <w:vAlign w:val="center"/>
          </w:tcPr>
          <w:p>
            <w:pPr>
              <w:pStyle w:val="12"/>
            </w:pPr>
            <w:r>
              <w:t>C18040102</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石家庄市鹿泉区住房和城乡建设局本级上年末固定资产金额为843.61万元（详见下表）。本年度拟购置固定资产总额为4.20万元，已按要求列入政府采购预算，详见政府采购预算表。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843.61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7064</w:t>
            </w:r>
          </w:p>
        </w:tc>
        <w:tc>
          <w:tcPr>
            <w:tcW w:w="4933" w:type="dxa"/>
            <w:vAlign w:val="center"/>
          </w:tcPr>
          <w:p>
            <w:pPr>
              <w:pStyle w:val="11"/>
            </w:pPr>
            <w:r>
              <w:t>820.97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6359</w:t>
            </w:r>
          </w:p>
        </w:tc>
        <w:tc>
          <w:tcPr>
            <w:tcW w:w="4933" w:type="dxa"/>
            <w:vAlign w:val="center"/>
          </w:tcPr>
          <w:p>
            <w:pPr>
              <w:pStyle w:val="11"/>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3</w:t>
            </w:r>
          </w:p>
        </w:tc>
        <w:tc>
          <w:tcPr>
            <w:tcW w:w="4933" w:type="dxa"/>
            <w:vAlign w:val="center"/>
          </w:tcPr>
          <w:p>
            <w:pPr>
              <w:pStyle w:val="11"/>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1131.53</w:t>
            </w:r>
          </w:p>
        </w:tc>
        <w:tc>
          <w:tcPr>
            <w:tcW w:w="2959" w:type="dxa"/>
            <w:vAlign w:val="center"/>
          </w:tcPr>
          <w:p>
            <w:pPr>
              <w:pStyle w:val="12"/>
            </w:pPr>
            <w:r>
              <w:t>一、一般公共服务支出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204.94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836.05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1131.53</w:t>
            </w:r>
          </w:p>
        </w:tc>
        <w:tc>
          <w:tcPr>
            <w:tcW w:w="2959" w:type="dxa"/>
            <w:vAlign w:val="center"/>
          </w:tcPr>
          <w:p>
            <w:pPr>
              <w:pStyle w:val="14"/>
            </w:pPr>
            <w:r>
              <w:t>本年支出合计</w:t>
            </w:r>
          </w:p>
        </w:tc>
        <w:tc>
          <w:tcPr>
            <w:tcW w:w="2959" w:type="dxa"/>
            <w:vAlign w:val="center"/>
          </w:tcPr>
          <w:p>
            <w:pPr>
              <w:pStyle w:val="15"/>
            </w:pPr>
            <w:r>
              <w:t>1131.53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1131.53</w:t>
            </w:r>
          </w:p>
        </w:tc>
        <w:tc>
          <w:tcPr>
            <w:tcW w:w="2959" w:type="dxa"/>
            <w:vAlign w:val="center"/>
          </w:tcPr>
          <w:p>
            <w:pPr>
              <w:pStyle w:val="14"/>
            </w:pPr>
            <w:r>
              <w:t>支出总计</w:t>
            </w:r>
          </w:p>
        </w:tc>
        <w:tc>
          <w:tcPr>
            <w:tcW w:w="2959" w:type="dxa"/>
            <w:vAlign w:val="center"/>
          </w:tcPr>
          <w:p>
            <w:pPr>
              <w:pStyle w:val="15"/>
            </w:pPr>
            <w:r>
              <w:t>1131.53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1131.53</w:t>
            </w:r>
          </w:p>
        </w:tc>
        <w:tc>
          <w:tcPr>
            <w:tcW w:w="1095" w:type="dxa"/>
            <w:vAlign w:val="center"/>
          </w:tcPr>
          <w:p>
            <w:pPr>
              <w:pStyle w:val="15"/>
            </w:pPr>
            <w:r>
              <w:t>886.32</w:t>
            </w:r>
          </w:p>
        </w:tc>
        <w:tc>
          <w:tcPr>
            <w:tcW w:w="1095" w:type="dxa"/>
            <w:vAlign w:val="center"/>
          </w:tcPr>
          <w:p>
            <w:pPr>
              <w:pStyle w:val="15"/>
            </w:pPr>
            <w:r>
              <w:t>245.21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123.23</w:t>
            </w:r>
          </w:p>
        </w:tc>
        <w:tc>
          <w:tcPr>
            <w:tcW w:w="1095" w:type="dxa"/>
            <w:vAlign w:val="center"/>
          </w:tcPr>
          <w:p>
            <w:pPr>
              <w:pStyle w:val="11"/>
            </w:pPr>
            <w:r>
              <w:t>123.23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54.48</w:t>
            </w:r>
          </w:p>
        </w:tc>
        <w:tc>
          <w:tcPr>
            <w:tcW w:w="1095" w:type="dxa"/>
            <w:vAlign w:val="center"/>
          </w:tcPr>
          <w:p>
            <w:pPr>
              <w:pStyle w:val="11"/>
            </w:pPr>
            <w:r>
              <w:t>54.48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27.24</w:t>
            </w:r>
          </w:p>
        </w:tc>
        <w:tc>
          <w:tcPr>
            <w:tcW w:w="1095" w:type="dxa"/>
            <w:vAlign w:val="center"/>
          </w:tcPr>
          <w:p>
            <w:pPr>
              <w:pStyle w:val="11"/>
            </w:pPr>
            <w:r>
              <w:t>27.24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1131.53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204.94</w:t>
            </w:r>
          </w:p>
        </w:tc>
        <w:tc>
          <w:tcPr>
            <w:tcW w:w="1232" w:type="dxa"/>
            <w:vAlign w:val="center"/>
          </w:tcPr>
          <w:p>
            <w:pPr>
              <w:pStyle w:val="11"/>
            </w:pPr>
            <w:r>
              <w:t>204.94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40.41</w:t>
            </w:r>
          </w:p>
        </w:tc>
        <w:tc>
          <w:tcPr>
            <w:tcW w:w="1232" w:type="dxa"/>
            <w:vAlign w:val="center"/>
          </w:tcPr>
          <w:p>
            <w:pPr>
              <w:pStyle w:val="11"/>
            </w:pPr>
            <w:r>
              <w:t>40.41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836.05</w:t>
            </w:r>
          </w:p>
        </w:tc>
        <w:tc>
          <w:tcPr>
            <w:tcW w:w="1232" w:type="dxa"/>
            <w:vAlign w:val="center"/>
          </w:tcPr>
          <w:p>
            <w:pPr>
              <w:pStyle w:val="11"/>
            </w:pPr>
            <w:r>
              <w:t>836.05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50.13</w:t>
            </w:r>
          </w:p>
        </w:tc>
        <w:tc>
          <w:tcPr>
            <w:tcW w:w="1232" w:type="dxa"/>
            <w:vAlign w:val="center"/>
          </w:tcPr>
          <w:p>
            <w:pPr>
              <w:pStyle w:val="11"/>
            </w:pPr>
            <w:r>
              <w:t>50.13</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1131.53</w:t>
            </w:r>
          </w:p>
        </w:tc>
        <w:tc>
          <w:tcPr>
            <w:tcW w:w="1232" w:type="dxa"/>
            <w:vAlign w:val="center"/>
          </w:tcPr>
          <w:p>
            <w:pPr>
              <w:pStyle w:val="14"/>
            </w:pPr>
            <w:r>
              <w:t>本年支出合计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1131.53</w:t>
            </w:r>
          </w:p>
        </w:tc>
        <w:tc>
          <w:tcPr>
            <w:tcW w:w="1232" w:type="dxa"/>
            <w:vAlign w:val="center"/>
          </w:tcPr>
          <w:p>
            <w:pPr>
              <w:pStyle w:val="14"/>
            </w:pPr>
            <w:r>
              <w:t>支出总计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1131.53</w:t>
            </w:r>
          </w:p>
        </w:tc>
        <w:tc>
          <w:tcPr>
            <w:tcW w:w="1643" w:type="dxa"/>
            <w:vAlign w:val="center"/>
          </w:tcPr>
          <w:p>
            <w:pPr>
              <w:pStyle w:val="15"/>
            </w:pPr>
            <w:r>
              <w:t>886.32</w:t>
            </w:r>
          </w:p>
        </w:tc>
        <w:tc>
          <w:tcPr>
            <w:tcW w:w="1643" w:type="dxa"/>
            <w:vAlign w:val="center"/>
          </w:tcPr>
          <w:p>
            <w:pPr>
              <w:pStyle w:val="15"/>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123.23</w:t>
            </w:r>
          </w:p>
        </w:tc>
        <w:tc>
          <w:tcPr>
            <w:tcW w:w="1643" w:type="dxa"/>
            <w:vAlign w:val="center"/>
          </w:tcPr>
          <w:p>
            <w:pPr>
              <w:pStyle w:val="11"/>
            </w:pPr>
            <w:r>
              <w:t>123.23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886.32</w:t>
            </w:r>
          </w:p>
        </w:tc>
        <w:tc>
          <w:tcPr>
            <w:tcW w:w="1643" w:type="dxa"/>
            <w:vAlign w:val="center"/>
          </w:tcPr>
          <w:p>
            <w:pPr>
              <w:pStyle w:val="15"/>
            </w:pPr>
            <w:r>
              <w:t>727.78</w:t>
            </w:r>
          </w:p>
        </w:tc>
        <w:tc>
          <w:tcPr>
            <w:tcW w:w="1643" w:type="dxa"/>
            <w:vAlign w:val="center"/>
          </w:tcPr>
          <w:p>
            <w:pPr>
              <w:pStyle w:val="15"/>
            </w:pPr>
            <w:r>
              <w:t>158.54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605.39</w:t>
            </w:r>
          </w:p>
        </w:tc>
        <w:tc>
          <w:tcPr>
            <w:tcW w:w="1643" w:type="dxa"/>
            <w:vAlign w:val="center"/>
          </w:tcPr>
          <w:p>
            <w:pPr>
              <w:pStyle w:val="11"/>
            </w:pPr>
            <w:r>
              <w:t>605.39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149.95</w:t>
            </w:r>
          </w:p>
        </w:tc>
        <w:tc>
          <w:tcPr>
            <w:tcW w:w="1643" w:type="dxa"/>
            <w:vAlign w:val="center"/>
          </w:tcPr>
          <w:p>
            <w:pPr>
              <w:pStyle w:val="11"/>
            </w:pPr>
            <w:r>
              <w:t>149.95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29.22</w:t>
            </w:r>
          </w:p>
        </w:tc>
        <w:tc>
          <w:tcPr>
            <w:tcW w:w="1643" w:type="dxa"/>
            <w:vAlign w:val="center"/>
          </w:tcPr>
          <w:p>
            <w:pPr>
              <w:pStyle w:val="11"/>
            </w:pPr>
            <w:r>
              <w:t>29.22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239.03</w:t>
            </w:r>
          </w:p>
        </w:tc>
        <w:tc>
          <w:tcPr>
            <w:tcW w:w="1643" w:type="dxa"/>
            <w:vAlign w:val="center"/>
          </w:tcPr>
          <w:p>
            <w:pPr>
              <w:pStyle w:val="11"/>
            </w:pPr>
            <w:r>
              <w:t>239.03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23.46</w:t>
            </w:r>
          </w:p>
        </w:tc>
        <w:tc>
          <w:tcPr>
            <w:tcW w:w="1643" w:type="dxa"/>
            <w:vAlign w:val="center"/>
          </w:tcPr>
          <w:p>
            <w:pPr>
              <w:pStyle w:val="11"/>
            </w:pPr>
            <w:r>
              <w:t>23.46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16.94</w:t>
            </w:r>
          </w:p>
        </w:tc>
        <w:tc>
          <w:tcPr>
            <w:tcW w:w="1643" w:type="dxa"/>
            <w:vAlign w:val="center"/>
          </w:tcPr>
          <w:p>
            <w:pPr>
              <w:pStyle w:val="11"/>
            </w:pPr>
            <w:r>
              <w:t>16.94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14.93</w:t>
            </w:r>
          </w:p>
        </w:tc>
        <w:tc>
          <w:tcPr>
            <w:tcW w:w="1643" w:type="dxa"/>
            <w:vAlign w:val="center"/>
          </w:tcPr>
          <w:p>
            <w:pPr>
              <w:pStyle w:val="11"/>
            </w:pPr>
            <w:r>
              <w:t>14.93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158.54</w:t>
            </w:r>
          </w:p>
        </w:tc>
        <w:tc>
          <w:tcPr>
            <w:tcW w:w="1643" w:type="dxa"/>
            <w:vAlign w:val="center"/>
          </w:tcPr>
          <w:p>
            <w:pPr>
              <w:pStyle w:val="11"/>
            </w:pPr>
          </w:p>
        </w:tc>
        <w:tc>
          <w:tcPr>
            <w:tcW w:w="1643" w:type="dxa"/>
            <w:vAlign w:val="center"/>
          </w:tcPr>
          <w:p>
            <w:pPr>
              <w:pStyle w:val="11"/>
            </w:pPr>
            <w:r>
              <w:t>158.54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149.49</w:t>
            </w:r>
          </w:p>
        </w:tc>
        <w:tc>
          <w:tcPr>
            <w:tcW w:w="1643" w:type="dxa"/>
            <w:vAlign w:val="center"/>
          </w:tcPr>
          <w:p>
            <w:pPr>
              <w:pStyle w:val="11"/>
            </w:pPr>
          </w:p>
        </w:tc>
        <w:tc>
          <w:tcPr>
            <w:tcW w:w="1643" w:type="dxa"/>
            <w:vAlign w:val="center"/>
          </w:tcPr>
          <w:p>
            <w:pPr>
              <w:pStyle w:val="11"/>
            </w:pPr>
            <w:r>
              <w:t>149.49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3.75</w:t>
            </w:r>
          </w:p>
        </w:tc>
        <w:tc>
          <w:tcPr>
            <w:tcW w:w="1643" w:type="dxa"/>
            <w:vAlign w:val="center"/>
          </w:tcPr>
          <w:p>
            <w:pPr>
              <w:pStyle w:val="11"/>
            </w:pPr>
          </w:p>
        </w:tc>
        <w:tc>
          <w:tcPr>
            <w:tcW w:w="1643"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2.24</w:t>
            </w:r>
          </w:p>
        </w:tc>
        <w:tc>
          <w:tcPr>
            <w:tcW w:w="1643" w:type="dxa"/>
            <w:vAlign w:val="center"/>
          </w:tcPr>
          <w:p>
            <w:pPr>
              <w:pStyle w:val="11"/>
            </w:pPr>
          </w:p>
        </w:tc>
        <w:tc>
          <w:tcPr>
            <w:tcW w:w="1643"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122.39</w:t>
            </w:r>
          </w:p>
        </w:tc>
        <w:tc>
          <w:tcPr>
            <w:tcW w:w="1643" w:type="dxa"/>
            <w:vAlign w:val="center"/>
          </w:tcPr>
          <w:p>
            <w:pPr>
              <w:pStyle w:val="11"/>
            </w:pPr>
            <w:r>
              <w:t>122.39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121.34</w:t>
            </w:r>
          </w:p>
        </w:tc>
        <w:tc>
          <w:tcPr>
            <w:tcW w:w="1643" w:type="dxa"/>
            <w:vAlign w:val="center"/>
          </w:tcPr>
          <w:p>
            <w:pPr>
              <w:pStyle w:val="11"/>
            </w:pPr>
            <w:r>
              <w:t>121.34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0.97</w:t>
            </w:r>
          </w:p>
        </w:tc>
        <w:tc>
          <w:tcPr>
            <w:tcW w:w="1643" w:type="dxa"/>
            <w:vAlign w:val="center"/>
          </w:tcPr>
          <w:p>
            <w:pPr>
              <w:pStyle w:val="11"/>
            </w:pPr>
            <w:r>
              <w:t>0.97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0.08</w:t>
            </w:r>
          </w:p>
        </w:tc>
        <w:tc>
          <w:tcPr>
            <w:tcW w:w="1643" w:type="dxa"/>
            <w:vAlign w:val="center"/>
          </w:tcPr>
          <w:p>
            <w:pPr>
              <w:pStyle w:val="11"/>
            </w:pPr>
            <w:r>
              <w:t>0.08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石家庄市鹿泉区建筑业服务中心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1131.53万元，其中：一般公共预算收入1131.53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2024年支出预算1131.53万元，其中基本支出886.32万元，包括人员经费727.78万元和日常公用经费158.54万元；项目支出245.21万元，主要为涉军公益岗位工资、西美金山湖设计和鉴定费等</w:t>
      </w:r>
    </w:p>
    <w:p>
      <w:pPr>
        <w:pStyle w:val="18"/>
      </w:pPr>
      <w:r>
        <w:t>3、比上年增减情况</w:t>
      </w:r>
    </w:p>
    <w:p>
      <w:pPr>
        <w:pStyle w:val="18"/>
      </w:pPr>
      <w:r>
        <w:t>2024年预算收支安排1131.53万元，较2023年预算增加7.32万元，其中：基本支出增加15.90万元，主要为工资及社保增加项目支出减少8.58万元，主要为西美金山湖设计和鉴定费 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2024年，我单位机关运行经费共计安排158.54万元，主要用于日常维修、办公用房水电费、办公用房取暖费、办公用房物业管理费等日常运行支出。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 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1、建设工程实体及原材料质量抽测及安全监督专项费绩效目标表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13011024P000001101126</w:t>
            </w:r>
          </w:p>
        </w:tc>
        <w:tc>
          <w:tcPr>
            <w:tcW w:w="2114" w:type="dxa"/>
            <w:vAlign w:val="center"/>
          </w:tcPr>
          <w:p>
            <w:pPr>
              <w:pStyle w:val="10"/>
            </w:pPr>
            <w:r>
              <w:t>项目名称</w:t>
            </w:r>
          </w:p>
        </w:tc>
        <w:tc>
          <w:tcPr>
            <w:tcW w:w="6342" w:type="dxa"/>
            <w:gridSpan w:val="3"/>
            <w:vAlign w:val="center"/>
          </w:tcPr>
          <w:p>
            <w:pPr>
              <w:pStyle w:val="12"/>
            </w:pPr>
            <w:r>
              <w:t>建设工程实体及原材料质量抽测及安全监督专项费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对全区工程原材、实体不定期抽测，严格控制不合格材料进入施工现场，对全区项目进行监管，覆盖面到达百分百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w:t>
            </w:r>
          </w:p>
        </w:tc>
        <w:tc>
          <w:tcPr>
            <w:tcW w:w="2114" w:type="dxa"/>
            <w:vAlign w:val="center"/>
          </w:tcPr>
          <w:p>
            <w:pPr>
              <w:pStyle w:val="13"/>
            </w:pPr>
            <w: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1.对全区工程原材、实体不定期抽测，严格控制不合格材料进入施工现场，对全区项目进行监管，覆盖面到达百分百</w:t>
            </w:r>
          </w:p>
          <w:p>
            <w:pPr>
              <w:pStyle w:val="12"/>
            </w:pPr>
            <w:r>
              <w:t>2.减少工程安全隐患的发生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工程原材料抽检数量</w:t>
            </w:r>
          </w:p>
        </w:tc>
        <w:tc>
          <w:tcPr>
            <w:tcW w:w="4228" w:type="dxa"/>
            <w:vAlign w:val="center"/>
          </w:tcPr>
          <w:p>
            <w:pPr>
              <w:pStyle w:val="12"/>
            </w:pPr>
            <w:r>
              <w:t>对全区工程原材料抽检</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工程质量覆盖率</w:t>
            </w:r>
          </w:p>
        </w:tc>
        <w:tc>
          <w:tcPr>
            <w:tcW w:w="4228" w:type="dxa"/>
            <w:vAlign w:val="center"/>
          </w:tcPr>
          <w:p>
            <w:pPr>
              <w:pStyle w:val="12"/>
            </w:pPr>
            <w:r>
              <w:t>对工程质量实体、行为进行监督</w:t>
            </w:r>
          </w:p>
        </w:tc>
        <w:tc>
          <w:tcPr>
            <w:tcW w:w="2114" w:type="dxa"/>
            <w:vAlign w:val="center"/>
          </w:tcPr>
          <w:p>
            <w:pPr>
              <w:pStyle w:val="12"/>
            </w:pPr>
            <w:r>
              <w:t>100%</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专家排查隐患项目率</w:t>
            </w:r>
          </w:p>
        </w:tc>
        <w:tc>
          <w:tcPr>
            <w:tcW w:w="4228" w:type="dxa"/>
            <w:vAlign w:val="center"/>
          </w:tcPr>
          <w:p>
            <w:pPr>
              <w:pStyle w:val="12"/>
            </w:pPr>
            <w:r>
              <w:t>专家排查施工现场安全隐患数量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委托第三方对原材、实体检测发生的成本</w:t>
            </w:r>
          </w:p>
        </w:tc>
        <w:tc>
          <w:tcPr>
            <w:tcW w:w="2114" w:type="dxa"/>
            <w:vAlign w:val="center"/>
          </w:tcPr>
          <w:p>
            <w:pPr>
              <w:pStyle w:val="12"/>
            </w:pPr>
            <w:r>
              <w:t>197.5万/年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w:t>
            </w:r>
          </w:p>
        </w:tc>
        <w:tc>
          <w:tcPr>
            <w:tcW w:w="4228" w:type="dxa"/>
            <w:vAlign w:val="center"/>
          </w:tcPr>
          <w:p>
            <w:pPr>
              <w:pStyle w:val="12"/>
            </w:pPr>
            <w:r>
              <w:t>排查治理施工现场质量和安全生产隐患，监督各方责任主体履行施工质量和安全生产职责，控制隐患数量</w:t>
            </w:r>
          </w:p>
        </w:tc>
        <w:tc>
          <w:tcPr>
            <w:tcW w:w="2114" w:type="dxa"/>
            <w:vAlign w:val="center"/>
          </w:tcPr>
          <w:p>
            <w:pPr>
              <w:pStyle w:val="12"/>
            </w:pPr>
            <w:r>
              <w:t>1个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2、聘请消防专家费用绩效目标表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13011024P00000110375T</w:t>
            </w:r>
          </w:p>
        </w:tc>
        <w:tc>
          <w:tcPr>
            <w:tcW w:w="2114" w:type="dxa"/>
            <w:vAlign w:val="center"/>
          </w:tcPr>
          <w:p>
            <w:pPr>
              <w:pStyle w:val="10"/>
            </w:pPr>
            <w:r>
              <w:t>项目名称</w:t>
            </w:r>
          </w:p>
        </w:tc>
        <w:tc>
          <w:tcPr>
            <w:tcW w:w="6342" w:type="dxa"/>
            <w:gridSpan w:val="3"/>
            <w:vAlign w:val="center"/>
          </w:tcPr>
          <w:p>
            <w:pPr>
              <w:pStyle w:val="12"/>
            </w:pPr>
            <w:r>
              <w:t>聘请消防专家费用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38.60</w:t>
            </w:r>
          </w:p>
        </w:tc>
        <w:tc>
          <w:tcPr>
            <w:tcW w:w="2114" w:type="dxa"/>
            <w:vAlign w:val="center"/>
          </w:tcPr>
          <w:p>
            <w:pPr>
              <w:pStyle w:val="10"/>
            </w:pPr>
            <w:r>
              <w:t>其中：财政    资金</w:t>
            </w:r>
          </w:p>
        </w:tc>
        <w:tc>
          <w:tcPr>
            <w:tcW w:w="2114" w:type="dxa"/>
            <w:vAlign w:val="center"/>
          </w:tcPr>
          <w:p>
            <w:pPr>
              <w:pStyle w:val="12"/>
            </w:pPr>
            <w:r>
              <w:t>38.60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 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第三方服务机构服务项数</w:t>
            </w:r>
          </w:p>
        </w:tc>
        <w:tc>
          <w:tcPr>
            <w:tcW w:w="4228" w:type="dxa"/>
            <w:vAlign w:val="center"/>
          </w:tcPr>
          <w:p>
            <w:pPr>
              <w:pStyle w:val="12"/>
            </w:pPr>
            <w:r>
              <w:t>计划聘请第三方服务机构对全区竣工建设工程项目消防验收</w:t>
            </w:r>
          </w:p>
        </w:tc>
        <w:tc>
          <w:tcPr>
            <w:tcW w:w="2114" w:type="dxa"/>
            <w:vAlign w:val="center"/>
          </w:tcPr>
          <w:p>
            <w:pPr>
              <w:pStyle w:val="12"/>
            </w:pPr>
            <w:r>
              <w:t>1项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第三方服务机构消防验收工作保障率</w:t>
            </w:r>
          </w:p>
        </w:tc>
        <w:tc>
          <w:tcPr>
            <w:tcW w:w="4228" w:type="dxa"/>
            <w:vAlign w:val="center"/>
          </w:tcPr>
          <w:p>
            <w:pPr>
              <w:pStyle w:val="12"/>
            </w:pPr>
            <w:r>
              <w:t>对全区竣工建设工程项目消防验收工作保障率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消防验收时限</w:t>
            </w:r>
          </w:p>
        </w:tc>
        <w:tc>
          <w:tcPr>
            <w:tcW w:w="4228" w:type="dxa"/>
            <w:vAlign w:val="center"/>
          </w:tcPr>
          <w:p>
            <w:pPr>
              <w:pStyle w:val="12"/>
            </w:pPr>
            <w:r>
              <w:t>建设单位提交消防验收申请之日起到消防验收完毕的时间</w:t>
            </w:r>
          </w:p>
        </w:tc>
        <w:tc>
          <w:tcPr>
            <w:tcW w:w="2114" w:type="dxa"/>
            <w:vAlign w:val="center"/>
          </w:tcPr>
          <w:p>
            <w:pPr>
              <w:pStyle w:val="12"/>
            </w:pPr>
            <w:r>
              <w:t>≤10天</w:t>
            </w:r>
          </w:p>
        </w:tc>
        <w:tc>
          <w:tcPr>
            <w:tcW w:w="2114" w:type="dxa"/>
            <w:vAlign w:val="center"/>
          </w:tcPr>
          <w:p>
            <w:pPr>
              <w:pStyle w:val="12"/>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消防验收所需要资金</w:t>
            </w:r>
          </w:p>
          <w:p>
            <w:pPr>
              <w:pStyle w:val="12"/>
            </w:pPr>
          </w:p>
        </w:tc>
        <w:tc>
          <w:tcPr>
            <w:tcW w:w="4228" w:type="dxa"/>
            <w:vAlign w:val="center"/>
          </w:tcPr>
          <w:p>
            <w:pPr>
              <w:pStyle w:val="12"/>
            </w:pPr>
            <w:r>
              <w:t>完成消防验收所需要资金</w:t>
            </w:r>
          </w:p>
          <w:p>
            <w:pPr>
              <w:pStyle w:val="12"/>
            </w:pPr>
            <w:r>
              <w:t>(含2022年就欠和2023年资金）</w:t>
            </w:r>
          </w:p>
        </w:tc>
        <w:tc>
          <w:tcPr>
            <w:tcW w:w="2114" w:type="dxa"/>
            <w:vAlign w:val="center"/>
          </w:tcPr>
          <w:p>
            <w:pPr>
              <w:pStyle w:val="12"/>
            </w:pPr>
            <w:r>
              <w:t>99万元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消防验收隐患整改率</w:t>
            </w:r>
          </w:p>
        </w:tc>
        <w:tc>
          <w:tcPr>
            <w:tcW w:w="4228" w:type="dxa"/>
            <w:vAlign w:val="center"/>
          </w:tcPr>
          <w:p>
            <w:pPr>
              <w:pStyle w:val="12"/>
            </w:pPr>
            <w:r>
              <w:t>对全区竣工建设工程项目消防验收存在问题隐患整改率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消防验收技术服务满意率</w:t>
            </w:r>
          </w:p>
        </w:tc>
        <w:tc>
          <w:tcPr>
            <w:tcW w:w="4228" w:type="dxa"/>
            <w:vAlign w:val="center"/>
          </w:tcPr>
          <w:p>
            <w:pPr>
              <w:pStyle w:val="12"/>
            </w:pPr>
            <w:r>
              <w:t>对全区竣工建设工程项目消防验收服务对象满意率</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3、涉军公益岗位工资绩效目标表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13011024P00000110118U</w:t>
            </w:r>
          </w:p>
        </w:tc>
        <w:tc>
          <w:tcPr>
            <w:tcW w:w="2114" w:type="dxa"/>
            <w:vAlign w:val="center"/>
          </w:tcPr>
          <w:p>
            <w:pPr>
              <w:pStyle w:val="10"/>
            </w:pPr>
            <w:r>
              <w:t>项目名称</w:t>
            </w:r>
          </w:p>
        </w:tc>
        <w:tc>
          <w:tcPr>
            <w:tcW w:w="6342" w:type="dxa"/>
            <w:gridSpan w:val="3"/>
            <w:vAlign w:val="center"/>
          </w:tcPr>
          <w:p>
            <w:pPr>
              <w:pStyle w:val="12"/>
            </w:pPr>
            <w:r>
              <w:t>涉军公益岗位工资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108.61</w:t>
            </w:r>
          </w:p>
        </w:tc>
        <w:tc>
          <w:tcPr>
            <w:tcW w:w="2114" w:type="dxa"/>
            <w:vAlign w:val="center"/>
          </w:tcPr>
          <w:p>
            <w:pPr>
              <w:pStyle w:val="10"/>
            </w:pPr>
            <w:r>
              <w:t>其中：财政    资金</w:t>
            </w:r>
          </w:p>
        </w:tc>
        <w:tc>
          <w:tcPr>
            <w:tcW w:w="2114" w:type="dxa"/>
            <w:vAlign w:val="center"/>
          </w:tcPr>
          <w:p>
            <w:pPr>
              <w:pStyle w:val="12"/>
            </w:pPr>
            <w:r>
              <w:t>108.61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1.对符合条件的退役军人18人，实行公益岗位托管安置，帮扶到位，加大就业援助力度。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退役人员资金发放标准</w:t>
            </w:r>
          </w:p>
        </w:tc>
        <w:tc>
          <w:tcPr>
            <w:tcW w:w="4228" w:type="dxa"/>
            <w:vAlign w:val="center"/>
          </w:tcPr>
          <w:p>
            <w:pPr>
              <w:pStyle w:val="12"/>
            </w:pPr>
            <w:r>
              <w:t>对符合条件的退役军人发放特金额</w:t>
            </w:r>
          </w:p>
        </w:tc>
        <w:tc>
          <w:tcPr>
            <w:tcW w:w="2114" w:type="dxa"/>
            <w:vAlign w:val="center"/>
          </w:tcPr>
          <w:p>
            <w:pPr>
              <w:pStyle w:val="12"/>
            </w:pPr>
            <w:r>
              <w:t>108.61万元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对退役安置满意程度</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4、西美金山湖设计费和房屋质量检测鉴定费用绩效目标表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13011024P00000110114D</w:t>
            </w:r>
          </w:p>
        </w:tc>
        <w:tc>
          <w:tcPr>
            <w:tcW w:w="2114" w:type="dxa"/>
            <w:vAlign w:val="center"/>
          </w:tcPr>
          <w:p>
            <w:pPr>
              <w:pStyle w:val="10"/>
            </w:pPr>
            <w:r>
              <w:t>项目名称</w:t>
            </w:r>
          </w:p>
        </w:tc>
        <w:tc>
          <w:tcPr>
            <w:tcW w:w="6342" w:type="dxa"/>
            <w:gridSpan w:val="3"/>
            <w:vAlign w:val="center"/>
          </w:tcPr>
          <w:p>
            <w:pPr>
              <w:pStyle w:val="12"/>
            </w:pPr>
            <w:r>
              <w:t>西美金山湖设计费和房屋质量检测鉴定费用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对西美金山湖项目134栋建筑物进行图纸复原设计和质量检测鉴定，掌握西美金山湖建筑物质量情况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1.对西美金山湖项目134栋建筑物进行图纸复原设计和质量检测鉴定，掌握西美金山湖建筑物质量情况。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图纸复原量</w:t>
            </w:r>
          </w:p>
        </w:tc>
        <w:tc>
          <w:tcPr>
            <w:tcW w:w="4228" w:type="dxa"/>
            <w:vAlign w:val="center"/>
          </w:tcPr>
          <w:p>
            <w:pPr>
              <w:pStyle w:val="12"/>
            </w:pPr>
            <w:r>
              <w:t>建筑物图纸复原数量</w:t>
            </w:r>
          </w:p>
        </w:tc>
        <w:tc>
          <w:tcPr>
            <w:tcW w:w="2114" w:type="dxa"/>
            <w:vAlign w:val="center"/>
          </w:tcPr>
          <w:p>
            <w:pPr>
              <w:pStyle w:val="12"/>
            </w:pPr>
            <w:r>
              <w:t>124栋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图纸复原户型量</w:t>
            </w:r>
          </w:p>
        </w:tc>
        <w:tc>
          <w:tcPr>
            <w:tcW w:w="4228" w:type="dxa"/>
            <w:vAlign w:val="center"/>
          </w:tcPr>
          <w:p>
            <w:pPr>
              <w:pStyle w:val="12"/>
            </w:pPr>
            <w:r>
              <w:t>图纸复原户型数量</w:t>
            </w:r>
          </w:p>
        </w:tc>
        <w:tc>
          <w:tcPr>
            <w:tcW w:w="2114" w:type="dxa"/>
            <w:vAlign w:val="center"/>
          </w:tcPr>
          <w:p>
            <w:pPr>
              <w:pStyle w:val="12"/>
            </w:pPr>
            <w:r>
              <w:t>10种</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鉴定房屋数量</w:t>
            </w:r>
          </w:p>
        </w:tc>
        <w:tc>
          <w:tcPr>
            <w:tcW w:w="4228" w:type="dxa"/>
            <w:vAlign w:val="center"/>
          </w:tcPr>
          <w:p>
            <w:pPr>
              <w:pStyle w:val="12"/>
            </w:pPr>
            <w:r>
              <w:t>鉴定房屋数量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鉴定房屋面积</w:t>
            </w:r>
          </w:p>
        </w:tc>
        <w:tc>
          <w:tcPr>
            <w:tcW w:w="4228" w:type="dxa"/>
            <w:vAlign w:val="center"/>
          </w:tcPr>
          <w:p>
            <w:pPr>
              <w:pStyle w:val="12"/>
            </w:pPr>
            <w:r>
              <w:t>鉴定房屋面积</w:t>
            </w:r>
          </w:p>
        </w:tc>
        <w:tc>
          <w:tcPr>
            <w:tcW w:w="2114" w:type="dxa"/>
            <w:vAlign w:val="center"/>
          </w:tcPr>
          <w:p>
            <w:pPr>
              <w:pStyle w:val="12"/>
            </w:pPr>
            <w:r>
              <w:t>13.47 万平方米</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质量鉴定完成率</w:t>
            </w:r>
          </w:p>
        </w:tc>
        <w:tc>
          <w:tcPr>
            <w:tcW w:w="4228" w:type="dxa"/>
            <w:vAlign w:val="center"/>
          </w:tcPr>
          <w:p>
            <w:pPr>
              <w:pStyle w:val="12"/>
            </w:pPr>
            <w:r>
              <w:t>出具质量鉴定报告数量占应鉴定房屋数量的比例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鉴定完成时间</w:t>
            </w:r>
          </w:p>
        </w:tc>
        <w:tc>
          <w:tcPr>
            <w:tcW w:w="4228" w:type="dxa"/>
            <w:vAlign w:val="center"/>
          </w:tcPr>
          <w:p>
            <w:pPr>
              <w:pStyle w:val="12"/>
            </w:pPr>
            <w:r>
              <w:t>房屋质量检测鉴定完成时间</w:t>
            </w:r>
          </w:p>
        </w:tc>
        <w:tc>
          <w:tcPr>
            <w:tcW w:w="2114" w:type="dxa"/>
            <w:vAlign w:val="center"/>
          </w:tcPr>
          <w:p>
            <w:pPr>
              <w:pStyle w:val="12"/>
            </w:pPr>
            <w:r>
              <w:t>2020年6月完成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图纸复原设计费</w:t>
            </w:r>
          </w:p>
        </w:tc>
        <w:tc>
          <w:tcPr>
            <w:tcW w:w="4228" w:type="dxa"/>
            <w:vAlign w:val="center"/>
          </w:tcPr>
          <w:p>
            <w:pPr>
              <w:pStyle w:val="12"/>
            </w:pPr>
            <w:r>
              <w:t>图纸复原设计费</w:t>
            </w:r>
          </w:p>
        </w:tc>
        <w:tc>
          <w:tcPr>
            <w:tcW w:w="2114" w:type="dxa"/>
            <w:vAlign w:val="center"/>
          </w:tcPr>
          <w:p>
            <w:pPr>
              <w:pStyle w:val="12"/>
            </w:pPr>
            <w:r>
              <w:t>≤15323元/栋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质量检测鉴定费</w:t>
            </w:r>
          </w:p>
        </w:tc>
        <w:tc>
          <w:tcPr>
            <w:tcW w:w="4228" w:type="dxa"/>
            <w:vAlign w:val="center"/>
          </w:tcPr>
          <w:p>
            <w:pPr>
              <w:pStyle w:val="12"/>
            </w:pPr>
            <w:r>
              <w:t>房屋质量检测鉴定费</w:t>
            </w:r>
          </w:p>
        </w:tc>
        <w:tc>
          <w:tcPr>
            <w:tcW w:w="2114" w:type="dxa"/>
            <w:vAlign w:val="center"/>
          </w:tcPr>
          <w:p>
            <w:pPr>
              <w:pStyle w:val="12"/>
            </w:pPr>
            <w:r>
              <w:t>10元/平方米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掌握西美金山湖项目质量情况数量</w:t>
            </w:r>
          </w:p>
        </w:tc>
        <w:tc>
          <w:tcPr>
            <w:tcW w:w="4228" w:type="dxa"/>
            <w:vAlign w:val="center"/>
          </w:tcPr>
          <w:p>
            <w:pPr>
              <w:pStyle w:val="12"/>
            </w:pPr>
            <w:r>
              <w:t>掌握西美金山湖项目质量情况数量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5、消防业务执法经费绩效目标表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13011024P000001101178</w:t>
            </w:r>
          </w:p>
        </w:tc>
        <w:tc>
          <w:tcPr>
            <w:tcW w:w="2114" w:type="dxa"/>
            <w:vAlign w:val="center"/>
          </w:tcPr>
          <w:p>
            <w:pPr>
              <w:pStyle w:val="10"/>
            </w:pPr>
            <w:r>
              <w:t>项目名称</w:t>
            </w:r>
          </w:p>
        </w:tc>
        <w:tc>
          <w:tcPr>
            <w:tcW w:w="6342" w:type="dxa"/>
            <w:gridSpan w:val="3"/>
            <w:vAlign w:val="center"/>
          </w:tcPr>
          <w:p>
            <w:pPr>
              <w:pStyle w:val="12"/>
            </w:pPr>
            <w:r>
              <w:t>消防业务执法经费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监管消防设计审查、验收建设工程数量</w:t>
            </w:r>
          </w:p>
        </w:tc>
        <w:tc>
          <w:tcPr>
            <w:tcW w:w="4228" w:type="dxa"/>
            <w:vAlign w:val="center"/>
          </w:tcPr>
          <w:p>
            <w:pPr>
              <w:pStyle w:val="12"/>
            </w:pPr>
            <w:r>
              <w:t>全区工程项目数量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消防设计审查计完成率</w:t>
            </w:r>
          </w:p>
        </w:tc>
        <w:tc>
          <w:tcPr>
            <w:tcW w:w="4228" w:type="dxa"/>
            <w:vAlign w:val="center"/>
          </w:tcPr>
          <w:p>
            <w:pPr>
              <w:pStyle w:val="12"/>
            </w:pPr>
            <w:r>
              <w:t>实际建设工程消防设计审查项目占申报消防设计审查项目比率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消防审查验收完成及时率</w:t>
            </w:r>
          </w:p>
        </w:tc>
        <w:tc>
          <w:tcPr>
            <w:tcW w:w="4228" w:type="dxa"/>
            <w:vAlign w:val="center"/>
          </w:tcPr>
          <w:p>
            <w:pPr>
              <w:pStyle w:val="12"/>
            </w:pPr>
            <w:r>
              <w:t>全区建设工程项目各项任务完成及时率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完成工作需要的资金</w:t>
            </w:r>
          </w:p>
        </w:tc>
        <w:tc>
          <w:tcPr>
            <w:tcW w:w="4228" w:type="dxa"/>
            <w:vAlign w:val="center"/>
          </w:tcPr>
          <w:p>
            <w:pPr>
              <w:pStyle w:val="12"/>
            </w:pPr>
            <w:r>
              <w:t>完成工作需要的资金</w:t>
            </w:r>
          </w:p>
        </w:tc>
        <w:tc>
          <w:tcPr>
            <w:tcW w:w="2114" w:type="dxa"/>
            <w:vAlign w:val="center"/>
          </w:tcPr>
          <w:p>
            <w:pPr>
              <w:pStyle w:val="12"/>
            </w:pPr>
            <w:r>
              <w:t>20万元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排查隐患，避免安全事故发生</w:t>
            </w:r>
          </w:p>
        </w:tc>
        <w:tc>
          <w:tcPr>
            <w:tcW w:w="4228" w:type="dxa"/>
            <w:vAlign w:val="center"/>
          </w:tcPr>
          <w:p>
            <w:pPr>
              <w:pStyle w:val="12"/>
            </w:pPr>
            <w:r>
              <w:t>审查验收通过项目发生消防事故数量</w:t>
            </w:r>
          </w:p>
        </w:tc>
        <w:tc>
          <w:tcPr>
            <w:tcW w:w="2114" w:type="dxa"/>
            <w:vAlign w:val="center"/>
          </w:tcPr>
          <w:p>
            <w:pPr>
              <w:pStyle w:val="12"/>
            </w:pPr>
            <w:r>
              <w:t>≤2起</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13011024P00000110262T</w:t>
            </w:r>
          </w:p>
        </w:tc>
        <w:tc>
          <w:tcPr>
            <w:tcW w:w="2114" w:type="dxa"/>
            <w:vAlign w:val="center"/>
          </w:tcPr>
          <w:p>
            <w:pPr>
              <w:pStyle w:val="10"/>
            </w:pPr>
            <w:r>
              <w:t>项目名称</w:t>
            </w:r>
          </w:p>
        </w:tc>
        <w:tc>
          <w:tcPr>
            <w:tcW w:w="6342"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监管全区工地整治</w:t>
            </w:r>
          </w:p>
        </w:tc>
        <w:tc>
          <w:tcPr>
            <w:tcW w:w="4228" w:type="dxa"/>
            <w:vAlign w:val="center"/>
          </w:tcPr>
          <w:p>
            <w:pPr>
              <w:pStyle w:val="12"/>
            </w:pPr>
            <w:r>
              <w:t>监管全区工地数量</w:t>
            </w:r>
          </w:p>
        </w:tc>
        <w:tc>
          <w:tcPr>
            <w:tcW w:w="2114" w:type="dxa"/>
            <w:vAlign w:val="center"/>
          </w:tcPr>
          <w:p>
            <w:pPr>
              <w:pStyle w:val="12"/>
            </w:pPr>
            <w:r>
              <w:t>≥150个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建筑工程质量监管率</w:t>
            </w:r>
          </w:p>
        </w:tc>
        <w:tc>
          <w:tcPr>
            <w:tcW w:w="4228" w:type="dxa"/>
            <w:vAlign w:val="center"/>
          </w:tcPr>
          <w:p>
            <w:pPr>
              <w:pStyle w:val="12"/>
            </w:pPr>
            <w:r>
              <w:t>实际监管工程数量占全部工程数量的比率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业务费使用及时保障</w:t>
            </w:r>
          </w:p>
        </w:tc>
        <w:tc>
          <w:tcPr>
            <w:tcW w:w="4228" w:type="dxa"/>
            <w:vAlign w:val="center"/>
          </w:tcPr>
          <w:p>
            <w:pPr>
              <w:pStyle w:val="12"/>
            </w:pPr>
            <w:r>
              <w:t>业务费使用及时保障</w:t>
            </w:r>
          </w:p>
        </w:tc>
        <w:tc>
          <w:tcPr>
            <w:tcW w:w="2114" w:type="dxa"/>
            <w:vAlign w:val="center"/>
          </w:tcPr>
          <w:p>
            <w:pPr>
              <w:pStyle w:val="12"/>
            </w:pPr>
            <w:r>
              <w:t>及时保障</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完成全区工程建设质量督查工作成本</w:t>
            </w:r>
          </w:p>
        </w:tc>
        <w:tc>
          <w:tcPr>
            <w:tcW w:w="4228" w:type="dxa"/>
            <w:vAlign w:val="center"/>
          </w:tcPr>
          <w:p>
            <w:pPr>
              <w:pStyle w:val="12"/>
            </w:pPr>
            <w:r>
              <w:t>完成全区工程建设质量督管工作成本</w:t>
            </w:r>
          </w:p>
        </w:tc>
        <w:tc>
          <w:tcPr>
            <w:tcW w:w="2114" w:type="dxa"/>
            <w:vAlign w:val="center"/>
          </w:tcPr>
          <w:p>
            <w:pPr>
              <w:pStyle w:val="12"/>
            </w:pPr>
            <w:r>
              <w:t>73万元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工程质量隐患率</w:t>
            </w:r>
          </w:p>
        </w:tc>
        <w:tc>
          <w:tcPr>
            <w:tcW w:w="4228" w:type="dxa"/>
            <w:vAlign w:val="center"/>
          </w:tcPr>
          <w:p>
            <w:pPr>
              <w:pStyle w:val="12"/>
            </w:pPr>
            <w:r>
              <w:t>实际产生的质量隐患数量占全部工程数量的比率</w:t>
            </w:r>
          </w:p>
        </w:tc>
        <w:tc>
          <w:tcPr>
            <w:tcW w:w="2114" w:type="dxa"/>
            <w:vAlign w:val="center"/>
          </w:tcPr>
          <w:p>
            <w:pPr>
              <w:pStyle w:val="12"/>
            </w:pPr>
            <w:r>
              <w:t>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群众对建筑市场的整体满意度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石家庄市鹿泉区建筑业服务中心上年末固定资产金额为265.37万元（详见下表）。本年度拟购置固定资产总额为0.00万元，已按要求列入政府采购预算，详见政府采购预算表。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2656.08</w:t>
            </w:r>
          </w:p>
        </w:tc>
        <w:tc>
          <w:tcPr>
            <w:tcW w:w="4933" w:type="dxa"/>
            <w:vAlign w:val="center"/>
          </w:tcPr>
          <w:p>
            <w:pPr>
              <w:pStyle w:val="11"/>
            </w:pPr>
            <w:r>
              <w:t>250.22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355.62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5000.00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13.42</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5280.03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5355.62</w:t>
            </w:r>
          </w:p>
        </w:tc>
        <w:tc>
          <w:tcPr>
            <w:tcW w:w="2959" w:type="dxa"/>
            <w:vAlign w:val="center"/>
          </w:tcPr>
          <w:p>
            <w:pPr>
              <w:pStyle w:val="14"/>
            </w:pPr>
            <w:r>
              <w:t>本年支出合计</w:t>
            </w:r>
          </w:p>
        </w:tc>
        <w:tc>
          <w:tcPr>
            <w:tcW w:w="2959" w:type="dxa"/>
            <w:vAlign w:val="center"/>
          </w:tcPr>
          <w:p>
            <w:pPr>
              <w:pStyle w:val="15"/>
            </w:pPr>
            <w:r>
              <w:t>5355.62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5355.62</w:t>
            </w:r>
          </w:p>
        </w:tc>
        <w:tc>
          <w:tcPr>
            <w:tcW w:w="2959" w:type="dxa"/>
            <w:vAlign w:val="center"/>
          </w:tcPr>
          <w:p>
            <w:pPr>
              <w:pStyle w:val="14"/>
            </w:pPr>
            <w:r>
              <w:t>支出总计</w:t>
            </w:r>
          </w:p>
        </w:tc>
        <w:tc>
          <w:tcPr>
            <w:tcW w:w="2959" w:type="dxa"/>
            <w:vAlign w:val="center"/>
          </w:tcPr>
          <w:p>
            <w:pPr>
              <w:pStyle w:val="15"/>
            </w:pPr>
            <w:r>
              <w:t>5355.62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2120801</w:t>
            </w:r>
          </w:p>
        </w:tc>
        <w:tc>
          <w:tcPr>
            <w:tcW w:w="758" w:type="dxa"/>
            <w:vAlign w:val="center"/>
          </w:tcPr>
          <w:p>
            <w:pPr>
              <w:pStyle w:val="12"/>
            </w:pPr>
            <w:r>
              <w:t>征地和拆迁补偿支出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5355.62</w:t>
            </w:r>
          </w:p>
        </w:tc>
        <w:tc>
          <w:tcPr>
            <w:tcW w:w="1095" w:type="dxa"/>
            <w:vAlign w:val="center"/>
          </w:tcPr>
          <w:p>
            <w:pPr>
              <w:pStyle w:val="15"/>
            </w:pPr>
            <w:r>
              <w:t>342.35</w:t>
            </w:r>
          </w:p>
        </w:tc>
        <w:tc>
          <w:tcPr>
            <w:tcW w:w="1095" w:type="dxa"/>
            <w:vAlign w:val="center"/>
          </w:tcPr>
          <w:p>
            <w:pPr>
              <w:pStyle w:val="15"/>
            </w:pPr>
            <w:r>
              <w:t>5013.27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26.39</w:t>
            </w:r>
          </w:p>
        </w:tc>
        <w:tc>
          <w:tcPr>
            <w:tcW w:w="1095" w:type="dxa"/>
            <w:vAlign w:val="center"/>
          </w:tcPr>
          <w:p>
            <w:pPr>
              <w:pStyle w:val="11"/>
            </w:pPr>
            <w:r>
              <w:t>26.39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18.58</w:t>
            </w:r>
          </w:p>
        </w:tc>
        <w:tc>
          <w:tcPr>
            <w:tcW w:w="1095" w:type="dxa"/>
            <w:vAlign w:val="center"/>
          </w:tcPr>
          <w:p>
            <w:pPr>
              <w:pStyle w:val="11"/>
            </w:pPr>
            <w:r>
              <w:t>18.58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5280.03</w:t>
            </w:r>
          </w:p>
        </w:tc>
        <w:tc>
          <w:tcPr>
            <w:tcW w:w="1095" w:type="dxa"/>
            <w:vAlign w:val="center"/>
          </w:tcPr>
          <w:p>
            <w:pPr>
              <w:pStyle w:val="11"/>
            </w:pPr>
            <w:r>
              <w:t>266.76</w:t>
            </w:r>
          </w:p>
        </w:tc>
        <w:tc>
          <w:tcPr>
            <w:tcW w:w="1095" w:type="dxa"/>
            <w:vAlign w:val="center"/>
          </w:tcPr>
          <w:p>
            <w:pPr>
              <w:pStyle w:val="11"/>
            </w:pPr>
            <w:r>
              <w:t>5013.27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280.03</w:t>
            </w:r>
          </w:p>
        </w:tc>
        <w:tc>
          <w:tcPr>
            <w:tcW w:w="1095" w:type="dxa"/>
            <w:vAlign w:val="center"/>
          </w:tcPr>
          <w:p>
            <w:pPr>
              <w:pStyle w:val="11"/>
            </w:pPr>
            <w:r>
              <w:t>266.76</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266.76</w:t>
            </w:r>
          </w:p>
        </w:tc>
        <w:tc>
          <w:tcPr>
            <w:tcW w:w="1095" w:type="dxa"/>
            <w:vAlign w:val="center"/>
          </w:tcPr>
          <w:p>
            <w:pPr>
              <w:pStyle w:val="11"/>
            </w:pPr>
            <w:r>
              <w:t>266.76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2120801</w:t>
            </w:r>
          </w:p>
        </w:tc>
        <w:tc>
          <w:tcPr>
            <w:tcW w:w="1095" w:type="dxa"/>
            <w:vAlign w:val="center"/>
          </w:tcPr>
          <w:p>
            <w:pPr>
              <w:pStyle w:val="12"/>
            </w:pPr>
            <w:r>
              <w:t>征地和拆迁补偿支出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355.62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5000.00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44.98</w:t>
            </w:r>
          </w:p>
        </w:tc>
        <w:tc>
          <w:tcPr>
            <w:tcW w:w="1232" w:type="dxa"/>
            <w:vAlign w:val="center"/>
          </w:tcPr>
          <w:p>
            <w:pPr>
              <w:pStyle w:val="11"/>
            </w:pPr>
            <w:r>
              <w:t>44.98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13.42</w:t>
            </w:r>
          </w:p>
        </w:tc>
        <w:tc>
          <w:tcPr>
            <w:tcW w:w="1232" w:type="dxa"/>
            <w:vAlign w:val="center"/>
          </w:tcPr>
          <w:p>
            <w:pPr>
              <w:pStyle w:val="11"/>
            </w:pPr>
            <w:r>
              <w:t>13.42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5280.03</w:t>
            </w:r>
          </w:p>
        </w:tc>
        <w:tc>
          <w:tcPr>
            <w:tcW w:w="1232" w:type="dxa"/>
            <w:vAlign w:val="center"/>
          </w:tcPr>
          <w:p>
            <w:pPr>
              <w:pStyle w:val="11"/>
            </w:pPr>
            <w:r>
              <w:t>280.03</w:t>
            </w:r>
          </w:p>
        </w:tc>
        <w:tc>
          <w:tcPr>
            <w:tcW w:w="1232" w:type="dxa"/>
            <w:vAlign w:val="center"/>
          </w:tcPr>
          <w:p>
            <w:pPr>
              <w:pStyle w:val="11"/>
            </w:pPr>
            <w:r>
              <w:t>5000.00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17.20</w:t>
            </w:r>
          </w:p>
        </w:tc>
        <w:tc>
          <w:tcPr>
            <w:tcW w:w="1232" w:type="dxa"/>
            <w:vAlign w:val="center"/>
          </w:tcPr>
          <w:p>
            <w:pPr>
              <w:pStyle w:val="11"/>
            </w:pPr>
            <w:r>
              <w:t>17.20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5355.62</w:t>
            </w:r>
          </w:p>
        </w:tc>
        <w:tc>
          <w:tcPr>
            <w:tcW w:w="1232" w:type="dxa"/>
            <w:vAlign w:val="center"/>
          </w:tcPr>
          <w:p>
            <w:pPr>
              <w:pStyle w:val="14"/>
            </w:pPr>
            <w:r>
              <w:t>本年支出合计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5355.62</w:t>
            </w:r>
          </w:p>
        </w:tc>
        <w:tc>
          <w:tcPr>
            <w:tcW w:w="1232" w:type="dxa"/>
            <w:vAlign w:val="center"/>
          </w:tcPr>
          <w:p>
            <w:pPr>
              <w:pStyle w:val="14"/>
            </w:pPr>
            <w:r>
              <w:t>支出总计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355.62</w:t>
            </w:r>
          </w:p>
        </w:tc>
        <w:tc>
          <w:tcPr>
            <w:tcW w:w="1643" w:type="dxa"/>
            <w:vAlign w:val="center"/>
          </w:tcPr>
          <w:p>
            <w:pPr>
              <w:pStyle w:val="15"/>
            </w:pPr>
            <w:r>
              <w:t>342.35</w:t>
            </w:r>
          </w:p>
        </w:tc>
        <w:tc>
          <w:tcPr>
            <w:tcW w:w="1643" w:type="dxa"/>
            <w:vAlign w:val="center"/>
          </w:tcPr>
          <w:p>
            <w:pPr>
              <w:pStyle w:val="15"/>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26.39</w:t>
            </w:r>
          </w:p>
        </w:tc>
        <w:tc>
          <w:tcPr>
            <w:tcW w:w="1643" w:type="dxa"/>
            <w:vAlign w:val="center"/>
          </w:tcPr>
          <w:p>
            <w:pPr>
              <w:pStyle w:val="11"/>
            </w:pPr>
            <w:r>
              <w:t>26.39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266.76</w:t>
            </w:r>
          </w:p>
        </w:tc>
        <w:tc>
          <w:tcPr>
            <w:tcW w:w="1643" w:type="dxa"/>
            <w:vAlign w:val="center"/>
          </w:tcPr>
          <w:p>
            <w:pPr>
              <w:pStyle w:val="11"/>
            </w:pPr>
            <w:r>
              <w:t>266.76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13.27</w:t>
            </w:r>
          </w:p>
        </w:tc>
        <w:tc>
          <w:tcPr>
            <w:tcW w:w="1643" w:type="dxa"/>
            <w:vAlign w:val="center"/>
          </w:tcPr>
          <w:p>
            <w:pPr>
              <w:pStyle w:val="11"/>
            </w:pP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342.35</w:t>
            </w:r>
          </w:p>
        </w:tc>
        <w:tc>
          <w:tcPr>
            <w:tcW w:w="1643" w:type="dxa"/>
            <w:vAlign w:val="center"/>
          </w:tcPr>
          <w:p>
            <w:pPr>
              <w:pStyle w:val="15"/>
            </w:pPr>
            <w:r>
              <w:t>223.73</w:t>
            </w:r>
          </w:p>
        </w:tc>
        <w:tc>
          <w:tcPr>
            <w:tcW w:w="1643" w:type="dxa"/>
            <w:vAlign w:val="center"/>
          </w:tcPr>
          <w:p>
            <w:pPr>
              <w:pStyle w:val="15"/>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198.33</w:t>
            </w:r>
          </w:p>
        </w:tc>
        <w:tc>
          <w:tcPr>
            <w:tcW w:w="1643" w:type="dxa"/>
            <w:vAlign w:val="center"/>
          </w:tcPr>
          <w:p>
            <w:pPr>
              <w:pStyle w:val="11"/>
            </w:pPr>
            <w:r>
              <w:t>198.33</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49.06</w:t>
            </w:r>
          </w:p>
        </w:tc>
        <w:tc>
          <w:tcPr>
            <w:tcW w:w="1643" w:type="dxa"/>
            <w:vAlign w:val="center"/>
          </w:tcPr>
          <w:p>
            <w:pPr>
              <w:pStyle w:val="11"/>
            </w:pPr>
            <w:r>
              <w:t>49.06</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9.58</w:t>
            </w:r>
          </w:p>
        </w:tc>
        <w:tc>
          <w:tcPr>
            <w:tcW w:w="1643" w:type="dxa"/>
            <w:vAlign w:val="center"/>
          </w:tcPr>
          <w:p>
            <w:pPr>
              <w:pStyle w:val="11"/>
            </w:pPr>
            <w:r>
              <w:t>9.58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84.72</w:t>
            </w:r>
          </w:p>
        </w:tc>
        <w:tc>
          <w:tcPr>
            <w:tcW w:w="1643" w:type="dxa"/>
            <w:vAlign w:val="center"/>
          </w:tcPr>
          <w:p>
            <w:pPr>
              <w:pStyle w:val="11"/>
            </w:pPr>
            <w:r>
              <w:t>84.72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7.56</w:t>
            </w:r>
          </w:p>
        </w:tc>
        <w:tc>
          <w:tcPr>
            <w:tcW w:w="1643" w:type="dxa"/>
            <w:vAlign w:val="center"/>
          </w:tcPr>
          <w:p>
            <w:pPr>
              <w:pStyle w:val="11"/>
            </w:pPr>
            <w:r>
              <w:t>7.56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5.78</w:t>
            </w:r>
          </w:p>
        </w:tc>
        <w:tc>
          <w:tcPr>
            <w:tcW w:w="1643" w:type="dxa"/>
            <w:vAlign w:val="center"/>
          </w:tcPr>
          <w:p>
            <w:pPr>
              <w:pStyle w:val="11"/>
            </w:pPr>
            <w:r>
              <w:t>5.78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118.62</w:t>
            </w:r>
          </w:p>
        </w:tc>
        <w:tc>
          <w:tcPr>
            <w:tcW w:w="1643" w:type="dxa"/>
            <w:vAlign w:val="center"/>
          </w:tcPr>
          <w:p>
            <w:pPr>
              <w:pStyle w:val="11"/>
            </w:pPr>
          </w:p>
        </w:tc>
        <w:tc>
          <w:tcPr>
            <w:tcW w:w="1643" w:type="dxa"/>
            <w:vAlign w:val="center"/>
          </w:tcPr>
          <w:p>
            <w:pPr>
              <w:pStyle w:val="11"/>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105.30</w:t>
            </w:r>
          </w:p>
        </w:tc>
        <w:tc>
          <w:tcPr>
            <w:tcW w:w="1643" w:type="dxa"/>
            <w:vAlign w:val="center"/>
          </w:tcPr>
          <w:p>
            <w:pPr>
              <w:pStyle w:val="11"/>
            </w:pPr>
          </w:p>
        </w:tc>
        <w:tc>
          <w:tcPr>
            <w:tcW w:w="1643" w:type="dxa"/>
            <w:vAlign w:val="center"/>
          </w:tcPr>
          <w:p>
            <w:pPr>
              <w:pStyle w:val="11"/>
            </w:pPr>
            <w:r>
              <w:t>105.30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1.04</w:t>
            </w:r>
          </w:p>
        </w:tc>
        <w:tc>
          <w:tcPr>
            <w:tcW w:w="1643" w:type="dxa"/>
            <w:vAlign w:val="center"/>
          </w:tcPr>
          <w:p>
            <w:pPr>
              <w:pStyle w:val="11"/>
            </w:pPr>
          </w:p>
        </w:tc>
        <w:tc>
          <w:tcPr>
            <w:tcW w:w="1643" w:type="dxa"/>
            <w:vAlign w:val="center"/>
          </w:tcPr>
          <w:p>
            <w:pPr>
              <w:pStyle w:val="11"/>
            </w:pPr>
            <w:r>
              <w:t>1.04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1.23</w:t>
            </w:r>
          </w:p>
        </w:tc>
        <w:tc>
          <w:tcPr>
            <w:tcW w:w="1643" w:type="dxa"/>
            <w:vAlign w:val="center"/>
          </w:tcPr>
          <w:p>
            <w:pPr>
              <w:pStyle w:val="11"/>
            </w:pPr>
          </w:p>
        </w:tc>
        <w:tc>
          <w:tcPr>
            <w:tcW w:w="1643"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1.15</w:t>
            </w:r>
          </w:p>
        </w:tc>
        <w:tc>
          <w:tcPr>
            <w:tcW w:w="1643" w:type="dxa"/>
            <w:vAlign w:val="center"/>
          </w:tcPr>
          <w:p>
            <w:pPr>
              <w:pStyle w:val="11"/>
            </w:pPr>
          </w:p>
        </w:tc>
        <w:tc>
          <w:tcPr>
            <w:tcW w:w="1643"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25.40</w:t>
            </w:r>
          </w:p>
        </w:tc>
        <w:tc>
          <w:tcPr>
            <w:tcW w:w="1643" w:type="dxa"/>
            <w:vAlign w:val="center"/>
          </w:tcPr>
          <w:p>
            <w:pPr>
              <w:pStyle w:val="11"/>
            </w:pPr>
            <w:r>
              <w:t>25.40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25.37</w:t>
            </w:r>
          </w:p>
        </w:tc>
        <w:tc>
          <w:tcPr>
            <w:tcW w:w="1643" w:type="dxa"/>
            <w:vAlign w:val="center"/>
          </w:tcPr>
          <w:p>
            <w:pPr>
              <w:pStyle w:val="11"/>
            </w:pPr>
            <w:r>
              <w:t>25.37</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5000.00</w:t>
            </w:r>
          </w:p>
        </w:tc>
        <w:tc>
          <w:tcPr>
            <w:tcW w:w="1643" w:type="dxa"/>
            <w:vAlign w:val="center"/>
          </w:tcPr>
          <w:p>
            <w:pPr>
              <w:pStyle w:val="15"/>
            </w:pPr>
          </w:p>
        </w:tc>
        <w:tc>
          <w:tcPr>
            <w:tcW w:w="1643" w:type="dxa"/>
            <w:vAlign w:val="center"/>
          </w:tcPr>
          <w:p>
            <w:pPr>
              <w:pStyle w:val="15"/>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2120801</w:t>
            </w:r>
          </w:p>
        </w:tc>
        <w:tc>
          <w:tcPr>
            <w:tcW w:w="1643" w:type="dxa"/>
            <w:vAlign w:val="center"/>
          </w:tcPr>
          <w:p>
            <w:pPr>
              <w:pStyle w:val="12"/>
            </w:pPr>
            <w:r>
              <w:t>征地和拆迁补偿支出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评估机构进行管理；管理房屋征收档案资料；对房屋征收活动进行协调和督导检查。（物业协调中心主要工作职责：负责物业工作综合协调；对物业服务企业的服务行为进行事后监督管理；前期物业管理招投标备案；业主委员会备案，指导各乡镇、居委会对本辖区业主大会和业主委员会换届工作；物业管理用房、物业经营用房审核；住宅专项维修资金的支用审定；物业信访投诉，配合做好物业违法违规案件查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石家庄市鹿泉区房屋征收中心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按照预算管理有关规定，目前我单位预算的编制实行综合预算管理，即全部收入和支出都反映在预算中。石家庄市鹿泉区房屋征收中心的收支包含在部门预算中。</w:t>
      </w:r>
    </w:p>
    <w:p>
      <w:pPr>
        <w:pStyle w:val="18"/>
      </w:pPr>
      <w:r>
        <w:t>1、收入说明</w:t>
      </w:r>
    </w:p>
    <w:p>
      <w:pPr>
        <w:pStyle w:val="18"/>
      </w:pPr>
      <w:r>
        <w:t>反映本单位当年全部收入。202</w:t>
      </w:r>
      <w:r>
        <w:rPr>
          <w:rFonts w:hint="eastAsia"/>
          <w:lang w:val="en-US" w:eastAsia="zh-CN"/>
        </w:rPr>
        <w:t>4</w:t>
      </w:r>
      <w:r>
        <w:t>年预算收入总计</w:t>
      </w:r>
      <w:r>
        <w:rPr>
          <w:rFonts w:hint="eastAsia"/>
          <w:lang w:val="en-US" w:eastAsia="zh-CN"/>
        </w:rPr>
        <w:t>5355.62</w:t>
      </w:r>
      <w:r>
        <w:t>元。其中：一般公共预算收入</w:t>
      </w:r>
      <w:r>
        <w:rPr>
          <w:rFonts w:hint="eastAsia"/>
          <w:lang w:val="en-US" w:eastAsia="zh-CN"/>
        </w:rPr>
        <w:t>355.62</w:t>
      </w:r>
      <w:r>
        <w:t>万元，基金预算收入</w:t>
      </w:r>
      <w:r>
        <w:rPr>
          <w:rFonts w:hint="eastAsia"/>
          <w:lang w:val="en-US" w:eastAsia="zh-CN"/>
        </w:rPr>
        <w:t>5000</w:t>
      </w:r>
      <w:r>
        <w:t>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w:t>
      </w:r>
      <w:r>
        <w:rPr>
          <w:rFonts w:hint="eastAsia"/>
          <w:lang w:val="en-US" w:eastAsia="zh-CN"/>
        </w:rPr>
        <w:t>4</w:t>
      </w:r>
      <w:r>
        <w:t>支出预算</w:t>
      </w:r>
      <w:r>
        <w:rPr>
          <w:rFonts w:hint="eastAsia"/>
          <w:lang w:val="en-US" w:eastAsia="zh-CN"/>
        </w:rPr>
        <w:t>5355.62</w:t>
      </w:r>
      <w:r>
        <w:t>万元。其中：基本支出</w:t>
      </w:r>
      <w:r>
        <w:rPr>
          <w:rFonts w:hint="eastAsia"/>
          <w:lang w:val="en-US" w:eastAsia="zh-CN"/>
        </w:rPr>
        <w:t>342.35</w:t>
      </w:r>
      <w:r>
        <w:t>万元，包括人员经费支出</w:t>
      </w:r>
      <w:r>
        <w:rPr>
          <w:rFonts w:hint="eastAsia"/>
          <w:lang w:val="en-US" w:eastAsia="zh-CN"/>
        </w:rPr>
        <w:t>223.73</w:t>
      </w:r>
      <w:r>
        <w:t>万元，正常公用经费</w:t>
      </w:r>
      <w:r>
        <w:rPr>
          <w:rFonts w:hint="eastAsia"/>
          <w:lang w:val="en-US" w:eastAsia="zh-CN"/>
        </w:rPr>
        <w:t>118.62</w:t>
      </w:r>
      <w:r>
        <w:t>万元；项目支出</w:t>
      </w:r>
      <w:r>
        <w:rPr>
          <w:rFonts w:hint="eastAsia"/>
          <w:lang w:val="en-US" w:eastAsia="zh-CN"/>
        </w:rPr>
        <w:t>5013.27</w:t>
      </w:r>
      <w:r>
        <w:t>万元。</w:t>
      </w:r>
    </w:p>
    <w:p>
      <w:pPr>
        <w:pStyle w:val="18"/>
      </w:pPr>
      <w:r>
        <w:t>3、比上年增减情况</w:t>
      </w:r>
    </w:p>
    <w:p>
      <w:pPr>
        <w:pStyle w:val="18"/>
      </w:pPr>
      <w:r>
        <w:t>202</w:t>
      </w:r>
      <w:r>
        <w:rPr>
          <w:rFonts w:hint="eastAsia"/>
          <w:lang w:val="en-US" w:eastAsia="zh-CN"/>
        </w:rPr>
        <w:t>4</w:t>
      </w:r>
      <w:r>
        <w:t>年预算收支安排</w:t>
      </w:r>
      <w:r>
        <w:rPr>
          <w:rFonts w:hint="eastAsia"/>
          <w:lang w:val="en-US" w:eastAsia="zh-CN"/>
        </w:rPr>
        <w:t>5355.62</w:t>
      </w:r>
      <w:r>
        <w:t>万元，较202</w:t>
      </w:r>
      <w:r>
        <w:rPr>
          <w:rFonts w:hint="eastAsia"/>
          <w:lang w:val="en-US" w:eastAsia="zh-CN"/>
        </w:rPr>
        <w:t>3</w:t>
      </w:r>
      <w:r>
        <w:t>年预算增加</w:t>
      </w:r>
      <w:r>
        <w:rPr>
          <w:rFonts w:hint="eastAsia"/>
          <w:lang w:val="en-US" w:eastAsia="zh-CN"/>
        </w:rPr>
        <w:t>1990.23</w:t>
      </w:r>
      <w:r>
        <w:t>万元，其中：基本支出</w:t>
      </w:r>
      <w:r>
        <w:rPr>
          <w:rFonts w:hint="eastAsia"/>
          <w:lang w:eastAsia="zh-CN"/>
        </w:rPr>
        <w:t>减少</w:t>
      </w:r>
      <w:r>
        <w:rPr>
          <w:rFonts w:hint="eastAsia"/>
          <w:lang w:val="en-US" w:eastAsia="zh-CN"/>
        </w:rPr>
        <w:t>6.66</w:t>
      </w:r>
      <w:r>
        <w:t>万元，主要为人员工资</w:t>
      </w:r>
      <w:r>
        <w:rPr>
          <w:rFonts w:hint="eastAsia"/>
          <w:lang w:eastAsia="zh-CN"/>
        </w:rPr>
        <w:t>减少</w:t>
      </w:r>
      <w:r>
        <w:t>；项目支出增加</w:t>
      </w:r>
      <w:r>
        <w:rPr>
          <w:rFonts w:hint="eastAsia"/>
          <w:lang w:val="en-US" w:eastAsia="zh-CN"/>
        </w:rPr>
        <w:t>1996.89</w:t>
      </w:r>
      <w:r>
        <w:t>万元，主要为原水泥厂生活区旧城改建项目征收成本。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年，我单位运行经费共计安排</w:t>
      </w:r>
      <w:r>
        <w:rPr>
          <w:rFonts w:hint="eastAsia"/>
          <w:lang w:val="en-US" w:eastAsia="zh-CN"/>
        </w:rPr>
        <w:t>118.62</w:t>
      </w:r>
      <w:r>
        <w:t>万元，主要用于办公经费、水电费、印刷费、邮电费和委托业务费等日常运行支出。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年，我单位财政拨款“三公”经费预算安排2.7万元，其中因公出国（境）费0万元，公务用车购置及运维费2.7万元（其中：公务用车购置费为0万元，公务用车运维费2.7万元)；公务接待费0万元。与202</w:t>
      </w:r>
      <w:r>
        <w:rPr>
          <w:rFonts w:hint="eastAsia"/>
          <w:lang w:val="en-US" w:eastAsia="zh-CN"/>
        </w:rPr>
        <w:t>3</w:t>
      </w:r>
      <w:r>
        <w:t>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1、2024年涉军劳务派遣工资（征收）绩效目标表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13011024P00000110121E</w:t>
            </w:r>
          </w:p>
        </w:tc>
        <w:tc>
          <w:tcPr>
            <w:tcW w:w="2114" w:type="dxa"/>
            <w:vAlign w:val="center"/>
          </w:tcPr>
          <w:p>
            <w:pPr>
              <w:pStyle w:val="10"/>
            </w:pPr>
            <w:r>
              <w:t>项目名称</w:t>
            </w:r>
          </w:p>
        </w:tc>
        <w:tc>
          <w:tcPr>
            <w:tcW w:w="6342" w:type="dxa"/>
            <w:gridSpan w:val="3"/>
            <w:vAlign w:val="center"/>
          </w:tcPr>
          <w:p>
            <w:pPr>
              <w:pStyle w:val="12"/>
            </w:pPr>
            <w:r>
              <w:t>2024年涉军劳务派遣工资（征收）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12.27</w:t>
            </w:r>
          </w:p>
        </w:tc>
        <w:tc>
          <w:tcPr>
            <w:tcW w:w="2114" w:type="dxa"/>
            <w:vAlign w:val="center"/>
          </w:tcPr>
          <w:p>
            <w:pPr>
              <w:pStyle w:val="10"/>
            </w:pPr>
            <w:r>
              <w:t>其中：财政    资金</w:t>
            </w:r>
          </w:p>
        </w:tc>
        <w:tc>
          <w:tcPr>
            <w:tcW w:w="2114" w:type="dxa"/>
            <w:vAlign w:val="center"/>
          </w:tcPr>
          <w:p>
            <w:pPr>
              <w:pStyle w:val="12"/>
            </w:pPr>
            <w:r>
              <w:t>12.27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1.对符合条件的退役军人2人，实行托管安置，帮扶到位，加大就业援助力度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及时发放时间</w:t>
            </w:r>
          </w:p>
        </w:tc>
        <w:tc>
          <w:tcPr>
            <w:tcW w:w="4228" w:type="dxa"/>
            <w:vAlign w:val="center"/>
          </w:tcPr>
          <w:p>
            <w:pPr>
              <w:pStyle w:val="12"/>
            </w:pPr>
            <w:r>
              <w:t>资金到位后及时发放</w:t>
            </w:r>
          </w:p>
        </w:tc>
        <w:tc>
          <w:tcPr>
            <w:tcW w:w="2114" w:type="dxa"/>
            <w:vAlign w:val="center"/>
          </w:tcPr>
          <w:p>
            <w:pPr>
              <w:pStyle w:val="12"/>
            </w:pPr>
            <w:r>
              <w:t>≤7工作日</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退役人员工资发放标准</w:t>
            </w:r>
          </w:p>
        </w:tc>
        <w:tc>
          <w:tcPr>
            <w:tcW w:w="4228" w:type="dxa"/>
            <w:vAlign w:val="center"/>
          </w:tcPr>
          <w:p>
            <w:pPr>
              <w:pStyle w:val="12"/>
            </w:pPr>
            <w:r>
              <w:t>对符合条件的退役人员发放工资标准</w:t>
            </w:r>
          </w:p>
        </w:tc>
        <w:tc>
          <w:tcPr>
            <w:tcW w:w="2114" w:type="dxa"/>
            <w:vAlign w:val="center"/>
          </w:tcPr>
          <w:p>
            <w:pPr>
              <w:pStyle w:val="12"/>
            </w:pPr>
            <w:r>
              <w:t>12.27万元</w:t>
            </w:r>
          </w:p>
        </w:tc>
        <w:tc>
          <w:tcPr>
            <w:tcW w:w="2114"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对退役帮扶安置人员到位的人数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2人</w:t>
            </w:r>
          </w:p>
        </w:tc>
        <w:tc>
          <w:tcPr>
            <w:tcW w:w="2114"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2、2024年水泥厂征收成本绩效目标表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13011024P00000110181M</w:t>
            </w:r>
          </w:p>
        </w:tc>
        <w:tc>
          <w:tcPr>
            <w:tcW w:w="2114" w:type="dxa"/>
            <w:vAlign w:val="center"/>
          </w:tcPr>
          <w:p>
            <w:pPr>
              <w:pStyle w:val="10"/>
            </w:pPr>
            <w:r>
              <w:t>项目名称</w:t>
            </w:r>
          </w:p>
        </w:tc>
        <w:tc>
          <w:tcPr>
            <w:tcW w:w="6342" w:type="dxa"/>
            <w:gridSpan w:val="3"/>
            <w:vAlign w:val="center"/>
          </w:tcPr>
          <w:p>
            <w:pPr>
              <w:pStyle w:val="12"/>
            </w:pPr>
            <w:r>
              <w:t>2024年水泥厂征收成本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w:t>
            </w:r>
          </w:p>
        </w:tc>
        <w:tc>
          <w:tcPr>
            <w:tcW w:w="2114" w:type="dxa"/>
            <w:vAlign w:val="center"/>
          </w:tcPr>
          <w:p>
            <w:pPr>
              <w:pStyle w:val="10"/>
            </w:pPr>
            <w:r>
              <w:t>其中：财政    资金</w:t>
            </w:r>
          </w:p>
        </w:tc>
        <w:tc>
          <w:tcPr>
            <w:tcW w:w="2114" w:type="dxa"/>
            <w:vAlign w:val="center"/>
          </w:tcPr>
          <w:p>
            <w:pPr>
              <w:pStyle w:val="12"/>
            </w:pPr>
            <w:r>
              <w:t>5000.00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用于水泥厂旧城改建项目返还房屋征收成本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1.主要用于房屋征收及回迁楼建安成本支出</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拆迁面积</w:t>
            </w:r>
          </w:p>
        </w:tc>
        <w:tc>
          <w:tcPr>
            <w:tcW w:w="4228" w:type="dxa"/>
            <w:vAlign w:val="center"/>
          </w:tcPr>
          <w:p>
            <w:pPr>
              <w:pStyle w:val="12"/>
            </w:pPr>
            <w:r>
              <w:t>项目拆迁面积</w:t>
            </w:r>
          </w:p>
        </w:tc>
        <w:tc>
          <w:tcPr>
            <w:tcW w:w="2114" w:type="dxa"/>
            <w:vAlign w:val="center"/>
          </w:tcPr>
          <w:p>
            <w:pPr>
              <w:pStyle w:val="12"/>
            </w:pPr>
            <w:r>
              <w:t>3.5万平米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回迁面积</w:t>
            </w:r>
          </w:p>
        </w:tc>
        <w:tc>
          <w:tcPr>
            <w:tcW w:w="4228" w:type="dxa"/>
            <w:vAlign w:val="center"/>
          </w:tcPr>
          <w:p>
            <w:pPr>
              <w:pStyle w:val="12"/>
            </w:pPr>
            <w:r>
              <w:t>回迁楼建筑面积</w:t>
            </w:r>
          </w:p>
        </w:tc>
        <w:tc>
          <w:tcPr>
            <w:tcW w:w="2114" w:type="dxa"/>
            <w:vAlign w:val="center"/>
          </w:tcPr>
          <w:p>
            <w:pPr>
              <w:pStyle w:val="12"/>
            </w:pPr>
            <w:r>
              <w:t>4535平方米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拆迁及回迁建设完成率</w:t>
            </w:r>
          </w:p>
        </w:tc>
        <w:tc>
          <w:tcPr>
            <w:tcW w:w="4228" w:type="dxa"/>
            <w:vAlign w:val="center"/>
          </w:tcPr>
          <w:p>
            <w:pPr>
              <w:pStyle w:val="12"/>
            </w:pPr>
            <w:r>
              <w:t>拆迁及回迁建设完成率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拆迁及回迁建设工作按时完成率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建设成本</w:t>
            </w:r>
          </w:p>
        </w:tc>
        <w:tc>
          <w:tcPr>
            <w:tcW w:w="4228" w:type="dxa"/>
            <w:vAlign w:val="center"/>
          </w:tcPr>
          <w:p>
            <w:pPr>
              <w:pStyle w:val="12"/>
            </w:pPr>
            <w:r>
              <w:t>拆迁及回迁建设部分成本</w:t>
            </w:r>
          </w:p>
        </w:tc>
        <w:tc>
          <w:tcPr>
            <w:tcW w:w="2114" w:type="dxa"/>
            <w:vAlign w:val="center"/>
          </w:tcPr>
          <w:p>
            <w:pPr>
              <w:pStyle w:val="12"/>
            </w:pPr>
            <w:r>
              <w:t>8400万元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回迁楼户数</w:t>
            </w:r>
          </w:p>
        </w:tc>
        <w:tc>
          <w:tcPr>
            <w:tcW w:w="4228" w:type="dxa"/>
            <w:vAlign w:val="center"/>
          </w:tcPr>
          <w:p>
            <w:pPr>
              <w:pStyle w:val="12"/>
            </w:pPr>
            <w:r>
              <w:t>回迁楼可安置户数</w:t>
            </w:r>
          </w:p>
        </w:tc>
        <w:tc>
          <w:tcPr>
            <w:tcW w:w="2114" w:type="dxa"/>
            <w:vAlign w:val="center"/>
          </w:tcPr>
          <w:p>
            <w:pPr>
              <w:pStyle w:val="12"/>
            </w:pPr>
            <w:r>
              <w:t>440户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交房期限</w:t>
            </w:r>
          </w:p>
        </w:tc>
        <w:tc>
          <w:tcPr>
            <w:tcW w:w="4228" w:type="dxa"/>
            <w:vAlign w:val="center"/>
          </w:tcPr>
          <w:p>
            <w:pPr>
              <w:pStyle w:val="12"/>
            </w:pPr>
            <w:r>
              <w:t>回迁楼交房期限</w:t>
            </w:r>
          </w:p>
        </w:tc>
        <w:tc>
          <w:tcPr>
            <w:tcW w:w="2114" w:type="dxa"/>
            <w:vAlign w:val="center"/>
          </w:tcPr>
          <w:p>
            <w:pPr>
              <w:pStyle w:val="12"/>
            </w:pPr>
            <w:r>
              <w:t>≤2年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3、北斗路回迁楼不动产登记证遗留问题办证费绩效目标表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13011024P000001101151</w:t>
            </w:r>
          </w:p>
        </w:tc>
        <w:tc>
          <w:tcPr>
            <w:tcW w:w="2114" w:type="dxa"/>
            <w:vAlign w:val="center"/>
          </w:tcPr>
          <w:p>
            <w:pPr>
              <w:pStyle w:val="10"/>
            </w:pPr>
            <w:r>
              <w:t>项目名称</w:t>
            </w:r>
          </w:p>
        </w:tc>
        <w:tc>
          <w:tcPr>
            <w:tcW w:w="6342" w:type="dxa"/>
            <w:gridSpan w:val="3"/>
            <w:vAlign w:val="center"/>
          </w:tcPr>
          <w:p>
            <w:pPr>
              <w:pStyle w:val="12"/>
            </w:pPr>
            <w:r>
              <w:t>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用于支出北斗路拆迁改造工程涉及的一街、二街、 八街和水务局回迁户办理不动产登记证税费费用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退费人数</w:t>
            </w:r>
          </w:p>
        </w:tc>
        <w:tc>
          <w:tcPr>
            <w:tcW w:w="4228" w:type="dxa"/>
            <w:vAlign w:val="center"/>
          </w:tcPr>
          <w:p>
            <w:pPr>
              <w:pStyle w:val="12"/>
            </w:pPr>
            <w:r>
              <w:t>手续齐全可报销人数</w:t>
            </w:r>
          </w:p>
        </w:tc>
        <w:tc>
          <w:tcPr>
            <w:tcW w:w="2114" w:type="dxa"/>
            <w:vAlign w:val="center"/>
          </w:tcPr>
          <w:p>
            <w:pPr>
              <w:pStyle w:val="12"/>
            </w:pPr>
            <w:r>
              <w:t>按实际可报销人数为准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退费完成率</w:t>
            </w:r>
          </w:p>
        </w:tc>
        <w:tc>
          <w:tcPr>
            <w:tcW w:w="4228" w:type="dxa"/>
            <w:vAlign w:val="center"/>
          </w:tcPr>
          <w:p>
            <w:pPr>
              <w:pStyle w:val="12"/>
            </w:pPr>
            <w:r>
              <w:t>实际退费占手续齐全的回迁户比率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退费时间</w:t>
            </w:r>
          </w:p>
        </w:tc>
        <w:tc>
          <w:tcPr>
            <w:tcW w:w="4228" w:type="dxa"/>
            <w:vAlign w:val="center"/>
          </w:tcPr>
          <w:p>
            <w:pPr>
              <w:pStyle w:val="12"/>
            </w:pPr>
            <w:r>
              <w:t>手续齐全的回迁户提供报销手续及时退费</w:t>
            </w:r>
          </w:p>
        </w:tc>
        <w:tc>
          <w:tcPr>
            <w:tcW w:w="2114" w:type="dxa"/>
            <w:vAlign w:val="center"/>
          </w:tcPr>
          <w:p>
            <w:pPr>
              <w:pStyle w:val="12"/>
            </w:pPr>
            <w:r>
              <w:t>≤7工作日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退费金额标准</w:t>
            </w:r>
          </w:p>
        </w:tc>
        <w:tc>
          <w:tcPr>
            <w:tcW w:w="4228" w:type="dxa"/>
            <w:vAlign w:val="center"/>
          </w:tcPr>
          <w:p>
            <w:pPr>
              <w:pStyle w:val="12"/>
            </w:pPr>
            <w:r>
              <w:t>以可报销税票上的金额为准</w:t>
            </w:r>
          </w:p>
        </w:tc>
        <w:tc>
          <w:tcPr>
            <w:tcW w:w="2114" w:type="dxa"/>
            <w:vAlign w:val="center"/>
          </w:tcPr>
          <w:p>
            <w:pPr>
              <w:pStyle w:val="12"/>
            </w:pPr>
            <w:r>
              <w:t>可报销税票上的金额为准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办理退费手续完成率</w:t>
            </w:r>
          </w:p>
        </w:tc>
        <w:tc>
          <w:tcPr>
            <w:tcW w:w="4228" w:type="dxa"/>
            <w:vAlign w:val="center"/>
          </w:tcPr>
          <w:p>
            <w:pPr>
              <w:pStyle w:val="12"/>
            </w:pPr>
            <w:r>
              <w:t>正常有序、及时办理退费手续率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回迁户满意度</w:t>
            </w:r>
          </w:p>
        </w:tc>
        <w:tc>
          <w:tcPr>
            <w:tcW w:w="4228" w:type="dxa"/>
            <w:vAlign w:val="center"/>
          </w:tcPr>
          <w:p>
            <w:pPr>
              <w:pStyle w:val="12"/>
            </w:pPr>
            <w:r>
              <w:t>北斗路拆迁改造工程涉及的一街、二街、八街和水务局回迁户满意度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书宋_GBK" w:hAnsi="方正书宋_GBK" w:eastAsia="方正书宋_GBK" w:cs="方正书宋_GBK"/>
          <w:color w:val="000000"/>
          <w:sz w:val="21"/>
        </w:rPr>
      </w:pPr>
      <w:r>
        <w:rPr>
          <w:rFonts w:ascii="Times New Roman" w:hAnsi="Times New Roman" w:eastAsia="方正仿宋_GBK" w:cs="Times New Roman"/>
          <w:b w:val="0"/>
          <w:color w:val="000000"/>
          <w:sz w:val="28"/>
        </w:rPr>
        <w:t>石家庄市鹿泉区房屋征收中心上年末固定资产金额为0.00万元（详见下表）。本年度拟购置固定资产总额为0.00万元，已按要求列入政府采购预算，详见政府采购预算表。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rPr>
                <w:rFonts w:hint="default" w:eastAsia="方正书宋_GBK"/>
                <w:lang w:val="en-US" w:eastAsia="zh-CN"/>
              </w:rPr>
            </w:pPr>
            <w:r>
              <w:rPr>
                <w:rFonts w:hint="eastAsia"/>
                <w:lang w:val="en-US" w:eastAsia="zh-CN"/>
              </w:rP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四、石家庄市鹿泉区建筑和房地产市场稽查大队收支预算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710.49</w:t>
            </w:r>
          </w:p>
        </w:tc>
        <w:tc>
          <w:tcPr>
            <w:tcW w:w="2959" w:type="dxa"/>
            <w:vAlign w:val="center"/>
          </w:tcPr>
          <w:p>
            <w:pPr>
              <w:pStyle w:val="12"/>
            </w:pPr>
            <w:r>
              <w:t>一、一般公共服务支出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75.70</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560.51</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710.49</w:t>
            </w:r>
          </w:p>
        </w:tc>
        <w:tc>
          <w:tcPr>
            <w:tcW w:w="2959" w:type="dxa"/>
            <w:vAlign w:val="center"/>
          </w:tcPr>
          <w:p>
            <w:pPr>
              <w:pStyle w:val="14"/>
            </w:pPr>
            <w:r>
              <w:t>本年支出合计</w:t>
            </w:r>
          </w:p>
        </w:tc>
        <w:tc>
          <w:tcPr>
            <w:tcW w:w="2959" w:type="dxa"/>
            <w:vAlign w:val="center"/>
          </w:tcPr>
          <w:p>
            <w:pPr>
              <w:pStyle w:val="15"/>
            </w:pPr>
            <w:r>
              <w:t>710.49</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710.49</w:t>
            </w:r>
          </w:p>
        </w:tc>
        <w:tc>
          <w:tcPr>
            <w:tcW w:w="2959" w:type="dxa"/>
            <w:vAlign w:val="center"/>
          </w:tcPr>
          <w:p>
            <w:pPr>
              <w:pStyle w:val="14"/>
            </w:pPr>
            <w:r>
              <w:t>支出总计</w:t>
            </w:r>
          </w:p>
        </w:tc>
        <w:tc>
          <w:tcPr>
            <w:tcW w:w="2959" w:type="dxa"/>
            <w:vAlign w:val="center"/>
          </w:tcPr>
          <w:p>
            <w:pPr>
              <w:pStyle w:val="15"/>
            </w:pPr>
            <w:r>
              <w:t>710.49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710.49</w:t>
            </w:r>
          </w:p>
        </w:tc>
        <w:tc>
          <w:tcPr>
            <w:tcW w:w="1095" w:type="dxa"/>
            <w:vAlign w:val="center"/>
          </w:tcPr>
          <w:p>
            <w:pPr>
              <w:pStyle w:val="15"/>
            </w:pPr>
            <w:r>
              <w:t>562.49</w:t>
            </w:r>
          </w:p>
        </w:tc>
        <w:tc>
          <w:tcPr>
            <w:tcW w:w="1095" w:type="dxa"/>
            <w:vAlign w:val="center"/>
          </w:tcPr>
          <w:p>
            <w:pPr>
              <w:pStyle w:val="15"/>
            </w:pPr>
            <w:r>
              <w:t>148.00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8.92</w:t>
            </w:r>
          </w:p>
        </w:tc>
        <w:tc>
          <w:tcPr>
            <w:tcW w:w="1095" w:type="dxa"/>
            <w:vAlign w:val="center"/>
          </w:tcPr>
          <w:p>
            <w:pPr>
              <w:pStyle w:val="11"/>
            </w:pPr>
            <w:r>
              <w:t>8.92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44.52</w:t>
            </w:r>
          </w:p>
        </w:tc>
        <w:tc>
          <w:tcPr>
            <w:tcW w:w="1095" w:type="dxa"/>
            <w:vAlign w:val="center"/>
          </w:tcPr>
          <w:p>
            <w:pPr>
              <w:pStyle w:val="11"/>
            </w:pPr>
            <w:r>
              <w:t>44.52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22.26</w:t>
            </w:r>
          </w:p>
        </w:tc>
        <w:tc>
          <w:tcPr>
            <w:tcW w:w="1095" w:type="dxa"/>
            <w:vAlign w:val="center"/>
          </w:tcPr>
          <w:p>
            <w:pPr>
              <w:pStyle w:val="11"/>
            </w:pPr>
            <w:r>
              <w:t>22.26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710.49</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75.70</w:t>
            </w:r>
          </w:p>
        </w:tc>
        <w:tc>
          <w:tcPr>
            <w:tcW w:w="1232" w:type="dxa"/>
            <w:vAlign w:val="center"/>
          </w:tcPr>
          <w:p>
            <w:pPr>
              <w:pStyle w:val="11"/>
            </w:pPr>
            <w:r>
              <w:t>75.70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33.13</w:t>
            </w:r>
          </w:p>
        </w:tc>
        <w:tc>
          <w:tcPr>
            <w:tcW w:w="1232" w:type="dxa"/>
            <w:vAlign w:val="center"/>
          </w:tcPr>
          <w:p>
            <w:pPr>
              <w:pStyle w:val="11"/>
            </w:pPr>
            <w:r>
              <w:t>33.13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560.51</w:t>
            </w:r>
          </w:p>
        </w:tc>
        <w:tc>
          <w:tcPr>
            <w:tcW w:w="1232" w:type="dxa"/>
            <w:vAlign w:val="center"/>
          </w:tcPr>
          <w:p>
            <w:pPr>
              <w:pStyle w:val="11"/>
            </w:pPr>
            <w:r>
              <w:t>560.51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41.15</w:t>
            </w:r>
          </w:p>
        </w:tc>
        <w:tc>
          <w:tcPr>
            <w:tcW w:w="1232" w:type="dxa"/>
            <w:vAlign w:val="center"/>
          </w:tcPr>
          <w:p>
            <w:pPr>
              <w:pStyle w:val="11"/>
            </w:pPr>
            <w:r>
              <w:t>41.15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710.49</w:t>
            </w:r>
          </w:p>
        </w:tc>
        <w:tc>
          <w:tcPr>
            <w:tcW w:w="1232" w:type="dxa"/>
            <w:vAlign w:val="center"/>
          </w:tcPr>
          <w:p>
            <w:pPr>
              <w:pStyle w:val="14"/>
            </w:pPr>
            <w:r>
              <w:t>本年支出合计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710.49</w:t>
            </w:r>
          </w:p>
        </w:tc>
        <w:tc>
          <w:tcPr>
            <w:tcW w:w="1232" w:type="dxa"/>
            <w:vAlign w:val="center"/>
          </w:tcPr>
          <w:p>
            <w:pPr>
              <w:pStyle w:val="14"/>
            </w:pPr>
            <w:r>
              <w:t>支出总计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710.49</w:t>
            </w:r>
          </w:p>
        </w:tc>
        <w:tc>
          <w:tcPr>
            <w:tcW w:w="1643" w:type="dxa"/>
            <w:vAlign w:val="center"/>
          </w:tcPr>
          <w:p>
            <w:pPr>
              <w:pStyle w:val="15"/>
            </w:pPr>
            <w:r>
              <w:t>562.49</w:t>
            </w:r>
          </w:p>
        </w:tc>
        <w:tc>
          <w:tcPr>
            <w:tcW w:w="1643" w:type="dxa"/>
            <w:vAlign w:val="center"/>
          </w:tcPr>
          <w:p>
            <w:pPr>
              <w:pStyle w:val="15"/>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8.92</w:t>
            </w:r>
          </w:p>
        </w:tc>
        <w:tc>
          <w:tcPr>
            <w:tcW w:w="1643" w:type="dxa"/>
            <w:vAlign w:val="center"/>
          </w:tcPr>
          <w:p>
            <w:pPr>
              <w:pStyle w:val="11"/>
            </w:pPr>
            <w:r>
              <w:t>8.92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562.49</w:t>
            </w:r>
          </w:p>
        </w:tc>
        <w:tc>
          <w:tcPr>
            <w:tcW w:w="1643" w:type="dxa"/>
            <w:vAlign w:val="center"/>
          </w:tcPr>
          <w:p>
            <w:pPr>
              <w:pStyle w:val="15"/>
            </w:pPr>
            <w:r>
              <w:t>505.19</w:t>
            </w:r>
          </w:p>
        </w:tc>
        <w:tc>
          <w:tcPr>
            <w:tcW w:w="1643" w:type="dxa"/>
            <w:vAlign w:val="center"/>
          </w:tcPr>
          <w:p>
            <w:pPr>
              <w:pStyle w:val="15"/>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496.34</w:t>
            </w:r>
          </w:p>
        </w:tc>
        <w:tc>
          <w:tcPr>
            <w:tcW w:w="1643" w:type="dxa"/>
            <w:vAlign w:val="center"/>
          </w:tcPr>
          <w:p>
            <w:pPr>
              <w:pStyle w:val="11"/>
            </w:pPr>
            <w:r>
              <w:t>496.34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120.25</w:t>
            </w:r>
          </w:p>
        </w:tc>
        <w:tc>
          <w:tcPr>
            <w:tcW w:w="1643" w:type="dxa"/>
            <w:vAlign w:val="center"/>
          </w:tcPr>
          <w:p>
            <w:pPr>
              <w:pStyle w:val="11"/>
            </w:pPr>
            <w:r>
              <w:t>120.25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23.93</w:t>
            </w:r>
          </w:p>
        </w:tc>
        <w:tc>
          <w:tcPr>
            <w:tcW w:w="1643" w:type="dxa"/>
            <w:vAlign w:val="center"/>
          </w:tcPr>
          <w:p>
            <w:pPr>
              <w:pStyle w:val="11"/>
            </w:pPr>
            <w:r>
              <w:t>23.93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199.15</w:t>
            </w:r>
          </w:p>
        </w:tc>
        <w:tc>
          <w:tcPr>
            <w:tcW w:w="1643" w:type="dxa"/>
            <w:vAlign w:val="center"/>
          </w:tcPr>
          <w:p>
            <w:pPr>
              <w:pStyle w:val="11"/>
            </w:pPr>
            <w:r>
              <w:t>199.15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19.24</w:t>
            </w:r>
          </w:p>
        </w:tc>
        <w:tc>
          <w:tcPr>
            <w:tcW w:w="1643" w:type="dxa"/>
            <w:vAlign w:val="center"/>
          </w:tcPr>
          <w:p>
            <w:pPr>
              <w:pStyle w:val="11"/>
            </w:pPr>
            <w:r>
              <w:t>19.24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13.90</w:t>
            </w:r>
          </w:p>
        </w:tc>
        <w:tc>
          <w:tcPr>
            <w:tcW w:w="1643" w:type="dxa"/>
            <w:vAlign w:val="center"/>
          </w:tcPr>
          <w:p>
            <w:pPr>
              <w:pStyle w:val="11"/>
            </w:pPr>
            <w:r>
              <w:t>13.90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11.95</w:t>
            </w:r>
          </w:p>
        </w:tc>
        <w:tc>
          <w:tcPr>
            <w:tcW w:w="1643" w:type="dxa"/>
            <w:vAlign w:val="center"/>
          </w:tcPr>
          <w:p>
            <w:pPr>
              <w:pStyle w:val="11"/>
            </w:pPr>
            <w:r>
              <w:t>11.95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57.31</w:t>
            </w:r>
          </w:p>
        </w:tc>
        <w:tc>
          <w:tcPr>
            <w:tcW w:w="1643" w:type="dxa"/>
            <w:vAlign w:val="center"/>
          </w:tcPr>
          <w:p>
            <w:pPr>
              <w:pStyle w:val="11"/>
            </w:pPr>
          </w:p>
        </w:tc>
        <w:tc>
          <w:tcPr>
            <w:tcW w:w="1643" w:type="dxa"/>
            <w:vAlign w:val="center"/>
          </w:tcPr>
          <w:p>
            <w:pPr>
              <w:pStyle w:val="11"/>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51.39</w:t>
            </w:r>
          </w:p>
        </w:tc>
        <w:tc>
          <w:tcPr>
            <w:tcW w:w="1643" w:type="dxa"/>
            <w:vAlign w:val="center"/>
          </w:tcPr>
          <w:p>
            <w:pPr>
              <w:pStyle w:val="11"/>
            </w:pPr>
          </w:p>
        </w:tc>
        <w:tc>
          <w:tcPr>
            <w:tcW w:w="1643" w:type="dxa"/>
            <w:vAlign w:val="center"/>
          </w:tcPr>
          <w:p>
            <w:pPr>
              <w:pStyle w:val="11"/>
            </w:pPr>
            <w:r>
              <w:t>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3.01</w:t>
            </w:r>
          </w:p>
        </w:tc>
        <w:tc>
          <w:tcPr>
            <w:tcW w:w="1643" w:type="dxa"/>
            <w:vAlign w:val="center"/>
          </w:tcPr>
          <w:p>
            <w:pPr>
              <w:pStyle w:val="11"/>
            </w:pPr>
          </w:p>
        </w:tc>
        <w:tc>
          <w:tcPr>
            <w:tcW w:w="1643" w:type="dxa"/>
            <w:vAlign w:val="center"/>
          </w:tcPr>
          <w:p>
            <w:pPr>
              <w:pStyle w:val="11"/>
            </w:pPr>
            <w:r>
              <w:t>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8.85</w:t>
            </w:r>
          </w:p>
        </w:tc>
        <w:tc>
          <w:tcPr>
            <w:tcW w:w="1643" w:type="dxa"/>
            <w:vAlign w:val="center"/>
          </w:tcPr>
          <w:p>
            <w:pPr>
              <w:pStyle w:val="11"/>
            </w:pPr>
            <w:r>
              <w:t>8.85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8.81</w:t>
            </w:r>
          </w:p>
        </w:tc>
        <w:tc>
          <w:tcPr>
            <w:tcW w:w="1643" w:type="dxa"/>
            <w:vAlign w:val="center"/>
          </w:tcPr>
          <w:p>
            <w:pPr>
              <w:pStyle w:val="11"/>
            </w:pPr>
            <w:r>
              <w:t>8.81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0.04</w:t>
            </w:r>
          </w:p>
        </w:tc>
        <w:tc>
          <w:tcPr>
            <w:tcW w:w="1643" w:type="dxa"/>
            <w:vAlign w:val="center"/>
          </w:tcPr>
          <w:p>
            <w:pPr>
              <w:pStyle w:val="11"/>
            </w:pPr>
            <w:r>
              <w:t>0.04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石家庄市鹿泉区建筑和房地产市场稽查大队2024年单位预算信息公开情况说明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按照《中华人民共和国预算法》、《地方预决算公开操作规程》和《关于进一步推进预算公开工作的实施意见》规定，现将石家庄市鹿泉区建筑和房地产市场稽查大队2024年单位预算公开如下：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本单位负责建筑和房地产市场违规开发建设、违规销售等行为的立案查处，负责对全区房屋建筑和市政基础设施项目勘察、设计、施工、监理以及相关的重要设备、材料采购、工程专业（劳务）分包等招标投标活动实施监督管理，负责建筑工程拖欠工程款因拖欠工程款导致拖欠农民工工资的群众上访案件协调解决。负责建筑工程施工合同备案及合同履约情况的跟踪管理。负责建筑和房地产市场群众投诉举报、提供不实信息、发布虚假广告、信访案件等违规违法行为的稽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石家庄市鹿泉区建筑和房地产市场稽查大队</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710.49万元，其中：一般公共预算收入710.49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和房地产市场稽查大队年度单位预算中支出预算的总体情况。2024年支出预算710.49万元，其中基本支出562.49万元，包括人员经费505.19万元和日常公用经费57.31万元；项目支出148.00万元，主要为执法业务费，涉军公益岗位工资。</w:t>
      </w:r>
    </w:p>
    <w:p>
      <w:pPr>
        <w:pStyle w:val="18"/>
      </w:pPr>
      <w:r>
        <w:t>3、比上年增减情况</w:t>
      </w:r>
    </w:p>
    <w:p>
      <w:pPr>
        <w:pStyle w:val="18"/>
      </w:pPr>
      <w:r>
        <w:t>2024年预算收支安排710.49万元，较2023年预算减少7.70万元，其中：基本支出增加14.70万元，主要为工资调整项目支出减少22.40万元，主要为执法经费缩减。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2024年，我单位机关运行经费共计安排57.31万元，主要用于日常维修、办公用房水电费、办公用房取暖费、办公用房物业管理费等日常运行支出。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1、2024年执法业务费绩效目标表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13011024P00000110251B</w:t>
            </w:r>
          </w:p>
        </w:tc>
        <w:tc>
          <w:tcPr>
            <w:tcW w:w="2114" w:type="dxa"/>
            <w:vAlign w:val="center"/>
          </w:tcPr>
          <w:p>
            <w:pPr>
              <w:pStyle w:val="10"/>
            </w:pPr>
            <w:r>
              <w:t>项目名称</w:t>
            </w:r>
          </w:p>
        </w:tc>
        <w:tc>
          <w:tcPr>
            <w:tcW w:w="6342" w:type="dxa"/>
            <w:gridSpan w:val="3"/>
            <w:vAlign w:val="center"/>
          </w:tcPr>
          <w:p>
            <w:pPr>
              <w:pStyle w:val="12"/>
            </w:pPr>
            <w:r>
              <w:t>2024年执法业务费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确保28人的经费保障工作并通过对46个房地产销售项目、110个在建项目进行的执法检查，杜绝全区违规建设、销售行为，确保不发生违规建设及销售行为，保障房地产市场健康有序发展。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1."确保28人的经费保障工作并通过对46个房地产销售项目、110个在建项目进行的执法检查，杜绝全区违规建设、销售行为，确保不发生违规建设及销售行为，保障房地产市场健康有序发展。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28人</w:t>
            </w:r>
          </w:p>
        </w:tc>
        <w:tc>
          <w:tcPr>
            <w:tcW w:w="2114" w:type="dxa"/>
            <w:vAlign w:val="center"/>
          </w:tcPr>
          <w:p>
            <w:pPr>
              <w:pStyle w:val="12"/>
            </w:pPr>
            <w:r>
              <w:t>根据鹿政办[2012]1号文件</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办公费、交通费、水电费及其他公用经费的支出。</w:t>
            </w:r>
          </w:p>
        </w:tc>
        <w:tc>
          <w:tcPr>
            <w:tcW w:w="2114" w:type="dxa"/>
            <w:vAlign w:val="center"/>
          </w:tcPr>
          <w:p>
            <w:pPr>
              <w:pStyle w:val="12"/>
            </w:pPr>
            <w:r>
              <w:t>按统一规定执行</w:t>
            </w:r>
          </w:p>
        </w:tc>
        <w:tc>
          <w:tcPr>
            <w:tcW w:w="2114" w:type="dxa"/>
            <w:vAlign w:val="center"/>
          </w:tcPr>
          <w:p>
            <w:pPr>
              <w:pStyle w:val="12"/>
            </w:pPr>
            <w:r>
              <w:t>根据鹿政办[2012]1号文件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根据鹿政办[2012]1号文件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根据鹿政办[2012]1号文件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实际执法检查房地产销售项目的个数。</w:t>
            </w:r>
          </w:p>
        </w:tc>
        <w:tc>
          <w:tcPr>
            <w:tcW w:w="2114" w:type="dxa"/>
            <w:vAlign w:val="center"/>
          </w:tcPr>
          <w:p>
            <w:pPr>
              <w:pStyle w:val="12"/>
            </w:pPr>
            <w:r>
              <w:t>46个数</w:t>
            </w:r>
          </w:p>
        </w:tc>
        <w:tc>
          <w:tcPr>
            <w:tcW w:w="2114" w:type="dxa"/>
            <w:vAlign w:val="center"/>
          </w:tcPr>
          <w:p>
            <w:pPr>
              <w:pStyle w:val="12"/>
            </w:pPr>
            <w:r>
              <w:t>根据鹿政办[2012]1号文件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执法检查建立劳务实名制到位率</w:t>
            </w:r>
          </w:p>
        </w:tc>
        <w:tc>
          <w:tcPr>
            <w:tcW w:w="4228" w:type="dxa"/>
            <w:vAlign w:val="center"/>
          </w:tcPr>
          <w:p>
            <w:pPr>
              <w:pStyle w:val="12"/>
            </w:pPr>
            <w:r>
              <w:t>实际建立劳务实名制的项目数量占应建立劳务实名制项目数量的比例。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执法监督招标完成率</w:t>
            </w:r>
          </w:p>
        </w:tc>
        <w:tc>
          <w:tcPr>
            <w:tcW w:w="4228" w:type="dxa"/>
            <w:vAlign w:val="center"/>
          </w:tcPr>
          <w:p>
            <w:pPr>
              <w:pStyle w:val="12"/>
            </w:pPr>
            <w:r>
              <w:t>实际执法监管招标项目个数占招标项目个数的比例。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执法检查项目的及时率</w:t>
            </w:r>
          </w:p>
        </w:tc>
        <w:tc>
          <w:tcPr>
            <w:tcW w:w="4228" w:type="dxa"/>
            <w:vAlign w:val="center"/>
          </w:tcPr>
          <w:p>
            <w:pPr>
              <w:pStyle w:val="12"/>
            </w:pPr>
            <w:r>
              <w:t>实际执法检查在建项目个数占应执法检查在建项目个数的比例。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实际执法检查在建工程项目的个数。</w:t>
            </w:r>
          </w:p>
        </w:tc>
        <w:tc>
          <w:tcPr>
            <w:tcW w:w="2114" w:type="dxa"/>
            <w:vAlign w:val="center"/>
          </w:tcPr>
          <w:p>
            <w:pPr>
              <w:pStyle w:val="12"/>
            </w:pPr>
            <w:r>
              <w:t>110个数</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执法检查建设工程项目违规建设率</w:t>
            </w:r>
          </w:p>
        </w:tc>
        <w:tc>
          <w:tcPr>
            <w:tcW w:w="4228" w:type="dxa"/>
            <w:vAlign w:val="center"/>
          </w:tcPr>
          <w:p>
            <w:pPr>
              <w:pStyle w:val="12"/>
            </w:pPr>
            <w:r>
              <w:t>实际发生违规建设的数量占全部建设工程项目数量的比例。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执法检查房地产项目的违规销售率</w:t>
            </w:r>
          </w:p>
        </w:tc>
        <w:tc>
          <w:tcPr>
            <w:tcW w:w="4228" w:type="dxa"/>
            <w:vAlign w:val="center"/>
          </w:tcPr>
          <w:p>
            <w:pPr>
              <w:pStyle w:val="12"/>
            </w:pPr>
            <w:r>
              <w:t>实际发生违规销售的数量占全部在售数量的比例。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产生拖欠农民工工资的发生率</w:t>
            </w:r>
          </w:p>
        </w:tc>
        <w:tc>
          <w:tcPr>
            <w:tcW w:w="4228" w:type="dxa"/>
            <w:vAlign w:val="center"/>
          </w:tcPr>
          <w:p>
            <w:pPr>
              <w:pStyle w:val="12"/>
            </w:pPr>
            <w:r>
              <w:t>实际产生拖欠农民工工资现象的数量占全部建设工程项目数量的比例。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保障日常办公需要，维持单位正常运转</w:t>
            </w:r>
          </w:p>
        </w:tc>
        <w:tc>
          <w:tcPr>
            <w:tcW w:w="4228" w:type="dxa"/>
            <w:vAlign w:val="center"/>
          </w:tcPr>
          <w:p>
            <w:pPr>
              <w:pStyle w:val="12"/>
            </w:pPr>
            <w:r>
              <w:t>保障日常办公需要，维持单位正常运转。</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执法检查招标程序不合格、不规范率</w:t>
            </w:r>
          </w:p>
        </w:tc>
        <w:tc>
          <w:tcPr>
            <w:tcW w:w="4228" w:type="dxa"/>
            <w:vAlign w:val="center"/>
          </w:tcPr>
          <w:p>
            <w:pPr>
              <w:pStyle w:val="12"/>
            </w:pPr>
            <w:r>
              <w:t>实际产生招标项目不规范的数量占全部应招标项目数量的比例。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群众对建筑和房地产市场管理的满意度。</w:t>
            </w:r>
          </w:p>
        </w:tc>
        <w:tc>
          <w:tcPr>
            <w:tcW w:w="2114" w:type="dxa"/>
            <w:vAlign w:val="center"/>
          </w:tcPr>
          <w:p>
            <w:pPr>
              <w:pStyle w:val="12"/>
            </w:pPr>
            <w:r>
              <w:t>100%</w:t>
            </w:r>
          </w:p>
        </w:tc>
        <w:tc>
          <w:tcPr>
            <w:tcW w:w="2114" w:type="dxa"/>
            <w:vAlign w:val="center"/>
          </w:tcPr>
          <w:p>
            <w:pPr>
              <w:pStyle w:val="12"/>
            </w:pPr>
            <w:r>
              <w:t>根据鹿政办[2012]1号文件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2、涉军公益岗位工资（稽查大队）绩效目标表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13011024P00RBH0100043</w:t>
            </w:r>
          </w:p>
        </w:tc>
        <w:tc>
          <w:tcPr>
            <w:tcW w:w="2114" w:type="dxa"/>
            <w:vAlign w:val="center"/>
          </w:tcPr>
          <w:p>
            <w:pPr>
              <w:pStyle w:val="10"/>
            </w:pPr>
            <w:r>
              <w:t>项目名称</w:t>
            </w:r>
          </w:p>
        </w:tc>
        <w:tc>
          <w:tcPr>
            <w:tcW w:w="6342" w:type="dxa"/>
            <w:gridSpan w:val="3"/>
            <w:vAlign w:val="center"/>
          </w:tcPr>
          <w:p>
            <w:pPr>
              <w:pStyle w:val="12"/>
            </w:pPr>
            <w:r>
              <w:t>涉军公益岗位工资（稽查大队）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48.00</w:t>
            </w:r>
          </w:p>
        </w:tc>
        <w:tc>
          <w:tcPr>
            <w:tcW w:w="2114" w:type="dxa"/>
            <w:vAlign w:val="center"/>
          </w:tcPr>
          <w:p>
            <w:pPr>
              <w:pStyle w:val="10"/>
            </w:pPr>
            <w:r>
              <w:t>其中：财政    资金</w:t>
            </w:r>
          </w:p>
        </w:tc>
        <w:tc>
          <w:tcPr>
            <w:tcW w:w="2114" w:type="dxa"/>
            <w:vAlign w:val="center"/>
          </w:tcPr>
          <w:p>
            <w:pPr>
              <w:pStyle w:val="12"/>
            </w:pPr>
            <w:r>
              <w:t>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1.对符合政府安排工作条件的8名退役士兵，因下岗失业，生活困难的帮扶救助到位，加大就业援助工作力度，通过公益岗位予以托管安置。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退役军人公益岗位工资发放到位率</w:t>
            </w:r>
          </w:p>
        </w:tc>
        <w:tc>
          <w:tcPr>
            <w:tcW w:w="4228" w:type="dxa"/>
            <w:vAlign w:val="center"/>
          </w:tcPr>
          <w:p>
            <w:pPr>
              <w:pStyle w:val="12"/>
            </w:pPr>
            <w:r>
              <w:t>保障退役军人公益岗位工资按时足额发放人数占应发放人数的比例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退役军人公益岗位工资的发放人数</w:t>
            </w:r>
          </w:p>
        </w:tc>
        <w:tc>
          <w:tcPr>
            <w:tcW w:w="4228" w:type="dxa"/>
            <w:vAlign w:val="center"/>
          </w:tcPr>
          <w:p>
            <w:pPr>
              <w:pStyle w:val="12"/>
            </w:pPr>
            <w:r>
              <w:t>单位安置退役军人公益岗位的实际人数</w:t>
            </w:r>
          </w:p>
        </w:tc>
        <w:tc>
          <w:tcPr>
            <w:tcW w:w="2114" w:type="dxa"/>
            <w:vAlign w:val="center"/>
          </w:tcPr>
          <w:p>
            <w:pPr>
              <w:pStyle w:val="12"/>
            </w:pPr>
            <w:r>
              <w:t>8个数</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退役军人公益岗位工资发放及时率</w:t>
            </w:r>
          </w:p>
        </w:tc>
        <w:tc>
          <w:tcPr>
            <w:tcW w:w="4228" w:type="dxa"/>
            <w:vAlign w:val="center"/>
          </w:tcPr>
          <w:p>
            <w:pPr>
              <w:pStyle w:val="12"/>
            </w:pPr>
            <w:r>
              <w:t>保障退役军人公益岗位工资发放及时发放的人数占应发放总人数的比率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退役军人公益岗位工资发放标准</w:t>
            </w:r>
          </w:p>
        </w:tc>
        <w:tc>
          <w:tcPr>
            <w:tcW w:w="4228" w:type="dxa"/>
            <w:vAlign w:val="center"/>
          </w:tcPr>
          <w:p>
            <w:pPr>
              <w:pStyle w:val="12"/>
            </w:pPr>
            <w:r>
              <w:t>对符合条件的退役军人公益岗位发放的金额。</w:t>
            </w:r>
          </w:p>
        </w:tc>
        <w:tc>
          <w:tcPr>
            <w:tcW w:w="2114" w:type="dxa"/>
            <w:vAlign w:val="center"/>
          </w:tcPr>
          <w:p>
            <w:pPr>
              <w:pStyle w:val="12"/>
            </w:pPr>
            <w:r>
              <w:t>统一按照规定执行</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对退役托管帮扶到位的人数比率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石家庄市鹿泉区建筑和房地产市场稽查大队上年末固定资产金额为8.66万元（详见下表）。本年度拟购置固定资产总额为0.00万元，已按要求列入政府采购预算，详见政府采购预算表。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622.55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545.16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622.55</w:t>
            </w:r>
          </w:p>
        </w:tc>
        <w:tc>
          <w:tcPr>
            <w:tcW w:w="2959" w:type="dxa"/>
            <w:vAlign w:val="center"/>
          </w:tcPr>
          <w:p>
            <w:pPr>
              <w:pStyle w:val="14"/>
            </w:pPr>
            <w:r>
              <w:t>本年支出合计</w:t>
            </w:r>
          </w:p>
        </w:tc>
        <w:tc>
          <w:tcPr>
            <w:tcW w:w="2959" w:type="dxa"/>
            <w:vAlign w:val="center"/>
          </w:tcPr>
          <w:p>
            <w:pPr>
              <w:pStyle w:val="15"/>
            </w:pPr>
            <w:r>
              <w:t>622.55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622.55</w:t>
            </w:r>
          </w:p>
        </w:tc>
        <w:tc>
          <w:tcPr>
            <w:tcW w:w="2959" w:type="dxa"/>
            <w:vAlign w:val="center"/>
          </w:tcPr>
          <w:p>
            <w:pPr>
              <w:pStyle w:val="14"/>
            </w:pPr>
            <w:r>
              <w:t>支出总计</w:t>
            </w:r>
          </w:p>
        </w:tc>
        <w:tc>
          <w:tcPr>
            <w:tcW w:w="2959" w:type="dxa"/>
            <w:vAlign w:val="center"/>
          </w:tcPr>
          <w:p>
            <w:pPr>
              <w:pStyle w:val="15"/>
            </w:pPr>
            <w:r>
              <w:t>622.55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622.55</w:t>
            </w:r>
          </w:p>
        </w:tc>
        <w:tc>
          <w:tcPr>
            <w:tcW w:w="1095" w:type="dxa"/>
            <w:vAlign w:val="center"/>
          </w:tcPr>
          <w:p>
            <w:pPr>
              <w:pStyle w:val="15"/>
            </w:pPr>
            <w:r>
              <w:t>383.51</w:t>
            </w:r>
          </w:p>
        </w:tc>
        <w:tc>
          <w:tcPr>
            <w:tcW w:w="1095" w:type="dxa"/>
            <w:vAlign w:val="center"/>
          </w:tcPr>
          <w:p>
            <w:pPr>
              <w:pStyle w:val="15"/>
            </w:pPr>
            <w:r>
              <w:t>239.04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5.04</w:t>
            </w:r>
          </w:p>
        </w:tc>
        <w:tc>
          <w:tcPr>
            <w:tcW w:w="1095" w:type="dxa"/>
            <w:vAlign w:val="center"/>
          </w:tcPr>
          <w:p>
            <w:pPr>
              <w:pStyle w:val="11"/>
            </w:pPr>
            <w:r>
              <w:t>5.04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27.33</w:t>
            </w:r>
          </w:p>
        </w:tc>
        <w:tc>
          <w:tcPr>
            <w:tcW w:w="1095" w:type="dxa"/>
            <w:vAlign w:val="center"/>
          </w:tcPr>
          <w:p>
            <w:pPr>
              <w:pStyle w:val="11"/>
            </w:pPr>
            <w:r>
              <w:t>27.33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545.16</w:t>
            </w:r>
          </w:p>
        </w:tc>
        <w:tc>
          <w:tcPr>
            <w:tcW w:w="1095" w:type="dxa"/>
            <w:vAlign w:val="center"/>
          </w:tcPr>
          <w:p>
            <w:pPr>
              <w:pStyle w:val="11"/>
            </w:pPr>
            <w:r>
              <w:t>306.12</w:t>
            </w:r>
          </w:p>
        </w:tc>
        <w:tc>
          <w:tcPr>
            <w:tcW w:w="1095" w:type="dxa"/>
            <w:vAlign w:val="center"/>
          </w:tcPr>
          <w:p>
            <w:pPr>
              <w:pStyle w:val="11"/>
            </w:pPr>
            <w:r>
              <w:t>239.04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622.55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32.37</w:t>
            </w:r>
          </w:p>
        </w:tc>
        <w:tc>
          <w:tcPr>
            <w:tcW w:w="1232" w:type="dxa"/>
            <w:vAlign w:val="center"/>
          </w:tcPr>
          <w:p>
            <w:pPr>
              <w:pStyle w:val="11"/>
            </w:pPr>
            <w:r>
              <w:t>32.37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19.80</w:t>
            </w:r>
          </w:p>
        </w:tc>
        <w:tc>
          <w:tcPr>
            <w:tcW w:w="1232" w:type="dxa"/>
            <w:vAlign w:val="center"/>
          </w:tcPr>
          <w:p>
            <w:pPr>
              <w:pStyle w:val="11"/>
            </w:pPr>
            <w:r>
              <w:t>19.80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545.16</w:t>
            </w:r>
          </w:p>
        </w:tc>
        <w:tc>
          <w:tcPr>
            <w:tcW w:w="1232" w:type="dxa"/>
            <w:vAlign w:val="center"/>
          </w:tcPr>
          <w:p>
            <w:pPr>
              <w:pStyle w:val="11"/>
            </w:pPr>
            <w:r>
              <w:t>545.16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25.22</w:t>
            </w:r>
          </w:p>
        </w:tc>
        <w:tc>
          <w:tcPr>
            <w:tcW w:w="1232" w:type="dxa"/>
            <w:vAlign w:val="center"/>
          </w:tcPr>
          <w:p>
            <w:pPr>
              <w:pStyle w:val="11"/>
            </w:pPr>
            <w:r>
              <w:t>25.22</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622.55</w:t>
            </w:r>
          </w:p>
        </w:tc>
        <w:tc>
          <w:tcPr>
            <w:tcW w:w="1232" w:type="dxa"/>
            <w:vAlign w:val="center"/>
          </w:tcPr>
          <w:p>
            <w:pPr>
              <w:pStyle w:val="14"/>
            </w:pPr>
            <w:r>
              <w:t>本年支出合计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622.55</w:t>
            </w:r>
          </w:p>
        </w:tc>
        <w:tc>
          <w:tcPr>
            <w:tcW w:w="1232" w:type="dxa"/>
            <w:vAlign w:val="center"/>
          </w:tcPr>
          <w:p>
            <w:pPr>
              <w:pStyle w:val="14"/>
            </w:pPr>
            <w:r>
              <w:t>支出总计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622.55</w:t>
            </w:r>
          </w:p>
        </w:tc>
        <w:tc>
          <w:tcPr>
            <w:tcW w:w="1643" w:type="dxa"/>
            <w:vAlign w:val="center"/>
          </w:tcPr>
          <w:p>
            <w:pPr>
              <w:pStyle w:val="15"/>
            </w:pPr>
            <w:r>
              <w:t>383.51</w:t>
            </w:r>
          </w:p>
        </w:tc>
        <w:tc>
          <w:tcPr>
            <w:tcW w:w="1643" w:type="dxa"/>
            <w:vAlign w:val="center"/>
          </w:tcPr>
          <w:p>
            <w:pPr>
              <w:pStyle w:val="15"/>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5.04</w:t>
            </w:r>
          </w:p>
        </w:tc>
        <w:tc>
          <w:tcPr>
            <w:tcW w:w="1643" w:type="dxa"/>
            <w:vAlign w:val="center"/>
          </w:tcPr>
          <w:p>
            <w:pPr>
              <w:pStyle w:val="11"/>
            </w:pPr>
            <w:r>
              <w:t>5.04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545.16</w:t>
            </w:r>
          </w:p>
        </w:tc>
        <w:tc>
          <w:tcPr>
            <w:tcW w:w="1643" w:type="dxa"/>
            <w:vAlign w:val="center"/>
          </w:tcPr>
          <w:p>
            <w:pPr>
              <w:pStyle w:val="11"/>
            </w:pPr>
            <w:r>
              <w:t>306.12</w:t>
            </w:r>
          </w:p>
        </w:tc>
        <w:tc>
          <w:tcPr>
            <w:tcW w:w="1643" w:type="dxa"/>
            <w:vAlign w:val="center"/>
          </w:tcPr>
          <w:p>
            <w:pPr>
              <w:pStyle w:val="11"/>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383.51</w:t>
            </w:r>
          </w:p>
        </w:tc>
        <w:tc>
          <w:tcPr>
            <w:tcW w:w="1643" w:type="dxa"/>
            <w:vAlign w:val="center"/>
          </w:tcPr>
          <w:p>
            <w:pPr>
              <w:pStyle w:val="15"/>
            </w:pPr>
            <w:r>
              <w:t>294.08</w:t>
            </w:r>
          </w:p>
        </w:tc>
        <w:tc>
          <w:tcPr>
            <w:tcW w:w="1643" w:type="dxa"/>
            <w:vAlign w:val="center"/>
          </w:tcPr>
          <w:p>
            <w:pPr>
              <w:pStyle w:val="15"/>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289.22</w:t>
            </w:r>
          </w:p>
        </w:tc>
        <w:tc>
          <w:tcPr>
            <w:tcW w:w="1643" w:type="dxa"/>
            <w:vAlign w:val="center"/>
          </w:tcPr>
          <w:p>
            <w:pPr>
              <w:pStyle w:val="11"/>
            </w:pPr>
            <w:r>
              <w:t>289.22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73.59</w:t>
            </w:r>
          </w:p>
        </w:tc>
        <w:tc>
          <w:tcPr>
            <w:tcW w:w="1643" w:type="dxa"/>
            <w:vAlign w:val="center"/>
          </w:tcPr>
          <w:p>
            <w:pPr>
              <w:pStyle w:val="11"/>
            </w:pPr>
            <w:r>
              <w:t>73.59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14.55</w:t>
            </w:r>
          </w:p>
        </w:tc>
        <w:tc>
          <w:tcPr>
            <w:tcW w:w="1643" w:type="dxa"/>
            <w:vAlign w:val="center"/>
          </w:tcPr>
          <w:p>
            <w:pPr>
              <w:pStyle w:val="11"/>
            </w:pPr>
            <w:r>
              <w:t>14.55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122.21</w:t>
            </w:r>
          </w:p>
        </w:tc>
        <w:tc>
          <w:tcPr>
            <w:tcW w:w="1643" w:type="dxa"/>
            <w:vAlign w:val="center"/>
          </w:tcPr>
          <w:p>
            <w:pPr>
              <w:pStyle w:val="11"/>
            </w:pPr>
            <w:r>
              <w:t>122.21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11.16</w:t>
            </w:r>
          </w:p>
        </w:tc>
        <w:tc>
          <w:tcPr>
            <w:tcW w:w="1643" w:type="dxa"/>
            <w:vAlign w:val="center"/>
          </w:tcPr>
          <w:p>
            <w:pPr>
              <w:pStyle w:val="11"/>
            </w:pPr>
            <w:r>
              <w:t>11.16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8.64</w:t>
            </w:r>
          </w:p>
        </w:tc>
        <w:tc>
          <w:tcPr>
            <w:tcW w:w="1643" w:type="dxa"/>
            <w:vAlign w:val="center"/>
          </w:tcPr>
          <w:p>
            <w:pPr>
              <w:pStyle w:val="11"/>
            </w:pPr>
            <w:r>
              <w:t>8.64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6.53</w:t>
            </w:r>
          </w:p>
        </w:tc>
        <w:tc>
          <w:tcPr>
            <w:tcW w:w="1643" w:type="dxa"/>
            <w:vAlign w:val="center"/>
          </w:tcPr>
          <w:p>
            <w:pPr>
              <w:pStyle w:val="11"/>
            </w:pPr>
            <w:r>
              <w:t>6.53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89.43</w:t>
            </w:r>
          </w:p>
        </w:tc>
        <w:tc>
          <w:tcPr>
            <w:tcW w:w="1643" w:type="dxa"/>
            <w:vAlign w:val="center"/>
          </w:tcPr>
          <w:p>
            <w:pPr>
              <w:pStyle w:val="11"/>
            </w:pPr>
          </w:p>
        </w:tc>
        <w:tc>
          <w:tcPr>
            <w:tcW w:w="1643" w:type="dxa"/>
            <w:vAlign w:val="center"/>
          </w:tcPr>
          <w:p>
            <w:pPr>
              <w:pStyle w:val="11"/>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10.20</w:t>
            </w:r>
          </w:p>
        </w:tc>
        <w:tc>
          <w:tcPr>
            <w:tcW w:w="1643" w:type="dxa"/>
            <w:vAlign w:val="center"/>
          </w:tcPr>
          <w:p>
            <w:pPr>
              <w:pStyle w:val="11"/>
            </w:pPr>
          </w:p>
        </w:tc>
        <w:tc>
          <w:tcPr>
            <w:tcW w:w="1643"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75.47</w:t>
            </w:r>
          </w:p>
        </w:tc>
        <w:tc>
          <w:tcPr>
            <w:tcW w:w="1643" w:type="dxa"/>
            <w:vAlign w:val="center"/>
          </w:tcPr>
          <w:p>
            <w:pPr>
              <w:pStyle w:val="11"/>
            </w:pPr>
          </w:p>
        </w:tc>
        <w:tc>
          <w:tcPr>
            <w:tcW w:w="1643" w:type="dxa"/>
            <w:vAlign w:val="center"/>
          </w:tcPr>
          <w:p>
            <w:pPr>
              <w:pStyle w:val="11"/>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1.54</w:t>
            </w:r>
          </w:p>
        </w:tc>
        <w:tc>
          <w:tcPr>
            <w:tcW w:w="1643" w:type="dxa"/>
            <w:vAlign w:val="center"/>
          </w:tcPr>
          <w:p>
            <w:pPr>
              <w:pStyle w:val="11"/>
            </w:pPr>
          </w:p>
        </w:tc>
        <w:tc>
          <w:tcPr>
            <w:tcW w:w="1643"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1.84</w:t>
            </w:r>
          </w:p>
        </w:tc>
        <w:tc>
          <w:tcPr>
            <w:tcW w:w="1643" w:type="dxa"/>
            <w:vAlign w:val="center"/>
          </w:tcPr>
          <w:p>
            <w:pPr>
              <w:pStyle w:val="11"/>
            </w:pPr>
          </w:p>
        </w:tc>
        <w:tc>
          <w:tcPr>
            <w:tcW w:w="1643"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0.37</w:t>
            </w:r>
          </w:p>
        </w:tc>
        <w:tc>
          <w:tcPr>
            <w:tcW w:w="1643" w:type="dxa"/>
            <w:vAlign w:val="center"/>
          </w:tcPr>
          <w:p>
            <w:pPr>
              <w:pStyle w:val="11"/>
            </w:pPr>
          </w:p>
        </w:tc>
        <w:tc>
          <w:tcPr>
            <w:tcW w:w="1643"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石家庄市鹿泉区城市建设服务中心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622.55万元，其中：一般公共预算收入622.55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2024年支出预算622.55万元，其中基本支出383.51万元，包括人员经费294.08万元和日常公用经费89.43万元；项目支出239.04万元，主要为涉军人员工资，泵站管护费、入管网企业检测费，石家庄市民兵训练基地。</w:t>
      </w:r>
    </w:p>
    <w:p>
      <w:pPr>
        <w:pStyle w:val="18"/>
      </w:pPr>
      <w:r>
        <w:t>3、比上年增减情况</w:t>
      </w:r>
    </w:p>
    <w:p>
      <w:pPr>
        <w:pStyle w:val="18"/>
      </w:pPr>
      <w:r>
        <w:t>2024年预算收支安排622.55万元，较2023年预算减少127.17万元，其中：基本支出减少4.11万元，主要为人员工资和社保费减少项目支出减少123.06万元，主要为泵站管护费和石家庄市民兵训练基地项目收入减少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2024年，我单位机关运行经费共计安排89.43万元，主要用于日常维修、办公用房水电费、办公用房取暖费、办公用房物业管理费等日常运行支出。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1、2024年入管网企业检测费绩效目标表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13011024P000001101222</w:t>
            </w:r>
          </w:p>
        </w:tc>
        <w:tc>
          <w:tcPr>
            <w:tcW w:w="2114" w:type="dxa"/>
            <w:vAlign w:val="center"/>
          </w:tcPr>
          <w:p>
            <w:pPr>
              <w:pStyle w:val="10"/>
            </w:pPr>
            <w:r>
              <w:t>项目名称</w:t>
            </w:r>
          </w:p>
        </w:tc>
        <w:tc>
          <w:tcPr>
            <w:tcW w:w="6342" w:type="dxa"/>
            <w:gridSpan w:val="3"/>
            <w:vAlign w:val="center"/>
          </w:tcPr>
          <w:p>
            <w:pPr>
              <w:pStyle w:val="12"/>
            </w:pPr>
            <w:r>
              <w:t>2024年入管网企业检测费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1.聘请第三方对65家企业进行水质检测，确保检测后入管网企业排水达标排放，污水处理厂进水水质达标。</w:t>
            </w:r>
          </w:p>
          <w:p>
            <w:pPr>
              <w:pStyle w:val="12"/>
            </w:pP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污水检测雇佣人数</w:t>
            </w:r>
          </w:p>
        </w:tc>
        <w:tc>
          <w:tcPr>
            <w:tcW w:w="4228" w:type="dxa"/>
            <w:vAlign w:val="center"/>
          </w:tcPr>
          <w:p>
            <w:pPr>
              <w:pStyle w:val="12"/>
            </w:pPr>
            <w:r>
              <w:t>污水排放检测人员</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污水检测数量</w:t>
            </w:r>
          </w:p>
        </w:tc>
        <w:tc>
          <w:tcPr>
            <w:tcW w:w="4228" w:type="dxa"/>
            <w:vAlign w:val="center"/>
          </w:tcPr>
          <w:p>
            <w:pPr>
              <w:pStyle w:val="12"/>
            </w:pPr>
            <w:r>
              <w:t>检测接入污水管网单位数量</w:t>
            </w:r>
          </w:p>
        </w:tc>
        <w:tc>
          <w:tcPr>
            <w:tcW w:w="2114" w:type="dxa"/>
            <w:vAlign w:val="center"/>
          </w:tcPr>
          <w:p>
            <w:pPr>
              <w:pStyle w:val="12"/>
            </w:pPr>
            <w:r>
              <w:t>≥65家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检测准确率</w:t>
            </w:r>
          </w:p>
        </w:tc>
        <w:tc>
          <w:tcPr>
            <w:tcW w:w="4228" w:type="dxa"/>
            <w:vAlign w:val="center"/>
          </w:tcPr>
          <w:p>
            <w:pPr>
              <w:pStyle w:val="12"/>
            </w:pPr>
            <w:r>
              <w:t>检测水质数据准确率达到百分比</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污水检测成本</w:t>
            </w:r>
          </w:p>
        </w:tc>
        <w:tc>
          <w:tcPr>
            <w:tcW w:w="4228" w:type="dxa"/>
            <w:vAlign w:val="center"/>
          </w:tcPr>
          <w:p>
            <w:pPr>
              <w:pStyle w:val="12"/>
            </w:pPr>
            <w:r>
              <w:t>用于对入管网企业污水排放主要指标检测费用</w:t>
            </w:r>
          </w:p>
        </w:tc>
        <w:tc>
          <w:tcPr>
            <w:tcW w:w="2114" w:type="dxa"/>
            <w:vAlign w:val="center"/>
          </w:tcPr>
          <w:p>
            <w:pPr>
              <w:pStyle w:val="12"/>
            </w:pPr>
            <w:r>
              <w:t>≤32万元</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检测及时率</w:t>
            </w:r>
          </w:p>
        </w:tc>
        <w:tc>
          <w:tcPr>
            <w:tcW w:w="4228" w:type="dxa"/>
            <w:vAlign w:val="center"/>
          </w:tcPr>
          <w:p>
            <w:pPr>
              <w:pStyle w:val="12"/>
            </w:pPr>
            <w:r>
              <w:t>每年对入管网单位抽检率达到百分比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入管网单位排水达标</w:t>
            </w:r>
          </w:p>
        </w:tc>
        <w:tc>
          <w:tcPr>
            <w:tcW w:w="4228" w:type="dxa"/>
            <w:vAlign w:val="center"/>
          </w:tcPr>
          <w:p>
            <w:pPr>
              <w:pStyle w:val="12"/>
            </w:pPr>
            <w:r>
              <w:t>确保入管网单位排水达到污水处理厂进水标准</w:t>
            </w:r>
          </w:p>
        </w:tc>
        <w:tc>
          <w:tcPr>
            <w:tcW w:w="2114" w:type="dxa"/>
            <w:vAlign w:val="center"/>
          </w:tcPr>
          <w:p>
            <w:pPr>
              <w:pStyle w:val="12"/>
            </w:pPr>
            <w:r>
              <w:t>达标排放</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检测对象满意度</w:t>
            </w:r>
          </w:p>
        </w:tc>
        <w:tc>
          <w:tcPr>
            <w:tcW w:w="4228" w:type="dxa"/>
            <w:vAlign w:val="center"/>
          </w:tcPr>
          <w:p>
            <w:pPr>
              <w:pStyle w:val="12"/>
            </w:pPr>
            <w:r>
              <w:t>对入管网企业检测服务对象满意度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2、2024年山尹村镇提升泵站运行费绩效目标表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13011024P000001101249</w:t>
            </w:r>
          </w:p>
        </w:tc>
        <w:tc>
          <w:tcPr>
            <w:tcW w:w="2114" w:type="dxa"/>
            <w:vAlign w:val="center"/>
          </w:tcPr>
          <w:p>
            <w:pPr>
              <w:pStyle w:val="10"/>
            </w:pPr>
            <w:r>
              <w:t>项目名称</w:t>
            </w:r>
          </w:p>
        </w:tc>
        <w:tc>
          <w:tcPr>
            <w:tcW w:w="6342" w:type="dxa"/>
            <w:gridSpan w:val="3"/>
            <w:vAlign w:val="center"/>
          </w:tcPr>
          <w:p>
            <w:pPr>
              <w:pStyle w:val="12"/>
            </w:pPr>
            <w:r>
              <w:t>2024年山尹村镇提升泵站运行费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每天派专人24小时对泵站进行管理运行</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维护泵站设备完成率</w:t>
            </w:r>
          </w:p>
        </w:tc>
        <w:tc>
          <w:tcPr>
            <w:tcW w:w="4228" w:type="dxa"/>
            <w:vAlign w:val="center"/>
          </w:tcPr>
          <w:p>
            <w:pPr>
              <w:pStyle w:val="12"/>
            </w:pPr>
            <w:r>
              <w:t>维护泵站设备正常运行维护全年合格率达到百分比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维护泵站设备及时率</w:t>
            </w:r>
          </w:p>
        </w:tc>
        <w:tc>
          <w:tcPr>
            <w:tcW w:w="4228" w:type="dxa"/>
            <w:vAlign w:val="center"/>
          </w:tcPr>
          <w:p>
            <w:pPr>
              <w:pStyle w:val="12"/>
            </w:pPr>
            <w:r>
              <w:t>维护泵站提升设备损坏、维修修复及时率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维护泵站日常运行、维修、管护、工资、电费等</w:t>
            </w:r>
          </w:p>
        </w:tc>
        <w:tc>
          <w:tcPr>
            <w:tcW w:w="2114" w:type="dxa"/>
            <w:vAlign w:val="center"/>
          </w:tcPr>
          <w:p>
            <w:pPr>
              <w:pStyle w:val="12"/>
            </w:pPr>
            <w:r>
              <w:t>63.36万元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解决周边企业居民污水收集处理</w:t>
            </w:r>
          </w:p>
        </w:tc>
        <w:tc>
          <w:tcPr>
            <w:tcW w:w="4228" w:type="dxa"/>
            <w:vAlign w:val="center"/>
          </w:tcPr>
          <w:p>
            <w:pPr>
              <w:pStyle w:val="12"/>
            </w:pPr>
            <w:r>
              <w:t>解决山尹村周边小区居民生活污水集中收集处理问题</w:t>
            </w:r>
          </w:p>
        </w:tc>
        <w:tc>
          <w:tcPr>
            <w:tcW w:w="2114" w:type="dxa"/>
            <w:vAlign w:val="center"/>
          </w:tcPr>
          <w:p>
            <w:pPr>
              <w:pStyle w:val="12"/>
            </w:pPr>
            <w:r>
              <w:t>确保泵站正常运行</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杜绝污水污染环境</w:t>
            </w:r>
          </w:p>
        </w:tc>
        <w:tc>
          <w:tcPr>
            <w:tcW w:w="4228" w:type="dxa"/>
            <w:vAlign w:val="center"/>
          </w:tcPr>
          <w:p>
            <w:pPr>
              <w:pStyle w:val="12"/>
            </w:pPr>
            <w:r>
              <w:t>确保污水收集处理设施正常运行，杜绝水环境污染，改善水环境</w:t>
            </w:r>
          </w:p>
        </w:tc>
        <w:tc>
          <w:tcPr>
            <w:tcW w:w="2114" w:type="dxa"/>
            <w:vAlign w:val="center"/>
          </w:tcPr>
          <w:p>
            <w:pPr>
              <w:pStyle w:val="12"/>
            </w:pPr>
            <w:r>
              <w:t>泵站设备正常运行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3、2024年涉军劳务派遣工资（城建中心）绩效目标表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13011024P000001101274</w:t>
            </w:r>
          </w:p>
        </w:tc>
        <w:tc>
          <w:tcPr>
            <w:tcW w:w="2114" w:type="dxa"/>
            <w:vAlign w:val="center"/>
          </w:tcPr>
          <w:p>
            <w:pPr>
              <w:pStyle w:val="10"/>
            </w:pPr>
            <w:r>
              <w:t>项目名称</w:t>
            </w:r>
          </w:p>
        </w:tc>
        <w:tc>
          <w:tcPr>
            <w:tcW w:w="6342" w:type="dxa"/>
            <w:gridSpan w:val="3"/>
            <w:vAlign w:val="center"/>
          </w:tcPr>
          <w:p>
            <w:pPr>
              <w:pStyle w:val="12"/>
            </w:pPr>
            <w:r>
              <w:t>2024年涉军劳务派遣工资（城建中心）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53.32</w:t>
            </w:r>
          </w:p>
        </w:tc>
        <w:tc>
          <w:tcPr>
            <w:tcW w:w="2114" w:type="dxa"/>
            <w:vAlign w:val="center"/>
          </w:tcPr>
          <w:p>
            <w:pPr>
              <w:pStyle w:val="10"/>
            </w:pPr>
            <w:r>
              <w:t>其中：财政    资金</w:t>
            </w:r>
          </w:p>
        </w:tc>
        <w:tc>
          <w:tcPr>
            <w:tcW w:w="2114" w:type="dxa"/>
            <w:vAlign w:val="center"/>
          </w:tcPr>
          <w:p>
            <w:pPr>
              <w:pStyle w:val="12"/>
            </w:pPr>
            <w:r>
              <w:t>53.32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1.目标内容1对符合条件的退役军人9人，实行公益岗位托管安置，帮扶到位，加大就业援助力度。工资、社保费、暖气费共计53.32万元。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退役退役人员资金发放标准</w:t>
            </w:r>
          </w:p>
        </w:tc>
        <w:tc>
          <w:tcPr>
            <w:tcW w:w="4228" w:type="dxa"/>
            <w:vAlign w:val="center"/>
          </w:tcPr>
          <w:p>
            <w:pPr>
              <w:pStyle w:val="12"/>
            </w:pPr>
            <w:r>
              <w:t>对符合条件的退役军人发放特金额</w:t>
            </w:r>
          </w:p>
        </w:tc>
        <w:tc>
          <w:tcPr>
            <w:tcW w:w="2114" w:type="dxa"/>
            <w:vAlign w:val="center"/>
          </w:tcPr>
          <w:p>
            <w:pPr>
              <w:pStyle w:val="12"/>
            </w:pPr>
            <w:r>
              <w:t>≤533128.32元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9个</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4、2024年石家庄市民兵训练基地升级改造项目绩效目标表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13011024P00000110125W</w:t>
            </w:r>
          </w:p>
        </w:tc>
        <w:tc>
          <w:tcPr>
            <w:tcW w:w="2114" w:type="dxa"/>
            <w:vAlign w:val="center"/>
          </w:tcPr>
          <w:p>
            <w:pPr>
              <w:pStyle w:val="10"/>
            </w:pPr>
            <w:r>
              <w:t>项目名称</w:t>
            </w:r>
          </w:p>
        </w:tc>
        <w:tc>
          <w:tcPr>
            <w:tcW w:w="6342" w:type="dxa"/>
            <w:gridSpan w:val="3"/>
            <w:vAlign w:val="center"/>
          </w:tcPr>
          <w:p>
            <w:pPr>
              <w:pStyle w:val="12"/>
            </w:pPr>
            <w:r>
              <w:t>2024年石家庄市民兵训练基地升级改造项目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1.室内装修建筑面积7039.8平方米，外墙真石漆面积13403平方米，更换外窗面积341平方米，靶台升级面积348平方米，餐厅改造面积226平方米，更换院落面积约932平方米，增加塑胶路面2849平方米。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新建室内装修面积</w:t>
            </w:r>
          </w:p>
        </w:tc>
        <w:tc>
          <w:tcPr>
            <w:tcW w:w="4228" w:type="dxa"/>
            <w:vAlign w:val="center"/>
          </w:tcPr>
          <w:p>
            <w:pPr>
              <w:pStyle w:val="12"/>
            </w:pPr>
            <w:r>
              <w:t>反映项目新建的室内装修面积</w:t>
            </w:r>
          </w:p>
        </w:tc>
        <w:tc>
          <w:tcPr>
            <w:tcW w:w="2114" w:type="dxa"/>
            <w:vAlign w:val="center"/>
          </w:tcPr>
          <w:p>
            <w:pPr>
              <w:pStyle w:val="12"/>
            </w:pPr>
            <w:r>
              <w:t>7040平方米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新增外墙装修的面积</w:t>
            </w:r>
          </w:p>
        </w:tc>
        <w:tc>
          <w:tcPr>
            <w:tcW w:w="4228" w:type="dxa"/>
            <w:vAlign w:val="center"/>
          </w:tcPr>
          <w:p>
            <w:pPr>
              <w:pStyle w:val="12"/>
            </w:pPr>
            <w:r>
              <w:t>反映新增的外墙装修的面积</w:t>
            </w:r>
          </w:p>
        </w:tc>
        <w:tc>
          <w:tcPr>
            <w:tcW w:w="2114" w:type="dxa"/>
            <w:vAlign w:val="center"/>
          </w:tcPr>
          <w:p>
            <w:pPr>
              <w:pStyle w:val="12"/>
            </w:pPr>
            <w:r>
              <w:t>10383平方米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改造项目部分成本</w:t>
            </w:r>
          </w:p>
        </w:tc>
        <w:tc>
          <w:tcPr>
            <w:tcW w:w="2114" w:type="dxa"/>
            <w:vAlign w:val="center"/>
          </w:tcPr>
          <w:p>
            <w:pPr>
              <w:pStyle w:val="12"/>
            </w:pPr>
            <w:r>
              <w:t>≤400万元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通过验收的工程量占总工程量的比率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按期完成工程量占总工程量的比率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增强服务保障能力。</w:t>
            </w:r>
          </w:p>
        </w:tc>
        <w:tc>
          <w:tcPr>
            <w:tcW w:w="4228" w:type="dxa"/>
            <w:vAlign w:val="center"/>
          </w:tcPr>
          <w:p>
            <w:pPr>
              <w:pStyle w:val="12"/>
            </w:pPr>
            <w:r>
              <w:t>按照省市要求建设，增强国防保障训练场地的能力</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服务对象的满意程度</w:t>
            </w:r>
          </w:p>
        </w:tc>
        <w:tc>
          <w:tcPr>
            <w:tcW w:w="4228" w:type="dxa"/>
            <w:vAlign w:val="center"/>
          </w:tcPr>
          <w:p>
            <w:pPr>
              <w:pStyle w:val="12"/>
            </w:pPr>
            <w:r>
              <w:t>民兵训练基地服务对象的满意程度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5、2024年污水管网及泵站管护费绩效目标表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13011024P00000110123M</w:t>
            </w:r>
          </w:p>
        </w:tc>
        <w:tc>
          <w:tcPr>
            <w:tcW w:w="2114" w:type="dxa"/>
            <w:vAlign w:val="center"/>
          </w:tcPr>
          <w:p>
            <w:pPr>
              <w:pStyle w:val="10"/>
            </w:pPr>
            <w:r>
              <w:t>项目名称</w:t>
            </w:r>
          </w:p>
        </w:tc>
        <w:tc>
          <w:tcPr>
            <w:tcW w:w="6342" w:type="dxa"/>
            <w:gridSpan w:val="3"/>
            <w:vAlign w:val="center"/>
          </w:tcPr>
          <w:p>
            <w:pPr>
              <w:pStyle w:val="12"/>
            </w:pPr>
            <w:r>
              <w:t>2024年污水管网及泵站管护费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105.72</w:t>
            </w:r>
          </w:p>
        </w:tc>
        <w:tc>
          <w:tcPr>
            <w:tcW w:w="2114" w:type="dxa"/>
            <w:vAlign w:val="center"/>
          </w:tcPr>
          <w:p>
            <w:pPr>
              <w:pStyle w:val="10"/>
            </w:pPr>
            <w:r>
              <w:t>其中：财政    资金</w:t>
            </w:r>
          </w:p>
        </w:tc>
        <w:tc>
          <w:tcPr>
            <w:tcW w:w="2114" w:type="dxa"/>
            <w:vAlign w:val="center"/>
          </w:tcPr>
          <w:p>
            <w:pPr>
              <w:pStyle w:val="12"/>
            </w:pPr>
            <w:r>
              <w:t>105.72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运行费、电费、设备维护、污水管网巡查、维修费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维护泵站管网运行人员</w:t>
            </w:r>
          </w:p>
        </w:tc>
        <w:tc>
          <w:tcPr>
            <w:tcW w:w="2114" w:type="dxa"/>
            <w:vAlign w:val="center"/>
          </w:tcPr>
          <w:p>
            <w:pPr>
              <w:pStyle w:val="12"/>
            </w:pPr>
            <w:r>
              <w:t>≥30人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维护管网长度</w:t>
            </w:r>
          </w:p>
        </w:tc>
        <w:tc>
          <w:tcPr>
            <w:tcW w:w="4228" w:type="dxa"/>
            <w:vAlign w:val="center"/>
          </w:tcPr>
          <w:p>
            <w:pPr>
              <w:pStyle w:val="12"/>
            </w:pPr>
            <w:r>
              <w:t>维护泵站污水管网管护长度</w:t>
            </w:r>
          </w:p>
        </w:tc>
        <w:tc>
          <w:tcPr>
            <w:tcW w:w="2114" w:type="dxa"/>
            <w:vAlign w:val="center"/>
          </w:tcPr>
          <w:p>
            <w:pPr>
              <w:pStyle w:val="12"/>
            </w:pPr>
            <w:r>
              <w:t>≥50公里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维护污水管网及时率</w:t>
            </w:r>
          </w:p>
        </w:tc>
        <w:tc>
          <w:tcPr>
            <w:tcW w:w="4228" w:type="dxa"/>
            <w:vAlign w:val="center"/>
          </w:tcPr>
          <w:p>
            <w:pPr>
              <w:pStyle w:val="12"/>
            </w:pPr>
            <w:r>
              <w:t>维护污水管道损坏及修复及时率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维护泵站、管网日常运行、维修、管护、工资、电费等</w:t>
            </w:r>
          </w:p>
        </w:tc>
        <w:tc>
          <w:tcPr>
            <w:tcW w:w="2114" w:type="dxa"/>
            <w:vAlign w:val="center"/>
          </w:tcPr>
          <w:p>
            <w:pPr>
              <w:pStyle w:val="12"/>
            </w:pPr>
            <w:r>
              <w:t>266.37万元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维护泵站管网完成率</w:t>
            </w:r>
          </w:p>
        </w:tc>
        <w:tc>
          <w:tcPr>
            <w:tcW w:w="4228" w:type="dxa"/>
            <w:vAlign w:val="center"/>
          </w:tcPr>
          <w:p>
            <w:pPr>
              <w:pStyle w:val="12"/>
            </w:pPr>
            <w:r>
              <w:t>维护泵站管网全年合格率达到百分比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解决周边企业居民污水收集处理</w:t>
            </w:r>
          </w:p>
        </w:tc>
        <w:tc>
          <w:tcPr>
            <w:tcW w:w="4228" w:type="dxa"/>
            <w:vAlign w:val="center"/>
          </w:tcPr>
          <w:p>
            <w:pPr>
              <w:pStyle w:val="12"/>
            </w:pPr>
            <w:r>
              <w:t>解决主管网周边居民生活污水集中收集处理问题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846.13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152.48</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33.85</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617.70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846.13</w:t>
            </w:r>
          </w:p>
        </w:tc>
        <w:tc>
          <w:tcPr>
            <w:tcW w:w="2959" w:type="dxa"/>
            <w:vAlign w:val="center"/>
          </w:tcPr>
          <w:p>
            <w:pPr>
              <w:pStyle w:val="14"/>
            </w:pPr>
            <w:r>
              <w:t>本年支出合计</w:t>
            </w:r>
          </w:p>
        </w:tc>
        <w:tc>
          <w:tcPr>
            <w:tcW w:w="2959" w:type="dxa"/>
            <w:vAlign w:val="center"/>
          </w:tcPr>
          <w:p>
            <w:pPr>
              <w:pStyle w:val="15"/>
            </w:pPr>
            <w:r>
              <w:t>846.13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846.13</w:t>
            </w:r>
          </w:p>
        </w:tc>
        <w:tc>
          <w:tcPr>
            <w:tcW w:w="2959" w:type="dxa"/>
            <w:vAlign w:val="center"/>
          </w:tcPr>
          <w:p>
            <w:pPr>
              <w:pStyle w:val="14"/>
            </w:pPr>
            <w:r>
              <w:t>支出总计</w:t>
            </w:r>
          </w:p>
        </w:tc>
        <w:tc>
          <w:tcPr>
            <w:tcW w:w="2959" w:type="dxa"/>
            <w:vAlign w:val="center"/>
          </w:tcPr>
          <w:p>
            <w:pPr>
              <w:pStyle w:val="15"/>
            </w:pPr>
            <w:r>
              <w:t>846.13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846.13</w:t>
            </w:r>
          </w:p>
        </w:tc>
        <w:tc>
          <w:tcPr>
            <w:tcW w:w="1095" w:type="dxa"/>
            <w:vAlign w:val="center"/>
          </w:tcPr>
          <w:p>
            <w:pPr>
              <w:pStyle w:val="15"/>
            </w:pPr>
            <w:r>
              <w:t>760.03</w:t>
            </w:r>
          </w:p>
        </w:tc>
        <w:tc>
          <w:tcPr>
            <w:tcW w:w="1095" w:type="dxa"/>
            <w:vAlign w:val="center"/>
          </w:tcPr>
          <w:p>
            <w:pPr>
              <w:pStyle w:val="15"/>
            </w:pPr>
            <w:r>
              <w:t>86.10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84.27</w:t>
            </w:r>
          </w:p>
        </w:tc>
        <w:tc>
          <w:tcPr>
            <w:tcW w:w="1095" w:type="dxa"/>
            <w:vAlign w:val="center"/>
          </w:tcPr>
          <w:p>
            <w:pPr>
              <w:pStyle w:val="11"/>
            </w:pPr>
            <w:r>
              <w:t>84.27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45.48</w:t>
            </w:r>
          </w:p>
        </w:tc>
        <w:tc>
          <w:tcPr>
            <w:tcW w:w="1095" w:type="dxa"/>
            <w:vAlign w:val="center"/>
          </w:tcPr>
          <w:p>
            <w:pPr>
              <w:pStyle w:val="11"/>
            </w:pPr>
            <w:r>
              <w:t>45.48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22.74</w:t>
            </w:r>
          </w:p>
        </w:tc>
        <w:tc>
          <w:tcPr>
            <w:tcW w:w="1095" w:type="dxa"/>
            <w:vAlign w:val="center"/>
          </w:tcPr>
          <w:p>
            <w:pPr>
              <w:pStyle w:val="11"/>
            </w:pPr>
            <w:r>
              <w:t>22.74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531.60</w:t>
            </w:r>
          </w:p>
        </w:tc>
        <w:tc>
          <w:tcPr>
            <w:tcW w:w="1095" w:type="dxa"/>
            <w:vAlign w:val="center"/>
          </w:tcPr>
          <w:p>
            <w:pPr>
              <w:pStyle w:val="11"/>
            </w:pPr>
            <w:r>
              <w:t>531.60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846.13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152.48</w:t>
            </w:r>
          </w:p>
        </w:tc>
        <w:tc>
          <w:tcPr>
            <w:tcW w:w="1232" w:type="dxa"/>
            <w:vAlign w:val="center"/>
          </w:tcPr>
          <w:p>
            <w:pPr>
              <w:pStyle w:val="11"/>
            </w:pPr>
            <w:r>
              <w:t>152.48</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33.85</w:t>
            </w:r>
          </w:p>
        </w:tc>
        <w:tc>
          <w:tcPr>
            <w:tcW w:w="1232" w:type="dxa"/>
            <w:vAlign w:val="center"/>
          </w:tcPr>
          <w:p>
            <w:pPr>
              <w:pStyle w:val="11"/>
            </w:pPr>
            <w:r>
              <w:t>33.85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617.70</w:t>
            </w:r>
          </w:p>
        </w:tc>
        <w:tc>
          <w:tcPr>
            <w:tcW w:w="1232" w:type="dxa"/>
            <w:vAlign w:val="center"/>
          </w:tcPr>
          <w:p>
            <w:pPr>
              <w:pStyle w:val="11"/>
            </w:pPr>
            <w:r>
              <w:t>617.70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42.10</w:t>
            </w:r>
          </w:p>
        </w:tc>
        <w:tc>
          <w:tcPr>
            <w:tcW w:w="1232" w:type="dxa"/>
            <w:vAlign w:val="center"/>
          </w:tcPr>
          <w:p>
            <w:pPr>
              <w:pStyle w:val="11"/>
            </w:pPr>
            <w:r>
              <w:t>42.10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846.13</w:t>
            </w:r>
          </w:p>
        </w:tc>
        <w:tc>
          <w:tcPr>
            <w:tcW w:w="1232" w:type="dxa"/>
            <w:vAlign w:val="center"/>
          </w:tcPr>
          <w:p>
            <w:pPr>
              <w:pStyle w:val="14"/>
            </w:pPr>
            <w:r>
              <w:t>本年支出合计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846.13</w:t>
            </w:r>
          </w:p>
        </w:tc>
        <w:tc>
          <w:tcPr>
            <w:tcW w:w="1232" w:type="dxa"/>
            <w:vAlign w:val="center"/>
          </w:tcPr>
          <w:p>
            <w:pPr>
              <w:pStyle w:val="14"/>
            </w:pPr>
            <w:r>
              <w:t>支出总计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846.13</w:t>
            </w:r>
          </w:p>
        </w:tc>
        <w:tc>
          <w:tcPr>
            <w:tcW w:w="1643" w:type="dxa"/>
            <w:vAlign w:val="center"/>
          </w:tcPr>
          <w:p>
            <w:pPr>
              <w:pStyle w:val="15"/>
            </w:pPr>
            <w:r>
              <w:t>760.03</w:t>
            </w:r>
          </w:p>
        </w:tc>
        <w:tc>
          <w:tcPr>
            <w:tcW w:w="1643" w:type="dxa"/>
            <w:vAlign w:val="center"/>
          </w:tcPr>
          <w:p>
            <w:pPr>
              <w:pStyle w:val="15"/>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84.27</w:t>
            </w:r>
          </w:p>
        </w:tc>
        <w:tc>
          <w:tcPr>
            <w:tcW w:w="1643" w:type="dxa"/>
            <w:vAlign w:val="center"/>
          </w:tcPr>
          <w:p>
            <w:pPr>
              <w:pStyle w:val="11"/>
            </w:pPr>
            <w:r>
              <w:t>84.27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531.60</w:t>
            </w:r>
          </w:p>
        </w:tc>
        <w:tc>
          <w:tcPr>
            <w:tcW w:w="1643" w:type="dxa"/>
            <w:vAlign w:val="center"/>
          </w:tcPr>
          <w:p>
            <w:pPr>
              <w:pStyle w:val="11"/>
            </w:pPr>
            <w:r>
              <w:t>531.60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86.10</w:t>
            </w:r>
          </w:p>
        </w:tc>
        <w:tc>
          <w:tcPr>
            <w:tcW w:w="1643" w:type="dxa"/>
            <w:vAlign w:val="center"/>
          </w:tcPr>
          <w:p>
            <w:pPr>
              <w:pStyle w:val="11"/>
            </w:pP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760.03</w:t>
            </w:r>
          </w:p>
        </w:tc>
        <w:tc>
          <w:tcPr>
            <w:tcW w:w="1643" w:type="dxa"/>
            <w:vAlign w:val="center"/>
          </w:tcPr>
          <w:p>
            <w:pPr>
              <w:pStyle w:val="15"/>
            </w:pPr>
            <w:r>
              <w:t>592.56</w:t>
            </w:r>
          </w:p>
        </w:tc>
        <w:tc>
          <w:tcPr>
            <w:tcW w:w="1643" w:type="dxa"/>
            <w:vAlign w:val="center"/>
          </w:tcPr>
          <w:p>
            <w:pPr>
              <w:pStyle w:val="15"/>
            </w:pPr>
            <w:r>
              <w:t>167.48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507.20</w:t>
            </w:r>
          </w:p>
        </w:tc>
        <w:tc>
          <w:tcPr>
            <w:tcW w:w="1643" w:type="dxa"/>
            <w:vAlign w:val="center"/>
          </w:tcPr>
          <w:p>
            <w:pPr>
              <w:pStyle w:val="11"/>
            </w:pPr>
            <w:r>
              <w:t>507.20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122.00</w:t>
            </w:r>
          </w:p>
        </w:tc>
        <w:tc>
          <w:tcPr>
            <w:tcW w:w="1643" w:type="dxa"/>
            <w:vAlign w:val="center"/>
          </w:tcPr>
          <w:p>
            <w:pPr>
              <w:pStyle w:val="11"/>
            </w:pPr>
            <w:r>
              <w:t>122.00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24.44</w:t>
            </w:r>
          </w:p>
        </w:tc>
        <w:tc>
          <w:tcPr>
            <w:tcW w:w="1643" w:type="dxa"/>
            <w:vAlign w:val="center"/>
          </w:tcPr>
          <w:p>
            <w:pPr>
              <w:pStyle w:val="11"/>
            </w:pPr>
            <w:r>
              <w:t>24.44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204.85</w:t>
            </w:r>
          </w:p>
        </w:tc>
        <w:tc>
          <w:tcPr>
            <w:tcW w:w="1643" w:type="dxa"/>
            <w:vAlign w:val="center"/>
          </w:tcPr>
          <w:p>
            <w:pPr>
              <w:pStyle w:val="11"/>
            </w:pPr>
            <w:r>
              <w:t>204.85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19.66</w:t>
            </w:r>
          </w:p>
        </w:tc>
        <w:tc>
          <w:tcPr>
            <w:tcW w:w="1643" w:type="dxa"/>
            <w:vAlign w:val="center"/>
          </w:tcPr>
          <w:p>
            <w:pPr>
              <w:pStyle w:val="11"/>
            </w:pPr>
            <w:r>
              <w:t>19.66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14.20</w:t>
            </w:r>
          </w:p>
        </w:tc>
        <w:tc>
          <w:tcPr>
            <w:tcW w:w="1643" w:type="dxa"/>
            <w:vAlign w:val="center"/>
          </w:tcPr>
          <w:p>
            <w:pPr>
              <w:pStyle w:val="11"/>
            </w:pPr>
            <w:r>
              <w:t>14.20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11.75</w:t>
            </w:r>
          </w:p>
        </w:tc>
        <w:tc>
          <w:tcPr>
            <w:tcW w:w="1643" w:type="dxa"/>
            <w:vAlign w:val="center"/>
          </w:tcPr>
          <w:p>
            <w:pPr>
              <w:pStyle w:val="11"/>
            </w:pPr>
            <w:r>
              <w:t>11.75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167.48</w:t>
            </w:r>
          </w:p>
        </w:tc>
        <w:tc>
          <w:tcPr>
            <w:tcW w:w="1643" w:type="dxa"/>
            <w:vAlign w:val="center"/>
          </w:tcPr>
          <w:p>
            <w:pPr>
              <w:pStyle w:val="11"/>
            </w:pPr>
          </w:p>
        </w:tc>
        <w:tc>
          <w:tcPr>
            <w:tcW w:w="1643" w:type="dxa"/>
            <w:vAlign w:val="center"/>
          </w:tcPr>
          <w:p>
            <w:pPr>
              <w:pStyle w:val="11"/>
            </w:pPr>
            <w: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17.40</w:t>
            </w:r>
          </w:p>
        </w:tc>
        <w:tc>
          <w:tcPr>
            <w:tcW w:w="1643" w:type="dxa"/>
            <w:vAlign w:val="center"/>
          </w:tcPr>
          <w:p>
            <w:pPr>
              <w:pStyle w:val="11"/>
            </w:pPr>
          </w:p>
        </w:tc>
        <w:tc>
          <w:tcPr>
            <w:tcW w:w="1643" w:type="dxa"/>
            <w:vAlign w:val="center"/>
          </w:tcPr>
          <w:p>
            <w:pPr>
              <w:pStyle w:val="11"/>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5.97</w:t>
            </w:r>
          </w:p>
        </w:tc>
        <w:tc>
          <w:tcPr>
            <w:tcW w:w="1643" w:type="dxa"/>
            <w:vAlign w:val="center"/>
          </w:tcPr>
          <w:p>
            <w:pPr>
              <w:pStyle w:val="11"/>
            </w:pPr>
          </w:p>
        </w:tc>
        <w:tc>
          <w:tcPr>
            <w:tcW w:w="1643" w:type="dxa"/>
            <w:vAlign w:val="center"/>
          </w:tcPr>
          <w:p>
            <w:pPr>
              <w:pStyle w:val="11"/>
            </w:pPr>
            <w:r>
              <w:t>5.97</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131.41</w:t>
            </w:r>
          </w:p>
        </w:tc>
        <w:tc>
          <w:tcPr>
            <w:tcW w:w="1643" w:type="dxa"/>
            <w:vAlign w:val="center"/>
          </w:tcPr>
          <w:p>
            <w:pPr>
              <w:pStyle w:val="11"/>
            </w:pPr>
          </w:p>
        </w:tc>
        <w:tc>
          <w:tcPr>
            <w:tcW w:w="1643" w:type="dxa"/>
            <w:vAlign w:val="center"/>
          </w:tcPr>
          <w:p>
            <w:pPr>
              <w:pStyle w:val="11"/>
            </w:pPr>
            <w:r>
              <w:t>131.41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2.56</w:t>
            </w:r>
          </w:p>
        </w:tc>
        <w:tc>
          <w:tcPr>
            <w:tcW w:w="1643" w:type="dxa"/>
            <w:vAlign w:val="center"/>
          </w:tcPr>
          <w:p>
            <w:pPr>
              <w:pStyle w:val="11"/>
            </w:pPr>
          </w:p>
        </w:tc>
        <w:tc>
          <w:tcPr>
            <w:tcW w:w="1643"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1.68</w:t>
            </w:r>
          </w:p>
        </w:tc>
        <w:tc>
          <w:tcPr>
            <w:tcW w:w="1643" w:type="dxa"/>
            <w:vAlign w:val="center"/>
          </w:tcPr>
          <w:p>
            <w:pPr>
              <w:pStyle w:val="11"/>
            </w:pPr>
          </w:p>
        </w:tc>
        <w:tc>
          <w:tcPr>
            <w:tcW w:w="1643" w:type="dxa"/>
            <w:vAlign w:val="center"/>
          </w:tcPr>
          <w:p>
            <w:pPr>
              <w:pStyle w:val="11"/>
            </w:pPr>
            <w:r>
              <w:t>1.68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85.35</w:t>
            </w:r>
          </w:p>
        </w:tc>
        <w:tc>
          <w:tcPr>
            <w:tcW w:w="1643" w:type="dxa"/>
            <w:vAlign w:val="center"/>
          </w:tcPr>
          <w:p>
            <w:pPr>
              <w:pStyle w:val="11"/>
            </w:pPr>
            <w:r>
              <w:t>85.35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82.90</w:t>
            </w:r>
          </w:p>
        </w:tc>
        <w:tc>
          <w:tcPr>
            <w:tcW w:w="1643" w:type="dxa"/>
            <w:vAlign w:val="center"/>
          </w:tcPr>
          <w:p>
            <w:pPr>
              <w:pStyle w:val="11"/>
            </w:pPr>
            <w:r>
              <w:t>82.90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2.43</w:t>
            </w:r>
          </w:p>
        </w:tc>
        <w:tc>
          <w:tcPr>
            <w:tcW w:w="1643" w:type="dxa"/>
            <w:vAlign w:val="center"/>
          </w:tcPr>
          <w:p>
            <w:pPr>
              <w:pStyle w:val="11"/>
            </w:pPr>
            <w:r>
              <w:t>2.43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5.40</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提供房管及房地产交易中介服务，提供确权发证服务。房屋登记备案、转让过户审核、抵押登记、房地产咨询、评估、置换、拍卖、信息、收集发布、房地产权总登记。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石家庄市鹿泉区住房保障和房地产服务中心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846.13万元，其中：一般公共预算收入846.13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2024年支出预算846.13万元，其中基本支出760.03万元，包括人员经费592.56万元和日常公用经费167.48万元；项目支出86.10万元，主要为涉军工资、网络专线、华柴维修资金等资金支出</w:t>
      </w:r>
    </w:p>
    <w:p>
      <w:pPr>
        <w:pStyle w:val="18"/>
      </w:pPr>
      <w:r>
        <w:t>3、比上年增减情况</w:t>
      </w:r>
    </w:p>
    <w:p>
      <w:pPr>
        <w:pStyle w:val="18"/>
      </w:pPr>
      <w:r>
        <w:t>2024年预算收支安排846.13万元，较2023年预算增加39.85万元，其中：基本支出增加7.69万元，主要为人员工资调整项目支出增加32.16万元，主要为增加华柴维修资金支出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2024年，我单位机关运行经费共计安排167.48万元，主要用于日常维修、办公用房水电费、办公用房取暖费、办公用房物业管理费等日常运行支出。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5.40万元，其中因公出国（境）费0.00万元；公务用车购置及运维费5.40万元（其中：公务用车购置费为0.00万元，公务用车运维费5.40万元)；公务接待费0.00万元。与2023年相比增加0.00万元，增减变化的主要原因是2024年，我单位财政拨款“三公”经费预算安排5.40万元，其中因公出国（境）费0.00万元； 公务用车购置及运维费5.40万元（其中：公务用车购置费为0.00万元，公务用车运维费5.40万元)；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1、2024年房产军队退役人员工资绩效目标表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13011024P000001101441</w:t>
            </w:r>
          </w:p>
        </w:tc>
        <w:tc>
          <w:tcPr>
            <w:tcW w:w="2114" w:type="dxa"/>
            <w:vAlign w:val="center"/>
          </w:tcPr>
          <w:p>
            <w:pPr>
              <w:pStyle w:val="10"/>
            </w:pPr>
            <w:r>
              <w:t>项目名称</w:t>
            </w:r>
          </w:p>
        </w:tc>
        <w:tc>
          <w:tcPr>
            <w:tcW w:w="6342" w:type="dxa"/>
            <w:gridSpan w:val="3"/>
            <w:vAlign w:val="center"/>
          </w:tcPr>
          <w:p>
            <w:pPr>
              <w:pStyle w:val="12"/>
            </w:pPr>
            <w:r>
              <w:t>2024年房产军队退役人员工资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24.18</w:t>
            </w:r>
          </w:p>
        </w:tc>
        <w:tc>
          <w:tcPr>
            <w:tcW w:w="2114" w:type="dxa"/>
            <w:vAlign w:val="center"/>
          </w:tcPr>
          <w:p>
            <w:pPr>
              <w:pStyle w:val="10"/>
            </w:pPr>
            <w:r>
              <w:t>其中：财政    资金</w:t>
            </w:r>
          </w:p>
        </w:tc>
        <w:tc>
          <w:tcPr>
            <w:tcW w:w="2114" w:type="dxa"/>
            <w:vAlign w:val="center"/>
          </w:tcPr>
          <w:p>
            <w:pPr>
              <w:pStyle w:val="12"/>
            </w:pPr>
            <w:r>
              <w:t>24.18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1."对符合政府安排工作条件的退役士兵，因下岗失业，生活困难的帮扶救助到位，加大就业援助工作力度，通过公益岗位予以托管安置。</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退役军人公益岗位工资资金发放到位率</w:t>
            </w:r>
          </w:p>
        </w:tc>
        <w:tc>
          <w:tcPr>
            <w:tcW w:w="4228" w:type="dxa"/>
            <w:vAlign w:val="center"/>
          </w:tcPr>
          <w:p>
            <w:pPr>
              <w:pStyle w:val="12"/>
            </w:pPr>
            <w:r>
              <w:t>保障退役军人公益岗位工资按时足额发放人数占实际发放人数的比例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安置退役军人公益岗位人数</w:t>
            </w:r>
          </w:p>
        </w:tc>
        <w:tc>
          <w:tcPr>
            <w:tcW w:w="4228" w:type="dxa"/>
            <w:vAlign w:val="center"/>
          </w:tcPr>
          <w:p>
            <w:pPr>
              <w:pStyle w:val="12"/>
            </w:pPr>
            <w:r>
              <w:t>单位安置退役军人公益岗位的实际人数</w:t>
            </w:r>
          </w:p>
        </w:tc>
        <w:tc>
          <w:tcPr>
            <w:tcW w:w="2114" w:type="dxa"/>
            <w:vAlign w:val="center"/>
          </w:tcPr>
          <w:p>
            <w:pPr>
              <w:pStyle w:val="12"/>
            </w:pPr>
            <w:r>
              <w:t>4个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退役军人公益岗位工资发放及时率</w:t>
            </w:r>
          </w:p>
        </w:tc>
        <w:tc>
          <w:tcPr>
            <w:tcW w:w="4228" w:type="dxa"/>
            <w:vAlign w:val="center"/>
          </w:tcPr>
          <w:p>
            <w:pPr>
              <w:pStyle w:val="12"/>
            </w:pPr>
            <w:r>
              <w:t>保障退役军人公益岗位工资发放及时的人数占应发放总人数的比率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退役军人公益岗位资金发放标准</w:t>
            </w:r>
          </w:p>
        </w:tc>
        <w:tc>
          <w:tcPr>
            <w:tcW w:w="4228" w:type="dxa"/>
            <w:vAlign w:val="center"/>
          </w:tcPr>
          <w:p>
            <w:pPr>
              <w:pStyle w:val="12"/>
            </w:pPr>
            <w:r>
              <w:t>对符合条件的退役军人公益岗位发放的工资金额</w:t>
            </w:r>
          </w:p>
        </w:tc>
        <w:tc>
          <w:tcPr>
            <w:tcW w:w="2114" w:type="dxa"/>
            <w:vAlign w:val="center"/>
          </w:tcPr>
          <w:p>
            <w:pPr>
              <w:pStyle w:val="12"/>
            </w:pPr>
            <w:r>
              <w:t>24.18万元</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对退役托管安置帮扶到位人数比率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退役军人安置满意度</w:t>
            </w:r>
          </w:p>
        </w:tc>
        <w:tc>
          <w:tcPr>
            <w:tcW w:w="4228" w:type="dxa"/>
            <w:vAlign w:val="center"/>
          </w:tcPr>
          <w:p>
            <w:pPr>
              <w:pStyle w:val="12"/>
            </w:pPr>
            <w:r>
              <w:t>对退役军人安置满意和较满意的人数占总人数的比率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2、2024年房产网络专线绩效目标表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13011024P000001101493</w:t>
            </w:r>
          </w:p>
        </w:tc>
        <w:tc>
          <w:tcPr>
            <w:tcW w:w="2114" w:type="dxa"/>
            <w:vAlign w:val="center"/>
          </w:tcPr>
          <w:p>
            <w:pPr>
              <w:pStyle w:val="10"/>
            </w:pPr>
            <w:r>
              <w:t>项目名称</w:t>
            </w:r>
          </w:p>
        </w:tc>
        <w:tc>
          <w:tcPr>
            <w:tcW w:w="6342" w:type="dxa"/>
            <w:gridSpan w:val="3"/>
            <w:vAlign w:val="center"/>
          </w:tcPr>
          <w:p>
            <w:pPr>
              <w:pStyle w:val="12"/>
            </w:pPr>
            <w:r>
              <w:t>2024年房产网络专线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5.16</w:t>
            </w:r>
          </w:p>
        </w:tc>
        <w:tc>
          <w:tcPr>
            <w:tcW w:w="2114" w:type="dxa"/>
            <w:vAlign w:val="center"/>
          </w:tcPr>
          <w:p>
            <w:pPr>
              <w:pStyle w:val="10"/>
            </w:pPr>
            <w:r>
              <w:t>其中：财政    资金</w:t>
            </w:r>
          </w:p>
        </w:tc>
        <w:tc>
          <w:tcPr>
            <w:tcW w:w="2114" w:type="dxa"/>
            <w:vAlign w:val="center"/>
          </w:tcPr>
          <w:p>
            <w:pPr>
              <w:pStyle w:val="12"/>
            </w:pPr>
            <w:r>
              <w:t>5.16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"租用通信专网，确保我单位与不动产登记中心联合办公正常传输房屋信息数据</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1.租用通信专网，确保我单位与不动产登记中心联合办公正常传输房屋信息数据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市房管局系统专线费用</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智慧广场不动产信息共享专线费</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办公平台（OA）政务外网专线费</w:t>
            </w:r>
          </w:p>
        </w:tc>
        <w:tc>
          <w:tcPr>
            <w:tcW w:w="2114" w:type="dxa"/>
            <w:vAlign w:val="center"/>
          </w:tcPr>
          <w:p>
            <w:pPr>
              <w:pStyle w:val="12"/>
            </w:pPr>
            <w:r>
              <w:t>0.36万元/年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联通两条、电信一条</w:t>
            </w:r>
          </w:p>
        </w:tc>
        <w:tc>
          <w:tcPr>
            <w:tcW w:w="2114" w:type="dxa"/>
            <w:vAlign w:val="center"/>
          </w:tcPr>
          <w:p>
            <w:pPr>
              <w:pStyle w:val="12"/>
            </w:pPr>
            <w:r>
              <w:t>3条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确保我单位与不动产登记中心联合办公正常进行并且数据互通，业务及时、有效地办理</w:t>
            </w:r>
          </w:p>
        </w:tc>
        <w:tc>
          <w:tcPr>
            <w:tcW w:w="2114" w:type="dxa"/>
            <w:vAlign w:val="center"/>
          </w:tcPr>
          <w:p>
            <w:pPr>
              <w:pStyle w:val="12"/>
            </w:pPr>
            <w:r>
              <w:t>确保我单位与不动产登记中心联合办公正常进行并且数据互通，业务及时有效地办理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办公平台（OA）政务平台正常使用</w:t>
            </w:r>
          </w:p>
        </w:tc>
        <w:tc>
          <w:tcPr>
            <w:tcW w:w="2114" w:type="dxa"/>
            <w:vAlign w:val="center"/>
          </w:tcPr>
          <w:p>
            <w:pPr>
              <w:pStyle w:val="12"/>
            </w:pPr>
            <w:r>
              <w:t>办公平台（OA）政务平台正常使用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3、2024年房产维修资金信息专网绩效目标表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13011024P00000110148F</w:t>
            </w:r>
          </w:p>
        </w:tc>
        <w:tc>
          <w:tcPr>
            <w:tcW w:w="2114" w:type="dxa"/>
            <w:vAlign w:val="center"/>
          </w:tcPr>
          <w:p>
            <w:pPr>
              <w:pStyle w:val="10"/>
            </w:pPr>
            <w:r>
              <w:t>项目名称</w:t>
            </w:r>
          </w:p>
        </w:tc>
        <w:tc>
          <w:tcPr>
            <w:tcW w:w="6342" w:type="dxa"/>
            <w:gridSpan w:val="3"/>
            <w:vAlign w:val="center"/>
          </w:tcPr>
          <w:p>
            <w:pPr>
              <w:pStyle w:val="12"/>
            </w:pPr>
            <w:r>
              <w:t>2024年房产维修资金信息专网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3.20</w:t>
            </w:r>
          </w:p>
        </w:tc>
        <w:tc>
          <w:tcPr>
            <w:tcW w:w="2114" w:type="dxa"/>
            <w:vAlign w:val="center"/>
          </w:tcPr>
          <w:p>
            <w:pPr>
              <w:pStyle w:val="10"/>
            </w:pPr>
            <w:r>
              <w:t>其中：财政    资金</w:t>
            </w:r>
          </w:p>
        </w:tc>
        <w:tc>
          <w:tcPr>
            <w:tcW w:w="2114" w:type="dxa"/>
            <w:vAlign w:val="center"/>
          </w:tcPr>
          <w:p>
            <w:pPr>
              <w:pStyle w:val="12"/>
            </w:pPr>
            <w:r>
              <w:t>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电子票据系统维护</w:t>
            </w:r>
          </w:p>
        </w:tc>
        <w:tc>
          <w:tcPr>
            <w:tcW w:w="4228" w:type="dxa"/>
            <w:vAlign w:val="center"/>
          </w:tcPr>
          <w:p>
            <w:pPr>
              <w:pStyle w:val="12"/>
            </w:pPr>
            <w:r>
              <w:t>维修资金信息系统中电子票据系统维护费</w:t>
            </w:r>
          </w:p>
        </w:tc>
        <w:tc>
          <w:tcPr>
            <w:tcW w:w="2114" w:type="dxa"/>
            <w:vAlign w:val="center"/>
          </w:tcPr>
          <w:p>
            <w:pPr>
              <w:pStyle w:val="12"/>
            </w:pPr>
            <w:r>
              <w:t>3.2万元/年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涉及业务模块数量</w:t>
            </w:r>
          </w:p>
        </w:tc>
        <w:tc>
          <w:tcPr>
            <w:tcW w:w="4228" w:type="dxa"/>
            <w:vAlign w:val="center"/>
          </w:tcPr>
          <w:p>
            <w:pPr>
              <w:pStyle w:val="12"/>
            </w:pPr>
            <w:r>
              <w:t>电子票据模块</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维修资金业务处理及时性</w:t>
            </w:r>
          </w:p>
        </w:tc>
        <w:tc>
          <w:tcPr>
            <w:tcW w:w="4228" w:type="dxa"/>
            <w:vAlign w:val="center"/>
          </w:tcPr>
          <w:p>
            <w:pPr>
              <w:pStyle w:val="12"/>
            </w:pPr>
            <w:r>
              <w:t>及时处理业务数占总处理数的比率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系统使用合格率</w:t>
            </w:r>
          </w:p>
        </w:tc>
        <w:tc>
          <w:tcPr>
            <w:tcW w:w="4228" w:type="dxa"/>
            <w:vAlign w:val="center"/>
          </w:tcPr>
          <w:p>
            <w:pPr>
              <w:pStyle w:val="12"/>
            </w:pPr>
            <w:r>
              <w:t>系统模块维护按时完成的数量占需要维护系统模块的比例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硬件设备和系统均可正常使用</w:t>
            </w:r>
          </w:p>
        </w:tc>
        <w:tc>
          <w:tcPr>
            <w:tcW w:w="4228" w:type="dxa"/>
            <w:vAlign w:val="center"/>
          </w:tcPr>
          <w:p>
            <w:pPr>
              <w:pStyle w:val="12"/>
            </w:pPr>
            <w:r>
              <w:t>保障维修资金缴存相关业务全天24小时正常进行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4、2024年房产信息维护费绩效目标表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13011024P00000110147U</w:t>
            </w:r>
          </w:p>
        </w:tc>
        <w:tc>
          <w:tcPr>
            <w:tcW w:w="2114" w:type="dxa"/>
            <w:vAlign w:val="center"/>
          </w:tcPr>
          <w:p>
            <w:pPr>
              <w:pStyle w:val="10"/>
            </w:pPr>
            <w:r>
              <w:t>项目名称</w:t>
            </w:r>
          </w:p>
        </w:tc>
        <w:tc>
          <w:tcPr>
            <w:tcW w:w="6342" w:type="dxa"/>
            <w:gridSpan w:val="3"/>
            <w:vAlign w:val="center"/>
          </w:tcPr>
          <w:p>
            <w:pPr>
              <w:pStyle w:val="12"/>
            </w:pPr>
            <w:r>
              <w:t>2024年房产信息维护费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3.84</w:t>
            </w:r>
          </w:p>
        </w:tc>
        <w:tc>
          <w:tcPr>
            <w:tcW w:w="2114" w:type="dxa"/>
            <w:vAlign w:val="center"/>
          </w:tcPr>
          <w:p>
            <w:pPr>
              <w:pStyle w:val="10"/>
            </w:pPr>
            <w:r>
              <w:t>其中：财政    资金</w:t>
            </w:r>
          </w:p>
        </w:tc>
        <w:tc>
          <w:tcPr>
            <w:tcW w:w="2114" w:type="dxa"/>
            <w:vAlign w:val="center"/>
          </w:tcPr>
          <w:p>
            <w:pPr>
              <w:pStyle w:val="12"/>
            </w:pPr>
            <w:r>
              <w:t>3.84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系统数据维护达标标准</w:t>
            </w:r>
          </w:p>
        </w:tc>
        <w:tc>
          <w:tcPr>
            <w:tcW w:w="4228" w:type="dxa"/>
            <w:vAlign w:val="center"/>
          </w:tcPr>
          <w:p>
            <w:pPr>
              <w:pStyle w:val="12"/>
            </w:pPr>
            <w:r>
              <w:t>符合相关技术标准和数据管理规范，控制维护进度和质量</w:t>
            </w:r>
          </w:p>
        </w:tc>
        <w:tc>
          <w:tcPr>
            <w:tcW w:w="2114" w:type="dxa"/>
            <w:vAlign w:val="center"/>
          </w:tcPr>
          <w:p>
            <w:pPr>
              <w:pStyle w:val="12"/>
            </w:pPr>
            <w:r>
              <w:t>符合数据库管理相关规定及国家标准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系统维护办结案件的数量</w:t>
            </w:r>
          </w:p>
        </w:tc>
        <w:tc>
          <w:tcPr>
            <w:tcW w:w="4228" w:type="dxa"/>
            <w:vAlign w:val="center"/>
          </w:tcPr>
          <w:p>
            <w:pPr>
              <w:pStyle w:val="12"/>
            </w:pPr>
            <w:r>
              <w:t>接收案件数量占所有办结案件数量的比例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系统维护按时完成率</w:t>
            </w:r>
          </w:p>
        </w:tc>
        <w:tc>
          <w:tcPr>
            <w:tcW w:w="4228" w:type="dxa"/>
            <w:vAlign w:val="center"/>
          </w:tcPr>
          <w:p>
            <w:pPr>
              <w:pStyle w:val="12"/>
            </w:pPr>
            <w:r>
              <w:t>系统维护数据按时完成的数量占需要维护系统数据的比例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系统维护成本</w:t>
            </w:r>
          </w:p>
        </w:tc>
        <w:tc>
          <w:tcPr>
            <w:tcW w:w="4228" w:type="dxa"/>
            <w:vAlign w:val="center"/>
          </w:tcPr>
          <w:p>
            <w:pPr>
              <w:pStyle w:val="12"/>
            </w:pPr>
            <w:r>
              <w:t>与不动产对接中间库系统、数据维护费用</w:t>
            </w:r>
          </w:p>
        </w:tc>
        <w:tc>
          <w:tcPr>
            <w:tcW w:w="2114" w:type="dxa"/>
            <w:vAlign w:val="center"/>
          </w:tcPr>
          <w:p>
            <w:pPr>
              <w:pStyle w:val="12"/>
            </w:pPr>
            <w:r>
              <w:t>3.84万元/年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业务正常进行时间</w:t>
            </w:r>
          </w:p>
        </w:tc>
        <w:tc>
          <w:tcPr>
            <w:tcW w:w="4228" w:type="dxa"/>
            <w:vAlign w:val="center"/>
          </w:tcPr>
          <w:p>
            <w:pPr>
              <w:pStyle w:val="12"/>
            </w:pPr>
            <w:r>
              <w:t>保障存量房过户、房产抵押业务、房产交易备案等相关业务全天24小时正常进行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系统故障恢复时限</w:t>
            </w:r>
          </w:p>
        </w:tc>
        <w:tc>
          <w:tcPr>
            <w:tcW w:w="4228" w:type="dxa"/>
            <w:vAlign w:val="center"/>
          </w:tcPr>
          <w:p>
            <w:pPr>
              <w:pStyle w:val="12"/>
            </w:pPr>
            <w:r>
              <w:t>系统出现故障后及时修复的时间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5、2024年房产行政审批大厅网络专线绩效目标表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13011024P00000110150E</w:t>
            </w:r>
          </w:p>
        </w:tc>
        <w:tc>
          <w:tcPr>
            <w:tcW w:w="2114" w:type="dxa"/>
            <w:vAlign w:val="center"/>
          </w:tcPr>
          <w:p>
            <w:pPr>
              <w:pStyle w:val="10"/>
            </w:pPr>
            <w:r>
              <w:t>项目名称</w:t>
            </w:r>
          </w:p>
        </w:tc>
        <w:tc>
          <w:tcPr>
            <w:tcW w:w="6342" w:type="dxa"/>
            <w:gridSpan w:val="3"/>
            <w:vAlign w:val="center"/>
          </w:tcPr>
          <w:p>
            <w:pPr>
              <w:pStyle w:val="12"/>
            </w:pPr>
            <w:r>
              <w:t>2024年房产行政审批大厅网络专线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0.72</w:t>
            </w:r>
          </w:p>
        </w:tc>
        <w:tc>
          <w:tcPr>
            <w:tcW w:w="2114" w:type="dxa"/>
            <w:vAlign w:val="center"/>
          </w:tcPr>
          <w:p>
            <w:pPr>
              <w:pStyle w:val="10"/>
            </w:pPr>
            <w:r>
              <w:t>其中：财政    资金</w:t>
            </w:r>
          </w:p>
        </w:tc>
        <w:tc>
          <w:tcPr>
            <w:tcW w:w="2114" w:type="dxa"/>
            <w:vAlign w:val="center"/>
          </w:tcPr>
          <w:p>
            <w:pPr>
              <w:pStyle w:val="12"/>
            </w:pPr>
            <w:r>
              <w:t>0.72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租用通信专网，确保我单位与行政审批大厅联合办公正常传输房屋信息数据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1.租用通信专网，确保我单位与行政审批大厅联合办公正常传输房屋信息数据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行政审批大厅窗口专线费用</w:t>
            </w:r>
          </w:p>
        </w:tc>
        <w:tc>
          <w:tcPr>
            <w:tcW w:w="2114" w:type="dxa"/>
            <w:vAlign w:val="center"/>
          </w:tcPr>
          <w:p>
            <w:pPr>
              <w:pStyle w:val="12"/>
            </w:pPr>
            <w:r>
              <w:t>0.72万元</w:t>
            </w:r>
          </w:p>
        </w:tc>
        <w:tc>
          <w:tcPr>
            <w:tcW w:w="2114" w:type="dxa"/>
            <w:vAlign w:val="center"/>
          </w:tcPr>
          <w:p>
            <w:pPr>
              <w:pStyle w:val="12"/>
            </w:pPr>
            <w:r>
              <w:t>网络资费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联通一条</w:t>
            </w:r>
          </w:p>
        </w:tc>
        <w:tc>
          <w:tcPr>
            <w:tcW w:w="2114" w:type="dxa"/>
            <w:vAlign w:val="center"/>
          </w:tcPr>
          <w:p>
            <w:pPr>
              <w:pStyle w:val="12"/>
            </w:pPr>
            <w:r>
              <w:t>1条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p>
            <w:pPr>
              <w:pStyle w:val="12"/>
            </w:pP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确保我单位与行政审批大厅联合办公正常进行并且数据互通，业务及时、有效地办理</w:t>
            </w:r>
          </w:p>
        </w:tc>
        <w:tc>
          <w:tcPr>
            <w:tcW w:w="2114" w:type="dxa"/>
            <w:vAlign w:val="center"/>
          </w:tcPr>
          <w:p>
            <w:pPr>
              <w:pStyle w:val="12"/>
            </w:pPr>
            <w:r>
              <w:t>确保我单位与行政审批大厅联合办公正常进行并且数据互通，业务及时、有效地办理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6、2024年房产租赁中心办公经费绩效目标表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13011024P00000110145L</w:t>
            </w:r>
          </w:p>
        </w:tc>
        <w:tc>
          <w:tcPr>
            <w:tcW w:w="2114" w:type="dxa"/>
            <w:vAlign w:val="center"/>
          </w:tcPr>
          <w:p>
            <w:pPr>
              <w:pStyle w:val="10"/>
            </w:pPr>
            <w:r>
              <w:t>项目名称</w:t>
            </w:r>
          </w:p>
        </w:tc>
        <w:tc>
          <w:tcPr>
            <w:tcW w:w="6342" w:type="dxa"/>
            <w:gridSpan w:val="3"/>
            <w:vAlign w:val="center"/>
          </w:tcPr>
          <w:p>
            <w:pPr>
              <w:pStyle w:val="12"/>
            </w:pPr>
            <w:r>
              <w:t>2024年房产租赁中心办公经费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办公费、水电费、交通费、会议费、工会经费、招待费及其他公用经费的支出</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15人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保障日常办公需要，维持单位正常运啊转</w:t>
            </w:r>
          </w:p>
        </w:tc>
        <w:tc>
          <w:tcPr>
            <w:tcW w:w="4228" w:type="dxa"/>
            <w:vAlign w:val="center"/>
          </w:tcPr>
          <w:p>
            <w:pPr>
              <w:pStyle w:val="12"/>
            </w:pPr>
            <w:r>
              <w:t>保障日常办公需要，维持单位正常运转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使用和服务对象满意度</w:t>
            </w:r>
          </w:p>
        </w:tc>
        <w:tc>
          <w:tcPr>
            <w:tcW w:w="4228" w:type="dxa"/>
            <w:vAlign w:val="center"/>
          </w:tcPr>
          <w:p>
            <w:pPr>
              <w:pStyle w:val="12"/>
            </w:pPr>
            <w:r>
              <w:t>使用和服务对象满意度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7、2024年河北华柴售房款绩效目标表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13011024P000001102037</w:t>
            </w:r>
          </w:p>
        </w:tc>
        <w:tc>
          <w:tcPr>
            <w:tcW w:w="2114" w:type="dxa"/>
            <w:vAlign w:val="center"/>
          </w:tcPr>
          <w:p>
            <w:pPr>
              <w:pStyle w:val="10"/>
            </w:pPr>
            <w:r>
              <w:t>项目名称</w:t>
            </w:r>
          </w:p>
        </w:tc>
        <w:tc>
          <w:tcPr>
            <w:tcW w:w="6342" w:type="dxa"/>
            <w:gridSpan w:val="3"/>
            <w:vAlign w:val="center"/>
          </w:tcPr>
          <w:p>
            <w:pPr>
              <w:pStyle w:val="12"/>
            </w:pPr>
            <w:r>
              <w:t>2024年河北华柴售房款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34.00</w:t>
            </w:r>
          </w:p>
        </w:tc>
        <w:tc>
          <w:tcPr>
            <w:tcW w:w="2114" w:type="dxa"/>
            <w:vAlign w:val="center"/>
          </w:tcPr>
          <w:p>
            <w:pPr>
              <w:pStyle w:val="10"/>
            </w:pPr>
            <w:r>
              <w:t>其中：财政    资金</w:t>
            </w:r>
          </w:p>
        </w:tc>
        <w:tc>
          <w:tcPr>
            <w:tcW w:w="2114" w:type="dxa"/>
            <w:vAlign w:val="center"/>
          </w:tcPr>
          <w:p>
            <w:pPr>
              <w:pStyle w:val="12"/>
            </w:pPr>
            <w:r>
              <w:t>34.00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根据协议将华柴售房款住房维修基金移交完成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1.根据协议将华柴售房款住房维修基金移交完成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华柴售房款维修基金金额</w:t>
            </w:r>
          </w:p>
        </w:tc>
        <w:tc>
          <w:tcPr>
            <w:tcW w:w="4228" w:type="dxa"/>
            <w:vAlign w:val="center"/>
          </w:tcPr>
          <w:p>
            <w:pPr>
              <w:pStyle w:val="12"/>
            </w:pPr>
            <w:r>
              <w:t>售房款维修基金金额</w:t>
            </w:r>
          </w:p>
        </w:tc>
        <w:tc>
          <w:tcPr>
            <w:tcW w:w="2114" w:type="dxa"/>
            <w:vAlign w:val="center"/>
          </w:tcPr>
          <w:p>
            <w:pPr>
              <w:pStyle w:val="12"/>
            </w:pPr>
            <w:r>
              <w:t>34万元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p>
            <w:pPr>
              <w:pStyle w:val="12"/>
            </w:pPr>
          </w:p>
        </w:tc>
        <w:tc>
          <w:tcPr>
            <w:tcW w:w="4228" w:type="dxa"/>
            <w:vAlign w:val="center"/>
          </w:tcPr>
          <w:p>
            <w:pPr>
              <w:pStyle w:val="12"/>
            </w:pPr>
            <w:r>
              <w:t>资金到位率</w:t>
            </w:r>
          </w:p>
          <w:p>
            <w:pPr>
              <w:pStyle w:val="12"/>
            </w:pPr>
          </w:p>
          <w:p>
            <w:pPr>
              <w:pStyle w:val="12"/>
            </w:pP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资金在规定时间内下达率</w:t>
            </w:r>
          </w:p>
        </w:tc>
        <w:tc>
          <w:tcPr>
            <w:tcW w:w="4228" w:type="dxa"/>
            <w:vAlign w:val="center"/>
          </w:tcPr>
          <w:p>
            <w:pPr>
              <w:pStyle w:val="12"/>
            </w:pPr>
            <w:r>
              <w:t>资金在规定时间内下达率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控制在预算资金内</w:t>
            </w:r>
          </w:p>
        </w:tc>
        <w:tc>
          <w:tcPr>
            <w:tcW w:w="4228" w:type="dxa"/>
            <w:vAlign w:val="center"/>
          </w:tcPr>
          <w:p>
            <w:pPr>
              <w:pStyle w:val="12"/>
            </w:pPr>
            <w:r>
              <w:t>控制在预算资金内</w:t>
            </w:r>
          </w:p>
        </w:tc>
        <w:tc>
          <w:tcPr>
            <w:tcW w:w="2114" w:type="dxa"/>
            <w:vAlign w:val="center"/>
          </w:tcPr>
          <w:p>
            <w:pPr>
              <w:pStyle w:val="12"/>
            </w:pPr>
            <w:r>
              <w:t>严格控制在预算之内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保障业务工作情况</w:t>
            </w:r>
          </w:p>
        </w:tc>
        <w:tc>
          <w:tcPr>
            <w:tcW w:w="4228" w:type="dxa"/>
            <w:vAlign w:val="center"/>
          </w:tcPr>
          <w:p>
            <w:pPr>
              <w:pStyle w:val="12"/>
            </w:pPr>
            <w:r>
              <w:t>保障业务工作情况</w:t>
            </w:r>
          </w:p>
        </w:tc>
        <w:tc>
          <w:tcPr>
            <w:tcW w:w="2114" w:type="dxa"/>
            <w:vAlign w:val="center"/>
          </w:tcPr>
          <w:p>
            <w:pPr>
              <w:pStyle w:val="12"/>
            </w:pPr>
            <w:r>
              <w:t>保障工作顺利移交完成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p>
            <w:pPr>
              <w:pStyle w:val="12"/>
            </w:pP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石家庄市鹿泉区住房保障和房地产服务中心上年末固定资产金额为465.11万元（详见下表）。本年度拟购置固定资产总额为0.00万元，已按要求列入政府采购预算，详见政府采购预算表。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488.45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47.84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1194.19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232.48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1488.45</w:t>
            </w:r>
          </w:p>
        </w:tc>
        <w:tc>
          <w:tcPr>
            <w:tcW w:w="2959" w:type="dxa"/>
            <w:vAlign w:val="center"/>
          </w:tcPr>
          <w:p>
            <w:pPr>
              <w:pStyle w:val="14"/>
            </w:pPr>
            <w:r>
              <w:t>本年支出合计</w:t>
            </w:r>
          </w:p>
        </w:tc>
        <w:tc>
          <w:tcPr>
            <w:tcW w:w="2959" w:type="dxa"/>
            <w:vAlign w:val="center"/>
          </w:tcPr>
          <w:p>
            <w:pPr>
              <w:pStyle w:val="15"/>
            </w:pPr>
            <w:r>
              <w:t>1488.45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1488.45</w:t>
            </w:r>
          </w:p>
        </w:tc>
        <w:tc>
          <w:tcPr>
            <w:tcW w:w="2959" w:type="dxa"/>
            <w:vAlign w:val="center"/>
          </w:tcPr>
          <w:p>
            <w:pPr>
              <w:pStyle w:val="14"/>
            </w:pPr>
            <w:r>
              <w:t>支出总计</w:t>
            </w:r>
          </w:p>
        </w:tc>
        <w:tc>
          <w:tcPr>
            <w:tcW w:w="2959" w:type="dxa"/>
            <w:vAlign w:val="center"/>
          </w:tcPr>
          <w:p>
            <w:pPr>
              <w:pStyle w:val="15"/>
            </w:pPr>
            <w:r>
              <w:t>1488.45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2120807</w:t>
            </w:r>
          </w:p>
        </w:tc>
        <w:tc>
          <w:tcPr>
            <w:tcW w:w="758" w:type="dxa"/>
            <w:vAlign w:val="center"/>
          </w:tcPr>
          <w:p>
            <w:pPr>
              <w:pStyle w:val="12"/>
            </w:pPr>
            <w:r>
              <w:t>廉租住房支出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2210101</w:t>
            </w:r>
          </w:p>
        </w:tc>
        <w:tc>
          <w:tcPr>
            <w:tcW w:w="758" w:type="dxa"/>
            <w:vAlign w:val="center"/>
          </w:tcPr>
          <w:p>
            <w:pPr>
              <w:pStyle w:val="12"/>
            </w:pPr>
            <w:r>
              <w:t>廉租住房</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2210106</w:t>
            </w:r>
          </w:p>
        </w:tc>
        <w:tc>
          <w:tcPr>
            <w:tcW w:w="758" w:type="dxa"/>
            <w:vAlign w:val="center"/>
          </w:tcPr>
          <w:p>
            <w:pPr>
              <w:pStyle w:val="12"/>
            </w:pPr>
            <w:r>
              <w:t>公共租赁住房</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2210107</w:t>
            </w:r>
          </w:p>
        </w:tc>
        <w:tc>
          <w:tcPr>
            <w:tcW w:w="758" w:type="dxa"/>
            <w:vAlign w:val="center"/>
          </w:tcPr>
          <w:p>
            <w:pPr>
              <w:pStyle w:val="12"/>
            </w:pPr>
            <w:r>
              <w:t>保障性住房租金补贴</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1488.45</w:t>
            </w:r>
          </w:p>
        </w:tc>
        <w:tc>
          <w:tcPr>
            <w:tcW w:w="1095" w:type="dxa"/>
            <w:vAlign w:val="center"/>
          </w:tcPr>
          <w:p>
            <w:pPr>
              <w:pStyle w:val="15"/>
            </w:pPr>
            <w:r>
              <w:t>273.45</w:t>
            </w:r>
          </w:p>
        </w:tc>
        <w:tc>
          <w:tcPr>
            <w:tcW w:w="1095" w:type="dxa"/>
            <w:vAlign w:val="center"/>
          </w:tcPr>
          <w:p>
            <w:pPr>
              <w:pStyle w:val="15"/>
            </w:pPr>
            <w:r>
              <w:t>1215.00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19.83</w:t>
            </w:r>
          </w:p>
        </w:tc>
        <w:tc>
          <w:tcPr>
            <w:tcW w:w="1095" w:type="dxa"/>
            <w:vAlign w:val="center"/>
          </w:tcPr>
          <w:p>
            <w:pPr>
              <w:pStyle w:val="11"/>
            </w:pPr>
            <w:r>
              <w:t>19.83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18.68</w:t>
            </w:r>
          </w:p>
        </w:tc>
        <w:tc>
          <w:tcPr>
            <w:tcW w:w="1095" w:type="dxa"/>
            <w:vAlign w:val="center"/>
          </w:tcPr>
          <w:p>
            <w:pPr>
              <w:pStyle w:val="11"/>
            </w:pPr>
            <w:r>
              <w:t>18.68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9.34</w:t>
            </w:r>
          </w:p>
        </w:tc>
        <w:tc>
          <w:tcPr>
            <w:tcW w:w="1095" w:type="dxa"/>
            <w:vAlign w:val="center"/>
          </w:tcPr>
          <w:p>
            <w:pPr>
              <w:pStyle w:val="11"/>
            </w:pPr>
            <w:r>
              <w:t>9.34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1194.19</w:t>
            </w:r>
          </w:p>
        </w:tc>
        <w:tc>
          <w:tcPr>
            <w:tcW w:w="1095" w:type="dxa"/>
            <w:vAlign w:val="center"/>
          </w:tcPr>
          <w:p>
            <w:pPr>
              <w:pStyle w:val="11"/>
            </w:pPr>
            <w:r>
              <w:t>194.19</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2120807</w:t>
            </w:r>
          </w:p>
        </w:tc>
        <w:tc>
          <w:tcPr>
            <w:tcW w:w="1095" w:type="dxa"/>
            <w:vAlign w:val="center"/>
          </w:tcPr>
          <w:p>
            <w:pPr>
              <w:pStyle w:val="12"/>
            </w:pPr>
            <w:r>
              <w:t>廉租住房支出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232.48</w:t>
            </w:r>
          </w:p>
        </w:tc>
        <w:tc>
          <w:tcPr>
            <w:tcW w:w="1095" w:type="dxa"/>
            <w:vAlign w:val="center"/>
          </w:tcPr>
          <w:p>
            <w:pPr>
              <w:pStyle w:val="11"/>
            </w:pPr>
            <w:r>
              <w:t>17.48</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2210101</w:t>
            </w:r>
          </w:p>
        </w:tc>
        <w:tc>
          <w:tcPr>
            <w:tcW w:w="1095" w:type="dxa"/>
            <w:vAlign w:val="center"/>
          </w:tcPr>
          <w:p>
            <w:pPr>
              <w:pStyle w:val="12"/>
            </w:pPr>
            <w:r>
              <w:t>廉租住房</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2210106</w:t>
            </w:r>
          </w:p>
        </w:tc>
        <w:tc>
          <w:tcPr>
            <w:tcW w:w="1095" w:type="dxa"/>
            <w:vAlign w:val="center"/>
          </w:tcPr>
          <w:p>
            <w:pPr>
              <w:pStyle w:val="12"/>
            </w:pPr>
            <w:r>
              <w:t>公共租赁住房</w:t>
            </w: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2210107</w:t>
            </w:r>
          </w:p>
        </w:tc>
        <w:tc>
          <w:tcPr>
            <w:tcW w:w="1095" w:type="dxa"/>
            <w:vAlign w:val="center"/>
          </w:tcPr>
          <w:p>
            <w:pPr>
              <w:pStyle w:val="12"/>
            </w:pPr>
            <w:r>
              <w:t>保障性住房租金补贴</w:t>
            </w: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488.45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47.84</w:t>
            </w:r>
          </w:p>
        </w:tc>
        <w:tc>
          <w:tcPr>
            <w:tcW w:w="1232" w:type="dxa"/>
            <w:vAlign w:val="center"/>
          </w:tcPr>
          <w:p>
            <w:pPr>
              <w:pStyle w:val="11"/>
            </w:pPr>
            <w:r>
              <w:t>47.84</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13.94</w:t>
            </w:r>
          </w:p>
        </w:tc>
        <w:tc>
          <w:tcPr>
            <w:tcW w:w="1232" w:type="dxa"/>
            <w:vAlign w:val="center"/>
          </w:tcPr>
          <w:p>
            <w:pPr>
              <w:pStyle w:val="11"/>
            </w:pPr>
            <w:r>
              <w:t>13.94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1194.19</w:t>
            </w:r>
          </w:p>
        </w:tc>
        <w:tc>
          <w:tcPr>
            <w:tcW w:w="1232" w:type="dxa"/>
            <w:vAlign w:val="center"/>
          </w:tcPr>
          <w:p>
            <w:pPr>
              <w:pStyle w:val="11"/>
            </w:pPr>
            <w:r>
              <w:t>194.19</w:t>
            </w:r>
          </w:p>
        </w:tc>
        <w:tc>
          <w:tcPr>
            <w:tcW w:w="1232" w:type="dxa"/>
            <w:vAlign w:val="center"/>
          </w:tcPr>
          <w:p>
            <w:pPr>
              <w:pStyle w:val="11"/>
            </w:pPr>
            <w:r>
              <w:t>1000.00</w:t>
            </w: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232.48</w:t>
            </w:r>
          </w:p>
        </w:tc>
        <w:tc>
          <w:tcPr>
            <w:tcW w:w="1232" w:type="dxa"/>
            <w:vAlign w:val="center"/>
          </w:tcPr>
          <w:p>
            <w:pPr>
              <w:pStyle w:val="11"/>
            </w:pPr>
            <w:r>
              <w:t>232.48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1488.45</w:t>
            </w:r>
          </w:p>
        </w:tc>
        <w:tc>
          <w:tcPr>
            <w:tcW w:w="1232" w:type="dxa"/>
            <w:vAlign w:val="center"/>
          </w:tcPr>
          <w:p>
            <w:pPr>
              <w:pStyle w:val="14"/>
            </w:pPr>
            <w:r>
              <w:t>本年支出合计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1488.45</w:t>
            </w:r>
          </w:p>
        </w:tc>
        <w:tc>
          <w:tcPr>
            <w:tcW w:w="1232" w:type="dxa"/>
            <w:vAlign w:val="center"/>
          </w:tcPr>
          <w:p>
            <w:pPr>
              <w:pStyle w:val="14"/>
            </w:pPr>
            <w:r>
              <w:t>支出总计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488.45</w:t>
            </w:r>
          </w:p>
        </w:tc>
        <w:tc>
          <w:tcPr>
            <w:tcW w:w="1643" w:type="dxa"/>
            <w:vAlign w:val="center"/>
          </w:tcPr>
          <w:p>
            <w:pPr>
              <w:pStyle w:val="15"/>
            </w:pPr>
            <w:r>
              <w:t>273.45</w:t>
            </w:r>
          </w:p>
        </w:tc>
        <w:tc>
          <w:tcPr>
            <w:tcW w:w="1643" w:type="dxa"/>
            <w:vAlign w:val="center"/>
          </w:tcPr>
          <w:p>
            <w:pPr>
              <w:pStyle w:val="15"/>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19.83</w:t>
            </w:r>
          </w:p>
        </w:tc>
        <w:tc>
          <w:tcPr>
            <w:tcW w:w="1643" w:type="dxa"/>
            <w:vAlign w:val="center"/>
          </w:tcPr>
          <w:p>
            <w:pPr>
              <w:pStyle w:val="11"/>
            </w:pPr>
            <w:r>
              <w:t>19.83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232.48</w:t>
            </w:r>
          </w:p>
        </w:tc>
        <w:tc>
          <w:tcPr>
            <w:tcW w:w="1643" w:type="dxa"/>
            <w:vAlign w:val="center"/>
          </w:tcPr>
          <w:p>
            <w:pPr>
              <w:pStyle w:val="11"/>
            </w:pPr>
            <w:r>
              <w:t>17.48</w:t>
            </w: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215.00</w:t>
            </w:r>
          </w:p>
        </w:tc>
        <w:tc>
          <w:tcPr>
            <w:tcW w:w="1643" w:type="dxa"/>
            <w:vAlign w:val="center"/>
          </w:tcPr>
          <w:p>
            <w:pPr>
              <w:pStyle w:val="11"/>
            </w:pP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2210101</w:t>
            </w:r>
          </w:p>
        </w:tc>
        <w:tc>
          <w:tcPr>
            <w:tcW w:w="1643" w:type="dxa"/>
            <w:vAlign w:val="center"/>
          </w:tcPr>
          <w:p>
            <w:pPr>
              <w:pStyle w:val="12"/>
            </w:pPr>
            <w:r>
              <w:t>廉租住房</w:t>
            </w:r>
          </w:p>
        </w:tc>
        <w:tc>
          <w:tcPr>
            <w:tcW w:w="1643" w:type="dxa"/>
            <w:vAlign w:val="center"/>
          </w:tcPr>
          <w:p>
            <w:pPr>
              <w:pStyle w:val="11"/>
            </w:pPr>
            <w:r>
              <w:t>100.00</w:t>
            </w:r>
          </w:p>
        </w:tc>
        <w:tc>
          <w:tcPr>
            <w:tcW w:w="1643" w:type="dxa"/>
            <w:vAlign w:val="center"/>
          </w:tcPr>
          <w:p>
            <w:pPr>
              <w:pStyle w:val="11"/>
            </w:pP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2210106</w:t>
            </w:r>
          </w:p>
        </w:tc>
        <w:tc>
          <w:tcPr>
            <w:tcW w:w="1643" w:type="dxa"/>
            <w:vAlign w:val="center"/>
          </w:tcPr>
          <w:p>
            <w:pPr>
              <w:pStyle w:val="12"/>
            </w:pPr>
            <w:r>
              <w:t>公共租赁住房</w:t>
            </w:r>
          </w:p>
        </w:tc>
        <w:tc>
          <w:tcPr>
            <w:tcW w:w="1643" w:type="dxa"/>
            <w:vAlign w:val="center"/>
          </w:tcPr>
          <w:p>
            <w:pPr>
              <w:pStyle w:val="11"/>
            </w:pPr>
            <w:r>
              <w:t>35.00</w:t>
            </w:r>
          </w:p>
        </w:tc>
        <w:tc>
          <w:tcPr>
            <w:tcW w:w="1643" w:type="dxa"/>
            <w:vAlign w:val="center"/>
          </w:tcPr>
          <w:p>
            <w:pPr>
              <w:pStyle w:val="11"/>
            </w:pPr>
          </w:p>
        </w:tc>
        <w:tc>
          <w:tcPr>
            <w:tcW w:w="1643"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2210107</w:t>
            </w:r>
          </w:p>
        </w:tc>
        <w:tc>
          <w:tcPr>
            <w:tcW w:w="1643" w:type="dxa"/>
            <w:vAlign w:val="center"/>
          </w:tcPr>
          <w:p>
            <w:pPr>
              <w:pStyle w:val="12"/>
            </w:pPr>
            <w:r>
              <w:t>保障性住房租金补贴</w:t>
            </w:r>
          </w:p>
        </w:tc>
        <w:tc>
          <w:tcPr>
            <w:tcW w:w="1643" w:type="dxa"/>
            <w:vAlign w:val="center"/>
          </w:tcPr>
          <w:p>
            <w:pPr>
              <w:pStyle w:val="11"/>
            </w:pPr>
            <w:r>
              <w:t>80.00</w:t>
            </w:r>
          </w:p>
        </w:tc>
        <w:tc>
          <w:tcPr>
            <w:tcW w:w="1643" w:type="dxa"/>
            <w:vAlign w:val="center"/>
          </w:tcPr>
          <w:p>
            <w:pPr>
              <w:pStyle w:val="11"/>
            </w:pPr>
          </w:p>
        </w:tc>
        <w:tc>
          <w:tcPr>
            <w:tcW w:w="1643"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273.45</w:t>
            </w:r>
          </w:p>
        </w:tc>
        <w:tc>
          <w:tcPr>
            <w:tcW w:w="1643" w:type="dxa"/>
            <w:vAlign w:val="center"/>
          </w:tcPr>
          <w:p>
            <w:pPr>
              <w:pStyle w:val="15"/>
            </w:pPr>
            <w:r>
              <w:t>228.46</w:t>
            </w:r>
          </w:p>
        </w:tc>
        <w:tc>
          <w:tcPr>
            <w:tcW w:w="1643" w:type="dxa"/>
            <w:vAlign w:val="center"/>
          </w:tcPr>
          <w:p>
            <w:pPr>
              <w:pStyle w:val="15"/>
            </w:pPr>
            <w:r>
              <w:t>44.99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209.02</w:t>
            </w:r>
          </w:p>
        </w:tc>
        <w:tc>
          <w:tcPr>
            <w:tcW w:w="1643" w:type="dxa"/>
            <w:vAlign w:val="center"/>
          </w:tcPr>
          <w:p>
            <w:pPr>
              <w:pStyle w:val="11"/>
            </w:pPr>
            <w:r>
              <w:t>209.02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49.53</w:t>
            </w:r>
          </w:p>
        </w:tc>
        <w:tc>
          <w:tcPr>
            <w:tcW w:w="1643" w:type="dxa"/>
            <w:vAlign w:val="center"/>
          </w:tcPr>
          <w:p>
            <w:pPr>
              <w:pStyle w:val="11"/>
            </w:pPr>
            <w:r>
              <w:t>49.53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10.11</w:t>
            </w:r>
          </w:p>
        </w:tc>
        <w:tc>
          <w:tcPr>
            <w:tcW w:w="1643" w:type="dxa"/>
            <w:vAlign w:val="center"/>
          </w:tcPr>
          <w:p>
            <w:pPr>
              <w:pStyle w:val="11"/>
            </w:pPr>
            <w:r>
              <w:t>10.11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84.83</w:t>
            </w:r>
          </w:p>
        </w:tc>
        <w:tc>
          <w:tcPr>
            <w:tcW w:w="1643" w:type="dxa"/>
            <w:vAlign w:val="center"/>
          </w:tcPr>
          <w:p>
            <w:pPr>
              <w:pStyle w:val="11"/>
            </w:pPr>
            <w:r>
              <w:t>84.83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8.09</w:t>
            </w:r>
          </w:p>
        </w:tc>
        <w:tc>
          <w:tcPr>
            <w:tcW w:w="1643" w:type="dxa"/>
            <w:vAlign w:val="center"/>
          </w:tcPr>
          <w:p>
            <w:pPr>
              <w:pStyle w:val="11"/>
            </w:pPr>
            <w:r>
              <w:t>8.09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5.12</w:t>
            </w:r>
          </w:p>
        </w:tc>
        <w:tc>
          <w:tcPr>
            <w:tcW w:w="1643" w:type="dxa"/>
            <w:vAlign w:val="center"/>
          </w:tcPr>
          <w:p>
            <w:pPr>
              <w:pStyle w:val="11"/>
            </w:pPr>
            <w:r>
              <w:t>5.12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44.99</w:t>
            </w:r>
          </w:p>
        </w:tc>
        <w:tc>
          <w:tcPr>
            <w:tcW w:w="1643" w:type="dxa"/>
            <w:vAlign w:val="center"/>
          </w:tcPr>
          <w:p>
            <w:pPr>
              <w:pStyle w:val="11"/>
            </w:pPr>
          </w:p>
        </w:tc>
        <w:tc>
          <w:tcPr>
            <w:tcW w:w="1643" w:type="dxa"/>
            <w:vAlign w:val="center"/>
          </w:tcPr>
          <w:p>
            <w:pPr>
              <w:pStyle w:val="11"/>
            </w:pPr>
            <w:r>
              <w:t>44.99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2.85</w:t>
            </w:r>
          </w:p>
        </w:tc>
        <w:tc>
          <w:tcPr>
            <w:tcW w:w="1643" w:type="dxa"/>
            <w:vAlign w:val="center"/>
          </w:tcPr>
          <w:p>
            <w:pPr>
              <w:pStyle w:val="11"/>
            </w:pPr>
          </w:p>
        </w:tc>
        <w:tc>
          <w:tcPr>
            <w:tcW w:w="1643"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28.03</w:t>
            </w:r>
          </w:p>
        </w:tc>
        <w:tc>
          <w:tcPr>
            <w:tcW w:w="1643" w:type="dxa"/>
            <w:vAlign w:val="center"/>
          </w:tcPr>
          <w:p>
            <w:pPr>
              <w:pStyle w:val="11"/>
            </w:pPr>
          </w:p>
        </w:tc>
        <w:tc>
          <w:tcPr>
            <w:tcW w:w="1643" w:type="dxa"/>
            <w:vAlign w:val="center"/>
          </w:tcPr>
          <w:p>
            <w:pPr>
              <w:pStyle w:val="11"/>
            </w:pPr>
            <w:r>
              <w:t>28.03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1.05</w:t>
            </w:r>
          </w:p>
        </w:tc>
        <w:tc>
          <w:tcPr>
            <w:tcW w:w="1643" w:type="dxa"/>
            <w:vAlign w:val="center"/>
          </w:tcPr>
          <w:p>
            <w:pPr>
              <w:pStyle w:val="11"/>
            </w:pPr>
          </w:p>
        </w:tc>
        <w:tc>
          <w:tcPr>
            <w:tcW w:w="1643"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1.24</w:t>
            </w:r>
          </w:p>
        </w:tc>
        <w:tc>
          <w:tcPr>
            <w:tcW w:w="1643" w:type="dxa"/>
            <w:vAlign w:val="center"/>
          </w:tcPr>
          <w:p>
            <w:pPr>
              <w:pStyle w:val="11"/>
            </w:pPr>
          </w:p>
        </w:tc>
        <w:tc>
          <w:tcPr>
            <w:tcW w:w="1643" w:type="dxa"/>
            <w:vAlign w:val="center"/>
          </w:tcPr>
          <w:p>
            <w:pPr>
              <w:pStyle w:val="11"/>
            </w:pPr>
            <w:r>
              <w:t>1.24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1.38</w:t>
            </w:r>
          </w:p>
        </w:tc>
        <w:tc>
          <w:tcPr>
            <w:tcW w:w="1643" w:type="dxa"/>
            <w:vAlign w:val="center"/>
          </w:tcPr>
          <w:p>
            <w:pPr>
              <w:pStyle w:val="11"/>
            </w:pPr>
          </w:p>
        </w:tc>
        <w:tc>
          <w:tcPr>
            <w:tcW w:w="1643"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0.54</w:t>
            </w:r>
          </w:p>
        </w:tc>
        <w:tc>
          <w:tcPr>
            <w:tcW w:w="1643" w:type="dxa"/>
            <w:vAlign w:val="center"/>
          </w:tcPr>
          <w:p>
            <w:pPr>
              <w:pStyle w:val="11"/>
            </w:pPr>
          </w:p>
        </w:tc>
        <w:tc>
          <w:tcPr>
            <w:tcW w:w="1643" w:type="dxa"/>
            <w:vAlign w:val="center"/>
          </w:tcPr>
          <w:p>
            <w:pPr>
              <w:pStyle w:val="11"/>
            </w:pPr>
            <w:r>
              <w:t>0.54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19.44</w:t>
            </w:r>
          </w:p>
        </w:tc>
        <w:tc>
          <w:tcPr>
            <w:tcW w:w="1643" w:type="dxa"/>
            <w:vAlign w:val="center"/>
          </w:tcPr>
          <w:p>
            <w:pPr>
              <w:pStyle w:val="11"/>
            </w:pPr>
            <w:r>
              <w:t>19.44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19.41</w:t>
            </w:r>
          </w:p>
        </w:tc>
        <w:tc>
          <w:tcPr>
            <w:tcW w:w="1643" w:type="dxa"/>
            <w:vAlign w:val="center"/>
          </w:tcPr>
          <w:p>
            <w:pPr>
              <w:pStyle w:val="11"/>
            </w:pPr>
            <w:r>
              <w:t>19.41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1000.00</w:t>
            </w:r>
          </w:p>
        </w:tc>
        <w:tc>
          <w:tcPr>
            <w:tcW w:w="1643" w:type="dxa"/>
            <w:vAlign w:val="center"/>
          </w:tcPr>
          <w:p>
            <w:pPr>
              <w:pStyle w:val="15"/>
            </w:pPr>
          </w:p>
        </w:tc>
        <w:tc>
          <w:tcPr>
            <w:tcW w:w="1643"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2120807</w:t>
            </w:r>
          </w:p>
        </w:tc>
        <w:tc>
          <w:tcPr>
            <w:tcW w:w="1643" w:type="dxa"/>
            <w:vAlign w:val="center"/>
          </w:tcPr>
          <w:p>
            <w:pPr>
              <w:pStyle w:val="12"/>
            </w:pPr>
            <w:r>
              <w:t>廉租住房支出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石家庄市鹿泉区廉租住房和经济适用住房管理中心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1488.45万元，其中：一般公共预算收入488.45万元，基金预算收入1000.00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2024年支出预算1488.45万元，其中基本支出273.45万元，包括人员经费228.46万元和日常公用经费44.99万元；项目支出1215.00万元，主要为提取廉租住房保障资金、公共租赁住房租金补贴、悦麓兰庭和翠屏龙苑人才公寓家具家电附属设施等资金支出</w:t>
      </w:r>
    </w:p>
    <w:p>
      <w:pPr>
        <w:pStyle w:val="18"/>
      </w:pPr>
      <w:r>
        <w:t>3、比上年增减情况</w:t>
      </w:r>
    </w:p>
    <w:p>
      <w:pPr>
        <w:pStyle w:val="18"/>
      </w:pPr>
      <w:r>
        <w:t>2024年预算收支安排1488.45万元，较2023年预算减少3708.20万元，其中：基本支出增加31.80万元，主要为人员工资增加项目支出减少3740.00万元，主要为减少提取廉租住房保障资金支出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2024年，我单位机关运行经费共计安排44.99万元，主要用于日常维修、办公用房水电费、办公用房取暖费、办公用房物业管理费等日常运行支出。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2024年，我单位财政拨款“三公”经费预算安排2.70万元，其中因公出国（境）费0.00万元； 公务用车购置及运维费2.70万元（其中：公务用车购置费为0.00万元，公务用车运维费2.70万元)；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1、2024年保障性租赁住房服务补贴绩效目标表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13011024P000001103843</w:t>
            </w:r>
          </w:p>
        </w:tc>
        <w:tc>
          <w:tcPr>
            <w:tcW w:w="2114" w:type="dxa"/>
            <w:vAlign w:val="center"/>
          </w:tcPr>
          <w:p>
            <w:pPr>
              <w:pStyle w:val="10"/>
            </w:pPr>
            <w:r>
              <w:t>项目名称</w:t>
            </w:r>
          </w:p>
        </w:tc>
        <w:tc>
          <w:tcPr>
            <w:tcW w:w="6342" w:type="dxa"/>
            <w:gridSpan w:val="3"/>
            <w:vAlign w:val="center"/>
          </w:tcPr>
          <w:p>
            <w:pPr>
              <w:pStyle w:val="12"/>
            </w:pPr>
            <w:r>
              <w:t>2024年保障性租赁住房服务补贴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≥1010户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2、2024年两房提取廉租房住房保障资金绩效目标表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13011024P00000110154W</w:t>
            </w:r>
          </w:p>
        </w:tc>
        <w:tc>
          <w:tcPr>
            <w:tcW w:w="2114" w:type="dxa"/>
            <w:vAlign w:val="center"/>
          </w:tcPr>
          <w:p>
            <w:pPr>
              <w:pStyle w:val="10"/>
            </w:pPr>
            <w:r>
              <w:t>项目名称</w:t>
            </w:r>
          </w:p>
        </w:tc>
        <w:tc>
          <w:tcPr>
            <w:tcW w:w="6342" w:type="dxa"/>
            <w:gridSpan w:val="3"/>
            <w:vAlign w:val="center"/>
          </w:tcPr>
          <w:p>
            <w:pPr>
              <w:pStyle w:val="12"/>
            </w:pPr>
            <w:r>
              <w:t>2024年两房提取廉租房住房保障资金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房屋达到竣工验收合格</w:t>
            </w:r>
          </w:p>
        </w:tc>
        <w:tc>
          <w:tcPr>
            <w:tcW w:w="4228" w:type="dxa"/>
            <w:vAlign w:val="center"/>
          </w:tcPr>
          <w:p>
            <w:pPr>
              <w:pStyle w:val="12"/>
            </w:pPr>
            <w:r>
              <w:t>房屋达到竣工验收合格</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保障性租赁住房套数</w:t>
            </w:r>
          </w:p>
        </w:tc>
        <w:tc>
          <w:tcPr>
            <w:tcW w:w="4228" w:type="dxa"/>
            <w:vAlign w:val="center"/>
          </w:tcPr>
          <w:p>
            <w:pPr>
              <w:pStyle w:val="12"/>
            </w:pPr>
            <w:r>
              <w:t>保障性租赁住房套数</w:t>
            </w:r>
          </w:p>
        </w:tc>
        <w:tc>
          <w:tcPr>
            <w:tcW w:w="2114" w:type="dxa"/>
            <w:vAlign w:val="center"/>
          </w:tcPr>
          <w:p>
            <w:pPr>
              <w:pStyle w:val="12"/>
            </w:pPr>
            <w:r>
              <w:t>≤126套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购买保障性租赁住房标准</w:t>
            </w:r>
          </w:p>
        </w:tc>
        <w:tc>
          <w:tcPr>
            <w:tcW w:w="4228" w:type="dxa"/>
            <w:vAlign w:val="center"/>
          </w:tcPr>
          <w:p>
            <w:pPr>
              <w:pStyle w:val="12"/>
            </w:pPr>
            <w:r>
              <w:t>购买保障性租赁住房标准</w:t>
            </w:r>
          </w:p>
        </w:tc>
        <w:tc>
          <w:tcPr>
            <w:tcW w:w="2114" w:type="dxa"/>
            <w:vAlign w:val="center"/>
          </w:tcPr>
          <w:p>
            <w:pPr>
              <w:pStyle w:val="12"/>
            </w:pPr>
            <w:r>
              <w:t>≤1000万元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购买时间</w:t>
            </w:r>
          </w:p>
        </w:tc>
        <w:tc>
          <w:tcPr>
            <w:tcW w:w="4228" w:type="dxa"/>
            <w:vAlign w:val="center"/>
          </w:tcPr>
          <w:p>
            <w:pPr>
              <w:pStyle w:val="12"/>
            </w:pPr>
            <w:r>
              <w:t>购买时间</w:t>
            </w:r>
          </w:p>
        </w:tc>
        <w:tc>
          <w:tcPr>
            <w:tcW w:w="2114" w:type="dxa"/>
            <w:vAlign w:val="center"/>
          </w:tcPr>
          <w:p>
            <w:pPr>
              <w:pStyle w:val="12"/>
            </w:pPr>
            <w:r>
              <w:t>准备4月份购买</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解决新市民新青年居住问题</w:t>
            </w:r>
          </w:p>
        </w:tc>
        <w:tc>
          <w:tcPr>
            <w:tcW w:w="4228" w:type="dxa"/>
            <w:vAlign w:val="center"/>
          </w:tcPr>
          <w:p>
            <w:pPr>
              <w:pStyle w:val="12"/>
            </w:pPr>
            <w:r>
              <w:t>解决新市民新青年居住问题</w:t>
            </w:r>
          </w:p>
        </w:tc>
        <w:tc>
          <w:tcPr>
            <w:tcW w:w="2114" w:type="dxa"/>
            <w:vAlign w:val="center"/>
          </w:tcPr>
          <w:p>
            <w:pPr>
              <w:pStyle w:val="12"/>
            </w:pPr>
            <w:r>
              <w:t>减轻生活负担，提高生活质量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租户满意度</w:t>
            </w:r>
          </w:p>
        </w:tc>
        <w:tc>
          <w:tcPr>
            <w:tcW w:w="4228" w:type="dxa"/>
            <w:vAlign w:val="center"/>
          </w:tcPr>
          <w:p>
            <w:pPr>
              <w:pStyle w:val="12"/>
            </w:pPr>
            <w:r>
              <w:t>租户对保障性租赁住房满意程度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3、2024年两房悦麓兰庭和翠屏龙苑人才公寓家具家电附属设施绩效目标表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13011024P00000110188Y</w:t>
            </w:r>
          </w:p>
        </w:tc>
        <w:tc>
          <w:tcPr>
            <w:tcW w:w="2114" w:type="dxa"/>
            <w:vAlign w:val="center"/>
          </w:tcPr>
          <w:p>
            <w:pPr>
              <w:pStyle w:val="10"/>
            </w:pPr>
            <w:r>
              <w:t>项目名称</w:t>
            </w:r>
          </w:p>
        </w:tc>
        <w:tc>
          <w:tcPr>
            <w:tcW w:w="6342" w:type="dxa"/>
            <w:gridSpan w:val="3"/>
            <w:vAlign w:val="center"/>
          </w:tcPr>
          <w:p>
            <w:pPr>
              <w:pStyle w:val="12"/>
            </w:pPr>
            <w:r>
              <w:t>2024年两房悦麓兰庭和翠屏龙苑人才公寓家具家电附属设施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"申请241.24万用于装修64套人才公寓家具家电等附属设施，装修完成后分配使用</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1.申请241.24万用于装修64套人才公寓家具家电等附属设施，装修完成后分配使用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人才公寓附属设备验收合格率</w:t>
            </w:r>
          </w:p>
        </w:tc>
        <w:tc>
          <w:tcPr>
            <w:tcW w:w="4228" w:type="dxa"/>
            <w:vAlign w:val="center"/>
          </w:tcPr>
          <w:p>
            <w:pPr>
              <w:pStyle w:val="12"/>
            </w:pPr>
            <w:r>
              <w:t>人才公寓内部公共设施装修</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人才公寓装修数量</w:t>
            </w:r>
          </w:p>
        </w:tc>
        <w:tc>
          <w:tcPr>
            <w:tcW w:w="4228" w:type="dxa"/>
            <w:vAlign w:val="center"/>
          </w:tcPr>
          <w:p>
            <w:pPr>
              <w:pStyle w:val="12"/>
            </w:pPr>
            <w:r>
              <w:t>人才公寓装修数量</w:t>
            </w:r>
          </w:p>
        </w:tc>
        <w:tc>
          <w:tcPr>
            <w:tcW w:w="2114" w:type="dxa"/>
            <w:vAlign w:val="center"/>
          </w:tcPr>
          <w:p>
            <w:pPr>
              <w:pStyle w:val="12"/>
            </w:pPr>
            <w:r>
              <w:t>64套</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人才公寓装修成本</w:t>
            </w:r>
          </w:p>
        </w:tc>
        <w:tc>
          <w:tcPr>
            <w:tcW w:w="4228" w:type="dxa"/>
            <w:vAlign w:val="center"/>
          </w:tcPr>
          <w:p>
            <w:pPr>
              <w:pStyle w:val="12"/>
            </w:pPr>
            <w:r>
              <w:t>人才公寓装修成本</w:t>
            </w:r>
          </w:p>
        </w:tc>
        <w:tc>
          <w:tcPr>
            <w:tcW w:w="2114" w:type="dxa"/>
            <w:vAlign w:val="center"/>
          </w:tcPr>
          <w:p>
            <w:pPr>
              <w:pStyle w:val="12"/>
            </w:pPr>
            <w:r>
              <w:t>241.24万元</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工作任务完成及时率</w:t>
            </w:r>
          </w:p>
        </w:tc>
        <w:tc>
          <w:tcPr>
            <w:tcW w:w="4228" w:type="dxa"/>
            <w:vAlign w:val="center"/>
          </w:tcPr>
          <w:p>
            <w:pPr>
              <w:pStyle w:val="12"/>
            </w:pPr>
            <w:r>
              <w:t>人才公寓装修完成及时率</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长期使用性</w:t>
            </w:r>
          </w:p>
        </w:tc>
        <w:tc>
          <w:tcPr>
            <w:tcW w:w="4228" w:type="dxa"/>
            <w:vAlign w:val="center"/>
          </w:tcPr>
          <w:p>
            <w:pPr>
              <w:pStyle w:val="12"/>
            </w:pPr>
            <w:r>
              <w:t>能够长期较好地满足人民群众的需求</w:t>
            </w:r>
          </w:p>
        </w:tc>
        <w:tc>
          <w:tcPr>
            <w:tcW w:w="2114" w:type="dxa"/>
            <w:vAlign w:val="center"/>
          </w:tcPr>
          <w:p>
            <w:pPr>
              <w:pStyle w:val="12"/>
            </w:pPr>
            <w:r>
              <w:t>长期保持</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改善公寓住房条件</w:t>
            </w:r>
          </w:p>
        </w:tc>
        <w:tc>
          <w:tcPr>
            <w:tcW w:w="4228" w:type="dxa"/>
            <w:vAlign w:val="center"/>
          </w:tcPr>
          <w:p>
            <w:pPr>
              <w:pStyle w:val="12"/>
            </w:pPr>
            <w:r>
              <w:t>改善住房条件</w:t>
            </w:r>
          </w:p>
        </w:tc>
        <w:tc>
          <w:tcPr>
            <w:tcW w:w="2114" w:type="dxa"/>
            <w:vAlign w:val="center"/>
          </w:tcPr>
          <w:p>
            <w:pPr>
              <w:pStyle w:val="12"/>
            </w:pPr>
            <w:r>
              <w:t>装修设施达到全部完工</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群众对各种配套实施设备器材的满意度</w:t>
            </w:r>
          </w:p>
        </w:tc>
        <w:tc>
          <w:tcPr>
            <w:tcW w:w="4228" w:type="dxa"/>
            <w:vAlign w:val="center"/>
          </w:tcPr>
          <w:p>
            <w:pPr>
              <w:pStyle w:val="12"/>
            </w:pPr>
            <w:r>
              <w:t>对附属设施及硬件设施的满意度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4、公共租赁住房租金补贴绩效目标表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13011024P000001102861</w:t>
            </w:r>
          </w:p>
        </w:tc>
        <w:tc>
          <w:tcPr>
            <w:tcW w:w="2114" w:type="dxa"/>
            <w:vAlign w:val="center"/>
          </w:tcPr>
          <w:p>
            <w:pPr>
              <w:pStyle w:val="10"/>
            </w:pPr>
            <w:r>
              <w:t>项目名称</w:t>
            </w:r>
          </w:p>
        </w:tc>
        <w:tc>
          <w:tcPr>
            <w:tcW w:w="6342" w:type="dxa"/>
            <w:gridSpan w:val="3"/>
            <w:vAlign w:val="center"/>
          </w:tcPr>
          <w:p>
            <w:pPr>
              <w:pStyle w:val="12"/>
            </w:pPr>
            <w:r>
              <w:t>公共租赁住房租金补贴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≥1095户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5、公租房、保障性住房维修维护绩效目标表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13011024P00000110287L</w:t>
            </w:r>
          </w:p>
        </w:tc>
        <w:tc>
          <w:tcPr>
            <w:tcW w:w="2114" w:type="dxa"/>
            <w:vAlign w:val="center"/>
          </w:tcPr>
          <w:p>
            <w:pPr>
              <w:pStyle w:val="10"/>
            </w:pPr>
            <w:r>
              <w:t>项目名称</w:t>
            </w:r>
          </w:p>
        </w:tc>
        <w:tc>
          <w:tcPr>
            <w:tcW w:w="6342" w:type="dxa"/>
            <w:gridSpan w:val="3"/>
            <w:vAlign w:val="center"/>
          </w:tcPr>
          <w:p>
            <w:pPr>
              <w:pStyle w:val="12"/>
            </w:pPr>
            <w:r>
              <w:t>公租房、保障性住房维修维护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35.00</w:t>
            </w:r>
          </w:p>
        </w:tc>
        <w:tc>
          <w:tcPr>
            <w:tcW w:w="2114" w:type="dxa"/>
            <w:vAlign w:val="center"/>
          </w:tcPr>
          <w:p>
            <w:pPr>
              <w:pStyle w:val="10"/>
            </w:pPr>
            <w:r>
              <w:t>其中：财政    资金</w:t>
            </w:r>
          </w:p>
        </w:tc>
        <w:tc>
          <w:tcPr>
            <w:tcW w:w="2114" w:type="dxa"/>
            <w:vAlign w:val="center"/>
          </w:tcPr>
          <w:p>
            <w:pPr>
              <w:pStyle w:val="12"/>
            </w:pPr>
            <w:r>
              <w:t>35.00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根据冀财综【2008】60号文，为更快建设成为保障房智能化小区，资金用于建设安装指纹锁190把，38万。更换窗户及金刚纱窗72户，67.56万元。保障户租金返还30万。人才公寓指纹锁专线费0.63万元以及日常维修等费用。  </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 xml:space="preserve">1.根据冀财综【2008】60号文，为更快建设成为保障房智能化小区，资金用于建设安装指纹锁190把，38万。更换窗户及金刚纱窗72户，67.56万元。保障户租金返还30万。人才公寓指纹锁专线费0.63万元以及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日常维护维修</w:t>
            </w:r>
          </w:p>
        </w:tc>
        <w:tc>
          <w:tcPr>
            <w:tcW w:w="4228" w:type="dxa"/>
            <w:vAlign w:val="center"/>
          </w:tcPr>
          <w:p>
            <w:pPr>
              <w:pStyle w:val="12"/>
            </w:pPr>
            <w:r>
              <w:t>日常管理维修维护户数</w:t>
            </w:r>
          </w:p>
        </w:tc>
        <w:tc>
          <w:tcPr>
            <w:tcW w:w="2114" w:type="dxa"/>
            <w:vAlign w:val="center"/>
          </w:tcPr>
          <w:p>
            <w:pPr>
              <w:pStyle w:val="12"/>
            </w:pPr>
            <w:r>
              <w:t>326套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维修维护覆盖率</w:t>
            </w:r>
          </w:p>
        </w:tc>
        <w:tc>
          <w:tcPr>
            <w:tcW w:w="4228" w:type="dxa"/>
            <w:vAlign w:val="center"/>
          </w:tcPr>
          <w:p>
            <w:pPr>
              <w:pStyle w:val="12"/>
            </w:pPr>
            <w:r>
              <w:t>维修维护覆盖率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更换窗户及安装金刚窗纱的成本</w:t>
            </w:r>
          </w:p>
        </w:tc>
        <w:tc>
          <w:tcPr>
            <w:tcW w:w="4228" w:type="dxa"/>
            <w:vAlign w:val="center"/>
          </w:tcPr>
          <w:p>
            <w:pPr>
              <w:pStyle w:val="12"/>
            </w:pPr>
            <w:r>
              <w:t>更换窗户及安装金刚窗纱的成本</w:t>
            </w:r>
          </w:p>
        </w:tc>
        <w:tc>
          <w:tcPr>
            <w:tcW w:w="2114" w:type="dxa"/>
            <w:vAlign w:val="center"/>
          </w:tcPr>
          <w:p>
            <w:pPr>
              <w:pStyle w:val="12"/>
            </w:pPr>
            <w:r>
              <w:t>67.56万元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tc>
        <w:tc>
          <w:tcPr>
            <w:tcW w:w="4228" w:type="dxa"/>
            <w:vAlign w:val="center"/>
          </w:tcPr>
          <w:p>
            <w:pPr>
              <w:pStyle w:val="12"/>
            </w:pPr>
            <w:r>
              <w:t>工作完成所用的时间情况</w:t>
            </w:r>
            <w:r>
              <w:tab/>
            </w:r>
          </w:p>
        </w:tc>
        <w:tc>
          <w:tcPr>
            <w:tcW w:w="2114" w:type="dxa"/>
            <w:vAlign w:val="center"/>
          </w:tcPr>
          <w:p>
            <w:pPr>
              <w:pStyle w:val="12"/>
            </w:pPr>
            <w:r>
              <w:t>按要求完成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安装指纹锁的成本</w:t>
            </w:r>
          </w:p>
        </w:tc>
        <w:tc>
          <w:tcPr>
            <w:tcW w:w="4228" w:type="dxa"/>
            <w:vAlign w:val="center"/>
          </w:tcPr>
          <w:p>
            <w:pPr>
              <w:pStyle w:val="12"/>
            </w:pPr>
            <w:r>
              <w:t>智慧小区安装指纹锁的成本</w:t>
            </w:r>
          </w:p>
        </w:tc>
        <w:tc>
          <w:tcPr>
            <w:tcW w:w="2114" w:type="dxa"/>
            <w:vAlign w:val="center"/>
          </w:tcPr>
          <w:p>
            <w:pPr>
              <w:pStyle w:val="12"/>
            </w:pPr>
            <w:r>
              <w:t>38万元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石家庄市鹿泉区廉租住房和经济适用住房管理中心上年末固定资产金额为284.37万元（详见下表）。本年度拟购置固定资产总额为0.00万元，已按要求列入政府采购预算，详见政府采购预算表。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284.37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DC77E8"/>
    <w:rsid w:val="19974DBA"/>
    <w:rsid w:val="22BF263A"/>
    <w:rsid w:val="323572CB"/>
    <w:rsid w:val="40074539"/>
    <w:rsid w:val="40271F51"/>
    <w:rsid w:val="4EE129A3"/>
    <w:rsid w:val="62107EF1"/>
    <w:rsid w:val="6B405DFA"/>
    <w:rsid w:val="6F4F54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3" Type="http://schemas.openxmlformats.org/officeDocument/2006/relationships/fontTable" Target="fontTable.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2024-03-04T15:27:02Z</dcterms:created>
  <dcterms:modified xsi:type="dcterms:W3CDTF">2024-03-04T07:27:02Z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2024-03-04T15:27:01Z</dcterms:created>
  <dcterms:modified xsi:type="dcterms:W3CDTF">2024-03-04T07:27:00Z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2024-03-04T15:26:57Z</dcterms:created>
  <dcterms:modified xsi:type="dcterms:W3CDTF">2024-03-04T07:26:56Z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2024-03-04T15:26:54Z</dcterms:created>
  <dcterms:modified xsi:type="dcterms:W3CDTF">2024-03-04T07:26:54Z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2024-03-04T15:26:53Z</dcterms:created>
  <dcterms:modified xsi:type="dcterms:W3CDTF">2024-03-04T07:26:53Z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2024-03-04T15:26:49Z</dcterms:created>
  <dcterms:modified xsi:type="dcterms:W3CDTF">2024-03-04T07:26:49Z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2024-03-04T15:26:47Z</dcterms:created>
  <dcterms:modified xsi:type="dcterms:W3CDTF">2024-03-04T07:26:46Z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2024-03-04T15:26:43Z</dcterms:created>
  <dcterms:modified xsi:type="dcterms:W3CDTF">2024-03-04T07:26:43Z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2024-03-04T15:26:41Z</dcterms:created>
  <dcterms:modified xsi:type="dcterms:W3CDTF">2024-03-04T07:26:41Z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2024-03-04T15:26:40Z</dcterms:created>
  <dcterms:modified xsi:type="dcterms:W3CDTF">2024-03-04T07:26:40Z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2024-03-04T15:27:13Z</dcterms:created>
  <dcterms:modified xsi:type="dcterms:W3CDTF">2024-03-04T07:27:13Z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2024-03-04T15:26:32Z</dcterms:created>
  <dcterms:modified xsi:type="dcterms:W3CDTF">2024-03-04T07:26:32Z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2024-03-04T15:27:09Z</dcterms:created>
  <dcterms:modified xsi:type="dcterms:W3CDTF">2024-03-04T07:27:09Z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2024-03-04T15:26:29Z</dcterms:created>
  <dcterms:modified xsi:type="dcterms:W3CDTF">2024-03-04T07:26:29Z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2024-03-04T15:25:45Z</dcterms:created>
  <dcterms:modified xsi:type="dcterms:W3CDTF">2024-03-04T07:25:45Z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2024-03-04T15:25:50Z</dcterms:created>
  <dcterms:modified xsi:type="dcterms:W3CDTF">2024-03-04T07:25:49Z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0b5b689-aa3d-4efc-87fe-9216f4af7d02}">
  <ds:schemaRefs/>
</ds:datastoreItem>
</file>

<file path=customXml/itemProps100.xml><?xml version="1.0" encoding="utf-8"?>
<ds:datastoreItem xmlns:ds="http://schemas.openxmlformats.org/officeDocument/2006/customXml" ds:itemID="{39eefa44-c450-48de-b728-8ac615b0405c}">
  <ds:schemaRefs/>
</ds:datastoreItem>
</file>

<file path=customXml/itemProps101.xml><?xml version="1.0" encoding="utf-8"?>
<ds:datastoreItem xmlns:ds="http://schemas.openxmlformats.org/officeDocument/2006/customXml" ds:itemID="{9dc62809-e1cc-4866-a351-d9e52c3c8971}">
  <ds:schemaRefs/>
</ds:datastoreItem>
</file>

<file path=customXml/itemProps102.xml><?xml version="1.0" encoding="utf-8"?>
<ds:datastoreItem xmlns:ds="http://schemas.openxmlformats.org/officeDocument/2006/customXml" ds:itemID="{336d77b6-aeff-4321-9643-d906fc80270a}">
  <ds:schemaRefs/>
</ds:datastoreItem>
</file>

<file path=customXml/itemProps103.xml><?xml version="1.0" encoding="utf-8"?>
<ds:datastoreItem xmlns:ds="http://schemas.openxmlformats.org/officeDocument/2006/customXml" ds:itemID="{5427b927-d513-4222-9427-96c1b0dad53d}">
  <ds:schemaRefs/>
</ds:datastoreItem>
</file>

<file path=customXml/itemProps104.xml><?xml version="1.0" encoding="utf-8"?>
<ds:datastoreItem xmlns:ds="http://schemas.openxmlformats.org/officeDocument/2006/customXml" ds:itemID="{6eaebb19-97bc-4bd9-9372-158453502056}">
  <ds:schemaRefs/>
</ds:datastoreItem>
</file>

<file path=customXml/itemProps105.xml><?xml version="1.0" encoding="utf-8"?>
<ds:datastoreItem xmlns:ds="http://schemas.openxmlformats.org/officeDocument/2006/customXml" ds:itemID="{2f99ae54-0396-4131-96a0-667058a2f764}">
  <ds:schemaRefs/>
</ds:datastoreItem>
</file>

<file path=customXml/itemProps106.xml><?xml version="1.0" encoding="utf-8"?>
<ds:datastoreItem xmlns:ds="http://schemas.openxmlformats.org/officeDocument/2006/customXml" ds:itemID="{daf56696-d891-43a8-ab60-d0bb8e0dcf3a}">
  <ds:schemaRefs/>
</ds:datastoreItem>
</file>

<file path=customXml/itemProps107.xml><?xml version="1.0" encoding="utf-8"?>
<ds:datastoreItem xmlns:ds="http://schemas.openxmlformats.org/officeDocument/2006/customXml" ds:itemID="{dd7435cf-f331-466b-bdf3-e21859e95907}">
  <ds:schemaRefs/>
</ds:datastoreItem>
</file>

<file path=customXml/itemProps108.xml><?xml version="1.0" encoding="utf-8"?>
<ds:datastoreItem xmlns:ds="http://schemas.openxmlformats.org/officeDocument/2006/customXml" ds:itemID="{e588668a-6e24-4a0c-85bf-23da5a5e086d}">
  <ds:schemaRefs/>
</ds:datastoreItem>
</file>

<file path=customXml/itemProps109.xml><?xml version="1.0" encoding="utf-8"?>
<ds:datastoreItem xmlns:ds="http://schemas.openxmlformats.org/officeDocument/2006/customXml" ds:itemID="{bcabd304-e0d8-42e0-8209-ac2b5b9bc94d}">
  <ds:schemaRefs/>
</ds:datastoreItem>
</file>

<file path=customXml/itemProps11.xml><?xml version="1.0" encoding="utf-8"?>
<ds:datastoreItem xmlns:ds="http://schemas.openxmlformats.org/officeDocument/2006/customXml" ds:itemID="{bdac2e8d-1639-4d53-96c1-d797743cd21d}">
  <ds:schemaRefs/>
</ds:datastoreItem>
</file>

<file path=customXml/itemProps110.xml><?xml version="1.0" encoding="utf-8"?>
<ds:datastoreItem xmlns:ds="http://schemas.openxmlformats.org/officeDocument/2006/customXml" ds:itemID="{964cb7d8-46a5-4419-b9e8-5b7b5563bb4b}">
  <ds:schemaRefs/>
</ds:datastoreItem>
</file>

<file path=customXml/itemProps111.xml><?xml version="1.0" encoding="utf-8"?>
<ds:datastoreItem xmlns:ds="http://schemas.openxmlformats.org/officeDocument/2006/customXml" ds:itemID="{17a1e97c-a6bf-4bc7-a3b8-eb98fd09c450}">
  <ds:schemaRefs/>
</ds:datastoreItem>
</file>

<file path=customXml/itemProps112.xml><?xml version="1.0" encoding="utf-8"?>
<ds:datastoreItem xmlns:ds="http://schemas.openxmlformats.org/officeDocument/2006/customXml" ds:itemID="{dda3ced5-3d7e-494c-8a51-36a6166ea0cf}">
  <ds:schemaRefs/>
</ds:datastoreItem>
</file>

<file path=customXml/itemProps113.xml><?xml version="1.0" encoding="utf-8"?>
<ds:datastoreItem xmlns:ds="http://schemas.openxmlformats.org/officeDocument/2006/customXml" ds:itemID="{6fa30c3c-6a28-4566-b744-18cc201111a7}">
  <ds:schemaRefs/>
</ds:datastoreItem>
</file>

<file path=customXml/itemProps114.xml><?xml version="1.0" encoding="utf-8"?>
<ds:datastoreItem xmlns:ds="http://schemas.openxmlformats.org/officeDocument/2006/customXml" ds:itemID="{11cea307-cb08-4fc0-a520-18e78c545e17}">
  <ds:schemaRefs/>
</ds:datastoreItem>
</file>

<file path=customXml/itemProps115.xml><?xml version="1.0" encoding="utf-8"?>
<ds:datastoreItem xmlns:ds="http://schemas.openxmlformats.org/officeDocument/2006/customXml" ds:itemID="{0d451776-3512-4ca4-8bd8-f8dd99e93859}">
  <ds:schemaRefs/>
</ds:datastoreItem>
</file>

<file path=customXml/itemProps116.xml><?xml version="1.0" encoding="utf-8"?>
<ds:datastoreItem xmlns:ds="http://schemas.openxmlformats.org/officeDocument/2006/customXml" ds:itemID="{e370c3d1-1cf0-4707-9b2e-77aa7b740547}">
  <ds:schemaRefs/>
</ds:datastoreItem>
</file>

<file path=customXml/itemProps117.xml><?xml version="1.0" encoding="utf-8"?>
<ds:datastoreItem xmlns:ds="http://schemas.openxmlformats.org/officeDocument/2006/customXml" ds:itemID="{a3f237ff-6d6a-4bb1-8a82-17a3c1509cd6}">
  <ds:schemaRefs/>
</ds:datastoreItem>
</file>

<file path=customXml/itemProps118.xml><?xml version="1.0" encoding="utf-8"?>
<ds:datastoreItem xmlns:ds="http://schemas.openxmlformats.org/officeDocument/2006/customXml" ds:itemID="{68b517b1-8bc2-4278-9005-646a7472f8af}">
  <ds:schemaRefs/>
</ds:datastoreItem>
</file>

<file path=customXml/itemProps119.xml><?xml version="1.0" encoding="utf-8"?>
<ds:datastoreItem xmlns:ds="http://schemas.openxmlformats.org/officeDocument/2006/customXml" ds:itemID="{15aa7bc7-f1dd-4458-ade1-c4aa0de3e957}">
  <ds:schemaRefs/>
</ds:datastoreItem>
</file>

<file path=customXml/itemProps12.xml><?xml version="1.0" encoding="utf-8"?>
<ds:datastoreItem xmlns:ds="http://schemas.openxmlformats.org/officeDocument/2006/customXml" ds:itemID="{823dfad2-ac1a-4420-a3c6-6653e5a3f384}">
  <ds:schemaRefs/>
</ds:datastoreItem>
</file>

<file path=customXml/itemProps120.xml><?xml version="1.0" encoding="utf-8"?>
<ds:datastoreItem xmlns:ds="http://schemas.openxmlformats.org/officeDocument/2006/customXml" ds:itemID="{8ac290f6-9c03-48e5-a2f6-6243336f02a2}">
  <ds:schemaRefs/>
</ds:datastoreItem>
</file>

<file path=customXml/itemProps121.xml><?xml version="1.0" encoding="utf-8"?>
<ds:datastoreItem xmlns:ds="http://schemas.openxmlformats.org/officeDocument/2006/customXml" ds:itemID="{4c59067b-0d51-4edf-a538-d927a1e2d713}">
  <ds:schemaRefs/>
</ds:datastoreItem>
</file>

<file path=customXml/itemProps122.xml><?xml version="1.0" encoding="utf-8"?>
<ds:datastoreItem xmlns:ds="http://schemas.openxmlformats.org/officeDocument/2006/customXml" ds:itemID="{69246ff5-9807-4425-97e9-498adbd30d76}">
  <ds:schemaRefs/>
</ds:datastoreItem>
</file>

<file path=customXml/itemProps123.xml><?xml version="1.0" encoding="utf-8"?>
<ds:datastoreItem xmlns:ds="http://schemas.openxmlformats.org/officeDocument/2006/customXml" ds:itemID="{8852909a-8f2b-4eb4-ab17-d90a941a59ca}">
  <ds:schemaRefs/>
</ds:datastoreItem>
</file>

<file path=customXml/itemProps124.xml><?xml version="1.0" encoding="utf-8"?>
<ds:datastoreItem xmlns:ds="http://schemas.openxmlformats.org/officeDocument/2006/customXml" ds:itemID="{a2411f4c-74b0-4b78-a51f-80830f8343b8}">
  <ds:schemaRefs/>
</ds:datastoreItem>
</file>

<file path=customXml/itemProps125.xml><?xml version="1.0" encoding="utf-8"?>
<ds:datastoreItem xmlns:ds="http://schemas.openxmlformats.org/officeDocument/2006/customXml" ds:itemID="{157a72e0-d7f1-466b-baf1-aafe8c1b0bc7}">
  <ds:schemaRefs/>
</ds:datastoreItem>
</file>

<file path=customXml/itemProps126.xml><?xml version="1.0" encoding="utf-8"?>
<ds:datastoreItem xmlns:ds="http://schemas.openxmlformats.org/officeDocument/2006/customXml" ds:itemID="{7b165bee-c760-4083-b88b-8f187ac10f60}">
  <ds:schemaRefs/>
</ds:datastoreItem>
</file>

<file path=customXml/itemProps127.xml><?xml version="1.0" encoding="utf-8"?>
<ds:datastoreItem xmlns:ds="http://schemas.openxmlformats.org/officeDocument/2006/customXml" ds:itemID="{43493a8b-5061-4cb0-bb0f-45e64805bbfb}">
  <ds:schemaRefs/>
</ds:datastoreItem>
</file>

<file path=customXml/itemProps128.xml><?xml version="1.0" encoding="utf-8"?>
<ds:datastoreItem xmlns:ds="http://schemas.openxmlformats.org/officeDocument/2006/customXml" ds:itemID="{49c19d43-0c54-46ef-aa61-4557632ebde3}">
  <ds:schemaRefs/>
</ds:datastoreItem>
</file>

<file path=customXml/itemProps129.xml><?xml version="1.0" encoding="utf-8"?>
<ds:datastoreItem xmlns:ds="http://schemas.openxmlformats.org/officeDocument/2006/customXml" ds:itemID="{8cea2bfa-87ad-44e0-81b4-8e2e6b9349a9}">
  <ds:schemaRefs/>
</ds:datastoreItem>
</file>

<file path=customXml/itemProps13.xml><?xml version="1.0" encoding="utf-8"?>
<ds:datastoreItem xmlns:ds="http://schemas.openxmlformats.org/officeDocument/2006/customXml" ds:itemID="{8131faee-e994-41d8-bdc2-8fa1d0b0543b}">
  <ds:schemaRefs/>
</ds:datastoreItem>
</file>

<file path=customXml/itemProps130.xml><?xml version="1.0" encoding="utf-8"?>
<ds:datastoreItem xmlns:ds="http://schemas.openxmlformats.org/officeDocument/2006/customXml" ds:itemID="{2050111e-5772-4905-9fef-7106cc60e339}">
  <ds:schemaRefs/>
</ds:datastoreItem>
</file>

<file path=customXml/itemProps131.xml><?xml version="1.0" encoding="utf-8"?>
<ds:datastoreItem xmlns:ds="http://schemas.openxmlformats.org/officeDocument/2006/customXml" ds:itemID="{ee203d18-10bd-4ef1-9bb4-ce13379efb07}">
  <ds:schemaRefs/>
</ds:datastoreItem>
</file>

<file path=customXml/itemProps132.xml><?xml version="1.0" encoding="utf-8"?>
<ds:datastoreItem xmlns:ds="http://schemas.openxmlformats.org/officeDocument/2006/customXml" ds:itemID="{69f48723-12cb-4786-b06e-d1952f179719}">
  <ds:schemaRefs/>
</ds:datastoreItem>
</file>

<file path=customXml/itemProps133.xml><?xml version="1.0" encoding="utf-8"?>
<ds:datastoreItem xmlns:ds="http://schemas.openxmlformats.org/officeDocument/2006/customXml" ds:itemID="{454c2a3a-01ad-48b9-8a28-4d896d7bb0b2}">
  <ds:schemaRefs/>
</ds:datastoreItem>
</file>

<file path=customXml/itemProps134.xml><?xml version="1.0" encoding="utf-8"?>
<ds:datastoreItem xmlns:ds="http://schemas.openxmlformats.org/officeDocument/2006/customXml" ds:itemID="{20906830-f9ee-4c51-a939-a6ffd42b2478}">
  <ds:schemaRefs/>
</ds:datastoreItem>
</file>

<file path=customXml/itemProps135.xml><?xml version="1.0" encoding="utf-8"?>
<ds:datastoreItem xmlns:ds="http://schemas.openxmlformats.org/officeDocument/2006/customXml" ds:itemID="{350e616e-821f-4df6-93b5-b07bcd88e691}">
  <ds:schemaRefs/>
</ds:datastoreItem>
</file>

<file path=customXml/itemProps136.xml><?xml version="1.0" encoding="utf-8"?>
<ds:datastoreItem xmlns:ds="http://schemas.openxmlformats.org/officeDocument/2006/customXml" ds:itemID="{1d7bdbcb-5f76-48b7-9192-7c95f29f8256}">
  <ds:schemaRefs/>
</ds:datastoreItem>
</file>

<file path=customXml/itemProps137.xml><?xml version="1.0" encoding="utf-8"?>
<ds:datastoreItem xmlns:ds="http://schemas.openxmlformats.org/officeDocument/2006/customXml" ds:itemID="{84f15566-f272-4742-86fb-e58ed736c230}">
  <ds:schemaRefs/>
</ds:datastoreItem>
</file>

<file path=customXml/itemProps138.xml><?xml version="1.0" encoding="utf-8"?>
<ds:datastoreItem xmlns:ds="http://schemas.openxmlformats.org/officeDocument/2006/customXml" ds:itemID="{32944fdf-9026-41d8-a48b-cfb2b58c9118}">
  <ds:schemaRefs/>
</ds:datastoreItem>
</file>

<file path=customXml/itemProps139.xml><?xml version="1.0" encoding="utf-8"?>
<ds:datastoreItem xmlns:ds="http://schemas.openxmlformats.org/officeDocument/2006/customXml" ds:itemID="{583c3379-6845-413f-8624-01dc8349eac4}">
  <ds:schemaRefs/>
</ds:datastoreItem>
</file>

<file path=customXml/itemProps14.xml><?xml version="1.0" encoding="utf-8"?>
<ds:datastoreItem xmlns:ds="http://schemas.openxmlformats.org/officeDocument/2006/customXml" ds:itemID="{af062b4e-8406-4217-8cce-6b96a0625df8}">
  <ds:schemaRefs/>
</ds:datastoreItem>
</file>

<file path=customXml/itemProps140.xml><?xml version="1.0" encoding="utf-8"?>
<ds:datastoreItem xmlns:ds="http://schemas.openxmlformats.org/officeDocument/2006/customXml" ds:itemID="{56d6407e-2eea-4989-98bb-ad4bf96d4520}">
  <ds:schemaRefs/>
</ds:datastoreItem>
</file>

<file path=customXml/itemProps141.xml><?xml version="1.0" encoding="utf-8"?>
<ds:datastoreItem xmlns:ds="http://schemas.openxmlformats.org/officeDocument/2006/customXml" ds:itemID="{7afc41d7-0d81-410a-ba5a-a612bab45274}">
  <ds:schemaRefs/>
</ds:datastoreItem>
</file>

<file path=customXml/itemProps142.xml><?xml version="1.0" encoding="utf-8"?>
<ds:datastoreItem xmlns:ds="http://schemas.openxmlformats.org/officeDocument/2006/customXml" ds:itemID="{99802dcb-cb5e-4f07-afc8-13f36a28e27c}">
  <ds:schemaRefs/>
</ds:datastoreItem>
</file>

<file path=customXml/itemProps143.xml><?xml version="1.0" encoding="utf-8"?>
<ds:datastoreItem xmlns:ds="http://schemas.openxmlformats.org/officeDocument/2006/customXml" ds:itemID="{ebdb4a68-eb50-4487-9a0f-1b0327e225b0}">
  <ds:schemaRefs/>
</ds:datastoreItem>
</file>

<file path=customXml/itemProps144.xml><?xml version="1.0" encoding="utf-8"?>
<ds:datastoreItem xmlns:ds="http://schemas.openxmlformats.org/officeDocument/2006/customXml" ds:itemID="{0d0fb6a7-bff0-45e5-9e05-646073a3b358}">
  <ds:schemaRefs/>
</ds:datastoreItem>
</file>

<file path=customXml/itemProps145.xml><?xml version="1.0" encoding="utf-8"?>
<ds:datastoreItem xmlns:ds="http://schemas.openxmlformats.org/officeDocument/2006/customXml" ds:itemID="{f20f2cc9-2c38-46b8-8ab1-a878af7d76ea}">
  <ds:schemaRefs/>
</ds:datastoreItem>
</file>

<file path=customXml/itemProps146.xml><?xml version="1.0" encoding="utf-8"?>
<ds:datastoreItem xmlns:ds="http://schemas.openxmlformats.org/officeDocument/2006/customXml" ds:itemID="{020ddaee-79e7-4863-a1cc-ad722ae0a7a5}">
  <ds:schemaRefs/>
</ds:datastoreItem>
</file>

<file path=customXml/itemProps147.xml><?xml version="1.0" encoding="utf-8"?>
<ds:datastoreItem xmlns:ds="http://schemas.openxmlformats.org/officeDocument/2006/customXml" ds:itemID="{3c7d3c4f-6cac-4ce8-84c6-a9068611ff60}">
  <ds:schemaRefs/>
</ds:datastoreItem>
</file>

<file path=customXml/itemProps148.xml><?xml version="1.0" encoding="utf-8"?>
<ds:datastoreItem xmlns:ds="http://schemas.openxmlformats.org/officeDocument/2006/customXml" ds:itemID="{38acfec6-5133-4bdb-99b6-5567c22d6588}">
  <ds:schemaRefs/>
</ds:datastoreItem>
</file>

<file path=customXml/itemProps149.xml><?xml version="1.0" encoding="utf-8"?>
<ds:datastoreItem xmlns:ds="http://schemas.openxmlformats.org/officeDocument/2006/customXml" ds:itemID="{eabe22f7-c637-4303-9cfc-b0ad546f5de2}">
  <ds:schemaRefs/>
</ds:datastoreItem>
</file>

<file path=customXml/itemProps15.xml><?xml version="1.0" encoding="utf-8"?>
<ds:datastoreItem xmlns:ds="http://schemas.openxmlformats.org/officeDocument/2006/customXml" ds:itemID="{03319c19-63c4-4152-adc1-103033c39e95}">
  <ds:schemaRefs/>
</ds:datastoreItem>
</file>

<file path=customXml/itemProps150.xml><?xml version="1.0" encoding="utf-8"?>
<ds:datastoreItem xmlns:ds="http://schemas.openxmlformats.org/officeDocument/2006/customXml" ds:itemID="{aee7c624-8369-4abc-a254-2000a3d90dca}">
  <ds:schemaRefs/>
</ds:datastoreItem>
</file>

<file path=customXml/itemProps151.xml><?xml version="1.0" encoding="utf-8"?>
<ds:datastoreItem xmlns:ds="http://schemas.openxmlformats.org/officeDocument/2006/customXml" ds:itemID="{89742c1a-aafb-4da6-b443-1a89737cdb6c}">
  <ds:schemaRefs/>
</ds:datastoreItem>
</file>

<file path=customXml/itemProps152.xml><?xml version="1.0" encoding="utf-8"?>
<ds:datastoreItem xmlns:ds="http://schemas.openxmlformats.org/officeDocument/2006/customXml" ds:itemID="{121a5987-4d35-4b60-8d9d-bb42df31e0eb}">
  <ds:schemaRefs/>
</ds:datastoreItem>
</file>

<file path=customXml/itemProps153.xml><?xml version="1.0" encoding="utf-8"?>
<ds:datastoreItem xmlns:ds="http://schemas.openxmlformats.org/officeDocument/2006/customXml" ds:itemID="{e905688b-c8fd-4b3a-8657-2abe07133d23}">
  <ds:schemaRefs/>
</ds:datastoreItem>
</file>

<file path=customXml/itemProps154.xml><?xml version="1.0" encoding="utf-8"?>
<ds:datastoreItem xmlns:ds="http://schemas.openxmlformats.org/officeDocument/2006/customXml" ds:itemID="{4c79c9bb-4e37-4bac-b265-c94f4c7cace1}">
  <ds:schemaRefs/>
</ds:datastoreItem>
</file>

<file path=customXml/itemProps155.xml><?xml version="1.0" encoding="utf-8"?>
<ds:datastoreItem xmlns:ds="http://schemas.openxmlformats.org/officeDocument/2006/customXml" ds:itemID="{58eab518-6a28-4826-8371-c7af0021894f}">
  <ds:schemaRefs/>
</ds:datastoreItem>
</file>

<file path=customXml/itemProps156.xml><?xml version="1.0" encoding="utf-8"?>
<ds:datastoreItem xmlns:ds="http://schemas.openxmlformats.org/officeDocument/2006/customXml" ds:itemID="{d7a4147b-69d8-4df8-ad72-44b18e136442}">
  <ds:schemaRefs/>
</ds:datastoreItem>
</file>

<file path=customXml/itemProps157.xml><?xml version="1.0" encoding="utf-8"?>
<ds:datastoreItem xmlns:ds="http://schemas.openxmlformats.org/officeDocument/2006/customXml" ds:itemID="{06a21f4d-d891-418f-9a37-dec0976967f8}">
  <ds:schemaRefs/>
</ds:datastoreItem>
</file>

<file path=customXml/itemProps158.xml><?xml version="1.0" encoding="utf-8"?>
<ds:datastoreItem xmlns:ds="http://schemas.openxmlformats.org/officeDocument/2006/customXml" ds:itemID="{1df33608-cd9e-4fb1-9b5b-8422b90d580d}">
  <ds:schemaRefs/>
</ds:datastoreItem>
</file>

<file path=customXml/itemProps159.xml><?xml version="1.0" encoding="utf-8"?>
<ds:datastoreItem xmlns:ds="http://schemas.openxmlformats.org/officeDocument/2006/customXml" ds:itemID="{7c548e99-55b4-4d4b-9294-8cb7d743e12e}">
  <ds:schemaRefs/>
</ds:datastoreItem>
</file>

<file path=customXml/itemProps16.xml><?xml version="1.0" encoding="utf-8"?>
<ds:datastoreItem xmlns:ds="http://schemas.openxmlformats.org/officeDocument/2006/customXml" ds:itemID="{b32c6a48-db31-419c-8bd6-f82149632f8b}">
  <ds:schemaRefs/>
</ds:datastoreItem>
</file>

<file path=customXml/itemProps160.xml><?xml version="1.0" encoding="utf-8"?>
<ds:datastoreItem xmlns:ds="http://schemas.openxmlformats.org/officeDocument/2006/customXml" ds:itemID="{7230675d-ba4d-4d3d-9ac7-757af7f5e826}">
  <ds:schemaRefs/>
</ds:datastoreItem>
</file>

<file path=customXml/itemProps161.xml><?xml version="1.0" encoding="utf-8"?>
<ds:datastoreItem xmlns:ds="http://schemas.openxmlformats.org/officeDocument/2006/customXml" ds:itemID="{c5e8c163-2093-47c3-a6d0-ee9c38fee9ea}">
  <ds:schemaRefs/>
</ds:datastoreItem>
</file>

<file path=customXml/itemProps162.xml><?xml version="1.0" encoding="utf-8"?>
<ds:datastoreItem xmlns:ds="http://schemas.openxmlformats.org/officeDocument/2006/customXml" ds:itemID="{6255471d-7db5-4105-8bee-f975f02ab4a8}">
  <ds:schemaRefs/>
</ds:datastoreItem>
</file>

<file path=customXml/itemProps163.xml><?xml version="1.0" encoding="utf-8"?>
<ds:datastoreItem xmlns:ds="http://schemas.openxmlformats.org/officeDocument/2006/customXml" ds:itemID="{290acc86-918f-4cda-8fbd-5d47b0477b0e}">
  <ds:schemaRefs/>
</ds:datastoreItem>
</file>

<file path=customXml/itemProps164.xml><?xml version="1.0" encoding="utf-8"?>
<ds:datastoreItem xmlns:ds="http://schemas.openxmlformats.org/officeDocument/2006/customXml" ds:itemID="{5e42be71-fd05-4eb2-b39e-61649b443417}">
  <ds:schemaRefs/>
</ds:datastoreItem>
</file>

<file path=customXml/itemProps165.xml><?xml version="1.0" encoding="utf-8"?>
<ds:datastoreItem xmlns:ds="http://schemas.openxmlformats.org/officeDocument/2006/customXml" ds:itemID="{e3e4bc0d-b930-4d6a-8f9e-f86ff25fed0f}">
  <ds:schemaRefs/>
</ds:datastoreItem>
</file>

<file path=customXml/itemProps166.xml><?xml version="1.0" encoding="utf-8"?>
<ds:datastoreItem xmlns:ds="http://schemas.openxmlformats.org/officeDocument/2006/customXml" ds:itemID="{681146c7-4d95-4798-9465-5c6809174fa3}">
  <ds:schemaRefs/>
</ds:datastoreItem>
</file>

<file path=customXml/itemProps167.xml><?xml version="1.0" encoding="utf-8"?>
<ds:datastoreItem xmlns:ds="http://schemas.openxmlformats.org/officeDocument/2006/customXml" ds:itemID="{eda3e6cc-ca3f-4d69-be18-f163e03dc60a}">
  <ds:schemaRefs/>
</ds:datastoreItem>
</file>

<file path=customXml/itemProps168.xml><?xml version="1.0" encoding="utf-8"?>
<ds:datastoreItem xmlns:ds="http://schemas.openxmlformats.org/officeDocument/2006/customXml" ds:itemID="{a210109a-b1f9-40ea-be0b-b35acac98711}">
  <ds:schemaRefs/>
</ds:datastoreItem>
</file>

<file path=customXml/itemProps169.xml><?xml version="1.0" encoding="utf-8"?>
<ds:datastoreItem xmlns:ds="http://schemas.openxmlformats.org/officeDocument/2006/customXml" ds:itemID="{6d02c124-142e-4013-a0b9-2c330d36ea7e}">
  <ds:schemaRefs/>
</ds:datastoreItem>
</file>

<file path=customXml/itemProps17.xml><?xml version="1.0" encoding="utf-8"?>
<ds:datastoreItem xmlns:ds="http://schemas.openxmlformats.org/officeDocument/2006/customXml" ds:itemID="{df929543-b358-45b2-a6a8-87ce68459f8a}">
  <ds:schemaRefs/>
</ds:datastoreItem>
</file>

<file path=customXml/itemProps170.xml><?xml version="1.0" encoding="utf-8"?>
<ds:datastoreItem xmlns:ds="http://schemas.openxmlformats.org/officeDocument/2006/customXml" ds:itemID="{3693ec23-2104-44ae-8ca2-19741c954f09}">
  <ds:schemaRefs/>
</ds:datastoreItem>
</file>

<file path=customXml/itemProps171.xml><?xml version="1.0" encoding="utf-8"?>
<ds:datastoreItem xmlns:ds="http://schemas.openxmlformats.org/officeDocument/2006/customXml" ds:itemID="{04c5a4f9-2ea9-43ff-bfe7-d280d196dcb4}">
  <ds:schemaRefs/>
</ds:datastoreItem>
</file>

<file path=customXml/itemProps172.xml><?xml version="1.0" encoding="utf-8"?>
<ds:datastoreItem xmlns:ds="http://schemas.openxmlformats.org/officeDocument/2006/customXml" ds:itemID="{74d94618-4be7-4ef3-909f-8379f5e7b587}">
  <ds:schemaRefs/>
</ds:datastoreItem>
</file>

<file path=customXml/itemProps173.xml><?xml version="1.0" encoding="utf-8"?>
<ds:datastoreItem xmlns:ds="http://schemas.openxmlformats.org/officeDocument/2006/customXml" ds:itemID="{14314002-d827-401a-91e2-5568df0903b3}">
  <ds:schemaRefs/>
</ds:datastoreItem>
</file>

<file path=customXml/itemProps174.xml><?xml version="1.0" encoding="utf-8"?>
<ds:datastoreItem xmlns:ds="http://schemas.openxmlformats.org/officeDocument/2006/customXml" ds:itemID="{00b22291-6bb1-4cf2-b8da-779948197387}">
  <ds:schemaRefs/>
</ds:datastoreItem>
</file>

<file path=customXml/itemProps175.xml><?xml version="1.0" encoding="utf-8"?>
<ds:datastoreItem xmlns:ds="http://schemas.openxmlformats.org/officeDocument/2006/customXml" ds:itemID="{94539ee6-14bc-4f86-83da-99e83d879889}">
  <ds:schemaRefs/>
</ds:datastoreItem>
</file>

<file path=customXml/itemProps176.xml><?xml version="1.0" encoding="utf-8"?>
<ds:datastoreItem xmlns:ds="http://schemas.openxmlformats.org/officeDocument/2006/customXml" ds:itemID="{feba491d-732d-41d6-8c68-cb8bf30b54d9}">
  <ds:schemaRefs/>
</ds:datastoreItem>
</file>

<file path=customXml/itemProps177.xml><?xml version="1.0" encoding="utf-8"?>
<ds:datastoreItem xmlns:ds="http://schemas.openxmlformats.org/officeDocument/2006/customXml" ds:itemID="{1b742ced-f312-40d4-bebe-f07354c265fd}">
  <ds:schemaRefs/>
</ds:datastoreItem>
</file>

<file path=customXml/itemProps178.xml><?xml version="1.0" encoding="utf-8"?>
<ds:datastoreItem xmlns:ds="http://schemas.openxmlformats.org/officeDocument/2006/customXml" ds:itemID="{c628418c-ec32-4c9a-804b-dbc136357a6a}">
  <ds:schemaRefs/>
</ds:datastoreItem>
</file>

<file path=customXml/itemProps179.xml><?xml version="1.0" encoding="utf-8"?>
<ds:datastoreItem xmlns:ds="http://schemas.openxmlformats.org/officeDocument/2006/customXml" ds:itemID="{cc3b77a4-116b-446e-89ee-d6af98268fdf}">
  <ds:schemaRefs/>
</ds:datastoreItem>
</file>

<file path=customXml/itemProps18.xml><?xml version="1.0" encoding="utf-8"?>
<ds:datastoreItem xmlns:ds="http://schemas.openxmlformats.org/officeDocument/2006/customXml" ds:itemID="{f16feef6-f8df-4ac7-bc4f-55032fe48e0c}">
  <ds:schemaRefs/>
</ds:datastoreItem>
</file>

<file path=customXml/itemProps180.xml><?xml version="1.0" encoding="utf-8"?>
<ds:datastoreItem xmlns:ds="http://schemas.openxmlformats.org/officeDocument/2006/customXml" ds:itemID="{dc13be03-680f-4f11-9258-15cfedbad9fd}">
  <ds:schemaRefs/>
</ds:datastoreItem>
</file>

<file path=customXml/itemProps181.xml><?xml version="1.0" encoding="utf-8"?>
<ds:datastoreItem xmlns:ds="http://schemas.openxmlformats.org/officeDocument/2006/customXml" ds:itemID="{722bd81b-1bf8-4c7f-b4bf-25a35bcd7414}">
  <ds:schemaRefs/>
</ds:datastoreItem>
</file>

<file path=customXml/itemProps182.xml><?xml version="1.0" encoding="utf-8"?>
<ds:datastoreItem xmlns:ds="http://schemas.openxmlformats.org/officeDocument/2006/customXml" ds:itemID="{6735974c-1b4c-415e-a17b-bc7b58ae8815}">
  <ds:schemaRefs/>
</ds:datastoreItem>
</file>

<file path=customXml/itemProps183.xml><?xml version="1.0" encoding="utf-8"?>
<ds:datastoreItem xmlns:ds="http://schemas.openxmlformats.org/officeDocument/2006/customXml" ds:itemID="{243f0131-879f-40c1-8c7d-49d822270dbf}">
  <ds:schemaRefs/>
</ds:datastoreItem>
</file>

<file path=customXml/itemProps184.xml><?xml version="1.0" encoding="utf-8"?>
<ds:datastoreItem xmlns:ds="http://schemas.openxmlformats.org/officeDocument/2006/customXml" ds:itemID="{125befb0-14ef-402b-8164-c27682e443b6}">
  <ds:schemaRefs/>
</ds:datastoreItem>
</file>

<file path=customXml/itemProps185.xml><?xml version="1.0" encoding="utf-8"?>
<ds:datastoreItem xmlns:ds="http://schemas.openxmlformats.org/officeDocument/2006/customXml" ds:itemID="{a3211699-3988-43d0-a324-6b84f84e3a0a}">
  <ds:schemaRefs/>
</ds:datastoreItem>
</file>

<file path=customXml/itemProps186.xml><?xml version="1.0" encoding="utf-8"?>
<ds:datastoreItem xmlns:ds="http://schemas.openxmlformats.org/officeDocument/2006/customXml" ds:itemID="{e3adcc77-1192-43ab-bf5f-eed3a78cdebb}">
  <ds:schemaRefs/>
</ds:datastoreItem>
</file>

<file path=customXml/itemProps187.xml><?xml version="1.0" encoding="utf-8"?>
<ds:datastoreItem xmlns:ds="http://schemas.openxmlformats.org/officeDocument/2006/customXml" ds:itemID="{22fd89a0-b9f0-49ab-8d57-df1b6996dd6f}">
  <ds:schemaRefs/>
</ds:datastoreItem>
</file>

<file path=customXml/itemProps188.xml><?xml version="1.0" encoding="utf-8"?>
<ds:datastoreItem xmlns:ds="http://schemas.openxmlformats.org/officeDocument/2006/customXml" ds:itemID="{32daf096-d2ed-42de-b8dc-0793e030d3e2}">
  <ds:schemaRefs/>
</ds:datastoreItem>
</file>

<file path=customXml/itemProps189.xml><?xml version="1.0" encoding="utf-8"?>
<ds:datastoreItem xmlns:ds="http://schemas.openxmlformats.org/officeDocument/2006/customXml" ds:itemID="{5cc2f2d6-e5aa-45e4-adb4-18626d13e9a9}">
  <ds:schemaRefs/>
</ds:datastoreItem>
</file>

<file path=customXml/itemProps19.xml><?xml version="1.0" encoding="utf-8"?>
<ds:datastoreItem xmlns:ds="http://schemas.openxmlformats.org/officeDocument/2006/customXml" ds:itemID="{6250bd52-ccc3-4cbb-a9b3-be6f16624b1e}">
  <ds:schemaRefs/>
</ds:datastoreItem>
</file>

<file path=customXml/itemProps190.xml><?xml version="1.0" encoding="utf-8"?>
<ds:datastoreItem xmlns:ds="http://schemas.openxmlformats.org/officeDocument/2006/customXml" ds:itemID="{65dc693a-f81f-4375-9ddd-6d49c2a5105d}">
  <ds:schemaRefs/>
</ds:datastoreItem>
</file>

<file path=customXml/itemProps191.xml><?xml version="1.0" encoding="utf-8"?>
<ds:datastoreItem xmlns:ds="http://schemas.openxmlformats.org/officeDocument/2006/customXml" ds:itemID="{a09abe14-8876-425b-8556-124ea07b17f2}">
  <ds:schemaRefs/>
</ds:datastoreItem>
</file>

<file path=customXml/itemProps192.xml><?xml version="1.0" encoding="utf-8"?>
<ds:datastoreItem xmlns:ds="http://schemas.openxmlformats.org/officeDocument/2006/customXml" ds:itemID="{19866428-b2fb-4abd-aaf5-4f90da9218e3}">
  <ds:schemaRefs/>
</ds:datastoreItem>
</file>

<file path=customXml/itemProps193.xml><?xml version="1.0" encoding="utf-8"?>
<ds:datastoreItem xmlns:ds="http://schemas.openxmlformats.org/officeDocument/2006/customXml" ds:itemID="{424a7822-4d88-4ae0-8e99-ffb81b8dfa15}">
  <ds:schemaRefs/>
</ds:datastoreItem>
</file>

<file path=customXml/itemProps194.xml><?xml version="1.0" encoding="utf-8"?>
<ds:datastoreItem xmlns:ds="http://schemas.openxmlformats.org/officeDocument/2006/customXml" ds:itemID="{dc77a45d-6d3b-4655-b06d-ba0fbfdc452c}">
  <ds:schemaRefs/>
</ds:datastoreItem>
</file>

<file path=customXml/itemProps195.xml><?xml version="1.0" encoding="utf-8"?>
<ds:datastoreItem xmlns:ds="http://schemas.openxmlformats.org/officeDocument/2006/customXml" ds:itemID="{92a69490-9bba-42c6-b213-59a0d7902a3f}">
  <ds:schemaRefs/>
</ds:datastoreItem>
</file>

<file path=customXml/itemProps196.xml><?xml version="1.0" encoding="utf-8"?>
<ds:datastoreItem xmlns:ds="http://schemas.openxmlformats.org/officeDocument/2006/customXml" ds:itemID="{4065b5a9-fdeb-4beb-94a2-a8bf5337a096}">
  <ds:schemaRefs/>
</ds:datastoreItem>
</file>

<file path=customXml/itemProps197.xml><?xml version="1.0" encoding="utf-8"?>
<ds:datastoreItem xmlns:ds="http://schemas.openxmlformats.org/officeDocument/2006/customXml" ds:itemID="{0c6046d5-d43c-4462-a4e1-3c1630753a18}">
  <ds:schemaRefs/>
</ds:datastoreItem>
</file>

<file path=customXml/itemProps198.xml><?xml version="1.0" encoding="utf-8"?>
<ds:datastoreItem xmlns:ds="http://schemas.openxmlformats.org/officeDocument/2006/customXml" ds:itemID="{d5bd2526-9d83-4ad5-8d82-74fbbe45165e}">
  <ds:schemaRefs/>
</ds:datastoreItem>
</file>

<file path=customXml/itemProps199.xml><?xml version="1.0" encoding="utf-8"?>
<ds:datastoreItem xmlns:ds="http://schemas.openxmlformats.org/officeDocument/2006/customXml" ds:itemID="{cef5e6e5-34eb-4a09-b55f-939cd15a5337}">
  <ds:schemaRefs/>
</ds:datastoreItem>
</file>

<file path=customXml/itemProps2.xml><?xml version="1.0" encoding="utf-8"?>
<ds:datastoreItem xmlns:ds="http://schemas.openxmlformats.org/officeDocument/2006/customXml" ds:itemID="{bfa9d3fd-8df5-4f14-8c2a-90bd95d4119e}">
  <ds:schemaRefs/>
</ds:datastoreItem>
</file>

<file path=customXml/itemProps20.xml><?xml version="1.0" encoding="utf-8"?>
<ds:datastoreItem xmlns:ds="http://schemas.openxmlformats.org/officeDocument/2006/customXml" ds:itemID="{8915948d-0598-4ba9-8219-d88e795d2070}">
  <ds:schemaRefs/>
</ds:datastoreItem>
</file>

<file path=customXml/itemProps200.xml><?xml version="1.0" encoding="utf-8"?>
<ds:datastoreItem xmlns:ds="http://schemas.openxmlformats.org/officeDocument/2006/customXml" ds:itemID="{59fa37ae-9d69-4ea6-a4d1-f59ed8d6d317}">
  <ds:schemaRefs/>
</ds:datastoreItem>
</file>

<file path=customXml/itemProps201.xml><?xml version="1.0" encoding="utf-8"?>
<ds:datastoreItem xmlns:ds="http://schemas.openxmlformats.org/officeDocument/2006/customXml" ds:itemID="{478dee7d-1955-4939-a906-5478a5ddcda3}">
  <ds:schemaRefs/>
</ds:datastoreItem>
</file>

<file path=customXml/itemProps202.xml><?xml version="1.0" encoding="utf-8"?>
<ds:datastoreItem xmlns:ds="http://schemas.openxmlformats.org/officeDocument/2006/customXml" ds:itemID="{cd54d8c3-e6c1-44d9-aa12-e05ebb21ea5d}">
  <ds:schemaRefs/>
</ds:datastoreItem>
</file>

<file path=customXml/itemProps203.xml><?xml version="1.0" encoding="utf-8"?>
<ds:datastoreItem xmlns:ds="http://schemas.openxmlformats.org/officeDocument/2006/customXml" ds:itemID="{2005a788-735e-4316-940c-f315d1d0108c}">
  <ds:schemaRefs/>
</ds:datastoreItem>
</file>

<file path=customXml/itemProps204.xml><?xml version="1.0" encoding="utf-8"?>
<ds:datastoreItem xmlns:ds="http://schemas.openxmlformats.org/officeDocument/2006/customXml" ds:itemID="{c305acfc-54ed-4f14-8baa-39e995d52ba1}">
  <ds:schemaRefs/>
</ds:datastoreItem>
</file>

<file path=customXml/itemProps205.xml><?xml version="1.0" encoding="utf-8"?>
<ds:datastoreItem xmlns:ds="http://schemas.openxmlformats.org/officeDocument/2006/customXml" ds:itemID="{827b564a-d830-4e19-88a7-82d02f19c5af}">
  <ds:schemaRefs/>
</ds:datastoreItem>
</file>

<file path=customXml/itemProps206.xml><?xml version="1.0" encoding="utf-8"?>
<ds:datastoreItem xmlns:ds="http://schemas.openxmlformats.org/officeDocument/2006/customXml" ds:itemID="{2b49f0ec-eae9-4f0d-bd92-afb0ba3eafb0}">
  <ds:schemaRefs/>
</ds:datastoreItem>
</file>

<file path=customXml/itemProps207.xml><?xml version="1.0" encoding="utf-8"?>
<ds:datastoreItem xmlns:ds="http://schemas.openxmlformats.org/officeDocument/2006/customXml" ds:itemID="{18d60b9d-a14d-425c-99c1-4f53ce9521a6}">
  <ds:schemaRefs/>
</ds:datastoreItem>
</file>

<file path=customXml/itemProps208.xml><?xml version="1.0" encoding="utf-8"?>
<ds:datastoreItem xmlns:ds="http://schemas.openxmlformats.org/officeDocument/2006/customXml" ds:itemID="{87d519f8-96ae-4f64-8d32-0d6d80af2f0e}">
  <ds:schemaRefs/>
</ds:datastoreItem>
</file>

<file path=customXml/itemProps209.xml><?xml version="1.0" encoding="utf-8"?>
<ds:datastoreItem xmlns:ds="http://schemas.openxmlformats.org/officeDocument/2006/customXml" ds:itemID="{4e5a7a1e-d9e8-4369-aa7e-62cc78e06319}">
  <ds:schemaRefs/>
</ds:datastoreItem>
</file>

<file path=customXml/itemProps21.xml><?xml version="1.0" encoding="utf-8"?>
<ds:datastoreItem xmlns:ds="http://schemas.openxmlformats.org/officeDocument/2006/customXml" ds:itemID="{ad99347d-c0f8-476e-a9e3-5bdbb53384d9}">
  <ds:schemaRefs/>
</ds:datastoreItem>
</file>

<file path=customXml/itemProps210.xml><?xml version="1.0" encoding="utf-8"?>
<ds:datastoreItem xmlns:ds="http://schemas.openxmlformats.org/officeDocument/2006/customXml" ds:itemID="{ebdb5127-b8ef-4574-b2df-d3644c5a01ff}">
  <ds:schemaRefs/>
</ds:datastoreItem>
</file>

<file path=customXml/itemProps211.xml><?xml version="1.0" encoding="utf-8"?>
<ds:datastoreItem xmlns:ds="http://schemas.openxmlformats.org/officeDocument/2006/customXml" ds:itemID="{1f4a2e3a-ede3-4fd5-8079-a971d9740896}">
  <ds:schemaRefs/>
</ds:datastoreItem>
</file>

<file path=customXml/itemProps212.xml><?xml version="1.0" encoding="utf-8"?>
<ds:datastoreItem xmlns:ds="http://schemas.openxmlformats.org/officeDocument/2006/customXml" ds:itemID="{09fd0ccf-f32a-4414-9c73-076b46d6c885}">
  <ds:schemaRefs/>
</ds:datastoreItem>
</file>

<file path=customXml/itemProps213.xml><?xml version="1.0" encoding="utf-8"?>
<ds:datastoreItem xmlns:ds="http://schemas.openxmlformats.org/officeDocument/2006/customXml" ds:itemID="{d81f98aa-b6eb-461b-9a28-c9ec8e6c9e71}">
  <ds:schemaRefs/>
</ds:datastoreItem>
</file>

<file path=customXml/itemProps214.xml><?xml version="1.0" encoding="utf-8"?>
<ds:datastoreItem xmlns:ds="http://schemas.openxmlformats.org/officeDocument/2006/customXml" ds:itemID="{1ecb7e68-183b-4c29-9921-090a0651e0a1}">
  <ds:schemaRefs/>
</ds:datastoreItem>
</file>

<file path=customXml/itemProps215.xml><?xml version="1.0" encoding="utf-8"?>
<ds:datastoreItem xmlns:ds="http://schemas.openxmlformats.org/officeDocument/2006/customXml" ds:itemID="{847e1584-1f1f-4300-91d6-257c56d22b30}">
  <ds:schemaRefs/>
</ds:datastoreItem>
</file>

<file path=customXml/itemProps216.xml><?xml version="1.0" encoding="utf-8"?>
<ds:datastoreItem xmlns:ds="http://schemas.openxmlformats.org/officeDocument/2006/customXml" ds:itemID="{940de94a-fb0d-4bd0-a5be-f6e5cb17a29a}">
  <ds:schemaRefs/>
</ds:datastoreItem>
</file>

<file path=customXml/itemProps217.xml><?xml version="1.0" encoding="utf-8"?>
<ds:datastoreItem xmlns:ds="http://schemas.openxmlformats.org/officeDocument/2006/customXml" ds:itemID="{5cbb4d32-0a8e-4a05-b85c-12fc59c7859a}">
  <ds:schemaRefs/>
</ds:datastoreItem>
</file>

<file path=customXml/itemProps218.xml><?xml version="1.0" encoding="utf-8"?>
<ds:datastoreItem xmlns:ds="http://schemas.openxmlformats.org/officeDocument/2006/customXml" ds:itemID="{db8006aa-404f-44a8-b217-2678132bc6f2}">
  <ds:schemaRefs/>
</ds:datastoreItem>
</file>

<file path=customXml/itemProps219.xml><?xml version="1.0" encoding="utf-8"?>
<ds:datastoreItem xmlns:ds="http://schemas.openxmlformats.org/officeDocument/2006/customXml" ds:itemID="{6f7bbc1a-af38-4d05-9913-da40f83d71cc}">
  <ds:schemaRefs/>
</ds:datastoreItem>
</file>

<file path=customXml/itemProps22.xml><?xml version="1.0" encoding="utf-8"?>
<ds:datastoreItem xmlns:ds="http://schemas.openxmlformats.org/officeDocument/2006/customXml" ds:itemID="{83ed6812-603a-4a1b-8dc6-2208201076e1}">
  <ds:schemaRefs/>
</ds:datastoreItem>
</file>

<file path=customXml/itemProps220.xml><?xml version="1.0" encoding="utf-8"?>
<ds:datastoreItem xmlns:ds="http://schemas.openxmlformats.org/officeDocument/2006/customXml" ds:itemID="{eaef7d02-a004-4848-b3b3-f4c84f319269}">
  <ds:schemaRefs/>
</ds:datastoreItem>
</file>

<file path=customXml/itemProps221.xml><?xml version="1.0" encoding="utf-8"?>
<ds:datastoreItem xmlns:ds="http://schemas.openxmlformats.org/officeDocument/2006/customXml" ds:itemID="{cf4404fb-1bc7-4308-96ea-ea94c196d848}">
  <ds:schemaRefs/>
</ds:datastoreItem>
</file>

<file path=customXml/itemProps222.xml><?xml version="1.0" encoding="utf-8"?>
<ds:datastoreItem xmlns:ds="http://schemas.openxmlformats.org/officeDocument/2006/customXml" ds:itemID="{6fefb696-d8f9-4ebd-8698-e4727545dd4b}">
  <ds:schemaRefs/>
</ds:datastoreItem>
</file>

<file path=customXml/itemProps223.xml><?xml version="1.0" encoding="utf-8"?>
<ds:datastoreItem xmlns:ds="http://schemas.openxmlformats.org/officeDocument/2006/customXml" ds:itemID="{003024eb-81db-4288-bbfc-8f1c6c44eb75}">
  <ds:schemaRefs/>
</ds:datastoreItem>
</file>

<file path=customXml/itemProps224.xml><?xml version="1.0" encoding="utf-8"?>
<ds:datastoreItem xmlns:ds="http://schemas.openxmlformats.org/officeDocument/2006/customXml" ds:itemID="{e7cfe35c-3dba-4410-9b83-1662a38842c6}">
  <ds:schemaRefs/>
</ds:datastoreItem>
</file>

<file path=customXml/itemProps225.xml><?xml version="1.0" encoding="utf-8"?>
<ds:datastoreItem xmlns:ds="http://schemas.openxmlformats.org/officeDocument/2006/customXml" ds:itemID="{3e7d8f96-5b95-4844-b8fc-0f3e7fda4c1a}">
  <ds:schemaRefs/>
</ds:datastoreItem>
</file>

<file path=customXml/itemProps226.xml><?xml version="1.0" encoding="utf-8"?>
<ds:datastoreItem xmlns:ds="http://schemas.openxmlformats.org/officeDocument/2006/customXml" ds:itemID="{0d2655d4-d319-46e5-ac2c-1743ce8a96c5}">
  <ds:schemaRefs/>
</ds:datastoreItem>
</file>

<file path=customXml/itemProps227.xml><?xml version="1.0" encoding="utf-8"?>
<ds:datastoreItem xmlns:ds="http://schemas.openxmlformats.org/officeDocument/2006/customXml" ds:itemID="{0d1a6e54-daf5-47c1-8fa8-120f4733022b}">
  <ds:schemaRefs/>
</ds:datastoreItem>
</file>

<file path=customXml/itemProps23.xml><?xml version="1.0" encoding="utf-8"?>
<ds:datastoreItem xmlns:ds="http://schemas.openxmlformats.org/officeDocument/2006/customXml" ds:itemID="{84d0a1ec-8c0f-40cf-9f76-5f095110424a}">
  <ds:schemaRefs/>
</ds:datastoreItem>
</file>

<file path=customXml/itemProps24.xml><?xml version="1.0" encoding="utf-8"?>
<ds:datastoreItem xmlns:ds="http://schemas.openxmlformats.org/officeDocument/2006/customXml" ds:itemID="{5c0cef91-54f2-4a0c-ab8b-2398ec7bbc1f}">
  <ds:schemaRefs/>
</ds:datastoreItem>
</file>

<file path=customXml/itemProps25.xml><?xml version="1.0" encoding="utf-8"?>
<ds:datastoreItem xmlns:ds="http://schemas.openxmlformats.org/officeDocument/2006/customXml" ds:itemID="{2bf575f6-cac8-46ba-95e3-add4b5eb8471}">
  <ds:schemaRefs/>
</ds:datastoreItem>
</file>

<file path=customXml/itemProps26.xml><?xml version="1.0" encoding="utf-8"?>
<ds:datastoreItem xmlns:ds="http://schemas.openxmlformats.org/officeDocument/2006/customXml" ds:itemID="{1b3baf8a-8d85-4da8-9ebc-772cdafe3133}">
  <ds:schemaRefs/>
</ds:datastoreItem>
</file>

<file path=customXml/itemProps27.xml><?xml version="1.0" encoding="utf-8"?>
<ds:datastoreItem xmlns:ds="http://schemas.openxmlformats.org/officeDocument/2006/customXml" ds:itemID="{8ad8a35b-c063-4388-aadf-0a1606526bb6}">
  <ds:schemaRefs/>
</ds:datastoreItem>
</file>

<file path=customXml/itemProps28.xml><?xml version="1.0" encoding="utf-8"?>
<ds:datastoreItem xmlns:ds="http://schemas.openxmlformats.org/officeDocument/2006/customXml" ds:itemID="{8d9295e6-02e7-4602-a640-8c936f8d66f3}">
  <ds:schemaRefs/>
</ds:datastoreItem>
</file>

<file path=customXml/itemProps29.xml><?xml version="1.0" encoding="utf-8"?>
<ds:datastoreItem xmlns:ds="http://schemas.openxmlformats.org/officeDocument/2006/customXml" ds:itemID="{aee85435-554f-42d3-9b75-0bcc3b02159c}">
  <ds:schemaRefs/>
</ds:datastoreItem>
</file>

<file path=customXml/itemProps3.xml><?xml version="1.0" encoding="utf-8"?>
<ds:datastoreItem xmlns:ds="http://schemas.openxmlformats.org/officeDocument/2006/customXml" ds:itemID="{a69d93fc-5594-458e-86f4-089f60e0a64d}">
  <ds:schemaRefs/>
</ds:datastoreItem>
</file>

<file path=customXml/itemProps30.xml><?xml version="1.0" encoding="utf-8"?>
<ds:datastoreItem xmlns:ds="http://schemas.openxmlformats.org/officeDocument/2006/customXml" ds:itemID="{cbac5fd9-bae8-4681-9120-ea2ac22bb720}">
  <ds:schemaRefs/>
</ds:datastoreItem>
</file>

<file path=customXml/itemProps31.xml><?xml version="1.0" encoding="utf-8"?>
<ds:datastoreItem xmlns:ds="http://schemas.openxmlformats.org/officeDocument/2006/customXml" ds:itemID="{4a80d8d6-1c49-4cf0-9a60-d2ae17dc3da5}">
  <ds:schemaRefs/>
</ds:datastoreItem>
</file>

<file path=customXml/itemProps32.xml><?xml version="1.0" encoding="utf-8"?>
<ds:datastoreItem xmlns:ds="http://schemas.openxmlformats.org/officeDocument/2006/customXml" ds:itemID="{8fc49f38-cdad-4c7f-86de-a71426ecee75}">
  <ds:schemaRefs/>
</ds:datastoreItem>
</file>

<file path=customXml/itemProps33.xml><?xml version="1.0" encoding="utf-8"?>
<ds:datastoreItem xmlns:ds="http://schemas.openxmlformats.org/officeDocument/2006/customXml" ds:itemID="{7a94a7e9-e1f2-49ba-96c1-ba65753cc621}">
  <ds:schemaRefs/>
</ds:datastoreItem>
</file>

<file path=customXml/itemProps34.xml><?xml version="1.0" encoding="utf-8"?>
<ds:datastoreItem xmlns:ds="http://schemas.openxmlformats.org/officeDocument/2006/customXml" ds:itemID="{5ce556cf-bc20-4a07-a700-6df7c63cc05a}">
  <ds:schemaRefs/>
</ds:datastoreItem>
</file>

<file path=customXml/itemProps35.xml><?xml version="1.0" encoding="utf-8"?>
<ds:datastoreItem xmlns:ds="http://schemas.openxmlformats.org/officeDocument/2006/customXml" ds:itemID="{83993a93-63a8-42c1-8c74-d6283bd48a48}">
  <ds:schemaRefs/>
</ds:datastoreItem>
</file>

<file path=customXml/itemProps36.xml><?xml version="1.0" encoding="utf-8"?>
<ds:datastoreItem xmlns:ds="http://schemas.openxmlformats.org/officeDocument/2006/customXml" ds:itemID="{ac1c7a6a-cb52-4bca-9068-6dd286357190}">
  <ds:schemaRefs/>
</ds:datastoreItem>
</file>

<file path=customXml/itemProps37.xml><?xml version="1.0" encoding="utf-8"?>
<ds:datastoreItem xmlns:ds="http://schemas.openxmlformats.org/officeDocument/2006/customXml" ds:itemID="{dc6d8db4-e317-486f-990f-71462febcd2c}">
  <ds:schemaRefs/>
</ds:datastoreItem>
</file>

<file path=customXml/itemProps38.xml><?xml version="1.0" encoding="utf-8"?>
<ds:datastoreItem xmlns:ds="http://schemas.openxmlformats.org/officeDocument/2006/customXml" ds:itemID="{b3b99fff-73a0-4860-8177-b2ef3b259d2b}">
  <ds:schemaRefs/>
</ds:datastoreItem>
</file>

<file path=customXml/itemProps39.xml><?xml version="1.0" encoding="utf-8"?>
<ds:datastoreItem xmlns:ds="http://schemas.openxmlformats.org/officeDocument/2006/customXml" ds:itemID="{6afd34dd-f33d-4168-b478-7779d7d0d641}">
  <ds:schemaRefs/>
</ds:datastoreItem>
</file>

<file path=customXml/itemProps4.xml><?xml version="1.0" encoding="utf-8"?>
<ds:datastoreItem xmlns:ds="http://schemas.openxmlformats.org/officeDocument/2006/customXml" ds:itemID="{20ac83eb-76e8-40f5-b225-a40304648335}">
  <ds:schemaRefs/>
</ds:datastoreItem>
</file>

<file path=customXml/itemProps40.xml><?xml version="1.0" encoding="utf-8"?>
<ds:datastoreItem xmlns:ds="http://schemas.openxmlformats.org/officeDocument/2006/customXml" ds:itemID="{e6b61867-77fe-4961-99ca-7ff6bfa4c987}">
  <ds:schemaRefs/>
</ds:datastoreItem>
</file>

<file path=customXml/itemProps41.xml><?xml version="1.0" encoding="utf-8"?>
<ds:datastoreItem xmlns:ds="http://schemas.openxmlformats.org/officeDocument/2006/customXml" ds:itemID="{e2bdbf38-227c-49d7-81c1-ef9a229b741e}">
  <ds:schemaRefs/>
</ds:datastoreItem>
</file>

<file path=customXml/itemProps42.xml><?xml version="1.0" encoding="utf-8"?>
<ds:datastoreItem xmlns:ds="http://schemas.openxmlformats.org/officeDocument/2006/customXml" ds:itemID="{a16da92b-063f-4dac-9db2-8685ea3d6338}">
  <ds:schemaRefs/>
</ds:datastoreItem>
</file>

<file path=customXml/itemProps43.xml><?xml version="1.0" encoding="utf-8"?>
<ds:datastoreItem xmlns:ds="http://schemas.openxmlformats.org/officeDocument/2006/customXml" ds:itemID="{0b3f1ecb-1610-4106-b656-6340a79fddc1}">
  <ds:schemaRefs/>
</ds:datastoreItem>
</file>

<file path=customXml/itemProps44.xml><?xml version="1.0" encoding="utf-8"?>
<ds:datastoreItem xmlns:ds="http://schemas.openxmlformats.org/officeDocument/2006/customXml" ds:itemID="{7b36c843-6b7a-4014-8047-1fe8a4f937c9}">
  <ds:schemaRefs/>
</ds:datastoreItem>
</file>

<file path=customXml/itemProps45.xml><?xml version="1.0" encoding="utf-8"?>
<ds:datastoreItem xmlns:ds="http://schemas.openxmlformats.org/officeDocument/2006/customXml" ds:itemID="{a6182a86-554f-4d10-b895-3551b0df5b1c}">
  <ds:schemaRefs/>
</ds:datastoreItem>
</file>

<file path=customXml/itemProps46.xml><?xml version="1.0" encoding="utf-8"?>
<ds:datastoreItem xmlns:ds="http://schemas.openxmlformats.org/officeDocument/2006/customXml" ds:itemID="{85035c8e-09a6-4597-98f8-f6d591992667}">
  <ds:schemaRefs/>
</ds:datastoreItem>
</file>

<file path=customXml/itemProps47.xml><?xml version="1.0" encoding="utf-8"?>
<ds:datastoreItem xmlns:ds="http://schemas.openxmlformats.org/officeDocument/2006/customXml" ds:itemID="{9582b778-d34b-473d-98c9-1cfbc3b6c904}">
  <ds:schemaRefs/>
</ds:datastoreItem>
</file>

<file path=customXml/itemProps48.xml><?xml version="1.0" encoding="utf-8"?>
<ds:datastoreItem xmlns:ds="http://schemas.openxmlformats.org/officeDocument/2006/customXml" ds:itemID="{f3853763-7499-4136-8d8b-a96b20b43125}">
  <ds:schemaRefs/>
</ds:datastoreItem>
</file>

<file path=customXml/itemProps49.xml><?xml version="1.0" encoding="utf-8"?>
<ds:datastoreItem xmlns:ds="http://schemas.openxmlformats.org/officeDocument/2006/customXml" ds:itemID="{32ffedc1-5624-4ffa-a8a1-b172ab386a9b}">
  <ds:schemaRefs/>
</ds:datastoreItem>
</file>

<file path=customXml/itemProps5.xml><?xml version="1.0" encoding="utf-8"?>
<ds:datastoreItem xmlns:ds="http://schemas.openxmlformats.org/officeDocument/2006/customXml" ds:itemID="{a6e06f2e-e3db-44af-b8b9-c9e833042bdc}">
  <ds:schemaRefs/>
</ds:datastoreItem>
</file>

<file path=customXml/itemProps50.xml><?xml version="1.0" encoding="utf-8"?>
<ds:datastoreItem xmlns:ds="http://schemas.openxmlformats.org/officeDocument/2006/customXml" ds:itemID="{78e1881f-6d8c-46ca-920d-58c91a5f6b25}">
  <ds:schemaRefs/>
</ds:datastoreItem>
</file>

<file path=customXml/itemProps51.xml><?xml version="1.0" encoding="utf-8"?>
<ds:datastoreItem xmlns:ds="http://schemas.openxmlformats.org/officeDocument/2006/customXml" ds:itemID="{f721a368-40e5-487a-b6c7-1505e62910cd}">
  <ds:schemaRefs/>
</ds:datastoreItem>
</file>

<file path=customXml/itemProps52.xml><?xml version="1.0" encoding="utf-8"?>
<ds:datastoreItem xmlns:ds="http://schemas.openxmlformats.org/officeDocument/2006/customXml" ds:itemID="{ce743341-a15b-48b5-b767-827c7b8ea282}">
  <ds:schemaRefs/>
</ds:datastoreItem>
</file>

<file path=customXml/itemProps53.xml><?xml version="1.0" encoding="utf-8"?>
<ds:datastoreItem xmlns:ds="http://schemas.openxmlformats.org/officeDocument/2006/customXml" ds:itemID="{380e43e2-dd1b-484c-8f3b-a79e088047d5}">
  <ds:schemaRefs/>
</ds:datastoreItem>
</file>

<file path=customXml/itemProps54.xml><?xml version="1.0" encoding="utf-8"?>
<ds:datastoreItem xmlns:ds="http://schemas.openxmlformats.org/officeDocument/2006/customXml" ds:itemID="{b51d6887-9c12-48f3-9ba0-d622b23b9b1d}">
  <ds:schemaRefs/>
</ds:datastoreItem>
</file>

<file path=customXml/itemProps55.xml><?xml version="1.0" encoding="utf-8"?>
<ds:datastoreItem xmlns:ds="http://schemas.openxmlformats.org/officeDocument/2006/customXml" ds:itemID="{b7a204c4-5eeb-4e0e-a0c0-28859c4d51d5}">
  <ds:schemaRefs/>
</ds:datastoreItem>
</file>

<file path=customXml/itemProps56.xml><?xml version="1.0" encoding="utf-8"?>
<ds:datastoreItem xmlns:ds="http://schemas.openxmlformats.org/officeDocument/2006/customXml" ds:itemID="{ae3aaa5d-aed5-4424-825f-d46f1dc1fa20}">
  <ds:schemaRefs/>
</ds:datastoreItem>
</file>

<file path=customXml/itemProps57.xml><?xml version="1.0" encoding="utf-8"?>
<ds:datastoreItem xmlns:ds="http://schemas.openxmlformats.org/officeDocument/2006/customXml" ds:itemID="{700fa731-93e3-4ef4-8d90-c6ae3407a074}">
  <ds:schemaRefs/>
</ds:datastoreItem>
</file>

<file path=customXml/itemProps58.xml><?xml version="1.0" encoding="utf-8"?>
<ds:datastoreItem xmlns:ds="http://schemas.openxmlformats.org/officeDocument/2006/customXml" ds:itemID="{72456f59-ce6a-42db-bf3b-085fd113c583}">
  <ds:schemaRefs/>
</ds:datastoreItem>
</file>

<file path=customXml/itemProps59.xml><?xml version="1.0" encoding="utf-8"?>
<ds:datastoreItem xmlns:ds="http://schemas.openxmlformats.org/officeDocument/2006/customXml" ds:itemID="{3595d76f-c814-438f-b2f6-2c11fc1d7033}">
  <ds:schemaRefs/>
</ds:datastoreItem>
</file>

<file path=customXml/itemProps6.xml><?xml version="1.0" encoding="utf-8"?>
<ds:datastoreItem xmlns:ds="http://schemas.openxmlformats.org/officeDocument/2006/customXml" ds:itemID="{fcfc38d3-02f1-44b6-92be-bc0f16986749}">
  <ds:schemaRefs/>
</ds:datastoreItem>
</file>

<file path=customXml/itemProps60.xml><?xml version="1.0" encoding="utf-8"?>
<ds:datastoreItem xmlns:ds="http://schemas.openxmlformats.org/officeDocument/2006/customXml" ds:itemID="{38f9a1e2-b0c4-4c4e-8535-ed01cc852039}">
  <ds:schemaRefs/>
</ds:datastoreItem>
</file>

<file path=customXml/itemProps61.xml><?xml version="1.0" encoding="utf-8"?>
<ds:datastoreItem xmlns:ds="http://schemas.openxmlformats.org/officeDocument/2006/customXml" ds:itemID="{98e92e05-9a39-4ef6-bad1-1dd42c152bb9}">
  <ds:schemaRefs/>
</ds:datastoreItem>
</file>

<file path=customXml/itemProps62.xml><?xml version="1.0" encoding="utf-8"?>
<ds:datastoreItem xmlns:ds="http://schemas.openxmlformats.org/officeDocument/2006/customXml" ds:itemID="{78b64b82-f032-4950-9e0a-358449f96f1e}">
  <ds:schemaRefs/>
</ds:datastoreItem>
</file>

<file path=customXml/itemProps63.xml><?xml version="1.0" encoding="utf-8"?>
<ds:datastoreItem xmlns:ds="http://schemas.openxmlformats.org/officeDocument/2006/customXml" ds:itemID="{52bdaf4e-e405-498f-934c-0387cebbd2cb}">
  <ds:schemaRefs/>
</ds:datastoreItem>
</file>

<file path=customXml/itemProps64.xml><?xml version="1.0" encoding="utf-8"?>
<ds:datastoreItem xmlns:ds="http://schemas.openxmlformats.org/officeDocument/2006/customXml" ds:itemID="{f10e9469-1a90-457f-826e-90471fd9341d}">
  <ds:schemaRefs/>
</ds:datastoreItem>
</file>

<file path=customXml/itemProps65.xml><?xml version="1.0" encoding="utf-8"?>
<ds:datastoreItem xmlns:ds="http://schemas.openxmlformats.org/officeDocument/2006/customXml" ds:itemID="{c7c81f16-713b-48e0-92e3-81430bbf81eb}">
  <ds:schemaRefs/>
</ds:datastoreItem>
</file>

<file path=customXml/itemProps66.xml><?xml version="1.0" encoding="utf-8"?>
<ds:datastoreItem xmlns:ds="http://schemas.openxmlformats.org/officeDocument/2006/customXml" ds:itemID="{668a3ce0-722f-4215-97ba-1b12e58476cf}">
  <ds:schemaRefs/>
</ds:datastoreItem>
</file>

<file path=customXml/itemProps67.xml><?xml version="1.0" encoding="utf-8"?>
<ds:datastoreItem xmlns:ds="http://schemas.openxmlformats.org/officeDocument/2006/customXml" ds:itemID="{3955815f-7792-42a1-a39e-c5283788bb16}">
  <ds:schemaRefs/>
</ds:datastoreItem>
</file>

<file path=customXml/itemProps68.xml><?xml version="1.0" encoding="utf-8"?>
<ds:datastoreItem xmlns:ds="http://schemas.openxmlformats.org/officeDocument/2006/customXml" ds:itemID="{73fae00e-506a-4940-9124-ec742f017bde}">
  <ds:schemaRefs/>
</ds:datastoreItem>
</file>

<file path=customXml/itemProps69.xml><?xml version="1.0" encoding="utf-8"?>
<ds:datastoreItem xmlns:ds="http://schemas.openxmlformats.org/officeDocument/2006/customXml" ds:itemID="{21150f16-4cf5-439a-a1e5-aeace48f0315}">
  <ds:schemaRefs/>
</ds:datastoreItem>
</file>

<file path=customXml/itemProps7.xml><?xml version="1.0" encoding="utf-8"?>
<ds:datastoreItem xmlns:ds="http://schemas.openxmlformats.org/officeDocument/2006/customXml" ds:itemID="{b5f17ae2-5133-4688-9967-26c83384cf48}">
  <ds:schemaRefs/>
</ds:datastoreItem>
</file>

<file path=customXml/itemProps70.xml><?xml version="1.0" encoding="utf-8"?>
<ds:datastoreItem xmlns:ds="http://schemas.openxmlformats.org/officeDocument/2006/customXml" ds:itemID="{348a76f0-bc5b-4b7d-b3b5-d0bf696e402e}">
  <ds:schemaRefs/>
</ds:datastoreItem>
</file>

<file path=customXml/itemProps71.xml><?xml version="1.0" encoding="utf-8"?>
<ds:datastoreItem xmlns:ds="http://schemas.openxmlformats.org/officeDocument/2006/customXml" ds:itemID="{37b8f9a9-4f4a-4ef3-99c6-7c36064ccb5c}">
  <ds:schemaRefs/>
</ds:datastoreItem>
</file>

<file path=customXml/itemProps72.xml><?xml version="1.0" encoding="utf-8"?>
<ds:datastoreItem xmlns:ds="http://schemas.openxmlformats.org/officeDocument/2006/customXml" ds:itemID="{1cc1d121-d383-47ff-ba9d-dd4218a93517}">
  <ds:schemaRefs/>
</ds:datastoreItem>
</file>

<file path=customXml/itemProps73.xml><?xml version="1.0" encoding="utf-8"?>
<ds:datastoreItem xmlns:ds="http://schemas.openxmlformats.org/officeDocument/2006/customXml" ds:itemID="{542a611b-12d1-49a4-b4b4-5d11d5f80441}">
  <ds:schemaRefs/>
</ds:datastoreItem>
</file>

<file path=customXml/itemProps74.xml><?xml version="1.0" encoding="utf-8"?>
<ds:datastoreItem xmlns:ds="http://schemas.openxmlformats.org/officeDocument/2006/customXml" ds:itemID="{c38f6b4f-cbb4-4bbb-9867-9faacd96efcd}">
  <ds:schemaRefs/>
</ds:datastoreItem>
</file>

<file path=customXml/itemProps75.xml><?xml version="1.0" encoding="utf-8"?>
<ds:datastoreItem xmlns:ds="http://schemas.openxmlformats.org/officeDocument/2006/customXml" ds:itemID="{383f39ff-5033-4c65-8603-beb7b8d600fa}">
  <ds:schemaRefs/>
</ds:datastoreItem>
</file>

<file path=customXml/itemProps76.xml><?xml version="1.0" encoding="utf-8"?>
<ds:datastoreItem xmlns:ds="http://schemas.openxmlformats.org/officeDocument/2006/customXml" ds:itemID="{80e4c66e-5ec1-4217-9264-ea727f692be6}">
  <ds:schemaRefs/>
</ds:datastoreItem>
</file>

<file path=customXml/itemProps77.xml><?xml version="1.0" encoding="utf-8"?>
<ds:datastoreItem xmlns:ds="http://schemas.openxmlformats.org/officeDocument/2006/customXml" ds:itemID="{cd45f965-7438-4325-91eb-c00fd7544993}">
  <ds:schemaRefs/>
</ds:datastoreItem>
</file>

<file path=customXml/itemProps78.xml><?xml version="1.0" encoding="utf-8"?>
<ds:datastoreItem xmlns:ds="http://schemas.openxmlformats.org/officeDocument/2006/customXml" ds:itemID="{55658976-c197-4d9e-99be-0862ddcdc599}">
  <ds:schemaRefs/>
</ds:datastoreItem>
</file>

<file path=customXml/itemProps79.xml><?xml version="1.0" encoding="utf-8"?>
<ds:datastoreItem xmlns:ds="http://schemas.openxmlformats.org/officeDocument/2006/customXml" ds:itemID="{0de2bcdc-eca9-43e4-ad36-c12d503d7027}">
  <ds:schemaRefs/>
</ds:datastoreItem>
</file>

<file path=customXml/itemProps8.xml><?xml version="1.0" encoding="utf-8"?>
<ds:datastoreItem xmlns:ds="http://schemas.openxmlformats.org/officeDocument/2006/customXml" ds:itemID="{8ce396af-fa8d-45de-85cc-d8a1dfc58d5d}">
  <ds:schemaRefs/>
</ds:datastoreItem>
</file>

<file path=customXml/itemProps80.xml><?xml version="1.0" encoding="utf-8"?>
<ds:datastoreItem xmlns:ds="http://schemas.openxmlformats.org/officeDocument/2006/customXml" ds:itemID="{2146038d-3530-461a-959b-ff756e0a95a3}">
  <ds:schemaRefs/>
</ds:datastoreItem>
</file>

<file path=customXml/itemProps81.xml><?xml version="1.0" encoding="utf-8"?>
<ds:datastoreItem xmlns:ds="http://schemas.openxmlformats.org/officeDocument/2006/customXml" ds:itemID="{5f7afc97-251c-48bf-aa8a-a7931829520b}">
  <ds:schemaRefs/>
</ds:datastoreItem>
</file>

<file path=customXml/itemProps82.xml><?xml version="1.0" encoding="utf-8"?>
<ds:datastoreItem xmlns:ds="http://schemas.openxmlformats.org/officeDocument/2006/customXml" ds:itemID="{5e8b48cc-69fa-4d30-bae4-bf695b3c1f70}">
  <ds:schemaRefs/>
</ds:datastoreItem>
</file>

<file path=customXml/itemProps83.xml><?xml version="1.0" encoding="utf-8"?>
<ds:datastoreItem xmlns:ds="http://schemas.openxmlformats.org/officeDocument/2006/customXml" ds:itemID="{5d4d6c82-bc86-4ef1-919c-2b68c888ec3d}">
  <ds:schemaRefs/>
</ds:datastoreItem>
</file>

<file path=customXml/itemProps84.xml><?xml version="1.0" encoding="utf-8"?>
<ds:datastoreItem xmlns:ds="http://schemas.openxmlformats.org/officeDocument/2006/customXml" ds:itemID="{908abed9-4fd7-4e81-9e61-b74fb736726e}">
  <ds:schemaRefs/>
</ds:datastoreItem>
</file>

<file path=customXml/itemProps85.xml><?xml version="1.0" encoding="utf-8"?>
<ds:datastoreItem xmlns:ds="http://schemas.openxmlformats.org/officeDocument/2006/customXml" ds:itemID="{b9d0b20b-6df6-4440-949b-9f5831ec1c00}">
  <ds:schemaRefs/>
</ds:datastoreItem>
</file>

<file path=customXml/itemProps86.xml><?xml version="1.0" encoding="utf-8"?>
<ds:datastoreItem xmlns:ds="http://schemas.openxmlformats.org/officeDocument/2006/customXml" ds:itemID="{62e5a1f0-014e-4df7-a7b9-6fb802f41649}">
  <ds:schemaRefs/>
</ds:datastoreItem>
</file>

<file path=customXml/itemProps87.xml><?xml version="1.0" encoding="utf-8"?>
<ds:datastoreItem xmlns:ds="http://schemas.openxmlformats.org/officeDocument/2006/customXml" ds:itemID="{5d142f4c-87a9-49f6-8930-1da6867fed78}">
  <ds:schemaRefs/>
</ds:datastoreItem>
</file>

<file path=customXml/itemProps88.xml><?xml version="1.0" encoding="utf-8"?>
<ds:datastoreItem xmlns:ds="http://schemas.openxmlformats.org/officeDocument/2006/customXml" ds:itemID="{f9e3e5f8-d7be-4187-ad88-ad25e47e157d}">
  <ds:schemaRefs/>
</ds:datastoreItem>
</file>

<file path=customXml/itemProps89.xml><?xml version="1.0" encoding="utf-8"?>
<ds:datastoreItem xmlns:ds="http://schemas.openxmlformats.org/officeDocument/2006/customXml" ds:itemID="{07a64a27-b264-4d38-9434-0e69c7c3d731}">
  <ds:schemaRefs/>
</ds:datastoreItem>
</file>

<file path=customXml/itemProps9.xml><?xml version="1.0" encoding="utf-8"?>
<ds:datastoreItem xmlns:ds="http://schemas.openxmlformats.org/officeDocument/2006/customXml" ds:itemID="{2c4b45c0-6966-42fe-a329-e39ad644e7ac}">
  <ds:schemaRefs/>
</ds:datastoreItem>
</file>

<file path=customXml/itemProps90.xml><?xml version="1.0" encoding="utf-8"?>
<ds:datastoreItem xmlns:ds="http://schemas.openxmlformats.org/officeDocument/2006/customXml" ds:itemID="{962bc5e7-f259-43ef-8e94-6146382779dd}">
  <ds:schemaRefs/>
</ds:datastoreItem>
</file>

<file path=customXml/itemProps91.xml><?xml version="1.0" encoding="utf-8"?>
<ds:datastoreItem xmlns:ds="http://schemas.openxmlformats.org/officeDocument/2006/customXml" ds:itemID="{4492df95-95da-433f-b66c-0c9bf85c2b19}">
  <ds:schemaRefs/>
</ds:datastoreItem>
</file>

<file path=customXml/itemProps92.xml><?xml version="1.0" encoding="utf-8"?>
<ds:datastoreItem xmlns:ds="http://schemas.openxmlformats.org/officeDocument/2006/customXml" ds:itemID="{137500cb-3f1b-4672-94e2-8de7fa338653}">
  <ds:schemaRefs/>
</ds:datastoreItem>
</file>

<file path=customXml/itemProps93.xml><?xml version="1.0" encoding="utf-8"?>
<ds:datastoreItem xmlns:ds="http://schemas.openxmlformats.org/officeDocument/2006/customXml" ds:itemID="{2026c2fb-3287-47cc-9453-d85b253f3733}">
  <ds:schemaRefs/>
</ds:datastoreItem>
</file>

<file path=customXml/itemProps94.xml><?xml version="1.0" encoding="utf-8"?>
<ds:datastoreItem xmlns:ds="http://schemas.openxmlformats.org/officeDocument/2006/customXml" ds:itemID="{aa1f36d2-3c4f-4ee9-a364-91673a3ba0cc}">
  <ds:schemaRefs/>
</ds:datastoreItem>
</file>

<file path=customXml/itemProps95.xml><?xml version="1.0" encoding="utf-8"?>
<ds:datastoreItem xmlns:ds="http://schemas.openxmlformats.org/officeDocument/2006/customXml" ds:itemID="{5f86b977-c88f-4117-abd3-1041ba1c70ff}">
  <ds:schemaRefs/>
</ds:datastoreItem>
</file>

<file path=customXml/itemProps96.xml><?xml version="1.0" encoding="utf-8"?>
<ds:datastoreItem xmlns:ds="http://schemas.openxmlformats.org/officeDocument/2006/customXml" ds:itemID="{09abbf89-cabc-4d7c-8aa2-69cf14fc37e9}">
  <ds:schemaRefs/>
</ds:datastoreItem>
</file>

<file path=customXml/itemProps97.xml><?xml version="1.0" encoding="utf-8"?>
<ds:datastoreItem xmlns:ds="http://schemas.openxmlformats.org/officeDocument/2006/customXml" ds:itemID="{743e1e5c-e73a-4aef-b7db-069226b318e4}">
  <ds:schemaRefs/>
</ds:datastoreItem>
</file>

<file path=customXml/itemProps98.xml><?xml version="1.0" encoding="utf-8"?>
<ds:datastoreItem xmlns:ds="http://schemas.openxmlformats.org/officeDocument/2006/customXml" ds:itemID="{5fb7f7ec-02d1-43f5-9604-5dca4713f961}">
  <ds:schemaRefs/>
</ds:datastoreItem>
</file>

<file path=customXml/itemProps99.xml><?xml version="1.0" encoding="utf-8"?>
<ds:datastoreItem xmlns:ds="http://schemas.openxmlformats.org/officeDocument/2006/customXml" ds:itemID="{6343e187-5c0c-476a-994b-e5fdd3a7dd1f}">
  <ds:schemaRefs/>
</ds:datastoreItem>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2024-03-04T15:27:00Z</dcterms:created>
  <dc:creator>Administrator</dc:creator>
  <cp:lastModifiedBy>Administrator</cp:lastModifiedBy>
  <dcterms:modified xsi:type="dcterms:W3CDTF">2025-11-24T02:41:23Z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B9D0A8F184114D728914E3E1754AECDF</vt:lpwstr>
  </property>
</Properties>
</file>