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77"/>
        <w:gridCol w:w="811"/>
        <w:gridCol w:w="4378"/>
        <w:gridCol w:w="898"/>
        <w:gridCol w:w="702"/>
        <w:gridCol w:w="990"/>
        <w:gridCol w:w="4430"/>
      </w:tblGrid>
      <w:tr w14:paraId="2D776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blHeader/>
        </w:trPr>
        <w:tc>
          <w:tcPr>
            <w:tcW w:w="5000" w:type="pct"/>
            <w:gridSpan w:val="7"/>
            <w:tcBorders>
              <w:top w:val="nil"/>
              <w:left w:val="nil"/>
              <w:bottom w:val="nil"/>
              <w:right w:val="nil"/>
            </w:tcBorders>
            <w:shd w:val="clear" w:color="auto" w:fill="auto"/>
            <w:noWrap/>
            <w:tcMar>
              <w:top w:w="15" w:type="dxa"/>
              <w:left w:w="15" w:type="dxa"/>
              <w:right w:w="15" w:type="dxa"/>
            </w:tcMar>
            <w:vAlign w:val="center"/>
          </w:tcPr>
          <w:p w14:paraId="5D1D98DD">
            <w:pPr>
              <w:keepNext w:val="0"/>
              <w:keepLines w:val="0"/>
              <w:widowControl/>
              <w:suppressLineNumbers w:val="0"/>
              <w:jc w:val="center"/>
              <w:textAlignment w:val="center"/>
              <w:rPr>
                <w:rFonts w:ascii="方正小标宋简体" w:hAnsi="方正小标宋简体" w:eastAsia="方正小标宋简体" w:cs="方正小标宋简体"/>
                <w:i w:val="0"/>
                <w:color w:val="000000"/>
                <w:sz w:val="40"/>
                <w:szCs w:val="40"/>
                <w:u w:val="none"/>
              </w:rPr>
            </w:pPr>
            <w:r>
              <w:rPr>
                <w:rFonts w:hint="eastAsia" w:ascii="方正小标宋简体" w:hAnsi="方正小标宋简体" w:eastAsia="方正小标宋简体" w:cs="方正小标宋简体"/>
                <w:i w:val="0"/>
                <w:color w:val="000000"/>
                <w:kern w:val="0"/>
                <w:sz w:val="44"/>
                <w:szCs w:val="44"/>
                <w:u w:val="none"/>
                <w:lang w:val="en-US" w:eastAsia="zh-CN" w:bidi="ar"/>
              </w:rPr>
              <w:t>石家庄市鹿泉区水利局涉企行政检查标准</w:t>
            </w:r>
            <w:bookmarkStart w:id="0" w:name="_GoBack"/>
            <w:bookmarkEnd w:id="0"/>
          </w:p>
        </w:tc>
      </w:tr>
      <w:tr w14:paraId="6F6C8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9" w:hRule="atLeast"/>
          <w:tblHeader/>
        </w:trPr>
        <w:tc>
          <w:tcPr>
            <w:tcW w:w="225"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AB041">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序号</w:t>
            </w:r>
          </w:p>
        </w:tc>
        <w:tc>
          <w:tcPr>
            <w:tcW w:w="317"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71E5FE">
            <w:pPr>
              <w:keepNext w:val="0"/>
              <w:keepLines w:val="0"/>
              <w:widowControl/>
              <w:suppressLineNumbers w:val="0"/>
              <w:jc w:val="center"/>
              <w:textAlignment w:val="center"/>
              <w:rPr>
                <w:rFonts w:hint="eastAsia" w:ascii="仿宋" w:hAnsi="仿宋" w:eastAsia="仿宋" w:cs="仿宋"/>
                <w:i w:val="0"/>
                <w:color w:val="000000"/>
                <w:kern w:val="0"/>
                <w:sz w:val="22"/>
                <w:szCs w:val="22"/>
                <w:u w:val="none"/>
                <w:lang w:val="en-US" w:eastAsia="zh-CN" w:bidi="ar"/>
              </w:rPr>
            </w:pPr>
            <w:r>
              <w:rPr>
                <w:rFonts w:hint="eastAsia" w:ascii="仿宋" w:hAnsi="仿宋" w:eastAsia="仿宋" w:cs="仿宋"/>
                <w:i w:val="0"/>
                <w:color w:val="000000"/>
                <w:kern w:val="0"/>
                <w:sz w:val="22"/>
                <w:szCs w:val="22"/>
                <w:u w:val="none"/>
                <w:lang w:val="en-US" w:eastAsia="zh-CN" w:bidi="ar"/>
              </w:rPr>
              <w:t xml:space="preserve">事项   </w:t>
            </w:r>
          </w:p>
          <w:p w14:paraId="637AD3E6">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名称</w:t>
            </w:r>
          </w:p>
        </w:tc>
        <w:tc>
          <w:tcPr>
            <w:tcW w:w="1712"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42A69">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实施依据</w:t>
            </w:r>
          </w:p>
        </w:tc>
        <w:tc>
          <w:tcPr>
            <w:tcW w:w="1012" w:type="pct"/>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454266">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实施主体</w:t>
            </w:r>
          </w:p>
        </w:tc>
        <w:tc>
          <w:tcPr>
            <w:tcW w:w="1732" w:type="pct"/>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4D75B9">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检查标准</w:t>
            </w:r>
          </w:p>
        </w:tc>
      </w:tr>
      <w:tr w14:paraId="738C3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4" w:hRule="atLeast"/>
          <w:tblHeader/>
        </w:trPr>
        <w:tc>
          <w:tcPr>
            <w:tcW w:w="225"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7234A8">
            <w:pPr>
              <w:jc w:val="center"/>
              <w:rPr>
                <w:rFonts w:hint="eastAsia" w:ascii="仿宋" w:hAnsi="仿宋" w:eastAsia="仿宋" w:cs="仿宋"/>
                <w:i w:val="0"/>
                <w:color w:val="000000"/>
                <w:sz w:val="22"/>
                <w:szCs w:val="22"/>
                <w:u w:val="none"/>
              </w:rPr>
            </w:pPr>
          </w:p>
        </w:tc>
        <w:tc>
          <w:tcPr>
            <w:tcW w:w="317"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8FB6E7">
            <w:pPr>
              <w:jc w:val="center"/>
              <w:rPr>
                <w:rFonts w:hint="eastAsia" w:ascii="仿宋" w:hAnsi="仿宋" w:eastAsia="仿宋" w:cs="仿宋"/>
                <w:i w:val="0"/>
                <w:color w:val="000000"/>
                <w:sz w:val="22"/>
                <w:szCs w:val="22"/>
                <w:u w:val="none"/>
              </w:rPr>
            </w:pPr>
          </w:p>
        </w:tc>
        <w:tc>
          <w:tcPr>
            <w:tcW w:w="1712"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75B46">
            <w:pPr>
              <w:jc w:val="center"/>
              <w:rPr>
                <w:rFonts w:hint="eastAsia" w:ascii="仿宋" w:hAnsi="仿宋" w:eastAsia="仿宋" w:cs="仿宋"/>
                <w:i w:val="0"/>
                <w:color w:val="000000"/>
                <w:sz w:val="22"/>
                <w:szCs w:val="22"/>
                <w:u w:val="none"/>
              </w:rPr>
            </w:pP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8399A5">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法定实施主体</w:t>
            </w:r>
          </w:p>
        </w:tc>
        <w:tc>
          <w:tcPr>
            <w:tcW w:w="274"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FC3BD">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行使层级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DCEC941">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第一责任层级</w:t>
            </w:r>
          </w:p>
        </w:tc>
        <w:tc>
          <w:tcPr>
            <w:tcW w:w="1732" w:type="pct"/>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FE6C1">
            <w:pPr>
              <w:jc w:val="center"/>
              <w:rPr>
                <w:rFonts w:hint="eastAsia" w:ascii="仿宋" w:hAnsi="仿宋" w:eastAsia="仿宋" w:cs="仿宋"/>
                <w:i w:val="0"/>
                <w:color w:val="000000"/>
                <w:sz w:val="22"/>
                <w:szCs w:val="22"/>
                <w:u w:val="none"/>
              </w:rPr>
            </w:pPr>
          </w:p>
        </w:tc>
      </w:tr>
      <w:tr w14:paraId="67EF8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0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A71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29A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对取用水行为的行政检查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F228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《取水许可和水资源费征收管理条例》第三条 县级以上人民政府水行政主管部门按照分级管理权限，负责取水许可制度的组织实施和监督管理。</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第三十八条 县级以上人民政府水行政主管部门或者流域管理机构应当依照本条例规定，加强对取水许可制度实施的监督管理。</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第四十五条 县级以上人民政府水行政主管部门或者流域管理机构在进行监督检查时，有权采取下列措施：</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(一)要求被检查单位或者个人提供有关文件、证照、资料；</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(二)要求被检查单位或者个人就执行本条例的有关问题作出说明；</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(三)进入被检查单位或者个人的生产场所进行调查；</w:t>
            </w:r>
            <w:r>
              <w:rPr>
                <w:rFonts w:hint="eastAsia" w:ascii="宋体" w:hAnsi="宋体" w:eastAsia="宋体" w:cs="宋体"/>
                <w:i w:val="0"/>
                <w:color w:val="000000"/>
                <w:kern w:val="0"/>
                <w:sz w:val="21"/>
                <w:szCs w:val="21"/>
                <w:u w:val="none"/>
                <w:lang w:val="en-US" w:eastAsia="zh-CN" w:bidi="ar"/>
              </w:rPr>
              <w:br w:type="textWrapping"/>
            </w:r>
            <w:r>
              <w:rPr>
                <w:rFonts w:hint="eastAsia" w:ascii="宋体" w:hAnsi="宋体" w:eastAsia="宋体" w:cs="宋体"/>
                <w:i w:val="0"/>
                <w:color w:val="000000"/>
                <w:kern w:val="0"/>
                <w:sz w:val="21"/>
                <w:szCs w:val="21"/>
                <w:u w:val="none"/>
                <w:lang w:val="en-US" w:eastAsia="zh-CN" w:bidi="ar"/>
              </w:rPr>
              <w:t>(四)责令被检查单位或者个人停止违反本条例的行为，履行法定义务。监督检查人员在进行监督检查时，应当出示合法有效的行政执法证件。有关单位和个人对监督检查工作应当给予配合，不得拒绝或者阻碍监督检查人员依法执行公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098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D66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2EF20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2EAF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办理了取水许可手续；取水手续是否合法有效；取水水源是否符合批复要求；取水工程或设施是否与批复一致；取水用途是否与批复一致；取水、退水地点及退水方式、退水量是否与批复一致；是否按规定安装计量设施，并落实计量管理规定；是否符合法律、行政法规规定的其他情形</w:t>
            </w:r>
          </w:p>
        </w:tc>
      </w:tr>
      <w:tr w14:paraId="5F50E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16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F9B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CC95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对水利工程质量检测单位资质（乙级）的行政检查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9F8C1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《水利工程质量检测管理规定》（水利部令第36号公布，水利部令第50号修正）第五条 水利部负责审批检测单位甲级资质；省、自治区、直辖市人民政府水行政主管部门负责审批检测单位乙级资质。 检测单位资质原则上采用集中审批方式，受理时间由审批机关提前三个月向社会公告。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第二十一条 县级以上人民政府水行政主管部门应当加强对检测单位及其质量检测活动的监督检查，主要检查下列内容：</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（一）是否符合资质等级标准；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（二）是否有涂改、倒卖、出租、出借或者以其他形式非法转让《资质等级证书》的行为；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（三）是否存在转包、违规分包检测业务及租借、挂靠资质等违规行为；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（四）是否按照有关标准和规定进行检测；</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（五）是否按照规定在质量检测报告上签字盖章，质量检测报告是否真实；</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（六）仪器设备的运行、检定和校准情况；</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（七）法律、法规规定的其他事项。</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7D4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016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15311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E4E9C5">
            <w:pPr>
              <w:keepNext w:val="0"/>
              <w:keepLines w:val="0"/>
              <w:pageBreakBefore w:val="0"/>
              <w:widowControl/>
              <w:suppressLineNumbers w:val="0"/>
              <w:kinsoku/>
              <w:wordWrap/>
              <w:overflowPunct/>
              <w:topLinePunct w:val="0"/>
              <w:autoSpaceDE/>
              <w:autoSpaceDN/>
              <w:bidi w:val="0"/>
              <w:adjustRightInd/>
              <w:snapToGrid/>
              <w:spacing w:line="30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计量认证证书是否在有效期内；检测单位名称、地址、法定代表人、技术负责人等信息在资质等级证书、营业执照等一致性；技术负责人是否具有8年以上从事水利水电工程建设相关工作经历，并具有水利水电专业高级以上技术职称；检测人员是否具有水利工程质量检测员职业资格或者具备水利水电工程及相关专业中级以上技术职称，且不少于10人；仪器设备运行、检定和校准情况是否符合相关规定和要求；检测单位是否建立档案管理制度，单独建立检测结果不合格项目台账；是否存在涂改、倒卖、出租、出借或者其他形式非法转让《资质等级证书》的情况；是否存在未取得相应资质，擅自承担检测业务的情况；是否存在转包质量检测业务或未经委托方同意分包质量检测业务的问题；是否存在超出资质等级范围从事检测活动的情况；是否按照规定在质量检测报告上签字盖章；是否及时提供检测报告；是否存在编造虚假检测报告、伪造检测数据等行为；是否按照国家和行业标准开展检测活动；无相关标准的，是否由检测单位提出方案，委托方确认后实施；质量检测试样的取样是否严格执行国家和行业标准</w:t>
            </w:r>
          </w:p>
        </w:tc>
      </w:tr>
      <w:tr w14:paraId="4F779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13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1E58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D795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对河道管理范围内有关活动（不含河道采砂）的行政检查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D113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《中华人民共和国河道管理条例》第四条 国务院水利行政主管部门是全国河道的主管机关。各省、自治区、直辖市的水利行政主管部门是该行政区域的河道主管机关。</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第八条 各级人民政府河道主管机关以及河道监理人员，必须按照国家法律、法规，加强河道管理，执行供水计划和防洪调度命令，维护水工程和人民生命财产安全。</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第二十五条 在河道管理范围内进行下列活动，必须报经河道主管机关批准；涉及其他部门的，由河道主管机关会同有关部门批准：(一)采砂、取土、淘金、弃置砂石或者淤泥；(二)爆破、钻探、挖筑鱼塘；(三)在河道滩地存放物料、修建厂房或者其他建筑设施；(四)在河道滩地开采地下资源及进行考古发掘。</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82C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999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0A8D0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09F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越权审批、超类别审批；是否符合岸线功能分区管控要求；是否按照批复实施；是否未经批准设置临时建（构）筑物；是否非法倾倒弃渣、垃圾；是否落实消除和减轻影响措施；是否按规定编制防汛预案；是否存在其他未批先动或可能影响防洪安全问题；现场监管是否落实</w:t>
            </w:r>
          </w:p>
        </w:tc>
      </w:tr>
      <w:tr w14:paraId="3B52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1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7937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EA52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对河道管理范围内建设项目的行政检查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6ADEE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r>
              <w:rPr>
                <w:rFonts w:hint="eastAsia" w:ascii="宋体" w:hAnsi="宋体" w:eastAsia="宋体" w:cs="宋体"/>
                <w:i w:val="0"/>
                <w:color w:val="000000"/>
                <w:kern w:val="0"/>
                <w:sz w:val="20"/>
                <w:szCs w:val="20"/>
                <w:u w:val="none"/>
                <w:lang w:val="en-US" w:eastAsia="zh-CN" w:bidi="ar"/>
              </w:rPr>
              <w:t>中华人民共和国水法》第三十八 在河道管理范围内建设桥梁、码头和其他拦河、跨河、临河建筑物、构筑物，铺设跨河管道、电缆，应当符合国家规定的防洪标准和其他有关的技术要求，工程建设方案应当依照防洪法的有关规定报经有关水行政主管部门审查同意。</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《中华人民共和国防洪法》第二十七条 建设跨河、穿河、穿堤、临河的桥梁、码头、道路、渡口、管道、缆线、取水、排水等工程设施，应当符合防洪标准、岸线规划、航运要求和其他技术要求，不得危害堤防安全、影响河势稳定、妨碍行洪畅通；其工程建设方案未经有关水行政主管部门根据前述防洪要求审查同意的，建设单位不得开工建设。前款工程设施需要占用河道、湖泊管理范围内土地，跨越河道、湖泊空间或者穿越河床的，建设单位应当经有关水行政主管部门对该工程设施建设的位置和界限审查批准后，方可依法办理开工手续；安排施工时，应当按照水行政主管部门审查批准的位置和界限进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《中华人民共和国河道管理条例》第十一条 修建开发水利、防治水害、整治河道的各类工程和跨河、穿河、穿堤、临河的桥梁、码头、道路、渡口、管道、缆线等建筑物及设施，建设单位必须按照河道管理权限，将工程建设方案报送河道主管机关审查同意。未经河道主管机关审查同意的，建设单位不得开工建设。建</w:t>
            </w:r>
            <w:r>
              <w:rPr>
                <w:rFonts w:hint="eastAsia" w:ascii="宋体" w:hAnsi="宋体" w:eastAsia="宋体" w:cs="宋体"/>
                <w:i w:val="0"/>
                <w:color w:val="000000"/>
                <w:kern w:val="0"/>
                <w:sz w:val="22"/>
                <w:szCs w:val="22"/>
                <w:u w:val="none"/>
                <w:lang w:val="en-US" w:eastAsia="zh-CN" w:bidi="ar"/>
              </w:rPr>
              <w:t>设项目经批准后，建设单位应当将施工安排告知河道主管机关。</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BD65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23C6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F4A25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0A5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越权审批、超类别审批；是否符合岸线功能分区管控要求；是否按照批复实施；是否未经批准设置临时建（构）筑物；是否非法倾倒弃渣、垃圾；是否落实消除和减轻影响措施；是否按规定编制防汛预案；是否存在其他未批先建或可能影响防洪安全问题；现场监管是否落实</w:t>
            </w:r>
          </w:p>
        </w:tc>
      </w:tr>
      <w:tr w14:paraId="70281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4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46059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A79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对河道采砂的行政检查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7819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《中华人民共和国河道管理条例》第四条 国务院水利行政主管部门是全国河道的主管机关。各省、自治区、直辖市的水利行政主管部门是该行政区域的河道主管机关。</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第八条 各级人民政府河道主管机关以及河道监理人员，必须按照国家法律、法规，加强河道管理，执行供水计划和防洪调度命令，维护水工程和人民生命财产安全。</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《河北省河湖保护和治理条例》第三十四条 县级以上人民政府应当严格落实河道采砂许可制度。采砂许可应当载明开采的地点、期限、范围、深度、开采总量、作业方式、河道整治等事项。未经许可，任何单位和个人不得从事河道采砂活动。</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《河北省河道采砂管理规定》第十一条 从事河道采砂活动，应当向水行政主管部门申请河道采砂许可证。未经行政许可,任何单位和个人不得擅自从事河道采砂活动或者发包河道采砂经营权。</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F1B0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5D3A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D0524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CB24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采砂现场是否落实砂石采运管理单等现场监管制度；有无不按批准的采砂作业方式和范围采砂行为；采砂单位是否按照河道治理与采砂管控年度实施方案要求治理河道，是否在汛前将采砂机械设备撤出河道管理范围；堆砂场设置是否符合要求，是否存在河道采砂弃碴乱堆放情况</w:t>
            </w:r>
          </w:p>
        </w:tc>
      </w:tr>
      <w:tr w14:paraId="05694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46"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CFA5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9EB4B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对围垦河道的行政检查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AA3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《中华人民共和国水法》第四十条 禁止围湖造地。已经围垦的，应当按照国家规定的防洪标准有计划地退地还湖。禁止围垦河道。确需围垦的，应当经过科学论证，经省、自治区、直辖市人民政府水行政主管部门或者国务院水行政主管部门同意后，报本级人民政府批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《中华人民共和国防洪法》第二十三条 禁止围湖造地。已经围垦的，应当按照国家规定的防洪标准进行治理，有计划地退地还湖。禁止围垦河道。确需围垦的，应当进行科学论证，经水行政主管部门确认不妨碍行洪、输水后，报省级以上人民政府批准。</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E38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E53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5FFC7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59C7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围垦河道是否经审批；围垦方案是否与批复文件一致</w:t>
            </w:r>
          </w:p>
        </w:tc>
      </w:tr>
      <w:tr w14:paraId="4921D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41"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DFB5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40F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对生产建设项目水土保持的行政检查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84A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《中华人民共和国水土保持法》第五条 国务院水行政主管部门主管全国的水土保持工作。国务院水行政主管部门在国家确定的重要江河、湖泊设立的流域管理机构（以下简称流域管理机构），在所管辖范围内依法承担水土保持监督管理职责。县级以上地方人民政府水行政主管部门主管本行政区域的水土保持工作。县级以上人民政府林业、农业、国土资源等有关部门按照各自职责，做好有关的水土流失预防和治理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第二十九条 县级以上人民政府水行政主管部门、流域管理机构，应当对生产建设项目水土保持方案的实施情况进行跟踪检查，发现问题及时处理。</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第四十三条 县级以上人民政府水行政主管部门负责对水土保持情况进行监督检查。流域管理机构在其管辖范围内可以行使国务院水行政主管部门的监督检查职权。</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D233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9877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66A78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市级或县级，具体由项目立项层级确定第一责任层级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923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办理生产建设项目水土保持方案审批（含重大变更）；是否按许可的水土保持方案落实后续设计，表土剥离、保存和利用，取、弃土（包括渣、石、砂、矸石、尾矿等）场选址及防护，水土保持措施，水土保持监测、监理等；是否按规定缴纳水土保持补偿费；是否开展水土保持设施自主验收</w:t>
            </w:r>
          </w:p>
        </w:tc>
      </w:tr>
      <w:tr w14:paraId="56E1E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2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01B1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78FB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对节约用水的行政检查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B25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《中华人民共和国水法》第十三条 国务院有关部门按照职责分工，负责水资源开发、利用、节约和保护的有关工作。县级以上地方人民政府有关部门按照职责分工，负责本行政区域内水资源开发、利用、节约和保护的有关工作。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《节约用水条例》第四十三条 县级以上人民政府水行政、住房城乡建设、市场监督管理等主管部门应当按照职责分工，加强对用水活动的监督检查，依法查处违法行为。有关部门履行监督检查职责时，有权采取下列措施：</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（一）进入现场开展检查，调查了解有关情况；</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（二）要求被检查单位或者个人就节水有关问题作出说明；</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（三）要求被检查单位或者个人提供有关文件、资料，进行查阅或者复制；</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（四）法律、行政法规规定的其他措施。监督检查人员在履行监督检查职责时，应当主动出示执法证件。被检查单位和个人应当予以配合，不得拒绝、阻碍。</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BF8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1CD1C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0DF03E">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1F9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存在超计划（超定额）用水情况；是否分水源、分用途，分别安装用水计量设施；新建、改建、扩建建设项目是否配套建设节水设施，并于主体工程同时设计、同时施工、同时投入使用；是否使用国家明令淘汰的技术、工艺、设备和产品；具备使用非常规水条件时，是否存在应当使用而未使用或使用量未达到指标要求的情况；工业企业的生产设备冷却水、空调冷却水、锅炉冷凝水是否回收利用；国家或省要求开展的节约用水方面其他检查内容</w:t>
            </w:r>
          </w:p>
        </w:tc>
      </w:tr>
      <w:tr w14:paraId="7BC20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D6EA9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9</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B01C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水利建设项目稽察</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A00B3B">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《中华人民共和国招标投标法》第七条</w:t>
            </w:r>
          </w:p>
          <w:p w14:paraId="0D5373ED">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《建设工程质量管理条例》第四条 、第四十四条</w:t>
            </w:r>
          </w:p>
          <w:p w14:paraId="3A6DF7C7">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《中华人民共和国招标投标法实施条例》第四条第一款、第二款</w:t>
            </w:r>
          </w:p>
          <w:p w14:paraId="1E10A489">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《保障农民工工资支付条例》第七条第二款、第三十九条、第四十四条</w:t>
            </w:r>
          </w:p>
          <w:p w14:paraId="501C46D3">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《水利工程质量管理规定》第四条</w:t>
            </w:r>
          </w:p>
          <w:p w14:paraId="201E19B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《水利基本建设项目稽察暂行办法》第二条、第四条第一款、第五条第一款</w:t>
            </w:r>
          </w:p>
          <w:p w14:paraId="0914D4B9">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《水利工程建设项目招标投标管理规定》第五条、第六条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34F0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9061C">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4D7DF2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04C12D">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《中华人民共和国招标投标法》</w:t>
            </w:r>
          </w:p>
          <w:p w14:paraId="140BD833">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《中华人民共和国招标投标法实施条例》</w:t>
            </w:r>
          </w:p>
          <w:p w14:paraId="18CB7E20">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《建设工程质量管理条例》</w:t>
            </w:r>
          </w:p>
          <w:p w14:paraId="1860349D">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《保障农民工工资支付条例》</w:t>
            </w:r>
          </w:p>
          <w:p w14:paraId="6AFB3416">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《工程建设项目招标投标活动投诉处理办法》</w:t>
            </w:r>
          </w:p>
          <w:p w14:paraId="30FC4279">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《水利工程建设项目招标投标管理规定》</w:t>
            </w:r>
          </w:p>
          <w:p w14:paraId="6646220A">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《水利工程质量管理规定》</w:t>
            </w:r>
          </w:p>
          <w:p w14:paraId="1901C789">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《水利基本建设项目稽察暂行办法》</w:t>
            </w:r>
          </w:p>
          <w:p w14:paraId="7669EADC">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《水利部关于印发〈水利工程施工转包违法分包等违法行为认定查处管理暂行办法〉的通知》（水建管〔2016〕420号）</w:t>
            </w:r>
          </w:p>
          <w:p w14:paraId="73FEFD1F">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《水利建设项目稽察常见问题清单（2021年版）》（办监督〔2021〕195号）</w:t>
            </w:r>
          </w:p>
        </w:tc>
      </w:tr>
      <w:tr w14:paraId="055F7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E17FF">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10</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0A5604">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水利工程质量监督检查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8176A">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《建设工程质量管理条例》第四条、第四十四条</w:t>
            </w:r>
          </w:p>
          <w:p w14:paraId="2F471CD5">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《建设工程勘察设计管理条例》第五条第一款</w:t>
            </w:r>
          </w:p>
          <w:p w14:paraId="136FB41F">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《水利工程质量管理规定》第四条、第五十四条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FF3FD">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FF3EF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0F0F1D2">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A2FF4F">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《水利工程质量管理规定》</w:t>
            </w:r>
          </w:p>
          <w:p w14:paraId="13805C4F">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《水利工程质量检测管理规定》</w:t>
            </w:r>
          </w:p>
          <w:p w14:paraId="6C16D9FA">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《水利工程建设监理规定》</w:t>
            </w:r>
          </w:p>
          <w:p w14:paraId="6C25504A">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《水利工程建设项目验收管理规定》</w:t>
            </w:r>
          </w:p>
          <w:p w14:paraId="33AB630C">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《水利工程质量监督管理规定》（水建〔1997〕339号）</w:t>
            </w:r>
          </w:p>
          <w:p w14:paraId="48F34669">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《水利部关于印发水利工程建设项目法人管理指导意见的通知》（水建设〔2020〕258号）</w:t>
            </w:r>
          </w:p>
          <w:p w14:paraId="683BB03D">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《水利工程勘测设计失误问责办法（试行）》（水总〔2020〕33号）</w:t>
            </w:r>
          </w:p>
          <w:p w14:paraId="4E4D4B92">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《水利工程设计变更管理暂行办法》（水规计〔2020〕283号）</w:t>
            </w:r>
          </w:p>
          <w:p w14:paraId="5677D507">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《水利水电建设工程验收规程》（SL/T 223-2025）</w:t>
            </w:r>
          </w:p>
          <w:p w14:paraId="2EE2CA27">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《水利水电工程单元工程施工质量验收标准》（SL/T 631.1</w:t>
            </w:r>
            <w:r>
              <w:rPr>
                <w:rFonts w:hint="eastAsia" w:ascii="宋体" w:hAnsi="宋体" w:eastAsia="宋体" w:cs="宋体"/>
                <w:i w:val="0"/>
                <w:color w:val="000000"/>
                <w:sz w:val="22"/>
                <w:szCs w:val="22"/>
                <w:u w:val="none"/>
                <w:lang w:val="en-US" w:eastAsia="zh-CN"/>
              </w:rPr>
              <w:t>-</w:t>
            </w:r>
            <w:r>
              <w:rPr>
                <w:rFonts w:hint="eastAsia" w:ascii="宋体" w:hAnsi="宋体" w:eastAsia="宋体" w:cs="宋体"/>
                <w:i w:val="0"/>
                <w:color w:val="000000"/>
                <w:sz w:val="22"/>
                <w:szCs w:val="22"/>
                <w:u w:val="none"/>
              </w:rPr>
              <w:t>SL/T 631.4-2025）</w:t>
            </w:r>
          </w:p>
          <w:p w14:paraId="44877DB1">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《水利水电工程单元工程施工质量验收评定标准》（SL 635</w:t>
            </w:r>
            <w:r>
              <w:rPr>
                <w:rFonts w:hint="eastAsia" w:ascii="宋体" w:hAnsi="宋体" w:eastAsia="宋体" w:cs="宋体"/>
                <w:i w:val="0"/>
                <w:color w:val="000000"/>
                <w:sz w:val="22"/>
                <w:szCs w:val="22"/>
                <w:u w:val="none"/>
                <w:lang w:val="en-US" w:eastAsia="zh-CN"/>
              </w:rPr>
              <w:t>-</w:t>
            </w:r>
            <w:r>
              <w:rPr>
                <w:rFonts w:hint="eastAsia" w:ascii="宋体" w:hAnsi="宋体" w:eastAsia="宋体" w:cs="宋体"/>
                <w:i w:val="0"/>
                <w:color w:val="000000"/>
                <w:sz w:val="22"/>
                <w:szCs w:val="22"/>
                <w:u w:val="none"/>
              </w:rPr>
              <w:t>SL 639-2012）</w:t>
            </w:r>
          </w:p>
        </w:tc>
      </w:tr>
      <w:tr w14:paraId="2B2A1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0DEA1">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11</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2D82F">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对水利生产经营单位安全生产的监督检查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8B7B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《中华人民共和国安全生产法》第十条第二款、第六十二条、第六十五条</w:t>
            </w:r>
          </w:p>
          <w:p w14:paraId="01687186">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《水利安全生产监督管理办法（试行）》（水监督〔2021〕412号）第三条、第二十条、第二十三条</w:t>
            </w:r>
          </w:p>
          <w:p w14:paraId="19EC348B">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《中华人民共和国行政许可法》第六十一条、第六十二条</w:t>
            </w:r>
          </w:p>
          <w:p w14:paraId="3DA08530">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《水利水电工程施工企业主要负责人、项目负责人和专职安全生产管理人员安全生产考核管理办法》（水监督〔2022〕326号）第二十六条第二款</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627DA9">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2D098">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55CDAB0">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08555">
            <w:pPr>
              <w:rPr>
                <w:rFonts w:hint="eastAsia" w:ascii="宋体" w:hAnsi="宋体" w:eastAsia="宋体" w:cs="宋体"/>
                <w:i w:val="0"/>
                <w:color w:val="000000"/>
                <w:sz w:val="22"/>
                <w:szCs w:val="22"/>
                <w:u w:val="none"/>
              </w:rPr>
            </w:pPr>
            <w:r>
              <w:rPr>
                <w:rFonts w:hint="eastAsia" w:ascii="宋体" w:hAnsi="宋体" w:eastAsia="宋体" w:cs="宋体"/>
                <w:i w:val="0"/>
                <w:color w:val="000000"/>
                <w:sz w:val="22"/>
                <w:szCs w:val="22"/>
                <w:u w:val="none"/>
              </w:rPr>
              <w:t>是否建立全员安全生产责任制；安全生产费用投入是否到位；是否按规定配备安全生产管理机构及人员；是否制定安全生产规章制度、操作规程并按规定执行；安全教育培训是否到位；劳动防护用品配备、使用管理是否到位；是否按规定设置安全警示标志；设备管理、危险作业管理是否按规定执行；安全风险分级管控及隐患排查治理情况是否到位；应急管理情况是否按照规定落实到位；“三类人员”是否经考核合格、特种作业人员是否持证上岗。</w:t>
            </w:r>
          </w:p>
        </w:tc>
      </w:tr>
      <w:tr w14:paraId="2B0C0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15544">
            <w:pPr>
              <w:keepNext w:val="0"/>
              <w:keepLines w:val="0"/>
              <w:widowControl/>
              <w:suppressLineNumbers w:val="0"/>
              <w:jc w:val="center"/>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12</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FC01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对占用农业灌溉水源、灌排工程设施的行政检查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F0A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《农田水利条例》第二十六条 县级以上人民政府水行政主管部门应当加强对农田灌溉排水的监督和指导，做好技术服务。</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427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水行政主管部门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668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784B5F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市级或县级，具体由管理权限确定第一责任层级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B9B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检查占用工程是否有合法审批手续；检查占用工程是否经水行政主管部门许可审批；检查占用替代工程是否运行良好，满足替代工程需要；检查占用工程是否支付占用补偿费及其他补偿</w:t>
            </w:r>
          </w:p>
        </w:tc>
      </w:tr>
      <w:tr w14:paraId="25AE2D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FCB1FA">
            <w:pPr>
              <w:keepNext w:val="0"/>
              <w:keepLines w:val="0"/>
              <w:widowControl/>
              <w:suppressLineNumbers w:val="0"/>
              <w:jc w:val="center"/>
              <w:textAlignment w:val="center"/>
              <w:rPr>
                <w:rFonts w:hint="default"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79284E">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对二次供水设施建设、管理、维护的监督检查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77BCB">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《石家庄市城市供水用水管理条例》第三十八条第一款： “城市供水主管部门负责二次供水设施建设、管理、维护的监督检查工作。”</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C3602E">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县级以上人民政府供水用水主管部门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209E5">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9E18CF7">
            <w:pPr>
              <w:keepNext w:val="0"/>
              <w:keepLines w:val="0"/>
              <w:widowControl/>
              <w:suppressLineNumbers w:val="0"/>
              <w:jc w:val="center"/>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县级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0F432">
            <w:pPr>
              <w:rPr>
                <w:rFonts w:hint="eastAsia" w:ascii="宋体" w:hAnsi="宋体" w:eastAsia="宋体" w:cs="宋体"/>
                <w:i w:val="0"/>
                <w:color w:val="000000"/>
                <w:kern w:val="2"/>
                <w:sz w:val="22"/>
                <w:szCs w:val="22"/>
                <w:u w:val="none"/>
                <w:lang w:val="en-US" w:eastAsia="zh-CN" w:bidi="ar-SA"/>
              </w:rPr>
            </w:pPr>
          </w:p>
        </w:tc>
      </w:tr>
      <w:tr w14:paraId="4072A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380" w:hRule="atLeast"/>
        </w:trPr>
        <w:tc>
          <w:tcPr>
            <w:tcW w:w="225"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446443">
            <w:pPr>
              <w:keepNext w:val="0"/>
              <w:keepLines w:val="0"/>
              <w:widowControl/>
              <w:suppressLineNumbers w:val="0"/>
              <w:jc w:val="center"/>
              <w:textAlignment w:val="center"/>
              <w:rPr>
                <w:rFonts w:hint="eastAsia"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14</w:t>
            </w:r>
          </w:p>
        </w:tc>
        <w:tc>
          <w:tcPr>
            <w:tcW w:w="317"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546F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对城镇供水、用水等行为的行政检查</w:t>
            </w:r>
          </w:p>
        </w:tc>
        <w:tc>
          <w:tcPr>
            <w:tcW w:w="1712"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7EF45C">
            <w:pPr>
              <w:keepNext w:val="0"/>
              <w:keepLines w:val="0"/>
              <w:pageBreakBefore w:val="0"/>
              <w:widowControl/>
              <w:suppressLineNumbers w:val="0"/>
              <w:kinsoku/>
              <w:wordWrap/>
              <w:overflowPunct/>
              <w:topLinePunct w:val="0"/>
              <w:autoSpaceDE/>
              <w:autoSpaceDN/>
              <w:bidi w:val="0"/>
              <w:adjustRightInd/>
              <w:snapToGrid/>
              <w:spacing w:line="220" w:lineRule="exact"/>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《城市供水条例》第七条：省、自治区人民政府城市建设行政主管部门主管本行政区域内的城市供水工作。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县级以上城市人民政府确定的城市供水行政主管部门主管本行政区域内的城市供水工作。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《城市供水水质管理规定》第四条：省、自治区人民政府建设主管部门负责本行政区域内的城市供水水质监督管理工作。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直辖市、市、县人民政府确定的城市供水主管部门负责本行政区域内的城市供水水质监督管理工作。</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涉及生活饮用水的卫生监督管理，由县级以上人民政府建设、卫生主管部门按照《生活饮用水卫生监督管理办法》（建设部、卫生部令第53号）的规定分工负责。</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第十五条：省、自治区建设主管部门以及直辖市、市、县人民政府城市供水主管部门应当建立健全城市供水水质检查和督察制度，对本规定的执行情况进行监督检查。</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《节约用水条例》第四十三条第一款：县级以上人民政府水行政、住房城乡建设、市场监督管理等主管部门应当按照职责分工，加强对用水活动的监督检查，依法查处违法行为。</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河北省城镇供水用水管理办法》第五条第一款：省人民政府住房城乡建设主管部门负责全省城镇供水用水管理工作。设区的市、县（市）人民政府确定的城镇供水主管部门负责本行政区域内城镇供水用水管理工作。卫生健康、生态环境和水行政等其他有关部门按照职责分工，共同做好城镇供水用水相关工作。</w:t>
            </w:r>
          </w:p>
        </w:tc>
        <w:tc>
          <w:tcPr>
            <w:tcW w:w="351"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6AE4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省建设主管部门以及直辖市、市、县人民政府城市供水主管部门</w:t>
            </w:r>
          </w:p>
        </w:tc>
        <w:tc>
          <w:tcPr>
            <w:tcW w:w="274"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36D0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市级、县级</w:t>
            </w:r>
          </w:p>
        </w:tc>
        <w:tc>
          <w:tcPr>
            <w:tcW w:w="387" w:type="pc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EE136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市级或县级</w:t>
            </w:r>
          </w:p>
        </w:tc>
        <w:tc>
          <w:tcPr>
            <w:tcW w:w="1732"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FED4C">
            <w:pPr>
              <w:rPr>
                <w:rFonts w:hint="eastAsia" w:ascii="宋体" w:hAnsi="宋体" w:eastAsia="宋体" w:cs="宋体"/>
                <w:i w:val="0"/>
                <w:color w:val="000000"/>
                <w:sz w:val="22"/>
                <w:szCs w:val="22"/>
                <w:u w:val="none"/>
              </w:rPr>
            </w:pPr>
          </w:p>
        </w:tc>
      </w:tr>
    </w:tbl>
    <w:p w14:paraId="1E586DFF">
      <w:pPr>
        <w:keepNext w:val="0"/>
        <w:keepLines w:val="0"/>
        <w:pageBreakBefore w:val="0"/>
        <w:widowControl w:val="0"/>
        <w:kinsoku/>
        <w:wordWrap/>
        <w:overflowPunct/>
        <w:topLinePunct w:val="0"/>
        <w:autoSpaceDE/>
        <w:autoSpaceDN/>
        <w:bidi w:val="0"/>
        <w:adjustRightInd/>
        <w:snapToGrid/>
        <w:spacing w:line="578" w:lineRule="exact"/>
        <w:textAlignment w:val="auto"/>
        <w:rPr>
          <w:rFonts w:hint="eastAsia" w:ascii="宋体" w:hAnsi="宋体" w:eastAsia="仿宋_GB2312" w:cs="仿宋_GB2312"/>
          <w:sz w:val="32"/>
          <w:szCs w:val="32"/>
          <w:lang w:val="en-US" w:eastAsia="zh-CN"/>
        </w:rPr>
        <w:sectPr>
          <w:headerReference r:id="rId3" w:type="default"/>
          <w:pgSz w:w="16838" w:h="11906" w:orient="landscape"/>
          <w:pgMar w:top="1587" w:right="2098" w:bottom="1474" w:left="1984" w:header="851" w:footer="1587" w:gutter="0"/>
          <w:pgBorders>
            <w:top w:val="none" w:sz="0" w:space="0"/>
            <w:left w:val="none" w:sz="0" w:space="0"/>
            <w:bottom w:val="none" w:sz="0" w:space="0"/>
            <w:right w:val="none" w:sz="0" w:space="0"/>
          </w:pgBorders>
          <w:pgNumType w:fmt="decimal"/>
          <w:cols w:space="425" w:num="1"/>
          <w:docGrid w:type="lines" w:linePitch="312" w:charSpace="0"/>
        </w:sectPr>
      </w:pPr>
    </w:p>
    <w:p w14:paraId="2267E09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embedRegular r:id="rId1" w:fontKey="{7BB47A74-C8C9-47AD-A6C5-876258BCEAE7}"/>
  </w:font>
  <w:font w:name="方正小标宋简体">
    <w:panose1 w:val="02010600010101010101"/>
    <w:charset w:val="86"/>
    <w:family w:val="auto"/>
    <w:pitch w:val="default"/>
    <w:sig w:usb0="00000001" w:usb1="080E0000" w:usb2="00000000" w:usb3="00000000" w:csb0="00040000" w:csb1="00000000"/>
    <w:embedRegular r:id="rId2" w:fontKey="{AD348F1D-8FC7-47CF-B9D7-E8D32AA5C562}"/>
  </w:font>
  <w:font w:name="仿宋_GB2312">
    <w:altName w:val="仿宋"/>
    <w:panose1 w:val="02010609030101010101"/>
    <w:charset w:val="86"/>
    <w:family w:val="auto"/>
    <w:pitch w:val="default"/>
    <w:sig w:usb0="00000000" w:usb1="00000000" w:usb2="00000000" w:usb3="00000000" w:csb0="00040000" w:csb1="00000000"/>
    <w:embedRegular r:id="rId3" w:fontKey="{CFB9A15B-6CCA-4014-9039-496ADA4E7DD2}"/>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CBFFD">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-360045</wp:posOffset>
              </wp:positionH>
              <wp:positionV relativeFrom="paragraph">
                <wp:posOffset>501650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rot="5400000">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68015">
                          <w:pPr>
                            <w:rPr>
                              <w:rFonts w:hint="eastAsia"/>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8.35pt;margin-top:39.5pt;height:144pt;width:144pt;mso-position-horizontal-relative:margin;mso-wrap-style:none;rotation:5898240f;z-index:251659264;mso-width-relative:page;mso-height-relative:page;" filled="f" stroked="f" coordsize="21600,21600" o:gfxdata="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KyEyi2AAAAAoBAAAPAAAAAAAAAAEAIAAAACIAAABkcnMvZG93&#10;bnJldi54bWxQSwECFAAUAAAACACHTuJAkWAVmzkCAABvBAAADgAAAAAAAAABACAAAAAnAQAAZHJz&#10;L2Uyb0RvYy54bWxQSwUGAAAAAAYABgBZAQAA0gUAAAAA&#10;">
              <v:fill on="f" focussize="0,0"/>
              <v:stroke on="f" weight="0.5pt"/>
              <v:imagedata o:title=""/>
              <o:lock v:ext="edit" aspectratio="f"/>
              <v:textbox inset="0mm,0mm,0mm,0mm" style="mso-fit-shape-to-text:t;">
                <w:txbxContent>
                  <w:p w14:paraId="17868015">
                    <w:pPr>
                      <w:rPr>
                        <w:rFonts w:hint="eastAsia"/>
                        <w:lang w:eastAsia="zh-CN"/>
                      </w:rPr>
                    </w:pP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787253"/>
    <w:rsid w:val="03AA3610"/>
    <w:rsid w:val="0EF4A4DD"/>
    <w:rsid w:val="26AC77B3"/>
    <w:rsid w:val="283B0AFB"/>
    <w:rsid w:val="4BEFE34E"/>
    <w:rsid w:val="4F7F2F96"/>
    <w:rsid w:val="57A64639"/>
    <w:rsid w:val="5AD52A86"/>
    <w:rsid w:val="5FFF2BC2"/>
    <w:rsid w:val="6B4352AD"/>
    <w:rsid w:val="6B787253"/>
    <w:rsid w:val="7DAD68D5"/>
    <w:rsid w:val="7F3BA419"/>
    <w:rsid w:val="7FDF8D71"/>
    <w:rsid w:val="CFCE260C"/>
    <w:rsid w:val="DFFBBD98"/>
    <w:rsid w:val="E2BDA3F5"/>
    <w:rsid w:val="FDFBC462"/>
    <w:rsid w:val="FF7F13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99"/>
    <w:pPr>
      <w:spacing w:after="120"/>
      <w:ind w:left="420" w:leftChars="200"/>
    </w:p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Body Text First Indent 2"/>
    <w:basedOn w:val="2"/>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6464</Words>
  <Characters>6559</Characters>
  <Lines>0</Lines>
  <Paragraphs>0</Paragraphs>
  <TotalTime>20</TotalTime>
  <ScaleCrop>false</ScaleCrop>
  <LinksUpToDate>false</LinksUpToDate>
  <CharactersWithSpaces>6593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2025-05-14T07:13:00Z</dcterms:created>
  <dc:creator>Administrator</dc:creator>
  <cp:lastModifiedBy>北</cp:lastModifiedBy>
  <cp:lastPrinted>2025-08-08T01:48:00Z</cp:lastPrinted>
  <dcterms:modified xsi:type="dcterms:W3CDTF">2025-11-05T01:29:30Z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6C302A5BEA1A8B3FD8349C68E82E8100_43</vt:lpwstr>
  </property>
  <property fmtid="{D5CDD505-2E9C-101B-9397-08002B2CF9AE}" pid="4" name="KSOTemplateDocerSaveRecord">
    <vt:lpwstr>eyJoZGlkIjoiM2Y5NWU3MTkxNGE5NTRiMWRhN2I3OTNjZjE0MWJmNTIiLCJ1c2VySWQiOiI1NjU5NDI5NjEifQ==</vt:lpwstr>
  </property>
</Properties>
</file>