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上寨乡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第三十一次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跨部门“双随机、一公开”联合抽查</w:t>
      </w:r>
    </w:p>
    <w:p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实施方案</w:t>
      </w:r>
    </w:p>
    <w:p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为深入推进“双随机、一公开”监管与企业信用风险分级分类监管有机结合，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60"/>
          <w:sz w:val="32"/>
          <w:szCs w:val="32"/>
        </w:rPr>
        <w:t>提高双随机抽查的精准性和靶向性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6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根据《2025年石家庄市鹿泉区“双随机、一公开”监管工作实施方案》、</w:t>
      </w:r>
      <w:r>
        <w:rPr>
          <w:rFonts w:hint="eastAsia" w:ascii="仿宋_GB2312" w:hAnsi="仿宋_GB2312" w:eastAsia="仿宋_GB2312" w:cs="仿宋_GB2312"/>
          <w:spacing w:val="0"/>
          <w:w w:val="100"/>
          <w:sz w:val="32"/>
          <w:szCs w:val="32"/>
          <w:lang w:val="en-US" w:eastAsia="zh-CN"/>
        </w:rPr>
        <w:t>《石家庄市鹿泉区2025年度“双随机、一公开”抽查工作计划》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文件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决定组织开展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</w:t>
      </w:r>
      <w:r>
        <w:rPr>
          <w:rFonts w:hint="eastAsia" w:ascii="Calibri" w:hAnsi="Calibri" w:eastAsia="仿宋_GB2312" w:cs="仿宋_GB2312"/>
          <w:sz w:val="32"/>
          <w:szCs w:val="32"/>
          <w:lang w:eastAsia="zh-CN"/>
        </w:rPr>
        <w:t>第三十一次</w:t>
      </w:r>
      <w:r>
        <w:rPr>
          <w:rFonts w:hint="eastAsia" w:ascii="仿宋_GB2312" w:hAnsi="仿宋_GB2312" w:eastAsia="仿宋_GB2312" w:cs="仿宋_GB2312"/>
          <w:sz w:val="32"/>
          <w:szCs w:val="32"/>
        </w:rPr>
        <w:t>跨部门“双随机、一公开”联合抽查，特制定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78" w:lineRule="exact"/>
        <w:ind w:left="0" w:leftChars="0"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一、时间安排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78" w:lineRule="exact"/>
        <w:ind w:left="0" w:leftChars="0" w:firstLine="640"/>
        <w:textAlignment w:val="auto"/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11日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至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11月30日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78" w:lineRule="exact"/>
        <w:ind w:left="0" w:leftChars="0" w:firstLine="64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二、抽查事项内容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上寨乡人民政府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贯彻落实民族政策和有关法律法规监督检查；临时性建筑物搭建、堆放物料、占道施工审批后的监督检查；设置大型户外广告及城市建筑物、设施上悬挂、张贴宣传品的检查（城管局）；对违反《河北省清真食品管理条例》的监督检查；全省卫星电视广播地面接收设施管理工作监督检查；电影发行放映单位“双随机”抽查。</w:t>
      </w:r>
    </w:p>
    <w:p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区市场监管局：公示信息检查。</w:t>
      </w:r>
    </w:p>
    <w:p>
      <w:pPr>
        <w:pStyle w:val="2"/>
        <w:ind w:left="0" w:leftChars="0"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三、抽查</w:t>
      </w:r>
      <w:r>
        <w:rPr>
          <w:rFonts w:hint="eastAsia" w:ascii="黑体" w:hAnsi="黑体" w:eastAsia="黑体"/>
          <w:sz w:val="32"/>
          <w:szCs w:val="32"/>
          <w:lang w:eastAsia="zh-CN"/>
        </w:rPr>
        <w:t>对象</w:t>
      </w:r>
      <w:r>
        <w:rPr>
          <w:rFonts w:hint="eastAsia" w:ascii="黑体" w:hAnsi="黑体" w:eastAsia="黑体"/>
          <w:sz w:val="32"/>
          <w:szCs w:val="32"/>
        </w:rPr>
        <w:t>范围</w:t>
      </w:r>
      <w:r>
        <w:rPr>
          <w:rFonts w:hint="eastAsia" w:ascii="黑体" w:hAnsi="黑体" w:eastAsia="黑体"/>
          <w:sz w:val="32"/>
          <w:szCs w:val="32"/>
          <w:lang w:eastAsia="zh-CN"/>
        </w:rPr>
        <w:t>及比例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（一）抽查对象范围：辖区重点行业。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（二）抽取比例：按照信用风险分级分类等级抽取涉及行业共计不低于3%。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四、名单抽取及派发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(一)通过“河北省双随机执法监管平台”从检查对象名录库抽取确定被检查对象，由“河北省双随机执法监管平台”自动派发到各监管单位，由各单位的管理员在两个工作日内完成比对和确认。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(二)各监管单位通过“河北省双随机执法监管平台”对被检查对象进行认领，从执法人员名录库中随机抽取执法检查人员进行匹配编组。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（三）</w:t>
      </w:r>
      <w:r>
        <w:rPr>
          <w:rFonts w:hint="eastAsia" w:ascii="仿宋_GB2312" w:eastAsia="仿宋_GB2312"/>
          <w:color w:val="000000"/>
          <w:sz w:val="32"/>
          <w:szCs w:val="32"/>
        </w:rPr>
        <w:t>被检查对象和检查人员确定后，由“河北省双随机执法监管平台”随机匹配，自动生成一户企业一份随机抽查联合检查记录表(简称“一企一表”)，并自动派发到执法检查人员(可直接在APP端查看)，实施检查。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五、组织实施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_GB2312" w:hAnsi="楷体" w:eastAsia="楷体_GB2312"/>
          <w:sz w:val="32"/>
          <w:szCs w:val="32"/>
        </w:rPr>
        <w:t>（一）任务分工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本次联合抽查由</w:t>
      </w: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上寨乡人民政府</w:t>
      </w:r>
      <w:r>
        <w:rPr>
          <w:rFonts w:hint="eastAsia" w:ascii="仿宋_GB2312" w:eastAsia="仿宋_GB2312"/>
          <w:sz w:val="32"/>
          <w:szCs w:val="32"/>
          <w:lang w:eastAsia="zh-CN"/>
        </w:rPr>
        <w:t>牵头，纳入跨部门“双随机、一公开”联合抽查的区有关部门为：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区市场监管局。牵头单位和配合部门根据职能职责具体实施本次“双随机、一公开”联合抽查工作。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2.随机抽取的执法人员，无法独立完成专业抽查事项的，由执法检查人员所在部门选派专业人员协助指导完成工作。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3.分派的检查对象本级没有执法权的，由上级部门授权检查，没有对应检查人员的由市级选派人员参加区县检查组。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8" w:lineRule="exact"/>
        <w:ind w:firstLine="640"/>
        <w:textAlignment w:val="auto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_GB2312" w:hAnsi="楷体" w:eastAsia="楷体_GB2312"/>
          <w:sz w:val="32"/>
          <w:szCs w:val="32"/>
        </w:rPr>
        <w:t>（二）检查方式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1.现场检查一般采取信息比对、实地核查等方法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2.通知检查对象，电话通知或下达检查通知书，告知被检查对象检查内容及需要检查对象配合的事宜。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.对企业进行实地核查时，应当出示</w:t>
      </w:r>
      <w:r>
        <w:rPr>
          <w:rFonts w:hint="eastAsia" w:ascii="仿宋_GB2312" w:eastAsia="仿宋_GB2312"/>
          <w:sz w:val="32"/>
          <w:szCs w:val="32"/>
          <w:lang w:eastAsia="zh-CN"/>
        </w:rPr>
        <w:t>相应证件</w:t>
      </w:r>
      <w:r>
        <w:rPr>
          <w:rFonts w:hint="eastAsia" w:ascii="仿宋_GB2312" w:eastAsia="仿宋_GB2312"/>
          <w:sz w:val="32"/>
          <w:szCs w:val="32"/>
        </w:rPr>
        <w:t>，检查人员应当填写“一企一表”，并由被检查企业法定代表人签字</w:t>
      </w:r>
      <w:r>
        <w:rPr>
          <w:rFonts w:hint="eastAsia" w:ascii="仿宋_GB2312" w:eastAsia="仿宋_GB2312"/>
          <w:sz w:val="32"/>
          <w:szCs w:val="32"/>
          <w:lang w:eastAsia="zh-CN"/>
        </w:rPr>
        <w:t>或</w:t>
      </w:r>
      <w:r>
        <w:rPr>
          <w:rFonts w:hint="eastAsia" w:ascii="仿宋_GB2312" w:eastAsia="仿宋_GB2312"/>
          <w:sz w:val="32"/>
          <w:szCs w:val="32"/>
        </w:rPr>
        <w:t>盖章确认；被检查对象拒绝签字的应当在“一企一表”上如实记录</w:t>
      </w:r>
      <w:r>
        <w:rPr>
          <w:rFonts w:hint="eastAsia" w:ascii="仿宋_GB2312" w:eastAsia="仿宋_GB2312"/>
          <w:sz w:val="32"/>
          <w:szCs w:val="32"/>
          <w:lang w:eastAsia="zh-CN"/>
        </w:rPr>
        <w:t>；以上操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作可在“河北省双随机执法监管平台”手机APP上完成。</w:t>
      </w:r>
    </w:p>
    <w:p>
      <w:pPr>
        <w:spacing w:line="578" w:lineRule="exact"/>
        <w:ind w:firstLine="640" w:firstLineChars="200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_GB2312" w:hAnsi="楷体" w:eastAsia="楷体_GB2312"/>
          <w:sz w:val="32"/>
          <w:szCs w:val="32"/>
        </w:rPr>
        <w:t>（三）抽查结果公示</w:t>
      </w:r>
    </w:p>
    <w:p>
      <w:pPr>
        <w:autoSpaceDN w:val="0"/>
        <w:spacing w:line="578" w:lineRule="exact"/>
        <w:ind w:firstLine="640" w:firstLineChars="200"/>
        <w:rPr>
          <w:rFonts w:hint="eastAsia" w:ascii="仿宋_GB2312" w:hAnsi="仿宋_GB2312" w:eastAsia="仿宋_GB2312"/>
          <w:color w:val="222222"/>
          <w:sz w:val="32"/>
        </w:rPr>
      </w:pPr>
      <w:r>
        <w:rPr>
          <w:rFonts w:hint="eastAsia" w:ascii="仿宋_GB2312" w:hAnsi="仿宋_GB2312" w:eastAsia="仿宋_GB2312"/>
          <w:color w:val="222222"/>
          <w:sz w:val="32"/>
        </w:rPr>
        <w:t>执法检查人员要自完成“双随机、一公开”联合抽查工作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结束之日起</w:t>
      </w:r>
      <w:r>
        <w:rPr>
          <w:rFonts w:hint="eastAsia" w:ascii="仿宋_GB2312" w:hAnsi="仿宋_GB2312" w:eastAsia="仿宋_GB2312"/>
          <w:color w:val="222222"/>
          <w:sz w:val="32"/>
          <w:lang w:val="en-US" w:eastAsia="zh-CN"/>
        </w:rPr>
        <w:t>20</w:t>
      </w:r>
      <w:r>
        <w:rPr>
          <w:rFonts w:hint="eastAsia" w:ascii="仿宋_GB2312" w:hAnsi="仿宋_GB2312" w:eastAsia="仿宋_GB2312"/>
          <w:color w:val="222222"/>
          <w:sz w:val="32"/>
        </w:rPr>
        <w:t>个工作日内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，在</w:t>
      </w:r>
      <w:r>
        <w:rPr>
          <w:rFonts w:hint="eastAsia" w:ascii="仿宋_GB2312" w:hAnsi="仿宋_GB2312" w:eastAsia="仿宋_GB2312"/>
          <w:color w:val="222222"/>
          <w:sz w:val="32"/>
        </w:rPr>
        <w:t>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/>
          <w:color w:val="222222"/>
          <w:sz w:val="32"/>
        </w:rPr>
        <w:t>”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完成录入、审核</w:t>
      </w:r>
      <w:r>
        <w:rPr>
          <w:rFonts w:hint="eastAsia" w:ascii="仿宋_GB2312" w:hAnsi="仿宋_GB2312" w:eastAsia="仿宋_GB2312"/>
          <w:color w:val="222222"/>
          <w:sz w:val="32"/>
        </w:rPr>
        <w:t>，抽查结果由系统完成数据交换自动归集到市场主体名下，通过“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/>
          <w:color w:val="222222"/>
          <w:sz w:val="32"/>
        </w:rPr>
        <w:t>”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自动交换到</w:t>
      </w:r>
      <w:r>
        <w:rPr>
          <w:rFonts w:hint="eastAsia" w:ascii="仿宋_GB2312" w:hAnsi="仿宋_GB2312" w:eastAsia="仿宋_GB2312"/>
          <w:color w:val="222222"/>
          <w:sz w:val="32"/>
        </w:rPr>
        <w:t>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国家</w:t>
      </w:r>
      <w:r>
        <w:rPr>
          <w:rFonts w:hint="eastAsia" w:ascii="仿宋_GB2312" w:hAnsi="仿宋_GB2312" w:eastAsia="仿宋_GB2312"/>
          <w:color w:val="222222"/>
          <w:sz w:val="32"/>
        </w:rPr>
        <w:t>市场主</w:t>
      </w:r>
      <w:r>
        <w:rPr>
          <w:rFonts w:hint="eastAsia" w:ascii="仿宋_GB2312" w:hAnsi="仿宋_GB2312" w:eastAsia="仿宋_GB2312"/>
          <w:color w:val="222222"/>
          <w:sz w:val="32"/>
          <w:lang w:val="en-US" w:eastAsia="zh-CN"/>
        </w:rPr>
        <w:t>体信用信息公示系统”（河北）向社会公示。</w:t>
      </w:r>
    </w:p>
    <w:p>
      <w:pPr>
        <w:autoSpaceDN w:val="0"/>
        <w:spacing w:line="600" w:lineRule="exact"/>
        <w:ind w:firstLine="640"/>
        <w:rPr>
          <w:rFonts w:hint="eastAsia" w:ascii="楷体_GB2312" w:hAnsi="楷体_GB2312" w:eastAsia="楷体_GB2312" w:cs="楷体_GB2312"/>
          <w:color w:val="22222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222222"/>
          <w:sz w:val="32"/>
          <w:szCs w:val="32"/>
        </w:rPr>
        <w:t>（四）后续结果处置</w:t>
      </w:r>
    </w:p>
    <w:p>
      <w:p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</w:pP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各单位要根据职责和管辖权限，对检查中发现的违法线索，及时依法处理或移交有关部门，并在20</w:t>
      </w:r>
      <w:r>
        <w:rPr>
          <w:rFonts w:hint="eastAsia" w:ascii="仿宋_GB2312" w:hAnsi="仿宋_GB2312" w:eastAsia="仿宋_GB2312" w:cs="Times New Roman"/>
          <w:color w:val="222222"/>
          <w:sz w:val="32"/>
        </w:rPr>
        <w:t>个工作日内</w:t>
      </w: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将后续处置结果录入“</w:t>
      </w:r>
      <w:r>
        <w:rPr>
          <w:rFonts w:hint="eastAsia" w:ascii="仿宋_GB2312" w:hAnsi="仿宋_GB2312" w:eastAsia="仿宋_GB2312" w:cs="Times New Roman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”中“后续处置”模块，确保后续监管到位，形成监管闭环。</w:t>
      </w:r>
    </w:p>
    <w:p>
      <w:pPr>
        <w:spacing w:line="578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六、工作要求</w:t>
      </w:r>
    </w:p>
    <w:p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eastAsia="zh-CN" w:bidi="ar"/>
        </w:rPr>
        <w:t>（一）</w:t>
      </w: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明确工作职责，做好组织保障。</w:t>
      </w: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上寨乡人民政府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做好牵头工作;</w:t>
      </w:r>
      <w:r>
        <w:rPr>
          <w:rFonts w:hint="eastAsia" w:ascii="仿宋_GB2312" w:hAnsi="仿宋_GB2312" w:eastAsia="仿宋_GB2312" w:cs="仿宋_GB2312"/>
          <w:color w:val="000000"/>
          <w:sz w:val="32"/>
          <w:lang w:eastAsia="zh-CN" w:bidi="ar"/>
        </w:rPr>
        <w:t>区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有关部门要加强对本系统抽查任务的业务指导。进一步建立健全政府主导、市场监管部门牵头、各有关部门协调联动、统筹推进的工作机制，强化组织保障、机制保障、经费保障，确保各项措施有序推进。</w:t>
      </w:r>
    </w:p>
    <w:p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(二)周密制定计划，认真抓好落实。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各有关单位要按照</w:t>
      </w:r>
      <w:r>
        <w:rPr>
          <w:rFonts w:hint="eastAsia" w:ascii="仿宋_GB2312" w:hAnsi="仿宋_GB2312" w:eastAsia="仿宋_GB2312" w:cs="仿宋_GB2312"/>
          <w:color w:val="000000"/>
          <w:sz w:val="32"/>
          <w:lang w:eastAsia="zh-CN" w:bidi="ar"/>
        </w:rPr>
        <w:t>区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政府统一部署，积极筹划，精心组织，加强宣传，认真制定具体工作方案，按时完成各项检查工作。</w:t>
      </w:r>
    </w:p>
    <w:p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(三)落实“应联尽联”，提高检查效率。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牵头部门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 w:bidi="ar"/>
        </w:rPr>
        <w:t>的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检查人员负责组织协调管理，统一安排检查日程、检查方式，组织实施联合检查。其他检查人员应各司其职，配合、服从安排，分工协作完成检查任务，实现“进一次门、查多项事”，避免多头执法、重复检查,减轻企业负担。</w:t>
      </w:r>
    </w:p>
    <w:p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(四)寓监管于服务，减轻企业负担。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在联合抽查工作中，各有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 w:bidi="ar"/>
        </w:rPr>
        <w:t>五</w:t>
      </w: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)按时公示结果，促进信用监管。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联合抽查工作要做好检查结果的公示，严格按照《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 w:bidi="ar"/>
        </w:rPr>
        <w:t>2025年石家庄市鹿泉区“双随机、一公开”监管工作实施方案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》的要求，及时录入并公示检查结果。同时，对抽查中发现的问题依法依规处置，及时回填后续处理结果，形成完整闭环。</w:t>
      </w:r>
    </w:p>
    <w:p>
      <w:pPr>
        <w:suppressAutoHyphens/>
        <w:spacing w:line="578" w:lineRule="exact"/>
        <w:ind w:firstLine="640" w:firstLineChars="200"/>
        <w:rPr>
          <w:rFonts w:hint="eastAsia" w:ascii="仿宋_GB2312" w:hAnsi="Calibri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六</w:t>
      </w:r>
      <w:r>
        <w:rPr>
          <w:rFonts w:hint="eastAsia" w:ascii="楷体_GB2312" w:hAnsi="楷体_GB2312" w:eastAsia="楷体_GB2312" w:cs="楷体_GB2312"/>
          <w:sz w:val="32"/>
          <w:szCs w:val="32"/>
        </w:rPr>
        <w:t>）认真总结及时反馈情况。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各抽查部门要认真总结联合抽查中的经验做法及存在问题。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检查牵头部门汇总后</w:t>
      </w:r>
      <w:r>
        <w:rPr>
          <w:rFonts w:hint="eastAsia" w:ascii="仿宋_GB2312" w:hAnsi="仿宋_GB2312" w:eastAsia="仿宋_GB2312" w:cs="仿宋_GB2312"/>
          <w:sz w:val="32"/>
          <w:szCs w:val="32"/>
        </w:rPr>
        <w:t>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</w:t>
      </w:r>
      <w:r>
        <w:rPr>
          <w:rFonts w:hint="eastAsia" w:ascii="仿宋_GB2312" w:hAnsi="Calibri" w:eastAsia="仿宋_GB2312"/>
          <w:sz w:val="32"/>
          <w:szCs w:val="32"/>
        </w:rPr>
        <w:t>将加盖公章的总结、统计表报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区市场监管局</w:t>
      </w:r>
      <w:r>
        <w:rPr>
          <w:rFonts w:hint="eastAsia" w:ascii="仿宋_GB2312" w:hAnsi="Calibri" w:eastAsia="仿宋_GB2312"/>
          <w:sz w:val="32"/>
          <w:szCs w:val="32"/>
        </w:rPr>
        <w:t>。</w:t>
      </w:r>
    </w:p>
    <w:p>
      <w:pPr>
        <w:adjustRightInd w:val="0"/>
        <w:spacing w:line="578" w:lineRule="exact"/>
        <w:ind w:left="1918" w:leftChars="304" w:hanging="1280" w:hangingChars="4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附件：1.石家庄市鹿泉区</w:t>
      </w:r>
      <w:r>
        <w:rPr>
          <w:rFonts w:hint="eastAsia" w:ascii="仿宋_GB2312" w:eastAsia="仿宋_GB2312"/>
          <w:sz w:val="32"/>
          <w:szCs w:val="32"/>
          <w:lang w:eastAsia="zh-CN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eastAsia="zh-CN"/>
        </w:rPr>
        <w:t>第三十一次</w:t>
      </w:r>
      <w:r>
        <w:rPr>
          <w:rFonts w:hint="eastAsia" w:ascii="仿宋_GB2312" w:eastAsia="仿宋_GB2312"/>
          <w:sz w:val="32"/>
          <w:szCs w:val="32"/>
        </w:rPr>
        <w:t>跨部门“双随机、一公开”联合抽查情况统计表</w:t>
      </w:r>
    </w:p>
    <w:p>
      <w:pPr>
        <w:pStyle w:val="2"/>
        <w:ind w:firstLine="1280" w:firstLineChars="400"/>
        <w:rPr>
          <w:rFonts w:hint="eastAsia" w:eastAsia="仿宋_GB2312"/>
        </w:rPr>
      </w:pPr>
      <w:r>
        <w:rPr>
          <w:rFonts w:hint="eastAsia" w:ascii="仿宋_GB2312" w:eastAsia="仿宋_GB2312"/>
          <w:sz w:val="32"/>
          <w:szCs w:val="32"/>
        </w:rPr>
        <w:t>2.现场检查预先通知单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/>
    <w:p>
      <w:pPr>
        <w:pStyle w:val="4"/>
      </w:pPr>
    </w:p>
    <w:p/>
    <w:p>
      <w:pPr>
        <w:pStyle w:val="4"/>
      </w:pPr>
    </w:p>
    <w:p>
      <w:pPr>
        <w:adjustRightInd w:val="0"/>
        <w:spacing w:line="578" w:lineRule="exact"/>
        <w:rPr>
          <w:rFonts w:hint="eastAsia" w:ascii="仿宋_GB2312" w:eastAsia="仿宋_GB2312"/>
          <w:sz w:val="32"/>
          <w:szCs w:val="32"/>
        </w:rPr>
        <w:sectPr>
          <w:footerReference r:id="rId5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adjustRightInd w:val="0"/>
        <w:spacing w:line="578" w:lineRule="exact"/>
        <w:rPr>
          <w:rFonts w:hint="eastAsia" w:ascii="仿宋_GB2312" w:eastAsia="仿宋_GB2312"/>
          <w:sz w:val="32"/>
          <w:szCs w:val="32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-690880</wp:posOffset>
                </wp:positionH>
                <wp:positionV relativeFrom="paragraph">
                  <wp:posOffset>-19685</wp:posOffset>
                </wp:positionV>
                <wp:extent cx="476250" cy="1104265"/>
                <wp:effectExtent l="0" t="0" r="0" b="0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6250" cy="11042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54.4pt;margin-top:-1.55pt;height:86.95pt;width:37.5pt;z-index:-251657216;mso-width-relative:page;mso-height-relative:page;" filled="f" stroked="f" coordsize="21600,21600" o:gfxdata="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B6elAg2wAAAAsBAAAPAAAAAAAAAAEAIAAAACIAAABkcnMvZG93bnJldi54&#10;bWxQSwECFAAUAAAACACHTuJAKE2CEr4BAABnAwAADgAAAAAAAAABACAAAAAqAQAAZHJzL2Uyb0Rv&#10;Yy54bWxQSwUGAAAAAAYABgBZAQAAWgUAAAAA&#10;">
                <v:fill on="f" focussize="0,0"/>
                <v:stroke on="f"/>
                <v:imagedata o:title=""/>
                <o:lock v:ext="edit" aspectratio="f"/>
                <v:textbox style="layout-flow:vertical-ideographic;">
                  <w:txbxContent>
                    <w:p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</w:p>
    <w:p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第三十一次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跨部门“双随机、一公开”</w:t>
      </w:r>
    </w:p>
    <w:p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联合抽查情况统计表</w:t>
      </w:r>
    </w:p>
    <w:p>
      <w:pPr>
        <w:pStyle w:val="2"/>
        <w:rPr>
          <w:rFonts w:hint="eastAsia"/>
        </w:rPr>
      </w:pPr>
    </w:p>
    <w:tbl>
      <w:tblPr>
        <w:tblStyle w:val="6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随机抽查对象（户）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企业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/>
    <w:p>
      <w:pPr>
        <w:pStyle w:val="4"/>
        <w:sectPr>
          <w:pgSz w:w="16838" w:h="11906" w:orient="landscape"/>
          <w:pgMar w:top="1803" w:right="1440" w:bottom="1803" w:left="1440" w:header="851" w:footer="992" w:gutter="0"/>
          <w:cols w:space="0" w:num="1"/>
          <w:rtlGutter w:val="0"/>
          <w:docGrid w:type="lines" w:linePitch="319" w:charSpace="0"/>
        </w:sectPr>
      </w:pPr>
    </w:p>
    <w:p>
      <w:pPr>
        <w:adjustRightInd w:val="0"/>
        <w:spacing w:line="578" w:lineRule="exact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仿宋_GB2312" w:eastAsia="仿宋_GB2312"/>
          <w:sz w:val="32"/>
          <w:szCs w:val="32"/>
        </w:rPr>
        <w:t>附件2</w:t>
      </w:r>
    </w:p>
    <w:p>
      <w:pPr>
        <w:wordWrap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现场检查预先通知单</w:t>
      </w:r>
    </w:p>
    <w:p>
      <w:pPr>
        <w:pStyle w:val="2"/>
        <w:rPr>
          <w:rFonts w:hint="eastAsia"/>
        </w:rPr>
      </w:pPr>
    </w:p>
    <w:tbl>
      <w:tblPr>
        <w:tblStyle w:val="6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9"/>
        <w:gridCol w:w="67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抽查对象名称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309" w:type="dxa"/>
            <w:vAlign w:val="center"/>
          </w:tcPr>
          <w:p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是否适用</w:t>
            </w:r>
          </w:p>
          <w:p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是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预先通知时间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预先通知方式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电话通知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直接送达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预约检查时间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7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检查内容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8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被检查主体需要准备的材料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/>
    <w:sectPr>
      <w:pgSz w:w="11906" w:h="16838"/>
      <w:pgMar w:top="1440" w:right="1803" w:bottom="1440" w:left="1803" w:header="851" w:footer="992" w:gutter="0"/>
      <w:cols w:space="0" w:num="1"/>
      <w:rtlGutter w:val="0"/>
      <w:docGrid w:type="lines" w:linePitch="31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tabs>
        <w:tab w:val="left" w:pos="3335"/>
        <w:tab w:val="clear" w:pos="4153"/>
      </w:tabs>
      <w:rPr>
        <w:rFonts w:hint="eastAsia" w:ascii="宋体" w:hAnsi="宋体" w:cs="宋体"/>
        <w:sz w:val="28"/>
        <w:szCs w:val="28"/>
      </w:rPr>
    </w:pPr>
    <w:r>
      <w:rPr>
        <w:rFonts w:hint="eastAsia" w:ascii="宋体" w:hAnsi="宋体" w:cs="宋体"/>
        <w:sz w:val="28"/>
        <w:szCs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zql5uc8AAAAFAQAADwAAAAAAAAABACAAAAAiAAAAZHJzL2Rv&#10;d25yZXYueG1sUEsBAhQAFAAAAAgAh07iQFsh8nbRAQAAogMAAA4AAAAAAAAAAQAgAAAAHgEAAGRy&#10;cy9lMm9Eb2MueG1sUEsFBgAAAAAGAAYAWQEAAGE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3D6459"/>
    <w:rsid w:val="010D332B"/>
    <w:rsid w:val="090634DC"/>
    <w:rsid w:val="0E064473"/>
    <w:rsid w:val="163D6459"/>
    <w:rsid w:val="18B17F09"/>
    <w:rsid w:val="23747DCD"/>
    <w:rsid w:val="266635E2"/>
    <w:rsid w:val="3AC77972"/>
    <w:rsid w:val="41011502"/>
    <w:rsid w:val="4D697C63"/>
    <w:rsid w:val="63BC747E"/>
    <w:rsid w:val="6D2824B3"/>
    <w:rsid w:val="71FA478E"/>
    <w:rsid w:val="754602A3"/>
    <w:rsid w:val="7BBA6814"/>
    <w:rsid w:val="7DA52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2025-04-14T07:14:00Z</dcterms:created>
  <dc:creator>Lenovo</dc:creator>
  <cp:lastModifiedBy>SZH</cp:lastModifiedBy>
  <dcterms:modified xsi:type="dcterms:W3CDTF">2025-09-15T07:38:49Z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22DC2B93EDA647D9BE6F4104C8BC412D</vt:lpwstr>
  </property>
</Properties>
</file>