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一、石家庄市鹿泉区人民法院本级收支预算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一、石家庄市鹿泉区人民法院本级收支预算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161001石家庄市鹿泉区人民法院本级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328.52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328.52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328.52</w:t>
            </w:r>
          </w:p>
        </w:tc>
        <w:tc>
          <w:tcPr>
            <w:tcW w:w="4535" w:type="dxa"/>
            <w:vAlign w:val="center"/>
          </w:tcPr>
          <w:p>
            <w:pPr>
              <w:pStyle w:val="14"/>
            </w:pPr>
            <w:r>
              <w:t>本年支出合计</w:t>
            </w:r>
          </w:p>
        </w:tc>
        <w:tc>
          <w:tcPr>
            <w:tcW w:w="2126" w:type="dxa"/>
            <w:vAlign w:val="center"/>
          </w:tcPr>
          <w:p>
            <w:pPr>
              <w:pStyle w:val="15"/>
            </w:pPr>
            <w:r>
              <w:t>328.52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328.52</w:t>
            </w:r>
          </w:p>
        </w:tc>
        <w:tc>
          <w:tcPr>
            <w:tcW w:w="4535" w:type="dxa"/>
            <w:vAlign w:val="center"/>
          </w:tcPr>
          <w:p>
            <w:pPr>
              <w:pStyle w:val="14"/>
            </w:pPr>
            <w:r>
              <w:t>支出总计</w:t>
            </w:r>
          </w:p>
        </w:tc>
        <w:tc>
          <w:tcPr>
            <w:tcW w:w="2126" w:type="dxa"/>
            <w:vAlign w:val="center"/>
          </w:tcPr>
          <w:p>
            <w:pPr>
              <w:pStyle w:val="15"/>
            </w:pPr>
            <w:r>
              <w:t>328.52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161001石家庄市鹿泉区人民法院本级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328.52</w:t>
            </w:r>
          </w:p>
        </w:tc>
        <w:tc>
          <w:tcPr>
            <w:tcW w:w="1134" w:type="dxa"/>
            <w:vAlign w:val="center"/>
          </w:tcPr>
          <w:p>
            <w:pPr>
              <w:pStyle w:val="15"/>
            </w:pPr>
            <w:r>
              <w:t>328.52</w:t>
            </w:r>
          </w:p>
        </w:tc>
        <w:tc>
          <w:tcPr>
            <w:tcW w:w="1134" w:type="dxa"/>
            <w:vAlign w:val="center"/>
          </w:tcPr>
          <w:p>
            <w:pPr>
              <w:pStyle w:val="15"/>
            </w:pPr>
            <w:r>
              <w:t>328.52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328.52</w:t>
            </w:r>
          </w:p>
        </w:tc>
        <w:tc>
          <w:tcPr>
            <w:tcW w:w="1134" w:type="dxa"/>
            <w:vAlign w:val="center"/>
          </w:tcPr>
          <w:p>
            <w:pPr>
              <w:pStyle w:val="11"/>
            </w:pPr>
            <w:r>
              <w:t>328.52</w:t>
            </w:r>
          </w:p>
        </w:tc>
        <w:tc>
          <w:tcPr>
            <w:tcW w:w="1134" w:type="dxa"/>
            <w:vAlign w:val="center"/>
          </w:tcPr>
          <w:p>
            <w:pPr>
              <w:pStyle w:val="11"/>
            </w:pPr>
            <w:r>
              <w:t>328.52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20405</w:t>
            </w:r>
          </w:p>
        </w:tc>
        <w:tc>
          <w:tcPr>
            <w:tcW w:w="1559" w:type="dxa"/>
            <w:vAlign w:val="center"/>
          </w:tcPr>
          <w:p>
            <w:pPr>
              <w:pStyle w:val="12"/>
            </w:pPr>
            <w:r>
              <w:t>法院</w:t>
            </w:r>
          </w:p>
        </w:tc>
        <w:tc>
          <w:tcPr>
            <w:tcW w:w="1134" w:type="dxa"/>
            <w:vAlign w:val="center"/>
          </w:tcPr>
          <w:p>
            <w:pPr>
              <w:pStyle w:val="11"/>
            </w:pPr>
            <w:r>
              <w:t>328.52</w:t>
            </w:r>
          </w:p>
        </w:tc>
        <w:tc>
          <w:tcPr>
            <w:tcW w:w="1134" w:type="dxa"/>
            <w:vAlign w:val="center"/>
          </w:tcPr>
          <w:p>
            <w:pPr>
              <w:pStyle w:val="11"/>
            </w:pPr>
            <w:r>
              <w:t>328.52</w:t>
            </w:r>
          </w:p>
        </w:tc>
        <w:tc>
          <w:tcPr>
            <w:tcW w:w="1134" w:type="dxa"/>
            <w:vAlign w:val="center"/>
          </w:tcPr>
          <w:p>
            <w:pPr>
              <w:pStyle w:val="11"/>
            </w:pPr>
            <w:r>
              <w:t>328.52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2040502</w:t>
            </w:r>
          </w:p>
        </w:tc>
        <w:tc>
          <w:tcPr>
            <w:tcW w:w="1559" w:type="dxa"/>
            <w:vAlign w:val="center"/>
          </w:tcPr>
          <w:p>
            <w:pPr>
              <w:pStyle w:val="12"/>
            </w:pPr>
            <w:r>
              <w:t>一般行政管理事务</w:t>
            </w:r>
          </w:p>
        </w:tc>
        <w:tc>
          <w:tcPr>
            <w:tcW w:w="1134" w:type="dxa"/>
            <w:vAlign w:val="center"/>
          </w:tcPr>
          <w:p>
            <w:pPr>
              <w:pStyle w:val="11"/>
            </w:pPr>
            <w:r>
              <w:t>328.52</w:t>
            </w:r>
          </w:p>
        </w:tc>
        <w:tc>
          <w:tcPr>
            <w:tcW w:w="1134" w:type="dxa"/>
            <w:vAlign w:val="center"/>
          </w:tcPr>
          <w:p>
            <w:pPr>
              <w:pStyle w:val="11"/>
            </w:pPr>
            <w:r>
              <w:t>328.52</w:t>
            </w:r>
          </w:p>
        </w:tc>
        <w:tc>
          <w:tcPr>
            <w:tcW w:w="1134" w:type="dxa"/>
            <w:vAlign w:val="center"/>
          </w:tcPr>
          <w:p>
            <w:pPr>
              <w:pStyle w:val="11"/>
            </w:pPr>
            <w:r>
              <w:t>328.52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161001石家庄市鹿泉区人民法院本级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328.52</w:t>
            </w:r>
          </w:p>
        </w:tc>
        <w:tc>
          <w:tcPr>
            <w:tcW w:w="1361" w:type="dxa"/>
            <w:vAlign w:val="center"/>
          </w:tcPr>
          <w:p>
            <w:pPr>
              <w:pStyle w:val="15"/>
            </w:pPr>
          </w:p>
        </w:tc>
        <w:tc>
          <w:tcPr>
            <w:tcW w:w="1361" w:type="dxa"/>
            <w:vAlign w:val="center"/>
          </w:tcPr>
          <w:p>
            <w:pPr>
              <w:pStyle w:val="15"/>
            </w:pPr>
            <w:r>
              <w:t>328.52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328.52</w:t>
            </w:r>
          </w:p>
        </w:tc>
        <w:tc>
          <w:tcPr>
            <w:tcW w:w="1361" w:type="dxa"/>
            <w:vAlign w:val="center"/>
          </w:tcPr>
          <w:p>
            <w:pPr>
              <w:pStyle w:val="11"/>
            </w:pPr>
          </w:p>
        </w:tc>
        <w:tc>
          <w:tcPr>
            <w:tcW w:w="1361" w:type="dxa"/>
            <w:vAlign w:val="center"/>
          </w:tcPr>
          <w:p>
            <w:pPr>
              <w:pStyle w:val="11"/>
            </w:pPr>
            <w:r>
              <w:t>328.52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20405</w:t>
            </w:r>
          </w:p>
        </w:tc>
        <w:tc>
          <w:tcPr>
            <w:tcW w:w="4535" w:type="dxa"/>
            <w:vAlign w:val="center"/>
          </w:tcPr>
          <w:p>
            <w:pPr>
              <w:pStyle w:val="12"/>
            </w:pPr>
            <w:r>
              <w:t>法院</w:t>
            </w:r>
          </w:p>
        </w:tc>
        <w:tc>
          <w:tcPr>
            <w:tcW w:w="1361" w:type="dxa"/>
            <w:vAlign w:val="center"/>
          </w:tcPr>
          <w:p>
            <w:pPr>
              <w:pStyle w:val="11"/>
            </w:pPr>
            <w:r>
              <w:t>328.52</w:t>
            </w:r>
          </w:p>
        </w:tc>
        <w:tc>
          <w:tcPr>
            <w:tcW w:w="1361" w:type="dxa"/>
            <w:vAlign w:val="center"/>
          </w:tcPr>
          <w:p>
            <w:pPr>
              <w:pStyle w:val="11"/>
            </w:pPr>
          </w:p>
        </w:tc>
        <w:tc>
          <w:tcPr>
            <w:tcW w:w="1361" w:type="dxa"/>
            <w:vAlign w:val="center"/>
          </w:tcPr>
          <w:p>
            <w:pPr>
              <w:pStyle w:val="11"/>
            </w:pPr>
            <w:r>
              <w:t>328.52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2040502</w:t>
            </w:r>
          </w:p>
        </w:tc>
        <w:tc>
          <w:tcPr>
            <w:tcW w:w="4535" w:type="dxa"/>
            <w:vAlign w:val="center"/>
          </w:tcPr>
          <w:p>
            <w:pPr>
              <w:pStyle w:val="12"/>
            </w:pPr>
            <w:r>
              <w:t>一般行政管理事务</w:t>
            </w:r>
          </w:p>
        </w:tc>
        <w:tc>
          <w:tcPr>
            <w:tcW w:w="1361" w:type="dxa"/>
            <w:vAlign w:val="center"/>
          </w:tcPr>
          <w:p>
            <w:pPr>
              <w:pStyle w:val="11"/>
            </w:pPr>
            <w:r>
              <w:t>328.52</w:t>
            </w:r>
          </w:p>
        </w:tc>
        <w:tc>
          <w:tcPr>
            <w:tcW w:w="1361" w:type="dxa"/>
            <w:vAlign w:val="center"/>
          </w:tcPr>
          <w:p>
            <w:pPr>
              <w:pStyle w:val="11"/>
            </w:pPr>
          </w:p>
        </w:tc>
        <w:tc>
          <w:tcPr>
            <w:tcW w:w="1361" w:type="dxa"/>
            <w:vAlign w:val="center"/>
          </w:tcPr>
          <w:p>
            <w:pPr>
              <w:pStyle w:val="11"/>
            </w:pPr>
            <w:r>
              <w:t>328.52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161001石家庄市鹿泉区人民法院本级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328.52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328.52</w:t>
            </w:r>
          </w:p>
        </w:tc>
        <w:tc>
          <w:tcPr>
            <w:tcW w:w="1474" w:type="dxa"/>
            <w:vAlign w:val="center"/>
          </w:tcPr>
          <w:p>
            <w:pPr>
              <w:pStyle w:val="11"/>
            </w:pPr>
            <w:r>
              <w:t>328.52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328.52</w:t>
            </w:r>
          </w:p>
        </w:tc>
        <w:tc>
          <w:tcPr>
            <w:tcW w:w="3402" w:type="dxa"/>
            <w:vAlign w:val="center"/>
          </w:tcPr>
          <w:p>
            <w:pPr>
              <w:pStyle w:val="14"/>
            </w:pPr>
            <w:r>
              <w:t>本年支出合计</w:t>
            </w:r>
          </w:p>
        </w:tc>
        <w:tc>
          <w:tcPr>
            <w:tcW w:w="1474" w:type="dxa"/>
            <w:vAlign w:val="center"/>
          </w:tcPr>
          <w:p>
            <w:pPr>
              <w:pStyle w:val="15"/>
            </w:pPr>
            <w:r>
              <w:t>328.52</w:t>
            </w:r>
          </w:p>
        </w:tc>
        <w:tc>
          <w:tcPr>
            <w:tcW w:w="1474" w:type="dxa"/>
            <w:vAlign w:val="center"/>
          </w:tcPr>
          <w:p>
            <w:pPr>
              <w:pStyle w:val="15"/>
            </w:pPr>
            <w:r>
              <w:t>328.52</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328.52</w:t>
            </w:r>
          </w:p>
        </w:tc>
        <w:tc>
          <w:tcPr>
            <w:tcW w:w="3402" w:type="dxa"/>
            <w:vAlign w:val="center"/>
          </w:tcPr>
          <w:p>
            <w:pPr>
              <w:pStyle w:val="14"/>
            </w:pPr>
            <w:r>
              <w:t>支出总计</w:t>
            </w:r>
          </w:p>
        </w:tc>
        <w:tc>
          <w:tcPr>
            <w:tcW w:w="1474" w:type="dxa"/>
            <w:vAlign w:val="center"/>
          </w:tcPr>
          <w:p>
            <w:pPr>
              <w:pStyle w:val="15"/>
            </w:pPr>
            <w:r>
              <w:t>328.52</w:t>
            </w:r>
          </w:p>
        </w:tc>
        <w:tc>
          <w:tcPr>
            <w:tcW w:w="1474" w:type="dxa"/>
            <w:vAlign w:val="center"/>
          </w:tcPr>
          <w:p>
            <w:pPr>
              <w:pStyle w:val="15"/>
            </w:pPr>
            <w:r>
              <w:t>328.52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161001石家庄市鹿泉区人民法院本级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328.52</w:t>
            </w:r>
          </w:p>
        </w:tc>
        <w:tc>
          <w:tcPr>
            <w:tcW w:w="2551" w:type="dxa"/>
            <w:vAlign w:val="center"/>
          </w:tcPr>
          <w:p>
            <w:pPr>
              <w:pStyle w:val="15"/>
            </w:pPr>
          </w:p>
        </w:tc>
        <w:tc>
          <w:tcPr>
            <w:tcW w:w="2551" w:type="dxa"/>
            <w:vAlign w:val="center"/>
          </w:tcPr>
          <w:p>
            <w:pPr>
              <w:pStyle w:val="15"/>
            </w:pPr>
            <w:r>
              <w:t>328.52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328.52</w:t>
            </w:r>
          </w:p>
        </w:tc>
        <w:tc>
          <w:tcPr>
            <w:tcW w:w="2551" w:type="dxa"/>
            <w:vAlign w:val="center"/>
          </w:tcPr>
          <w:p>
            <w:pPr>
              <w:pStyle w:val="11"/>
            </w:pPr>
          </w:p>
        </w:tc>
        <w:tc>
          <w:tcPr>
            <w:tcW w:w="2551" w:type="dxa"/>
            <w:vAlign w:val="center"/>
          </w:tcPr>
          <w:p>
            <w:pPr>
              <w:pStyle w:val="11"/>
            </w:pPr>
            <w:r>
              <w:t>328.52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20405</w:t>
            </w:r>
          </w:p>
        </w:tc>
        <w:tc>
          <w:tcPr>
            <w:tcW w:w="4535" w:type="dxa"/>
            <w:vAlign w:val="center"/>
          </w:tcPr>
          <w:p>
            <w:pPr>
              <w:pStyle w:val="12"/>
            </w:pPr>
            <w:r>
              <w:t>法院</w:t>
            </w:r>
          </w:p>
        </w:tc>
        <w:tc>
          <w:tcPr>
            <w:tcW w:w="2551" w:type="dxa"/>
            <w:vAlign w:val="center"/>
          </w:tcPr>
          <w:p>
            <w:pPr>
              <w:pStyle w:val="11"/>
            </w:pPr>
            <w:r>
              <w:t>328.52</w:t>
            </w:r>
          </w:p>
        </w:tc>
        <w:tc>
          <w:tcPr>
            <w:tcW w:w="2551" w:type="dxa"/>
            <w:vAlign w:val="center"/>
          </w:tcPr>
          <w:p>
            <w:pPr>
              <w:pStyle w:val="11"/>
            </w:pPr>
          </w:p>
        </w:tc>
        <w:tc>
          <w:tcPr>
            <w:tcW w:w="2551" w:type="dxa"/>
            <w:vAlign w:val="center"/>
          </w:tcPr>
          <w:p>
            <w:pPr>
              <w:pStyle w:val="11"/>
            </w:pPr>
            <w:r>
              <w:t>328.52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2040502</w:t>
            </w:r>
          </w:p>
        </w:tc>
        <w:tc>
          <w:tcPr>
            <w:tcW w:w="4535" w:type="dxa"/>
            <w:vAlign w:val="center"/>
          </w:tcPr>
          <w:p>
            <w:pPr>
              <w:pStyle w:val="12"/>
            </w:pPr>
            <w:r>
              <w:t>一般行政管理事务</w:t>
            </w:r>
          </w:p>
        </w:tc>
        <w:tc>
          <w:tcPr>
            <w:tcW w:w="2551" w:type="dxa"/>
            <w:vAlign w:val="center"/>
          </w:tcPr>
          <w:p>
            <w:pPr>
              <w:pStyle w:val="11"/>
            </w:pPr>
            <w:r>
              <w:t>328.52</w:t>
            </w:r>
          </w:p>
        </w:tc>
        <w:tc>
          <w:tcPr>
            <w:tcW w:w="2551" w:type="dxa"/>
            <w:vAlign w:val="center"/>
          </w:tcPr>
          <w:p>
            <w:pPr>
              <w:pStyle w:val="11"/>
            </w:pPr>
          </w:p>
        </w:tc>
        <w:tc>
          <w:tcPr>
            <w:tcW w:w="2551" w:type="dxa"/>
            <w:vAlign w:val="center"/>
          </w:tcPr>
          <w:p>
            <w:pPr>
              <w:pStyle w:val="11"/>
            </w:pPr>
            <w:r>
              <w:t>328.52</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161001石家庄市鹿泉区人民法院本级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161001石家庄市鹿泉区人民法院本级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161001石家庄市鹿泉区人民法院本级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161001石家庄市鹿泉区人民法院本级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石家庄市鹿泉区人民法院本级2025年单位预算信息公开情况说明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按照《中华人民共和国预算法》、《地方预决算公开操作规程》和《关于进一步推进预算公开工作的实施意见》规定，现将石家庄市鹿泉区人民法院本级2025年单位预算公开如下：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keepNext w:val="0"/>
        <w:keepLines w:val="0"/>
        <w:widowControl/>
        <w:suppressLineNumbers w:val="0"/>
        <w:ind w:left="480" w:leftChars="200" w:firstLine="0" w:firstLineChars="0"/>
        <w:jc w:val="left"/>
      </w:pPr>
      <w:r>
        <w:rPr>
          <w:rFonts w:ascii="微软雅黑" w:hAnsi="微软雅黑" w:eastAsia="微软雅黑" w:cs="微软雅黑"/>
          <w:color w:val="000000"/>
          <w:kern w:val="0"/>
          <w:sz w:val="28"/>
          <w:szCs w:val="28"/>
          <w:lang w:val="en-US" w:eastAsia="zh-CN" w:bidi="ar"/>
        </w:rPr>
        <w:t>（一</w:t>
      </w:r>
      <w:r>
        <w:rPr>
          <w:rFonts w:hint="default" w:ascii="Times New Roman" w:hAnsi="Times New Roman" w:eastAsia="宋体" w:cs="Times New Roman"/>
          <w:color w:val="000000"/>
          <w:kern w:val="0"/>
          <w:sz w:val="28"/>
          <w:szCs w:val="28"/>
          <w:lang w:val="en-US" w:eastAsia="zh-CN" w:bidi="ar"/>
        </w:rPr>
        <w:t>)</w:t>
      </w:r>
      <w:r>
        <w:rPr>
          <w:rFonts w:hint="eastAsia" w:ascii="微软雅黑" w:hAnsi="微软雅黑" w:eastAsia="微软雅黑" w:cs="微软雅黑"/>
          <w:color w:val="000000"/>
          <w:kern w:val="0"/>
          <w:sz w:val="28"/>
          <w:szCs w:val="28"/>
          <w:lang w:val="en-US" w:eastAsia="zh-CN" w:bidi="ar"/>
        </w:rPr>
        <w:t xml:space="preserve">深入贯彻习近平新时代中国特色社会主义思想，深入贯彻党的路线方针政策和决策部署，坚持党对法院工作的绝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对领导，坚决维护习近平总书记的核心地位，坚决维护党中央权威和集中统一领导。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（二</w:t>
      </w:r>
      <w:r>
        <w:rPr>
          <w:rFonts w:hint="default" w:ascii="Times New Roman" w:hAnsi="Times New Roman" w:eastAsia="宋体" w:cs="Times New Roman"/>
          <w:color w:val="000000"/>
          <w:kern w:val="0"/>
          <w:sz w:val="28"/>
          <w:szCs w:val="28"/>
          <w:lang w:val="en-US" w:eastAsia="zh-CN" w:bidi="ar"/>
        </w:rPr>
        <w:t>)</w:t>
      </w:r>
      <w:r>
        <w:rPr>
          <w:rFonts w:hint="eastAsia" w:ascii="微软雅黑" w:hAnsi="微软雅黑" w:eastAsia="微软雅黑" w:cs="微软雅黑"/>
          <w:color w:val="000000"/>
          <w:kern w:val="0"/>
          <w:sz w:val="28"/>
          <w:szCs w:val="28"/>
          <w:lang w:val="en-US" w:eastAsia="zh-CN" w:bidi="ar"/>
        </w:rPr>
        <w:t xml:space="preserve">依法审判法律规定由鹿泉区人民法院管辖的刑事、民事、行政等第一审案件。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（三）依法审判上级人民法院指定、同级人民法院移送的刑事、民事、行政等第一审案件。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（四）审查和受理各类申诉案件，审判各类再审案件，处理来信来访。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（五）依法办理发生法律效力的民事、行政案件判决和裁定执行事项及刑事案件判决和裁定中关于财产部分的执行事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项；办理法律规定由基层人民法院执行的其他法律文书的执行事项。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（六）负责审判工作的调查研究，总结审判工作经验。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（七）负责干警思想政治教育和业务培训工作；按照权限管理法官和其他工作人员。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（八）管理有关经费及物资装备。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（九）负责司法鉴定、通讯、计算机等技术管理工作。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（十）负责审判工作中的法制宣传，教育公民忠于祖国，自觉遵守宪法、法律和社会公德。</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5669" w:type="dxa"/>
            <w:vAlign w:val="center"/>
          </w:tcPr>
          <w:p>
            <w:pPr>
              <w:pStyle w:val="12"/>
            </w:pPr>
            <w:r>
              <w:t>石家庄市鹿泉区人民法院本级</w:t>
            </w:r>
          </w:p>
        </w:tc>
        <w:tc>
          <w:tcPr>
            <w:tcW w:w="1843" w:type="dxa"/>
            <w:vAlign w:val="center"/>
          </w:tcPr>
          <w:p>
            <w:pPr>
              <w:pStyle w:val="13"/>
            </w:pPr>
            <w:r>
              <w:t>行政</w:t>
            </w:r>
          </w:p>
        </w:tc>
        <w:tc>
          <w:tcPr>
            <w:tcW w:w="2126" w:type="dxa"/>
            <w:vAlign w:val="center"/>
          </w:tcPr>
          <w:p>
            <w:pPr>
              <w:pStyle w:val="13"/>
            </w:pPr>
            <w:r>
              <w:t>正处（县）级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328.52万元，其中：一般公共预算收入328.52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人民法院本级年度单位预算中支出预算的总体情况。2025年支出预算328.52万元，其中基本支出0.00万元，包括人员经费0.00万元和日常公用经费0.00万元；项目支出328.52万元，主要为法律事务外包、案件送达费用、综合管廊维修改造等</w:t>
      </w:r>
    </w:p>
    <w:p>
      <w:pPr>
        <w:pStyle w:val="18"/>
      </w:pPr>
      <w:r>
        <w:t>3、比上年增减情况</w:t>
      </w:r>
    </w:p>
    <w:p>
      <w:pPr>
        <w:pStyle w:val="18"/>
      </w:pPr>
      <w:r>
        <w:t>2025年预算收支安排328.52万元，较2024年预算增加212.96万元，其中：基本支出增加0.00万元，主要为基本支出上划市级财政。项目支出增加212.96万元，主要为项目增加。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rPr>
          <w:rFonts w:hint="eastAsia"/>
          <w:lang w:eastAsia="zh-CN"/>
        </w:rPr>
      </w:pPr>
      <w:r>
        <w:t>2025年，我部门机关运行经费共计安排</w:t>
      </w:r>
      <w:r>
        <w:rPr>
          <w:rFonts w:hint="eastAsia"/>
          <w:lang w:val="en-US" w:eastAsia="zh-CN"/>
        </w:rPr>
        <w:t>0</w:t>
      </w:r>
      <w:r>
        <w:t>万元</w:t>
      </w:r>
      <w:r>
        <w:rPr>
          <w:rFonts w:hint="eastAsia"/>
          <w:lang w:eastAsia="zh-CN"/>
        </w:rPr>
        <w:t>。</w:t>
      </w:r>
    </w:p>
    <w:p>
      <w:pPr>
        <w:pStyle w:val="22"/>
        <w:rPr>
          <w:rFonts w:hint="eastAsia"/>
          <w:lang w:eastAsia="zh-CN"/>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3"/>
      </w:pPr>
      <w:r>
        <w:t>2025年，我单位财政拨款“三公”经费预算安排</w:t>
      </w:r>
      <w:r>
        <w:rPr>
          <w:rFonts w:hint="eastAsia"/>
          <w:lang w:val="en-US" w:eastAsia="zh-CN"/>
        </w:rPr>
        <w:t>0</w:t>
      </w:r>
      <w:r>
        <w:t>万元</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bookmarkStart w:id="1" w:name="_GoBack"/>
      <w:bookmarkEnd w:id="1"/>
    </w:p>
    <w:p>
      <w:pPr>
        <w:spacing w:before="0" w:after="0"/>
        <w:ind w:firstLine="560"/>
        <w:jc w:val="left"/>
        <w:outlineLvl w:val="9"/>
      </w:pPr>
      <w:r>
        <w:rPr>
          <w:rFonts w:ascii="方正仿宋_GBK" w:hAnsi="方正仿宋_GBK" w:eastAsia="方正仿宋_GBK" w:cs="方正仿宋_GBK"/>
          <w:b/>
          <w:color w:val="000000"/>
          <w:sz w:val="28"/>
        </w:rPr>
        <w:t>1、案件送达服务外包绩效目标表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13011025P00323010156R</w:t>
            </w:r>
          </w:p>
        </w:tc>
        <w:tc>
          <w:tcPr>
            <w:tcW w:w="2835" w:type="dxa"/>
            <w:vAlign w:val="center"/>
          </w:tcPr>
          <w:p>
            <w:pPr>
              <w:pStyle w:val="10"/>
            </w:pPr>
            <w:r>
              <w:t>项目名称</w:t>
            </w:r>
          </w:p>
        </w:tc>
        <w:tc>
          <w:tcPr>
            <w:tcW w:w="6095" w:type="dxa"/>
            <w:gridSpan w:val="3"/>
            <w:vAlign w:val="center"/>
          </w:tcPr>
          <w:p>
            <w:pPr>
              <w:pStyle w:val="12"/>
            </w:pPr>
            <w:r>
              <w:t>案件送达服务外包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59.00</w:t>
            </w:r>
          </w:p>
        </w:tc>
        <w:tc>
          <w:tcPr>
            <w:tcW w:w="2835" w:type="dxa"/>
            <w:vAlign w:val="center"/>
          </w:tcPr>
          <w:p>
            <w:pPr>
              <w:pStyle w:val="10"/>
            </w:pPr>
            <w:r>
              <w:t>其中：财政    资金</w:t>
            </w:r>
          </w:p>
        </w:tc>
        <w:tc>
          <w:tcPr>
            <w:tcW w:w="2551" w:type="dxa"/>
            <w:vAlign w:val="center"/>
          </w:tcPr>
          <w:p>
            <w:pPr>
              <w:pStyle w:val="12"/>
            </w:pPr>
            <w:r>
              <w:t>59.00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案件送达服务外包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1.促进案件送达率，提高结案率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服务案件数量</w:t>
            </w:r>
          </w:p>
        </w:tc>
        <w:tc>
          <w:tcPr>
            <w:tcW w:w="5386" w:type="dxa"/>
            <w:vAlign w:val="center"/>
          </w:tcPr>
          <w:p>
            <w:pPr>
              <w:pStyle w:val="12"/>
            </w:pPr>
            <w:r>
              <w:t>服务案件数量</w:t>
            </w:r>
          </w:p>
        </w:tc>
        <w:tc>
          <w:tcPr>
            <w:tcW w:w="2268" w:type="dxa"/>
            <w:vAlign w:val="center"/>
          </w:tcPr>
          <w:p>
            <w:pPr>
              <w:pStyle w:val="12"/>
            </w:pPr>
            <w:r>
              <w:t>≥17000件</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辅助人员年度考核率</w:t>
            </w:r>
          </w:p>
        </w:tc>
        <w:tc>
          <w:tcPr>
            <w:tcW w:w="5386" w:type="dxa"/>
            <w:vAlign w:val="center"/>
          </w:tcPr>
          <w:p>
            <w:pPr>
              <w:pStyle w:val="12"/>
            </w:pPr>
            <w:r>
              <w:t>辅助人员年度考核率</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送达及时率</w:t>
            </w:r>
          </w:p>
        </w:tc>
        <w:tc>
          <w:tcPr>
            <w:tcW w:w="5386" w:type="dxa"/>
            <w:vAlign w:val="center"/>
          </w:tcPr>
          <w:p>
            <w:pPr>
              <w:pStyle w:val="12"/>
            </w:pPr>
            <w:r>
              <w:t>送达及时率</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总支出成本</w:t>
            </w:r>
          </w:p>
        </w:tc>
        <w:tc>
          <w:tcPr>
            <w:tcW w:w="5386" w:type="dxa"/>
            <w:vAlign w:val="center"/>
          </w:tcPr>
          <w:p>
            <w:pPr>
              <w:pStyle w:val="12"/>
            </w:pPr>
            <w:r>
              <w:t>总支出成本</w:t>
            </w:r>
          </w:p>
        </w:tc>
        <w:tc>
          <w:tcPr>
            <w:tcW w:w="2268" w:type="dxa"/>
            <w:vAlign w:val="center"/>
          </w:tcPr>
          <w:p>
            <w:pPr>
              <w:pStyle w:val="12"/>
            </w:pPr>
            <w:r>
              <w:t>≤174.88万元</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进一步促进社会和谐</w:t>
            </w:r>
          </w:p>
        </w:tc>
        <w:tc>
          <w:tcPr>
            <w:tcW w:w="5386" w:type="dxa"/>
            <w:vAlign w:val="center"/>
          </w:tcPr>
          <w:p>
            <w:pPr>
              <w:pStyle w:val="12"/>
            </w:pPr>
            <w:r>
              <w:t>进一步促进社会和谐</w:t>
            </w:r>
          </w:p>
        </w:tc>
        <w:tc>
          <w:tcPr>
            <w:tcW w:w="2268" w:type="dxa"/>
            <w:vAlign w:val="center"/>
          </w:tcPr>
          <w:p>
            <w:pPr>
              <w:pStyle w:val="12"/>
            </w:pPr>
            <w:r>
              <w:t>较上年增长</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案件质量提高</w:t>
            </w:r>
          </w:p>
        </w:tc>
        <w:tc>
          <w:tcPr>
            <w:tcW w:w="5386" w:type="dxa"/>
            <w:vAlign w:val="center"/>
          </w:tcPr>
          <w:p>
            <w:pPr>
              <w:pStyle w:val="12"/>
            </w:pPr>
            <w:r>
              <w:t>案件质量提高</w:t>
            </w:r>
          </w:p>
        </w:tc>
        <w:tc>
          <w:tcPr>
            <w:tcW w:w="2268" w:type="dxa"/>
            <w:vAlign w:val="center"/>
          </w:tcPr>
          <w:p>
            <w:pPr>
              <w:pStyle w:val="12"/>
            </w:pPr>
            <w:r>
              <w:t>较上年提高</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2、派出法庭宜安修缮工程—电力部分绩效目标表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13011025P00323010154J</w:t>
            </w:r>
          </w:p>
        </w:tc>
        <w:tc>
          <w:tcPr>
            <w:tcW w:w="2835" w:type="dxa"/>
            <w:vAlign w:val="center"/>
          </w:tcPr>
          <w:p>
            <w:pPr>
              <w:pStyle w:val="10"/>
            </w:pPr>
            <w:r>
              <w:t>项目名称</w:t>
            </w:r>
          </w:p>
        </w:tc>
        <w:tc>
          <w:tcPr>
            <w:tcW w:w="6095" w:type="dxa"/>
            <w:gridSpan w:val="3"/>
            <w:vAlign w:val="center"/>
          </w:tcPr>
          <w:p>
            <w:pPr>
              <w:pStyle w:val="12"/>
            </w:pPr>
            <w:r>
              <w:t>派出法庭宜安修缮工程—电力部分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19.49</w:t>
            </w:r>
          </w:p>
        </w:tc>
        <w:tc>
          <w:tcPr>
            <w:tcW w:w="2835" w:type="dxa"/>
            <w:vAlign w:val="center"/>
          </w:tcPr>
          <w:p>
            <w:pPr>
              <w:pStyle w:val="10"/>
            </w:pPr>
            <w:r>
              <w:t>其中：财政    资金</w:t>
            </w:r>
          </w:p>
        </w:tc>
        <w:tc>
          <w:tcPr>
            <w:tcW w:w="2551" w:type="dxa"/>
            <w:vAlign w:val="center"/>
          </w:tcPr>
          <w:p>
            <w:pPr>
              <w:pStyle w:val="12"/>
            </w:pPr>
            <w:r>
              <w:t>19.49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电力改造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1.电力改造完成，正常办公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电力改造工程量</w:t>
            </w:r>
          </w:p>
        </w:tc>
        <w:tc>
          <w:tcPr>
            <w:tcW w:w="5386" w:type="dxa"/>
            <w:vAlign w:val="center"/>
          </w:tcPr>
          <w:p>
            <w:pPr>
              <w:pStyle w:val="12"/>
            </w:pPr>
            <w:r>
              <w:t>电力改造工程量</w:t>
            </w:r>
          </w:p>
        </w:tc>
        <w:tc>
          <w:tcPr>
            <w:tcW w:w="2268" w:type="dxa"/>
            <w:vAlign w:val="center"/>
          </w:tcPr>
          <w:p>
            <w:pPr>
              <w:pStyle w:val="12"/>
            </w:pPr>
            <w:r>
              <w:t>≥1套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工期完成率</w:t>
            </w:r>
          </w:p>
        </w:tc>
        <w:tc>
          <w:tcPr>
            <w:tcW w:w="5386" w:type="dxa"/>
            <w:vAlign w:val="center"/>
          </w:tcPr>
          <w:p>
            <w:pPr>
              <w:pStyle w:val="12"/>
            </w:pPr>
            <w:r>
              <w:t>工期完成率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工程按期完成时间</w:t>
            </w:r>
          </w:p>
        </w:tc>
        <w:tc>
          <w:tcPr>
            <w:tcW w:w="2268" w:type="dxa"/>
            <w:vAlign w:val="center"/>
          </w:tcPr>
          <w:p>
            <w:pPr>
              <w:pStyle w:val="12"/>
            </w:pPr>
            <w:r>
              <w:t>2022年12月31日前已完成</w:t>
            </w:r>
          </w:p>
        </w:tc>
        <w:tc>
          <w:tcPr>
            <w:tcW w:w="1276" w:type="dxa"/>
            <w:vAlign w:val="center"/>
          </w:tcPr>
          <w:p>
            <w:pPr>
              <w:pStyle w:val="12"/>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工程修缮成本</w:t>
            </w:r>
          </w:p>
        </w:tc>
        <w:tc>
          <w:tcPr>
            <w:tcW w:w="5386" w:type="dxa"/>
            <w:vAlign w:val="center"/>
          </w:tcPr>
          <w:p>
            <w:pPr>
              <w:pStyle w:val="12"/>
            </w:pPr>
            <w:r>
              <w:t>工程修缮成本</w:t>
            </w:r>
          </w:p>
        </w:tc>
        <w:tc>
          <w:tcPr>
            <w:tcW w:w="2268" w:type="dxa"/>
            <w:vAlign w:val="center"/>
          </w:tcPr>
          <w:p>
            <w:pPr>
              <w:pStyle w:val="12"/>
            </w:pPr>
            <w:r>
              <w:t>39.48万元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经济效益指标</w:t>
            </w:r>
          </w:p>
        </w:tc>
        <w:tc>
          <w:tcPr>
            <w:tcW w:w="5386" w:type="dxa"/>
            <w:vAlign w:val="center"/>
          </w:tcPr>
          <w:p>
            <w:pPr>
              <w:pStyle w:val="12"/>
            </w:pPr>
            <w:r>
              <w:t>保障电力基础供应，确保效益</w:t>
            </w:r>
          </w:p>
        </w:tc>
        <w:tc>
          <w:tcPr>
            <w:tcW w:w="2268" w:type="dxa"/>
            <w:vAlign w:val="center"/>
          </w:tcPr>
          <w:p>
            <w:pPr>
              <w:pStyle w:val="12"/>
            </w:pPr>
            <w:r>
              <w:t>法庭电力供应保障法院审判工作效率增强</w:t>
            </w:r>
          </w:p>
        </w:tc>
        <w:tc>
          <w:tcPr>
            <w:tcW w:w="1276" w:type="dxa"/>
            <w:vAlign w:val="center"/>
          </w:tcPr>
          <w:p>
            <w:pPr>
              <w:pStyle w:val="12"/>
            </w:pPr>
            <w:r>
              <w:t>行业规定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法院后期改造基础</w:t>
            </w:r>
          </w:p>
        </w:tc>
        <w:tc>
          <w:tcPr>
            <w:tcW w:w="5386" w:type="dxa"/>
            <w:vAlign w:val="center"/>
          </w:tcPr>
          <w:p>
            <w:pPr>
              <w:pStyle w:val="12"/>
            </w:pPr>
            <w:r>
              <w:t>确保派出法庭恢复项目如期进行</w:t>
            </w:r>
          </w:p>
        </w:tc>
        <w:tc>
          <w:tcPr>
            <w:tcW w:w="2268" w:type="dxa"/>
            <w:vAlign w:val="center"/>
          </w:tcPr>
          <w:p>
            <w:pPr>
              <w:pStyle w:val="12"/>
            </w:pPr>
            <w:r>
              <w:t>确保法庭正常开展审判工作</w:t>
            </w:r>
          </w:p>
        </w:tc>
        <w:tc>
          <w:tcPr>
            <w:tcW w:w="1276" w:type="dxa"/>
            <w:vAlign w:val="center"/>
          </w:tcPr>
          <w:p>
            <w:pPr>
              <w:pStyle w:val="12"/>
            </w:pPr>
            <w:r>
              <w:t>行业规定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3、石家庄市鹿泉区人民法院法律事务外包项目绩效目标表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13011025P00323010157D</w:t>
            </w:r>
          </w:p>
        </w:tc>
        <w:tc>
          <w:tcPr>
            <w:tcW w:w="2835" w:type="dxa"/>
            <w:vAlign w:val="center"/>
          </w:tcPr>
          <w:p>
            <w:pPr>
              <w:pStyle w:val="10"/>
            </w:pPr>
            <w:r>
              <w:t>项目名称</w:t>
            </w:r>
          </w:p>
        </w:tc>
        <w:tc>
          <w:tcPr>
            <w:tcW w:w="6095" w:type="dxa"/>
            <w:gridSpan w:val="3"/>
            <w:vAlign w:val="center"/>
          </w:tcPr>
          <w:p>
            <w:pPr>
              <w:pStyle w:val="12"/>
            </w:pPr>
            <w:r>
              <w:t>石家庄市鹿泉区人民法院法律事务外包项目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112.00</w:t>
            </w:r>
          </w:p>
        </w:tc>
        <w:tc>
          <w:tcPr>
            <w:tcW w:w="2835" w:type="dxa"/>
            <w:vAlign w:val="center"/>
          </w:tcPr>
          <w:p>
            <w:pPr>
              <w:pStyle w:val="10"/>
            </w:pPr>
            <w:r>
              <w:t>其中：财政    资金</w:t>
            </w:r>
          </w:p>
        </w:tc>
        <w:tc>
          <w:tcPr>
            <w:tcW w:w="2551" w:type="dxa"/>
            <w:vAlign w:val="center"/>
          </w:tcPr>
          <w:p>
            <w:pPr>
              <w:pStyle w:val="12"/>
            </w:pPr>
            <w:r>
              <w:t>112.00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法律事务外包费用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1.提高办案效率，提高结案率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服务案件数量</w:t>
            </w:r>
          </w:p>
        </w:tc>
        <w:tc>
          <w:tcPr>
            <w:tcW w:w="5386" w:type="dxa"/>
            <w:vAlign w:val="center"/>
          </w:tcPr>
          <w:p>
            <w:pPr>
              <w:pStyle w:val="12"/>
            </w:pPr>
            <w:r>
              <w:t>服务案件数量</w:t>
            </w:r>
          </w:p>
        </w:tc>
        <w:tc>
          <w:tcPr>
            <w:tcW w:w="2268" w:type="dxa"/>
            <w:vAlign w:val="center"/>
          </w:tcPr>
          <w:p>
            <w:pPr>
              <w:pStyle w:val="12"/>
            </w:pPr>
            <w:r>
              <w:t>≥15000件</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辅助人员年度考核率</w:t>
            </w:r>
          </w:p>
        </w:tc>
        <w:tc>
          <w:tcPr>
            <w:tcW w:w="5386" w:type="dxa"/>
            <w:vAlign w:val="center"/>
          </w:tcPr>
          <w:p>
            <w:pPr>
              <w:pStyle w:val="12"/>
            </w:pPr>
            <w:r>
              <w:t>辅助人员年度考核率</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送达及时率</w:t>
            </w:r>
          </w:p>
        </w:tc>
        <w:tc>
          <w:tcPr>
            <w:tcW w:w="5386" w:type="dxa"/>
            <w:vAlign w:val="center"/>
          </w:tcPr>
          <w:p>
            <w:pPr>
              <w:pStyle w:val="12"/>
            </w:pPr>
            <w:r>
              <w:t>送达及时率</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总支出成本</w:t>
            </w:r>
          </w:p>
        </w:tc>
        <w:tc>
          <w:tcPr>
            <w:tcW w:w="5386" w:type="dxa"/>
            <w:vAlign w:val="center"/>
          </w:tcPr>
          <w:p>
            <w:pPr>
              <w:pStyle w:val="12"/>
            </w:pPr>
            <w:r>
              <w:t>总支出成本</w:t>
            </w:r>
          </w:p>
        </w:tc>
        <w:tc>
          <w:tcPr>
            <w:tcW w:w="2268" w:type="dxa"/>
            <w:vAlign w:val="center"/>
          </w:tcPr>
          <w:p>
            <w:pPr>
              <w:pStyle w:val="12"/>
            </w:pPr>
            <w:r>
              <w:t>≤150万元</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进一步促进社会和谐</w:t>
            </w:r>
          </w:p>
        </w:tc>
        <w:tc>
          <w:tcPr>
            <w:tcW w:w="5386" w:type="dxa"/>
            <w:vAlign w:val="center"/>
          </w:tcPr>
          <w:p>
            <w:pPr>
              <w:pStyle w:val="12"/>
            </w:pPr>
            <w:r>
              <w:t>进一步促进社会和谐</w:t>
            </w:r>
          </w:p>
        </w:tc>
        <w:tc>
          <w:tcPr>
            <w:tcW w:w="2268" w:type="dxa"/>
            <w:vAlign w:val="center"/>
          </w:tcPr>
          <w:p>
            <w:pPr>
              <w:pStyle w:val="12"/>
            </w:pPr>
            <w:r>
              <w:t>较上年增长</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案件质量提高</w:t>
            </w:r>
          </w:p>
        </w:tc>
        <w:tc>
          <w:tcPr>
            <w:tcW w:w="5386" w:type="dxa"/>
            <w:vAlign w:val="center"/>
          </w:tcPr>
          <w:p>
            <w:pPr>
              <w:pStyle w:val="12"/>
            </w:pPr>
            <w:r>
              <w:t>案件质量提高</w:t>
            </w:r>
          </w:p>
        </w:tc>
        <w:tc>
          <w:tcPr>
            <w:tcW w:w="2268" w:type="dxa"/>
            <w:vAlign w:val="center"/>
          </w:tcPr>
          <w:p>
            <w:pPr>
              <w:pStyle w:val="12"/>
            </w:pPr>
            <w:r>
              <w:t>较上年提高</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4、石家庄市鹿泉区污水管网改造工程绩效目标表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13011025P003230101556</w:t>
            </w:r>
          </w:p>
        </w:tc>
        <w:tc>
          <w:tcPr>
            <w:tcW w:w="2835" w:type="dxa"/>
            <w:vAlign w:val="center"/>
          </w:tcPr>
          <w:p>
            <w:pPr>
              <w:pStyle w:val="10"/>
            </w:pPr>
            <w:r>
              <w:t>项目名称</w:t>
            </w:r>
          </w:p>
        </w:tc>
        <w:tc>
          <w:tcPr>
            <w:tcW w:w="6095" w:type="dxa"/>
            <w:gridSpan w:val="3"/>
            <w:vAlign w:val="center"/>
          </w:tcPr>
          <w:p>
            <w:pPr>
              <w:pStyle w:val="12"/>
            </w:pPr>
            <w:r>
              <w:t>石家庄市鹿泉区污水管网改造工程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20.58</w:t>
            </w:r>
          </w:p>
        </w:tc>
        <w:tc>
          <w:tcPr>
            <w:tcW w:w="2835" w:type="dxa"/>
            <w:vAlign w:val="center"/>
          </w:tcPr>
          <w:p>
            <w:pPr>
              <w:pStyle w:val="10"/>
            </w:pPr>
            <w:r>
              <w:t>其中：财政    资金</w:t>
            </w:r>
          </w:p>
        </w:tc>
        <w:tc>
          <w:tcPr>
            <w:tcW w:w="2551" w:type="dxa"/>
            <w:vAlign w:val="center"/>
          </w:tcPr>
          <w:p>
            <w:pPr>
              <w:pStyle w:val="12"/>
            </w:pPr>
            <w:r>
              <w:t>20.58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污水管网改造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1.完成污水管网改造，使污水排水顺畅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改造数量</w:t>
            </w:r>
          </w:p>
        </w:tc>
        <w:tc>
          <w:tcPr>
            <w:tcW w:w="5386" w:type="dxa"/>
            <w:vAlign w:val="center"/>
          </w:tcPr>
          <w:p>
            <w:pPr>
              <w:pStyle w:val="12"/>
            </w:pPr>
            <w:r>
              <w:t>改造污水管网数量</w:t>
            </w:r>
          </w:p>
        </w:tc>
        <w:tc>
          <w:tcPr>
            <w:tcW w:w="2268" w:type="dxa"/>
            <w:vAlign w:val="center"/>
          </w:tcPr>
          <w:p>
            <w:pPr>
              <w:pStyle w:val="12"/>
            </w:pPr>
            <w:r>
              <w:t>≥2条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按期完成的工程 量占总工程量的比率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工程完成时间</w:t>
            </w:r>
          </w:p>
        </w:tc>
        <w:tc>
          <w:tcPr>
            <w:tcW w:w="2268" w:type="dxa"/>
            <w:vAlign w:val="center"/>
          </w:tcPr>
          <w:p>
            <w:pPr>
              <w:pStyle w:val="12"/>
            </w:pPr>
            <w:r>
              <w:t>2024年5月31日前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改造成本</w:t>
            </w:r>
          </w:p>
        </w:tc>
        <w:tc>
          <w:tcPr>
            <w:tcW w:w="5386" w:type="dxa"/>
            <w:vAlign w:val="center"/>
          </w:tcPr>
          <w:p>
            <w:pPr>
              <w:pStyle w:val="12"/>
            </w:pPr>
            <w:r>
              <w:t>本项目改造总成本</w:t>
            </w:r>
          </w:p>
        </w:tc>
        <w:tc>
          <w:tcPr>
            <w:tcW w:w="2268" w:type="dxa"/>
            <w:vAlign w:val="center"/>
          </w:tcPr>
          <w:p>
            <w:pPr>
              <w:pStyle w:val="12"/>
            </w:pPr>
            <w:r>
              <w:t>≤98.6万元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污水处理</w:t>
            </w:r>
          </w:p>
        </w:tc>
        <w:tc>
          <w:tcPr>
            <w:tcW w:w="5386" w:type="dxa"/>
            <w:vAlign w:val="center"/>
          </w:tcPr>
          <w:p>
            <w:pPr>
              <w:pStyle w:val="12"/>
            </w:pPr>
            <w:r>
              <w:t>确保污水入管网</w:t>
            </w:r>
          </w:p>
        </w:tc>
        <w:tc>
          <w:tcPr>
            <w:tcW w:w="2268" w:type="dxa"/>
            <w:vAlign w:val="center"/>
          </w:tcPr>
          <w:p>
            <w:pPr>
              <w:pStyle w:val="12"/>
            </w:pPr>
            <w:r>
              <w:t>提高污水处理能力</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使用年限</w:t>
            </w:r>
          </w:p>
        </w:tc>
        <w:tc>
          <w:tcPr>
            <w:tcW w:w="5386" w:type="dxa"/>
            <w:vAlign w:val="center"/>
          </w:tcPr>
          <w:p>
            <w:pPr>
              <w:pStyle w:val="12"/>
            </w:pPr>
            <w:r>
              <w:t>本项目完成后使用年限</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本单位对此项目完成的满意度</w:t>
            </w:r>
          </w:p>
        </w:tc>
        <w:tc>
          <w:tcPr>
            <w:tcW w:w="2268" w:type="dxa"/>
            <w:vAlign w:val="center"/>
          </w:tcPr>
          <w:p>
            <w:pPr>
              <w:pStyle w:val="12"/>
            </w:pPr>
            <w:r>
              <w:t>≥98</w:t>
            </w:r>
          </w:p>
        </w:tc>
        <w:tc>
          <w:tcPr>
            <w:tcW w:w="1276" w:type="dxa"/>
            <w:vAlign w:val="center"/>
          </w:tcPr>
          <w:p>
            <w:pPr>
              <w:pStyle w:val="12"/>
            </w:pPr>
            <w:r>
              <w:t>%</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5、诉源治理经费绩效目标表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13011025P00323010159L</w:t>
            </w:r>
          </w:p>
        </w:tc>
        <w:tc>
          <w:tcPr>
            <w:tcW w:w="2835" w:type="dxa"/>
            <w:vAlign w:val="center"/>
          </w:tcPr>
          <w:p>
            <w:pPr>
              <w:pStyle w:val="10"/>
            </w:pPr>
            <w:r>
              <w:t>项目名称</w:t>
            </w:r>
          </w:p>
        </w:tc>
        <w:tc>
          <w:tcPr>
            <w:tcW w:w="6095" w:type="dxa"/>
            <w:gridSpan w:val="3"/>
            <w:vAlign w:val="center"/>
          </w:tcPr>
          <w:p>
            <w:pPr>
              <w:pStyle w:val="12"/>
            </w:pPr>
            <w:r>
              <w:t>诉源治理经费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诉源治理经费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1.诉源治理经费，使矛盾在源头化解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调解案件量</w:t>
            </w:r>
          </w:p>
        </w:tc>
        <w:tc>
          <w:tcPr>
            <w:tcW w:w="5386" w:type="dxa"/>
            <w:vAlign w:val="center"/>
          </w:tcPr>
          <w:p>
            <w:pPr>
              <w:pStyle w:val="12"/>
            </w:pPr>
            <w:r>
              <w:t>调解案件量</w:t>
            </w:r>
          </w:p>
        </w:tc>
        <w:tc>
          <w:tcPr>
            <w:tcW w:w="2268" w:type="dxa"/>
            <w:vAlign w:val="center"/>
          </w:tcPr>
          <w:p>
            <w:pPr>
              <w:pStyle w:val="12"/>
            </w:pPr>
            <w:r>
              <w:t>≥5000件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案件质量</w:t>
            </w:r>
          </w:p>
        </w:tc>
        <w:tc>
          <w:tcPr>
            <w:tcW w:w="5386" w:type="dxa"/>
            <w:vAlign w:val="center"/>
          </w:tcPr>
          <w:p>
            <w:pPr>
              <w:pStyle w:val="12"/>
            </w:pPr>
            <w:r>
              <w:t>调解案件成功率</w:t>
            </w:r>
          </w:p>
        </w:tc>
        <w:tc>
          <w:tcPr>
            <w:tcW w:w="2268" w:type="dxa"/>
            <w:vAlign w:val="center"/>
          </w:tcPr>
          <w:p>
            <w:pPr>
              <w:pStyle w:val="12"/>
            </w:pPr>
            <w:r>
              <w:t>≥70%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法定审限内结案率</w:t>
            </w:r>
          </w:p>
        </w:tc>
        <w:tc>
          <w:tcPr>
            <w:tcW w:w="5386" w:type="dxa"/>
            <w:vAlign w:val="center"/>
          </w:tcPr>
          <w:p>
            <w:pPr>
              <w:pStyle w:val="12"/>
            </w:pPr>
            <w:r>
              <w:t>法定审限内结案率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调解经费成本</w:t>
            </w:r>
          </w:p>
        </w:tc>
        <w:tc>
          <w:tcPr>
            <w:tcW w:w="5386" w:type="dxa"/>
            <w:vAlign w:val="center"/>
          </w:tcPr>
          <w:p>
            <w:pPr>
              <w:pStyle w:val="12"/>
            </w:pPr>
            <w:r>
              <w:t>调解经费成本</w:t>
            </w:r>
          </w:p>
        </w:tc>
        <w:tc>
          <w:tcPr>
            <w:tcW w:w="2268" w:type="dxa"/>
            <w:vAlign w:val="center"/>
          </w:tcPr>
          <w:p>
            <w:pPr>
              <w:pStyle w:val="12"/>
            </w:pPr>
            <w:r>
              <w:t>≤60万元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提高法院形象</w:t>
            </w:r>
          </w:p>
        </w:tc>
        <w:tc>
          <w:tcPr>
            <w:tcW w:w="5386" w:type="dxa"/>
            <w:vAlign w:val="center"/>
          </w:tcPr>
          <w:p>
            <w:pPr>
              <w:pStyle w:val="12"/>
            </w:pPr>
            <w:r>
              <w:t>提高法院形象</w:t>
            </w:r>
          </w:p>
        </w:tc>
        <w:tc>
          <w:tcPr>
            <w:tcW w:w="2268" w:type="dxa"/>
            <w:vAlign w:val="center"/>
          </w:tcPr>
          <w:p>
            <w:pPr>
              <w:pStyle w:val="12"/>
            </w:pPr>
            <w:r>
              <w:t>较以前年度显著提升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推进法治建设</w:t>
            </w:r>
          </w:p>
        </w:tc>
        <w:tc>
          <w:tcPr>
            <w:tcW w:w="5386" w:type="dxa"/>
            <w:vAlign w:val="center"/>
          </w:tcPr>
          <w:p>
            <w:pPr>
              <w:pStyle w:val="12"/>
            </w:pPr>
            <w:r>
              <w:t>推进法院审判质效提升</w:t>
            </w:r>
          </w:p>
        </w:tc>
        <w:tc>
          <w:tcPr>
            <w:tcW w:w="2268" w:type="dxa"/>
            <w:vAlign w:val="center"/>
          </w:tcPr>
          <w:p>
            <w:pPr>
              <w:pStyle w:val="12"/>
            </w:pPr>
            <w:r>
              <w:t>较以前年度显著提升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6、诉源治理宣传经费绩效目标表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13011025P003230101600</w:t>
            </w:r>
          </w:p>
        </w:tc>
        <w:tc>
          <w:tcPr>
            <w:tcW w:w="2835" w:type="dxa"/>
            <w:vAlign w:val="center"/>
          </w:tcPr>
          <w:p>
            <w:pPr>
              <w:pStyle w:val="10"/>
            </w:pPr>
            <w:r>
              <w:t>项目名称</w:t>
            </w:r>
          </w:p>
        </w:tc>
        <w:tc>
          <w:tcPr>
            <w:tcW w:w="6095" w:type="dxa"/>
            <w:gridSpan w:val="3"/>
            <w:vAlign w:val="center"/>
          </w:tcPr>
          <w:p>
            <w:pPr>
              <w:pStyle w:val="12"/>
            </w:pPr>
            <w:r>
              <w:t>诉源治理宣传经费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诉源治理宣传费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1.诉源治理宣传，形成点对点宣传，将矛盾化解到源头</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宣传次数</w:t>
            </w:r>
          </w:p>
        </w:tc>
        <w:tc>
          <w:tcPr>
            <w:tcW w:w="5386" w:type="dxa"/>
            <w:vAlign w:val="center"/>
          </w:tcPr>
          <w:p>
            <w:pPr>
              <w:pStyle w:val="12"/>
            </w:pPr>
            <w:r>
              <w:t>宣传次数</w:t>
            </w:r>
          </w:p>
        </w:tc>
        <w:tc>
          <w:tcPr>
            <w:tcW w:w="2268" w:type="dxa"/>
            <w:vAlign w:val="center"/>
          </w:tcPr>
          <w:p>
            <w:pPr>
              <w:pStyle w:val="12"/>
            </w:pPr>
            <w:r>
              <w:t>≥10次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案件质量</w:t>
            </w:r>
          </w:p>
        </w:tc>
        <w:tc>
          <w:tcPr>
            <w:tcW w:w="5386" w:type="dxa"/>
            <w:vAlign w:val="center"/>
          </w:tcPr>
          <w:p>
            <w:pPr>
              <w:pStyle w:val="12"/>
            </w:pPr>
            <w:r>
              <w:t>调解案件成功率</w:t>
            </w:r>
          </w:p>
        </w:tc>
        <w:tc>
          <w:tcPr>
            <w:tcW w:w="2268" w:type="dxa"/>
            <w:vAlign w:val="center"/>
          </w:tcPr>
          <w:p>
            <w:pPr>
              <w:pStyle w:val="12"/>
            </w:pPr>
            <w:r>
              <w:t>≥70%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法定审限内结案率</w:t>
            </w:r>
          </w:p>
        </w:tc>
        <w:tc>
          <w:tcPr>
            <w:tcW w:w="5386" w:type="dxa"/>
            <w:vAlign w:val="center"/>
          </w:tcPr>
          <w:p>
            <w:pPr>
              <w:pStyle w:val="12"/>
            </w:pPr>
            <w:r>
              <w:t>法定审限内结案率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调解经费成本</w:t>
            </w:r>
          </w:p>
        </w:tc>
        <w:tc>
          <w:tcPr>
            <w:tcW w:w="5386" w:type="dxa"/>
            <w:vAlign w:val="center"/>
          </w:tcPr>
          <w:p>
            <w:pPr>
              <w:pStyle w:val="12"/>
            </w:pPr>
            <w:r>
              <w:t>调解经费成本</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提高法院形象</w:t>
            </w:r>
          </w:p>
        </w:tc>
        <w:tc>
          <w:tcPr>
            <w:tcW w:w="5386" w:type="dxa"/>
            <w:vAlign w:val="center"/>
          </w:tcPr>
          <w:p>
            <w:pPr>
              <w:pStyle w:val="12"/>
            </w:pPr>
            <w:r>
              <w:t>提高法院形象</w:t>
            </w:r>
          </w:p>
        </w:tc>
        <w:tc>
          <w:tcPr>
            <w:tcW w:w="2268" w:type="dxa"/>
            <w:vAlign w:val="center"/>
          </w:tcPr>
          <w:p>
            <w:pPr>
              <w:pStyle w:val="12"/>
            </w:pPr>
            <w:r>
              <w:t>较以前年度显著提升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推进法治建设</w:t>
            </w:r>
          </w:p>
        </w:tc>
        <w:tc>
          <w:tcPr>
            <w:tcW w:w="5386" w:type="dxa"/>
            <w:vAlign w:val="center"/>
          </w:tcPr>
          <w:p>
            <w:pPr>
              <w:pStyle w:val="12"/>
            </w:pPr>
            <w:r>
              <w:t>推进法院审判质效提升</w:t>
            </w:r>
          </w:p>
        </w:tc>
        <w:tc>
          <w:tcPr>
            <w:tcW w:w="2268" w:type="dxa"/>
            <w:vAlign w:val="center"/>
          </w:tcPr>
          <w:p>
            <w:pPr>
              <w:pStyle w:val="12"/>
            </w:pPr>
            <w:r>
              <w:t>较以前年度显著提升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7、专职调解员经费绩效目标表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13011025P003230101581</w:t>
            </w:r>
          </w:p>
        </w:tc>
        <w:tc>
          <w:tcPr>
            <w:tcW w:w="2835" w:type="dxa"/>
            <w:vAlign w:val="center"/>
          </w:tcPr>
          <w:p>
            <w:pPr>
              <w:pStyle w:val="10"/>
            </w:pPr>
            <w:r>
              <w:t>项目名称</w:t>
            </w:r>
          </w:p>
        </w:tc>
        <w:tc>
          <w:tcPr>
            <w:tcW w:w="6095" w:type="dxa"/>
            <w:gridSpan w:val="3"/>
            <w:vAlign w:val="center"/>
          </w:tcPr>
          <w:p>
            <w:pPr>
              <w:pStyle w:val="12"/>
            </w:pPr>
            <w:r>
              <w:t>专职调解员经费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22.06</w:t>
            </w:r>
          </w:p>
        </w:tc>
        <w:tc>
          <w:tcPr>
            <w:tcW w:w="2835" w:type="dxa"/>
            <w:vAlign w:val="center"/>
          </w:tcPr>
          <w:p>
            <w:pPr>
              <w:pStyle w:val="10"/>
            </w:pPr>
            <w:r>
              <w:t>其中：财政    资金</w:t>
            </w:r>
          </w:p>
        </w:tc>
        <w:tc>
          <w:tcPr>
            <w:tcW w:w="2551" w:type="dxa"/>
            <w:vAlign w:val="center"/>
          </w:tcPr>
          <w:p>
            <w:pPr>
              <w:pStyle w:val="12"/>
            </w:pPr>
            <w:r>
              <w:t>22.06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专职调解员经费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1.专职调解员经费 基本工资2200元/月，以案定补800元/月，管理费30元/月，保险400元/年 ，共计22.056万元</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调解案件量</w:t>
            </w:r>
          </w:p>
        </w:tc>
        <w:tc>
          <w:tcPr>
            <w:tcW w:w="5386" w:type="dxa"/>
            <w:vAlign w:val="center"/>
          </w:tcPr>
          <w:p>
            <w:pPr>
              <w:pStyle w:val="12"/>
            </w:pPr>
            <w:r>
              <w:t>调解案件量</w:t>
            </w:r>
          </w:p>
        </w:tc>
        <w:tc>
          <w:tcPr>
            <w:tcW w:w="2268" w:type="dxa"/>
            <w:vAlign w:val="center"/>
          </w:tcPr>
          <w:p>
            <w:pPr>
              <w:pStyle w:val="12"/>
            </w:pPr>
            <w:r>
              <w:t>≥5件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案件质量</w:t>
            </w:r>
          </w:p>
        </w:tc>
        <w:tc>
          <w:tcPr>
            <w:tcW w:w="5386" w:type="dxa"/>
            <w:vAlign w:val="center"/>
          </w:tcPr>
          <w:p>
            <w:pPr>
              <w:pStyle w:val="12"/>
            </w:pPr>
            <w:r>
              <w:t>调解案件质量成功率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法定审限内结案率</w:t>
            </w:r>
          </w:p>
        </w:tc>
        <w:tc>
          <w:tcPr>
            <w:tcW w:w="5386" w:type="dxa"/>
            <w:vAlign w:val="center"/>
          </w:tcPr>
          <w:p>
            <w:pPr>
              <w:pStyle w:val="12"/>
            </w:pPr>
            <w:r>
              <w:t>法定审限内结案率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调解经费成本</w:t>
            </w:r>
          </w:p>
        </w:tc>
        <w:tc>
          <w:tcPr>
            <w:tcW w:w="5386" w:type="dxa"/>
            <w:vAlign w:val="center"/>
          </w:tcPr>
          <w:p>
            <w:pPr>
              <w:pStyle w:val="12"/>
            </w:pPr>
            <w:r>
              <w:t>调解经费成本</w:t>
            </w:r>
          </w:p>
        </w:tc>
        <w:tc>
          <w:tcPr>
            <w:tcW w:w="2268" w:type="dxa"/>
            <w:vAlign w:val="center"/>
          </w:tcPr>
          <w:p>
            <w:pPr>
              <w:pStyle w:val="12"/>
            </w:pPr>
            <w:r>
              <w:t>≤22.05元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推进法治建设</w:t>
            </w:r>
          </w:p>
        </w:tc>
        <w:tc>
          <w:tcPr>
            <w:tcW w:w="5386" w:type="dxa"/>
            <w:vAlign w:val="center"/>
          </w:tcPr>
          <w:p>
            <w:pPr>
              <w:pStyle w:val="12"/>
            </w:pPr>
            <w:r>
              <w:t>推进法院审判质效提升</w:t>
            </w:r>
          </w:p>
        </w:tc>
        <w:tc>
          <w:tcPr>
            <w:tcW w:w="2268" w:type="dxa"/>
            <w:vAlign w:val="center"/>
          </w:tcPr>
          <w:p>
            <w:pPr>
              <w:pStyle w:val="12"/>
            </w:pPr>
            <w:r>
              <w:t>较以前年度显著提升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8、综合管廊维修改造绩效目标表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13011025P00323010153Y</w:t>
            </w:r>
          </w:p>
        </w:tc>
        <w:tc>
          <w:tcPr>
            <w:tcW w:w="2835" w:type="dxa"/>
            <w:vAlign w:val="center"/>
          </w:tcPr>
          <w:p>
            <w:pPr>
              <w:pStyle w:val="10"/>
            </w:pPr>
            <w:r>
              <w:t>项目名称</w:t>
            </w:r>
          </w:p>
        </w:tc>
        <w:tc>
          <w:tcPr>
            <w:tcW w:w="6095" w:type="dxa"/>
            <w:gridSpan w:val="3"/>
            <w:vAlign w:val="center"/>
          </w:tcPr>
          <w:p>
            <w:pPr>
              <w:pStyle w:val="12"/>
            </w:pPr>
            <w:r>
              <w:t>综合管廊维修改造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20.39</w:t>
            </w:r>
          </w:p>
        </w:tc>
        <w:tc>
          <w:tcPr>
            <w:tcW w:w="2835" w:type="dxa"/>
            <w:vAlign w:val="center"/>
          </w:tcPr>
          <w:p>
            <w:pPr>
              <w:pStyle w:val="10"/>
            </w:pPr>
            <w:r>
              <w:t>其中：财政    资金</w:t>
            </w:r>
          </w:p>
        </w:tc>
        <w:tc>
          <w:tcPr>
            <w:tcW w:w="2551" w:type="dxa"/>
            <w:vAlign w:val="center"/>
          </w:tcPr>
          <w:p>
            <w:pPr>
              <w:pStyle w:val="12"/>
            </w:pPr>
            <w:r>
              <w:t>20.39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综合管廊改造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1.综合管廊维修改造完成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改造数量</w:t>
            </w:r>
          </w:p>
        </w:tc>
        <w:tc>
          <w:tcPr>
            <w:tcW w:w="5386" w:type="dxa"/>
            <w:vAlign w:val="center"/>
          </w:tcPr>
          <w:p>
            <w:pPr>
              <w:pStyle w:val="12"/>
            </w:pPr>
            <w:r>
              <w:t>改造污水管网数量</w:t>
            </w:r>
          </w:p>
        </w:tc>
        <w:tc>
          <w:tcPr>
            <w:tcW w:w="2268" w:type="dxa"/>
            <w:vAlign w:val="center"/>
          </w:tcPr>
          <w:p>
            <w:pPr>
              <w:pStyle w:val="12"/>
            </w:pPr>
            <w:r>
              <w:t>≥2条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按期完成的工程 量占总工程量的比率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工程完成时间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改造成本</w:t>
            </w:r>
          </w:p>
        </w:tc>
        <w:tc>
          <w:tcPr>
            <w:tcW w:w="5386" w:type="dxa"/>
            <w:vAlign w:val="center"/>
          </w:tcPr>
          <w:p>
            <w:pPr>
              <w:pStyle w:val="12"/>
            </w:pPr>
            <w:r>
              <w:t>本项目改造总成本</w:t>
            </w:r>
          </w:p>
        </w:tc>
        <w:tc>
          <w:tcPr>
            <w:tcW w:w="2268" w:type="dxa"/>
            <w:vAlign w:val="center"/>
          </w:tcPr>
          <w:p>
            <w:pPr>
              <w:pStyle w:val="12"/>
            </w:pPr>
            <w:r>
              <w:t>≤98.6万元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使用年限</w:t>
            </w:r>
          </w:p>
        </w:tc>
        <w:tc>
          <w:tcPr>
            <w:tcW w:w="5386" w:type="dxa"/>
            <w:vAlign w:val="center"/>
          </w:tcPr>
          <w:p>
            <w:pPr>
              <w:pStyle w:val="12"/>
            </w:pPr>
            <w:r>
              <w:t>本项目完成后使用年限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本单位对此项目完成的满意度</w:t>
            </w:r>
          </w:p>
        </w:tc>
        <w:tc>
          <w:tcPr>
            <w:tcW w:w="2268" w:type="dxa"/>
            <w:vAlign w:val="center"/>
          </w:tcPr>
          <w:p>
            <w:pPr>
              <w:pStyle w:val="12"/>
            </w:pPr>
            <w:r>
              <w:t>≥98</w:t>
            </w:r>
          </w:p>
        </w:tc>
        <w:tc>
          <w:tcPr>
            <w:tcW w:w="1276" w:type="dxa"/>
            <w:vAlign w:val="center"/>
          </w:tcPr>
          <w:p>
            <w:pPr>
              <w:pStyle w:val="12"/>
            </w:pPr>
            <w:r>
              <w:t>%</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161001石家庄市鹿泉区人民法院本级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石家庄市鹿泉区人民法院本级上年末固定资产金额为0.00万元（详见下表）。本年度拟购置固定资产总额为0.00万元，已按要求列入政府采购预算，详见政府采购预算表。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161001石家庄市鹿泉区人民法院本级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A4F21F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26</Pages>
  <TotalTime>1</TotalTime>
  <ScaleCrop>false</ScaleCrop>
  <LinksUpToDate>false</LinksUpToDate>
  <Application>WPS Office_11.8.2.8808_F1E327BC-269C-435d-A152-05C5408002CA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2025-09-12T09:27:00Z</dcterms:created>
  <dc:creator>CWS</dc:creator>
  <cp:lastModifiedBy>CWS</cp:lastModifiedBy>
  <dcterms:modified xsi:type="dcterms:W3CDTF">2025-09-12T01:47:58Z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2052-11.8.2.8808</vt:lpwstr>
  </property>
</Properties>
</file>