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71416">
      <w:pPr>
        <w:ind w:firstLine="1040"/>
        <w:jc w:val="center"/>
        <w:rPr>
          <w:rFonts w:eastAsia="仿宋_GB2312" w:cs="Times New Roman"/>
          <w:color w:val="000000" w:themeColor="text1"/>
          <w:sz w:val="52"/>
          <w:szCs w:val="52"/>
          <w:highlight w:val="none"/>
          <w14:textFill>
            <w14:solidFill>
              <w14:schemeClr w14:val="tx1"/>
            </w14:solidFill>
          </w14:textFill>
        </w:rPr>
      </w:pPr>
    </w:p>
    <w:p w14:paraId="5A985A49">
      <w:pPr>
        <w:ind w:firstLine="1040"/>
        <w:jc w:val="center"/>
        <w:rPr>
          <w:rFonts w:eastAsia="仿宋_GB2312" w:cs="Times New Roman"/>
          <w:color w:val="000000" w:themeColor="text1"/>
          <w:sz w:val="52"/>
          <w:szCs w:val="52"/>
          <w:highlight w:val="none"/>
          <w14:textFill>
            <w14:solidFill>
              <w14:schemeClr w14:val="tx1"/>
            </w14:solidFill>
          </w14:textFill>
        </w:rPr>
      </w:pPr>
    </w:p>
    <w:p w14:paraId="7939BE2D">
      <w:pPr>
        <w:spacing w:line="480" w:lineRule="auto"/>
        <w:ind w:firstLine="0" w:firstLineChars="0"/>
        <w:jc w:val="center"/>
        <w:rPr>
          <w:rFonts w:eastAsia="黑体" w:cs="Times New Roman"/>
          <w:b/>
          <w:bCs/>
          <w:color w:val="auto"/>
          <w:sz w:val="44"/>
          <w:szCs w:val="44"/>
          <w:highlight w:val="none"/>
        </w:rPr>
      </w:pPr>
      <w:bookmarkStart w:id="0" w:name="_Toc19760"/>
      <w:r>
        <w:rPr>
          <w:rFonts w:eastAsia="黑体" w:cs="Times New Roman"/>
          <w:b/>
          <w:bCs/>
          <w:color w:val="auto"/>
          <w:sz w:val="44"/>
          <w:szCs w:val="44"/>
          <w:highlight w:val="none"/>
        </w:rPr>
        <w:t>石家庄市鹿泉区国土空间</w:t>
      </w:r>
      <w:bookmarkEnd w:id="0"/>
    </w:p>
    <w:p w14:paraId="1B7F3E7B">
      <w:pPr>
        <w:spacing w:line="480" w:lineRule="auto"/>
        <w:ind w:firstLine="0" w:firstLineChars="0"/>
        <w:jc w:val="center"/>
        <w:rPr>
          <w:rFonts w:eastAsia="黑体" w:cs="Times New Roman"/>
          <w:b/>
          <w:bCs/>
          <w:color w:val="auto"/>
          <w:sz w:val="44"/>
          <w:szCs w:val="44"/>
          <w:highlight w:val="none"/>
        </w:rPr>
      </w:pPr>
      <w:r>
        <w:rPr>
          <w:rFonts w:eastAsia="黑体" w:cs="Times New Roman"/>
          <w:b/>
          <w:bCs/>
          <w:color w:val="auto"/>
          <w:sz w:val="44"/>
          <w:szCs w:val="44"/>
          <w:highlight w:val="none"/>
        </w:rPr>
        <w:t>生态修复规划（2021-2035年）</w:t>
      </w:r>
    </w:p>
    <w:p w14:paraId="7C8CB660">
      <w:pPr>
        <w:spacing w:line="480" w:lineRule="auto"/>
        <w:ind w:firstLine="0" w:firstLineChars="0"/>
        <w:jc w:val="center"/>
        <w:rPr>
          <w:rFonts w:eastAsia="黑体" w:cs="Times New Roman"/>
          <w:b/>
          <w:bCs/>
          <w:color w:val="auto"/>
          <w:sz w:val="44"/>
          <w:szCs w:val="44"/>
          <w:highlight w:val="none"/>
        </w:rPr>
      </w:pPr>
      <w:r>
        <w:rPr>
          <w:rFonts w:eastAsia="黑体" w:cs="Times New Roman"/>
          <w:b/>
          <w:bCs/>
          <w:color w:val="auto"/>
          <w:sz w:val="44"/>
          <w:szCs w:val="44"/>
          <w:highlight w:val="none"/>
        </w:rPr>
        <w:t>文本</w:t>
      </w:r>
    </w:p>
    <w:p w14:paraId="17F5F25E">
      <w:pPr>
        <w:ind w:firstLine="420"/>
        <w:jc w:val="left"/>
        <w:rPr>
          <w:rFonts w:eastAsia="黑体" w:cs="Times New Roman"/>
          <w:bCs/>
          <w:color w:val="000000" w:themeColor="text1"/>
          <w:sz w:val="28"/>
          <w:highlight w:val="none"/>
          <w14:textFill>
            <w14:solidFill>
              <w14:schemeClr w14:val="tx1"/>
            </w14:solidFill>
          </w14:textFill>
        </w:rPr>
      </w:pPr>
    </w:p>
    <w:p w14:paraId="43CD6894">
      <w:pPr>
        <w:ind w:firstLine="560"/>
        <w:jc w:val="left"/>
        <w:rPr>
          <w:rFonts w:eastAsia="黑体" w:cs="Times New Roman"/>
          <w:bCs/>
          <w:color w:val="000000" w:themeColor="text1"/>
          <w:sz w:val="28"/>
          <w:highlight w:val="none"/>
          <w14:textFill>
            <w14:solidFill>
              <w14:schemeClr w14:val="tx1"/>
            </w14:solidFill>
          </w14:textFill>
        </w:rPr>
      </w:pPr>
    </w:p>
    <w:p w14:paraId="10B87CB6">
      <w:pPr>
        <w:ind w:firstLine="560"/>
        <w:jc w:val="left"/>
        <w:rPr>
          <w:rFonts w:eastAsia="黑体" w:cs="Times New Roman"/>
          <w:bCs/>
          <w:color w:val="000000" w:themeColor="text1"/>
          <w:sz w:val="28"/>
          <w:highlight w:val="none"/>
          <w14:textFill>
            <w14:solidFill>
              <w14:schemeClr w14:val="tx1"/>
            </w14:solidFill>
          </w14:textFill>
        </w:rPr>
      </w:pPr>
    </w:p>
    <w:p w14:paraId="644E63B0">
      <w:pPr>
        <w:ind w:firstLine="560"/>
        <w:jc w:val="left"/>
        <w:rPr>
          <w:rFonts w:eastAsia="黑体" w:cs="Times New Roman"/>
          <w:bCs/>
          <w:color w:val="000000" w:themeColor="text1"/>
          <w:sz w:val="28"/>
          <w:highlight w:val="none"/>
          <w14:textFill>
            <w14:solidFill>
              <w14:schemeClr w14:val="tx1"/>
            </w14:solidFill>
          </w14:textFill>
        </w:rPr>
      </w:pPr>
    </w:p>
    <w:p w14:paraId="644A9CE2">
      <w:pPr>
        <w:pStyle w:val="98"/>
        <w:ind w:left="480"/>
        <w:rPr>
          <w:rFonts w:eastAsia="黑体" w:cs="Times New Roman"/>
          <w:bCs/>
          <w:color w:val="000000" w:themeColor="text1"/>
          <w:sz w:val="28"/>
          <w:highlight w:val="none"/>
          <w14:textFill>
            <w14:solidFill>
              <w14:schemeClr w14:val="tx1"/>
            </w14:solidFill>
          </w14:textFill>
        </w:rPr>
      </w:pPr>
    </w:p>
    <w:p w14:paraId="0771F698">
      <w:pPr>
        <w:ind w:firstLine="480"/>
        <w:rPr>
          <w:rFonts w:eastAsia="黑体" w:cs="Times New Roman"/>
          <w:highlight w:val="none"/>
        </w:rPr>
      </w:pPr>
    </w:p>
    <w:p w14:paraId="31CAEC37">
      <w:pPr>
        <w:pStyle w:val="75"/>
        <w:ind w:left="480" w:firstLine="442"/>
        <w:rPr>
          <w:rFonts w:ascii="Times New Roman" w:hAnsi="Times New Roman" w:eastAsia="黑体" w:cs="Times New Roman"/>
          <w:color w:val="000000" w:themeColor="text1"/>
          <w:highlight w:val="none"/>
          <w14:textFill>
            <w14:solidFill>
              <w14:schemeClr w14:val="tx1"/>
            </w14:solidFill>
          </w14:textFill>
        </w:rPr>
      </w:pPr>
    </w:p>
    <w:p w14:paraId="01BE1BBF">
      <w:pPr>
        <w:ind w:firstLine="480"/>
        <w:rPr>
          <w:rFonts w:eastAsia="黑体" w:cs="Times New Roman"/>
          <w:color w:val="000000" w:themeColor="text1"/>
          <w:highlight w:val="none"/>
          <w14:textFill>
            <w14:solidFill>
              <w14:schemeClr w14:val="tx1"/>
            </w14:solidFill>
          </w14:textFill>
        </w:rPr>
      </w:pPr>
    </w:p>
    <w:p w14:paraId="51EEA842">
      <w:pPr>
        <w:ind w:firstLine="480"/>
        <w:rPr>
          <w:rFonts w:eastAsia="黑体" w:cs="Times New Roman"/>
          <w:color w:val="000000" w:themeColor="text1"/>
          <w:highlight w:val="none"/>
          <w14:textFill>
            <w14:solidFill>
              <w14:schemeClr w14:val="tx1"/>
            </w14:solidFill>
          </w14:textFill>
        </w:rPr>
      </w:pPr>
    </w:p>
    <w:p w14:paraId="6A5344B9">
      <w:pPr>
        <w:pStyle w:val="75"/>
        <w:ind w:left="480" w:firstLine="442"/>
        <w:rPr>
          <w:rFonts w:ascii="Times New Roman" w:hAnsi="Times New Roman" w:eastAsia="黑体" w:cs="Times New Roman"/>
          <w:color w:val="000000" w:themeColor="text1"/>
          <w:highlight w:val="none"/>
          <w14:textFill>
            <w14:solidFill>
              <w14:schemeClr w14:val="tx1"/>
            </w14:solidFill>
          </w14:textFill>
        </w:rPr>
      </w:pPr>
    </w:p>
    <w:p w14:paraId="086BF97D">
      <w:pPr>
        <w:ind w:firstLine="480"/>
        <w:rPr>
          <w:rFonts w:eastAsia="黑体" w:cs="Times New Roman"/>
          <w:color w:val="000000" w:themeColor="text1"/>
          <w:highlight w:val="none"/>
          <w14:textFill>
            <w14:solidFill>
              <w14:schemeClr w14:val="tx1"/>
            </w14:solidFill>
          </w14:textFill>
        </w:rPr>
      </w:pPr>
    </w:p>
    <w:p w14:paraId="34208575">
      <w:pPr>
        <w:pStyle w:val="75"/>
        <w:ind w:left="480" w:firstLine="442"/>
        <w:rPr>
          <w:rFonts w:ascii="Times New Roman" w:hAnsi="Times New Roman" w:eastAsia="黑体" w:cs="Times New Roman"/>
          <w:color w:val="000000" w:themeColor="text1"/>
          <w:highlight w:val="none"/>
          <w14:textFill>
            <w14:solidFill>
              <w14:schemeClr w14:val="tx1"/>
            </w14:solidFill>
          </w14:textFill>
        </w:rPr>
      </w:pPr>
    </w:p>
    <w:p w14:paraId="6E5050EB">
      <w:pPr>
        <w:ind w:firstLine="560"/>
        <w:jc w:val="left"/>
        <w:rPr>
          <w:rFonts w:eastAsia="黑体" w:cs="Times New Roman"/>
          <w:bCs/>
          <w:color w:val="000000" w:themeColor="text1"/>
          <w:sz w:val="28"/>
          <w:highlight w:val="none"/>
          <w14:textFill>
            <w14:solidFill>
              <w14:schemeClr w14:val="tx1"/>
            </w14:solidFill>
          </w14:textFill>
        </w:rPr>
      </w:pPr>
    </w:p>
    <w:p w14:paraId="304A515B">
      <w:pPr>
        <w:ind w:firstLine="0" w:firstLineChars="0"/>
        <w:jc w:val="center"/>
        <w:rPr>
          <w:rFonts w:eastAsia="黑体" w:cs="Times New Roman"/>
          <w:b/>
          <w:bCs/>
          <w:color w:val="000000" w:themeColor="text1"/>
          <w:sz w:val="32"/>
          <w:szCs w:val="32"/>
          <w:highlight w:val="none"/>
          <w14:textFill>
            <w14:solidFill>
              <w14:schemeClr w14:val="tx1"/>
            </w14:solidFill>
          </w14:textFill>
        </w:rPr>
      </w:pPr>
      <w:bookmarkStart w:id="1" w:name="_Toc26057"/>
      <w:r>
        <w:rPr>
          <w:rFonts w:eastAsia="黑体" w:cs="Times New Roman"/>
          <w:b/>
          <w:bCs/>
          <w:color w:val="000000" w:themeColor="text1"/>
          <w:sz w:val="32"/>
          <w:szCs w:val="32"/>
          <w:highlight w:val="none"/>
          <w14:textFill>
            <w14:solidFill>
              <w14:schemeClr w14:val="tx1"/>
            </w14:solidFill>
          </w14:textFill>
        </w:rPr>
        <w:t>石家庄市自然资源和规划局鹿泉分局</w:t>
      </w:r>
      <w:bookmarkEnd w:id="1"/>
    </w:p>
    <w:p w14:paraId="425594BA">
      <w:pPr>
        <w:ind w:firstLine="0" w:firstLineChars="0"/>
        <w:jc w:val="center"/>
        <w:rPr>
          <w:rFonts w:eastAsia="黑体" w:cs="Times New Roman"/>
          <w:b/>
          <w:bCs/>
          <w:color w:val="auto"/>
          <w:sz w:val="32"/>
          <w:highlight w:val="none"/>
        </w:rPr>
      </w:pPr>
      <w:r>
        <w:rPr>
          <w:rFonts w:eastAsia="黑体" w:cs="Times New Roman"/>
          <w:b/>
          <w:bCs/>
          <w:color w:val="auto"/>
          <w:sz w:val="32"/>
          <w:szCs w:val="32"/>
          <w:highlight w:val="none"/>
        </w:rPr>
        <w:t>二〇二</w:t>
      </w:r>
      <w:r>
        <w:rPr>
          <w:rFonts w:hint="eastAsia" w:eastAsia="黑体" w:cs="Times New Roman"/>
          <w:b/>
          <w:bCs/>
          <w:color w:val="auto"/>
          <w:sz w:val="32"/>
          <w:szCs w:val="32"/>
          <w:highlight w:val="none"/>
          <w:lang w:val="en-US" w:eastAsia="zh-CN"/>
        </w:rPr>
        <w:t>五</w:t>
      </w:r>
      <w:r>
        <w:rPr>
          <w:rFonts w:eastAsia="黑体" w:cs="Times New Roman"/>
          <w:b/>
          <w:bCs/>
          <w:color w:val="auto"/>
          <w:sz w:val="32"/>
          <w:szCs w:val="32"/>
          <w:highlight w:val="none"/>
        </w:rPr>
        <w:t>年</w:t>
      </w:r>
      <w:r>
        <w:rPr>
          <w:rFonts w:hint="eastAsia" w:eastAsia="黑体" w:cs="Times New Roman"/>
          <w:b/>
          <w:bCs/>
          <w:color w:val="auto"/>
          <w:sz w:val="32"/>
          <w:szCs w:val="32"/>
          <w:highlight w:val="none"/>
          <w:lang w:val="en-US" w:eastAsia="zh-CN"/>
        </w:rPr>
        <w:t>四</w:t>
      </w:r>
      <w:r>
        <w:rPr>
          <w:rFonts w:eastAsia="黑体" w:cs="Times New Roman"/>
          <w:b/>
          <w:bCs/>
          <w:color w:val="auto"/>
          <w:sz w:val="32"/>
          <w:szCs w:val="32"/>
          <w:highlight w:val="none"/>
        </w:rPr>
        <w:t>月</w:t>
      </w:r>
    </w:p>
    <w:p w14:paraId="26CDF9AB">
      <w:pPr>
        <w:spacing w:line="480" w:lineRule="auto"/>
        <w:ind w:right="-382" w:rightChars="-159" w:firstLine="720"/>
        <w:jc w:val="center"/>
        <w:rPr>
          <w:rFonts w:eastAsia="仿宋_GB2312" w:cs="Times New Roman"/>
          <w:color w:val="auto"/>
          <w:sz w:val="36"/>
          <w:szCs w:val="36"/>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p>
    <w:p w14:paraId="5718EAA8">
      <w:pPr>
        <w:keepNext w:val="0"/>
        <w:keepLines w:val="0"/>
        <w:pageBreakBefore w:val="0"/>
        <w:widowControl/>
        <w:kinsoku/>
        <w:wordWrap/>
        <w:overflowPunct/>
        <w:topLinePunct w:val="0"/>
        <w:autoSpaceDE/>
        <w:autoSpaceDN/>
        <w:bidi w:val="0"/>
        <w:adjustRightInd/>
        <w:snapToGrid/>
        <w:spacing w:line="480" w:lineRule="auto"/>
        <w:ind w:left="0" w:leftChars="0" w:right="0" w:rightChars="0" w:firstLine="0" w:firstLineChars="0"/>
        <w:jc w:val="center"/>
        <w:textAlignment w:val="auto"/>
        <w:outlineLvl w:val="0"/>
        <w:rPr>
          <w:rFonts w:eastAsia="仿宋_GB2312" w:cs="Times New Roman"/>
          <w:b/>
          <w:bCs/>
          <w:color w:val="000000" w:themeColor="text1"/>
          <w:sz w:val="36"/>
          <w:szCs w:val="36"/>
          <w:highlight w:val="none"/>
          <w14:textFill>
            <w14:solidFill>
              <w14:schemeClr w14:val="tx1"/>
            </w14:solidFill>
          </w14:textFill>
        </w:rPr>
      </w:pPr>
      <w:bookmarkStart w:id="2" w:name="_Toc10286"/>
      <w:bookmarkStart w:id="3" w:name="_Toc29074"/>
      <w:bookmarkStart w:id="4" w:name="_Toc16027"/>
      <w:bookmarkStart w:id="5" w:name="_Toc31996"/>
      <w:r>
        <w:rPr>
          <w:rFonts w:eastAsia="仿宋_GB2312" w:cs="Times New Roman"/>
          <w:b/>
          <w:bCs/>
          <w:color w:val="000000" w:themeColor="text1"/>
          <w:sz w:val="36"/>
          <w:szCs w:val="36"/>
          <w:highlight w:val="none"/>
          <w14:textFill>
            <w14:solidFill>
              <w14:schemeClr w14:val="tx1"/>
            </w14:solidFill>
          </w14:textFill>
        </w:rPr>
        <w:t>前言</w:t>
      </w:r>
      <w:bookmarkEnd w:id="2"/>
      <w:bookmarkEnd w:id="3"/>
      <w:bookmarkEnd w:id="4"/>
      <w:bookmarkEnd w:id="5"/>
    </w:p>
    <w:p w14:paraId="5C852033">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以习近平同志为核心的党中央把生态文明建设作为统筹推进</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五位一体</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总体布局和协调推进</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四个全面</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战略布局的重要内容，党的二十大中提出：建设生态文明是中华民族永续发展的千年大计，必须树立和践行绿水青山就是金山银山</w:t>
      </w:r>
      <w:r>
        <w:rPr>
          <w:rFonts w:hint="eastAsia" w:ascii="Times New Roman" w:hAnsi="Times New Roman"/>
          <w:color w:val="auto"/>
          <w:sz w:val="28"/>
          <w:szCs w:val="28"/>
          <w:highlight w:val="none"/>
          <w:lang w:eastAsia="zh-CN"/>
        </w:rPr>
        <w:t>，</w:t>
      </w:r>
      <w:r>
        <w:rPr>
          <w:rFonts w:ascii="Times New Roman" w:hAnsi="Times New Roman"/>
          <w:color w:val="auto"/>
          <w:sz w:val="28"/>
          <w:szCs w:val="28"/>
          <w:highlight w:val="none"/>
        </w:rPr>
        <w:t>山水林田湖草</w:t>
      </w:r>
      <w:r>
        <w:rPr>
          <w:rFonts w:hint="eastAsia" w:ascii="Times New Roman" w:hAnsi="Times New Roman"/>
          <w:color w:val="auto"/>
          <w:sz w:val="28"/>
          <w:szCs w:val="28"/>
          <w:highlight w:val="none"/>
          <w:lang w:val="en-US" w:eastAsia="zh-CN"/>
        </w:rPr>
        <w:t>沙</w:t>
      </w:r>
      <w:r>
        <w:rPr>
          <w:rFonts w:ascii="Times New Roman" w:hAnsi="Times New Roman"/>
          <w:color w:val="auto"/>
          <w:sz w:val="28"/>
          <w:szCs w:val="28"/>
          <w:highlight w:val="none"/>
        </w:rPr>
        <w:t>一体化保护修复，尊重自然、顺应自然、保护自然的理念。</w:t>
      </w:r>
    </w:p>
    <w:p w14:paraId="09D4EA8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鹿泉区拥有独特的地形特征、丰富的水系廊道和重要的自然保护地，依山傍水，自然条件优越，生态环境优良，是省会的西花园。为进一步统筹推进</w:t>
      </w:r>
      <w:r>
        <w:rPr>
          <w:rFonts w:hint="eastAsia" w:ascii="Times New Roman" w:hAnsi="Times New Roman"/>
          <w:color w:val="auto"/>
          <w:sz w:val="28"/>
          <w:szCs w:val="28"/>
          <w:highlight w:val="none"/>
          <w:lang w:eastAsia="zh-CN"/>
        </w:rPr>
        <w:t>山水林田湖草沙一体化保护修复</w:t>
      </w:r>
      <w:r>
        <w:rPr>
          <w:rFonts w:ascii="Times New Roman" w:hAnsi="Times New Roman"/>
          <w:color w:val="auto"/>
          <w:sz w:val="28"/>
          <w:szCs w:val="28"/>
          <w:highlight w:val="none"/>
        </w:rPr>
        <w:t>，按照</w:t>
      </w:r>
      <w:r>
        <w:rPr>
          <w:rFonts w:hint="eastAsia" w:ascii="Times New Roman" w:hAnsi="Times New Roman"/>
          <w:color w:val="auto"/>
          <w:sz w:val="28"/>
          <w:szCs w:val="28"/>
          <w:highlight w:val="none"/>
          <w:lang w:val="en-US" w:eastAsia="zh-CN"/>
        </w:rPr>
        <w:t>省市</w:t>
      </w:r>
      <w:r>
        <w:rPr>
          <w:rFonts w:ascii="Times New Roman" w:hAnsi="Times New Roman"/>
          <w:color w:val="auto"/>
          <w:sz w:val="28"/>
          <w:szCs w:val="28"/>
          <w:highlight w:val="none"/>
        </w:rPr>
        <w:t>统一部署，依据《河北省国土空间生态修复规划（2021-2035年）编制方案》（冀自然资发〔2020〕29号）、《市县级国土空间生态修复规划编制指南（试行）》（冀自然资发〔2021〕73号）、《河北省自然资源厅关于推进市县级国土空间生态修复规划编制工作的通知》（冀自然资字〔2021〕112号）的要求，紧紧围绕</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北水西山、一体两翼</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的城市空间格局，</w:t>
      </w:r>
      <w:bookmarkStart w:id="6" w:name="OLE_LINK48"/>
      <w:r>
        <w:rPr>
          <w:rFonts w:ascii="Times New Roman" w:hAnsi="Times New Roman"/>
          <w:color w:val="auto"/>
          <w:sz w:val="28"/>
          <w:szCs w:val="28"/>
          <w:highlight w:val="none"/>
        </w:rPr>
        <w:t>以全面提升生态功能为目标，</w:t>
      </w:r>
      <w:bookmarkEnd w:id="6"/>
      <w:r>
        <w:rPr>
          <w:rFonts w:ascii="Times New Roman" w:hAnsi="Times New Roman"/>
          <w:color w:val="auto"/>
          <w:sz w:val="28"/>
          <w:szCs w:val="28"/>
          <w:highlight w:val="none"/>
        </w:rPr>
        <w:t>石家庄市自然资源和规划局鹿泉分局组织编制《石家庄市鹿泉区国土空间生态修复规划（2021-2035年）》（以下简称《本规划》）。</w:t>
      </w:r>
    </w:p>
    <w:p w14:paraId="1CE8D946">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《本规划》是落实《石家庄市鹿泉区国土空间总体规划（2021-2035年）》确定的生态保护安全格局，是一定时期内鹿泉区国土空间生态修复活动的总体安排</w:t>
      </w:r>
      <w:r>
        <w:rPr>
          <w:rFonts w:hint="eastAsia" w:ascii="Times New Roman" w:hAnsi="Times New Roman"/>
          <w:color w:val="auto"/>
          <w:sz w:val="28"/>
          <w:szCs w:val="28"/>
          <w:highlight w:val="none"/>
          <w:lang w:eastAsia="zh-CN"/>
        </w:rPr>
        <w:t>，</w:t>
      </w:r>
      <w:r>
        <w:rPr>
          <w:rFonts w:hint="eastAsia" w:ascii="Times New Roman" w:hAnsi="Times New Roman"/>
          <w:color w:val="auto"/>
          <w:sz w:val="28"/>
          <w:szCs w:val="28"/>
          <w:highlight w:val="none"/>
        </w:rPr>
        <w:t>是开展各类生态活动</w:t>
      </w:r>
      <w:r>
        <w:rPr>
          <w:rFonts w:ascii="Times New Roman" w:hAnsi="Times New Roman"/>
          <w:color w:val="auto"/>
          <w:sz w:val="28"/>
          <w:szCs w:val="28"/>
          <w:highlight w:val="none"/>
        </w:rPr>
        <w:t>的重要依据。</w:t>
      </w:r>
    </w:p>
    <w:p w14:paraId="007E22ED">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规划范围</w:t>
      </w:r>
      <w:r>
        <w:rPr>
          <w:rFonts w:hint="eastAsia" w:ascii="Times New Roman" w:hAnsi="Times New Roman"/>
          <w:color w:val="auto"/>
          <w:sz w:val="28"/>
          <w:szCs w:val="28"/>
          <w:highlight w:val="none"/>
          <w:lang w:val="en-US" w:eastAsia="zh-CN"/>
        </w:rPr>
        <w:t>为鹿泉区全域国土空间，包括</w:t>
      </w:r>
      <w:bookmarkStart w:id="7" w:name="OLE_LINK49"/>
      <w:r>
        <w:rPr>
          <w:rFonts w:ascii="Times New Roman" w:hAnsi="Times New Roman"/>
          <w:color w:val="auto"/>
          <w:sz w:val="28"/>
          <w:szCs w:val="28"/>
          <w:highlight w:val="none"/>
        </w:rPr>
        <w:t>9镇3乡1开发区</w:t>
      </w:r>
      <w:bookmarkEnd w:id="7"/>
      <w:r>
        <w:rPr>
          <w:rFonts w:ascii="Times New Roman" w:hAnsi="Times New Roman"/>
          <w:color w:val="auto"/>
          <w:sz w:val="28"/>
          <w:szCs w:val="28"/>
          <w:highlight w:val="none"/>
        </w:rPr>
        <w:t>，规划期2021年至2035年，近期至2025年，中期至2030年，远期至2035年。</w:t>
      </w:r>
    </w:p>
    <w:p w14:paraId="5C31ACC8">
      <w:pPr>
        <w:pStyle w:val="23"/>
        <w:ind w:firstLine="560"/>
        <w:jc w:val="left"/>
        <w:rPr>
          <w:rFonts w:ascii="Times New Roman" w:hAnsi="Times New Roman"/>
          <w:color w:val="auto"/>
          <w:sz w:val="28"/>
          <w:szCs w:val="28"/>
          <w:highlight w:val="none"/>
        </w:rPr>
        <w:sectPr>
          <w:footerReference r:id="rId11" w:type="default"/>
          <w:pgSz w:w="11906" w:h="16838"/>
          <w:pgMar w:top="1587" w:right="1417" w:bottom="1417" w:left="1587" w:header="851" w:footer="992" w:gutter="0"/>
          <w:pgNumType w:fmt="upperRoman" w:start="1"/>
          <w:cols w:space="425" w:num="1"/>
          <w:docGrid w:type="lines" w:linePitch="312" w:charSpace="0"/>
        </w:sectPr>
      </w:pPr>
    </w:p>
    <w:sdt>
      <w:sdtPr>
        <w:rPr>
          <w:rFonts w:eastAsia="仿宋_GB2312" w:cs="Times New Roman"/>
          <w:b/>
          <w:bCs/>
          <w:sz w:val="36"/>
          <w:szCs w:val="36"/>
          <w:highlight w:val="none"/>
        </w:rPr>
        <w:id w:val="147463960"/>
        <w15:color w:val="DBDBDB"/>
        <w:docPartObj>
          <w:docPartGallery w:val="Table of Contents"/>
          <w:docPartUnique/>
        </w:docPartObj>
      </w:sdtPr>
      <w:sdtEndPr>
        <w:rPr>
          <w:rFonts w:eastAsia="仿宋_GB2312" w:cs="Times New Roman"/>
          <w:b/>
          <w:bCs/>
          <w:sz w:val="36"/>
          <w:szCs w:val="36"/>
          <w:highlight w:val="none"/>
        </w:rPr>
      </w:sdtEndPr>
      <w:sdtContent>
        <w:p w14:paraId="75DE85D1">
          <w:pPr>
            <w:spacing w:line="240" w:lineRule="auto"/>
            <w:ind w:firstLine="0" w:firstLineChars="0"/>
            <w:jc w:val="center"/>
            <w:rPr>
              <w:rFonts w:eastAsia="仿宋_GB2312" w:cs="Times New Roman"/>
              <w:b/>
              <w:bCs/>
              <w:sz w:val="36"/>
              <w:szCs w:val="36"/>
              <w:highlight w:val="none"/>
            </w:rPr>
          </w:pPr>
          <w:bookmarkStart w:id="8" w:name="_Toc59393187"/>
          <w:bookmarkStart w:id="9" w:name="_Toc59392225"/>
          <w:bookmarkStart w:id="10" w:name="_Toc59392453"/>
          <w:bookmarkStart w:id="11" w:name="_Toc59392165"/>
          <w:bookmarkStart w:id="12" w:name="_Toc8685"/>
          <w:bookmarkStart w:id="13" w:name="_Toc8804"/>
          <w:bookmarkStart w:id="14" w:name="_Toc59393942"/>
          <w:r>
            <w:rPr>
              <w:rFonts w:eastAsia="仿宋_GB2312" w:cs="Times New Roman"/>
              <w:b/>
              <w:bCs/>
              <w:sz w:val="36"/>
              <w:szCs w:val="36"/>
              <w:highlight w:val="none"/>
            </w:rPr>
            <w:t>目录</w:t>
          </w:r>
        </w:p>
        <w:p w14:paraId="421B613F">
          <w:pPr>
            <w:pStyle w:val="60"/>
            <w:tabs>
              <w:tab w:val="right" w:leader="dot" w:pos="8902"/>
              <w:tab w:val="clear" w:pos="960"/>
              <w:tab w:val="clear" w:pos="8296"/>
            </w:tabs>
          </w:pPr>
          <w:r>
            <w:rPr>
              <w:rFonts w:ascii="Times New Roman" w:hAnsi="Times New Roman" w:eastAsia="仿宋_GB2312" w:cs="Times New Roman"/>
              <w:sz w:val="24"/>
              <w:szCs w:val="24"/>
              <w:highlight w:val="none"/>
            </w:rPr>
            <w:fldChar w:fldCharType="begin"/>
          </w:r>
          <w:r>
            <w:rPr>
              <w:rFonts w:ascii="Times New Roman" w:hAnsi="Times New Roman" w:eastAsia="仿宋_GB2312" w:cs="Times New Roman"/>
              <w:sz w:val="24"/>
              <w:szCs w:val="24"/>
              <w:highlight w:val="none"/>
            </w:rPr>
            <w:instrText xml:space="preserve">TOC \o "1-2" \h \u </w:instrText>
          </w:r>
          <w:r>
            <w:rPr>
              <w:rFonts w:ascii="Times New Roman" w:hAnsi="Times New Roman" w:eastAsia="仿宋_GB2312" w:cs="Times New Roman"/>
              <w:sz w:val="24"/>
              <w:szCs w:val="24"/>
              <w:highlight w:val="none"/>
            </w:rPr>
            <w:fldChar w:fldCharType="separate"/>
          </w:r>
        </w:p>
        <w:p w14:paraId="3112951F">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_Toc4280 </w:instrText>
          </w:r>
          <w:r>
            <w:rPr>
              <w:rFonts w:eastAsia="仿宋_GB2312" w:cs="Times New Roman"/>
              <w:highlight w:val="none"/>
            </w:rPr>
            <w:fldChar w:fldCharType="separate"/>
          </w:r>
          <w:r>
            <w:rPr>
              <w:rFonts w:eastAsia="仿宋_GB2312" w:cs="Times New Roman"/>
              <w:szCs w:val="36"/>
              <w:highlight w:val="none"/>
            </w:rPr>
            <w:t>第一章规划基础</w:t>
          </w:r>
          <w:r>
            <w:tab/>
          </w:r>
          <w:r>
            <w:fldChar w:fldCharType="begin"/>
          </w:r>
          <w:r>
            <w:instrText xml:space="preserve"> PAGEREF _Toc4280 \h </w:instrText>
          </w:r>
          <w:r>
            <w:fldChar w:fldCharType="separate"/>
          </w:r>
          <w:r>
            <w:t>1</w:t>
          </w:r>
          <w:r>
            <w:fldChar w:fldCharType="end"/>
          </w:r>
          <w:r>
            <w:rPr>
              <w:rFonts w:eastAsia="仿宋_GB2312" w:cs="Times New Roman"/>
              <w:highlight w:val="none"/>
            </w:rPr>
            <w:fldChar w:fldCharType="end"/>
          </w:r>
        </w:p>
        <w:p w14:paraId="7AD3F2E2">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_Toc28814 </w:instrText>
          </w:r>
          <w:r>
            <w:rPr>
              <w:rFonts w:eastAsia="仿宋_GB2312" w:cs="Times New Roman"/>
              <w:highlight w:val="none"/>
            </w:rPr>
            <w:fldChar w:fldCharType="separate"/>
          </w:r>
          <w:r>
            <w:rPr>
              <w:highlight w:val="none"/>
            </w:rPr>
            <w:t>第一节自然</w:t>
          </w:r>
          <w:r>
            <w:rPr>
              <w:rFonts w:hint="eastAsia"/>
              <w:highlight w:val="none"/>
              <w:lang w:val="en-US" w:eastAsia="zh-CN"/>
            </w:rPr>
            <w:t>生态现状</w:t>
          </w:r>
          <w:r>
            <w:tab/>
          </w:r>
          <w:r>
            <w:fldChar w:fldCharType="begin"/>
          </w:r>
          <w:r>
            <w:instrText xml:space="preserve"> PAGEREF _Toc28814 \h </w:instrText>
          </w:r>
          <w:r>
            <w:fldChar w:fldCharType="separate"/>
          </w:r>
          <w:r>
            <w:t>1</w:t>
          </w:r>
          <w:r>
            <w:fldChar w:fldCharType="end"/>
          </w:r>
          <w:r>
            <w:rPr>
              <w:rFonts w:eastAsia="仿宋_GB2312" w:cs="Times New Roman"/>
              <w:highlight w:val="none"/>
            </w:rPr>
            <w:fldChar w:fldCharType="end"/>
          </w:r>
        </w:p>
        <w:p w14:paraId="70497739">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_Toc16224 </w:instrText>
          </w:r>
          <w:r>
            <w:rPr>
              <w:rFonts w:eastAsia="仿宋_GB2312" w:cs="Times New Roman"/>
              <w:highlight w:val="none"/>
            </w:rPr>
            <w:fldChar w:fldCharType="separate"/>
          </w:r>
          <w:r>
            <w:rPr>
              <w:highlight w:val="none"/>
            </w:rPr>
            <w:t>第二节生态修复工作成效</w:t>
          </w:r>
          <w:r>
            <w:tab/>
          </w:r>
          <w:r>
            <w:fldChar w:fldCharType="begin"/>
          </w:r>
          <w:r>
            <w:instrText xml:space="preserve"> PAGEREF _Toc16224 \h </w:instrText>
          </w:r>
          <w:r>
            <w:fldChar w:fldCharType="separate"/>
          </w:r>
          <w:r>
            <w:t>2</w:t>
          </w:r>
          <w:r>
            <w:fldChar w:fldCharType="end"/>
          </w:r>
          <w:r>
            <w:rPr>
              <w:rFonts w:eastAsia="仿宋_GB2312" w:cs="Times New Roman"/>
              <w:highlight w:val="none"/>
            </w:rPr>
            <w:fldChar w:fldCharType="end"/>
          </w:r>
        </w:p>
        <w:p w14:paraId="530A15BA">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_Toc2461 </w:instrText>
          </w:r>
          <w:r>
            <w:rPr>
              <w:rFonts w:eastAsia="仿宋_GB2312" w:cs="Times New Roman"/>
              <w:highlight w:val="none"/>
            </w:rPr>
            <w:fldChar w:fldCharType="separate"/>
          </w:r>
          <w:r>
            <w:rPr>
              <w:highlight w:val="none"/>
            </w:rPr>
            <w:t>第三节存在的主要</w:t>
          </w:r>
          <w:r>
            <w:rPr>
              <w:rFonts w:hint="eastAsia"/>
              <w:highlight w:val="none"/>
              <w:lang w:val="en-US" w:eastAsia="zh-CN"/>
            </w:rPr>
            <w:t>问题</w:t>
          </w:r>
          <w:r>
            <w:tab/>
          </w:r>
          <w:r>
            <w:fldChar w:fldCharType="begin"/>
          </w:r>
          <w:r>
            <w:instrText xml:space="preserve"> PAGEREF _Toc2461 \h </w:instrText>
          </w:r>
          <w:r>
            <w:fldChar w:fldCharType="separate"/>
          </w:r>
          <w:r>
            <w:t>4</w:t>
          </w:r>
          <w:r>
            <w:fldChar w:fldCharType="end"/>
          </w:r>
          <w:r>
            <w:rPr>
              <w:rFonts w:eastAsia="仿宋_GB2312" w:cs="Times New Roman"/>
              <w:highlight w:val="none"/>
            </w:rPr>
            <w:fldChar w:fldCharType="end"/>
          </w:r>
        </w:p>
        <w:p w14:paraId="701BD8C7">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_Toc16832 </w:instrText>
          </w:r>
          <w:r>
            <w:rPr>
              <w:rFonts w:eastAsia="仿宋_GB2312" w:cs="Times New Roman"/>
              <w:highlight w:val="none"/>
            </w:rPr>
            <w:fldChar w:fldCharType="separate"/>
          </w:r>
          <w:r>
            <w:rPr>
              <w:rFonts w:eastAsia="仿宋_GB2312" w:cs="Times New Roman"/>
              <w:szCs w:val="36"/>
              <w:highlight w:val="none"/>
            </w:rPr>
            <w:t>第二章面临形势</w:t>
          </w:r>
          <w:r>
            <w:tab/>
          </w:r>
          <w:r>
            <w:fldChar w:fldCharType="begin"/>
          </w:r>
          <w:r>
            <w:instrText xml:space="preserve"> PAGEREF _Toc16832 \h </w:instrText>
          </w:r>
          <w:r>
            <w:fldChar w:fldCharType="separate"/>
          </w:r>
          <w:r>
            <w:t>7</w:t>
          </w:r>
          <w:r>
            <w:fldChar w:fldCharType="end"/>
          </w:r>
          <w:r>
            <w:rPr>
              <w:rFonts w:eastAsia="仿宋_GB2312" w:cs="Times New Roman"/>
              <w:highlight w:val="none"/>
            </w:rPr>
            <w:fldChar w:fldCharType="end"/>
          </w:r>
        </w:p>
        <w:p w14:paraId="515A8A0E">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_Toc25592 </w:instrText>
          </w:r>
          <w:r>
            <w:rPr>
              <w:rFonts w:eastAsia="仿宋_GB2312" w:cs="Times New Roman"/>
              <w:highlight w:val="none"/>
            </w:rPr>
            <w:fldChar w:fldCharType="separate"/>
          </w:r>
          <w:r>
            <w:rPr>
              <w:highlight w:val="none"/>
            </w:rPr>
            <w:t>第一节形势与要求</w:t>
          </w:r>
          <w:r>
            <w:tab/>
          </w:r>
          <w:r>
            <w:fldChar w:fldCharType="begin"/>
          </w:r>
          <w:r>
            <w:instrText xml:space="preserve"> PAGEREF _Toc25592 \h </w:instrText>
          </w:r>
          <w:r>
            <w:fldChar w:fldCharType="separate"/>
          </w:r>
          <w:r>
            <w:t>7</w:t>
          </w:r>
          <w:r>
            <w:fldChar w:fldCharType="end"/>
          </w:r>
          <w:r>
            <w:rPr>
              <w:rFonts w:eastAsia="仿宋_GB2312" w:cs="Times New Roman"/>
              <w:highlight w:val="none"/>
            </w:rPr>
            <w:fldChar w:fldCharType="end"/>
          </w:r>
        </w:p>
        <w:p w14:paraId="39FC89FC">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_Toc12249 </w:instrText>
          </w:r>
          <w:r>
            <w:rPr>
              <w:rFonts w:eastAsia="仿宋_GB2312" w:cs="Times New Roman"/>
              <w:highlight w:val="none"/>
            </w:rPr>
            <w:fldChar w:fldCharType="separate"/>
          </w:r>
          <w:r>
            <w:rPr>
              <w:highlight w:val="none"/>
            </w:rPr>
            <w:t>第</w:t>
          </w:r>
          <w:r>
            <w:rPr>
              <w:rFonts w:hint="eastAsia"/>
              <w:highlight w:val="none"/>
              <w:lang w:val="en-US" w:eastAsia="zh-CN"/>
            </w:rPr>
            <w:t>二</w:t>
          </w:r>
          <w:r>
            <w:rPr>
              <w:highlight w:val="none"/>
            </w:rPr>
            <w:t>节机遇与挑战</w:t>
          </w:r>
          <w:r>
            <w:tab/>
          </w:r>
          <w:r>
            <w:fldChar w:fldCharType="begin"/>
          </w:r>
          <w:r>
            <w:instrText xml:space="preserve"> PAGEREF _Toc12249 \h </w:instrText>
          </w:r>
          <w:r>
            <w:fldChar w:fldCharType="separate"/>
          </w:r>
          <w:r>
            <w:t>8</w:t>
          </w:r>
          <w:r>
            <w:fldChar w:fldCharType="end"/>
          </w:r>
          <w:r>
            <w:rPr>
              <w:rFonts w:eastAsia="仿宋_GB2312" w:cs="Times New Roman"/>
              <w:highlight w:val="none"/>
            </w:rPr>
            <w:fldChar w:fldCharType="end"/>
          </w:r>
        </w:p>
        <w:p w14:paraId="2929F3C3">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_Toc15686 </w:instrText>
          </w:r>
          <w:r>
            <w:rPr>
              <w:rFonts w:eastAsia="仿宋_GB2312" w:cs="Times New Roman"/>
              <w:highlight w:val="none"/>
            </w:rPr>
            <w:fldChar w:fldCharType="separate"/>
          </w:r>
          <w:r>
            <w:rPr>
              <w:rFonts w:eastAsia="仿宋_GB2312" w:cs="Times New Roman"/>
              <w:bCs/>
              <w:szCs w:val="36"/>
              <w:highlight w:val="none"/>
            </w:rPr>
            <w:t>第三章总体要求</w:t>
          </w:r>
          <w:r>
            <w:tab/>
          </w:r>
          <w:r>
            <w:fldChar w:fldCharType="begin"/>
          </w:r>
          <w:r>
            <w:instrText xml:space="preserve"> PAGEREF _Toc15686 \h </w:instrText>
          </w:r>
          <w:r>
            <w:fldChar w:fldCharType="separate"/>
          </w:r>
          <w:r>
            <w:t>11</w:t>
          </w:r>
          <w:r>
            <w:fldChar w:fldCharType="end"/>
          </w:r>
          <w:r>
            <w:rPr>
              <w:rFonts w:eastAsia="仿宋_GB2312" w:cs="Times New Roman"/>
              <w:highlight w:val="none"/>
            </w:rPr>
            <w:fldChar w:fldCharType="end"/>
          </w:r>
        </w:p>
        <w:p w14:paraId="1E21E3A5">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_Toc26557 </w:instrText>
          </w:r>
          <w:r>
            <w:rPr>
              <w:rFonts w:eastAsia="仿宋_GB2312" w:cs="Times New Roman"/>
              <w:highlight w:val="none"/>
            </w:rPr>
            <w:fldChar w:fldCharType="separate"/>
          </w:r>
          <w:r>
            <w:rPr>
              <w:highlight w:val="none"/>
            </w:rPr>
            <w:t>第一节指导思想</w:t>
          </w:r>
          <w:r>
            <w:tab/>
          </w:r>
          <w:r>
            <w:fldChar w:fldCharType="begin"/>
          </w:r>
          <w:r>
            <w:instrText xml:space="preserve"> PAGEREF _Toc26557 \h </w:instrText>
          </w:r>
          <w:r>
            <w:fldChar w:fldCharType="separate"/>
          </w:r>
          <w:r>
            <w:t>11</w:t>
          </w:r>
          <w:r>
            <w:fldChar w:fldCharType="end"/>
          </w:r>
          <w:r>
            <w:rPr>
              <w:rFonts w:eastAsia="仿宋_GB2312" w:cs="Times New Roman"/>
              <w:highlight w:val="none"/>
            </w:rPr>
            <w:fldChar w:fldCharType="end"/>
          </w:r>
        </w:p>
        <w:p w14:paraId="0477DF4C">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_Toc15952 </w:instrText>
          </w:r>
          <w:r>
            <w:rPr>
              <w:rFonts w:eastAsia="仿宋_GB2312" w:cs="Times New Roman"/>
              <w:highlight w:val="none"/>
            </w:rPr>
            <w:fldChar w:fldCharType="separate"/>
          </w:r>
          <w:r>
            <w:rPr>
              <w:highlight w:val="none"/>
            </w:rPr>
            <w:t>第二节基本原则</w:t>
          </w:r>
          <w:r>
            <w:tab/>
          </w:r>
          <w:r>
            <w:fldChar w:fldCharType="begin"/>
          </w:r>
          <w:r>
            <w:instrText xml:space="preserve"> PAGEREF _Toc15952 \h </w:instrText>
          </w:r>
          <w:r>
            <w:fldChar w:fldCharType="separate"/>
          </w:r>
          <w:r>
            <w:t>11</w:t>
          </w:r>
          <w:r>
            <w:fldChar w:fldCharType="end"/>
          </w:r>
          <w:r>
            <w:rPr>
              <w:rFonts w:eastAsia="仿宋_GB2312" w:cs="Times New Roman"/>
              <w:highlight w:val="none"/>
            </w:rPr>
            <w:fldChar w:fldCharType="end"/>
          </w:r>
        </w:p>
        <w:p w14:paraId="7D4CE15F">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_Toc3619 </w:instrText>
          </w:r>
          <w:r>
            <w:rPr>
              <w:rFonts w:eastAsia="仿宋_GB2312" w:cs="Times New Roman"/>
              <w:highlight w:val="none"/>
            </w:rPr>
            <w:fldChar w:fldCharType="separate"/>
          </w:r>
          <w:r>
            <w:rPr>
              <w:highlight w:val="none"/>
            </w:rPr>
            <w:t>第三节规划目标</w:t>
          </w:r>
          <w:r>
            <w:tab/>
          </w:r>
          <w:r>
            <w:fldChar w:fldCharType="begin"/>
          </w:r>
          <w:r>
            <w:instrText xml:space="preserve"> PAGEREF _Toc3619 \h </w:instrText>
          </w:r>
          <w:r>
            <w:fldChar w:fldCharType="separate"/>
          </w:r>
          <w:r>
            <w:t>12</w:t>
          </w:r>
          <w:r>
            <w:fldChar w:fldCharType="end"/>
          </w:r>
          <w:r>
            <w:rPr>
              <w:rFonts w:eastAsia="仿宋_GB2312" w:cs="Times New Roman"/>
              <w:highlight w:val="none"/>
            </w:rPr>
            <w:fldChar w:fldCharType="end"/>
          </w:r>
        </w:p>
        <w:p w14:paraId="60941553">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_Toc25527 </w:instrText>
          </w:r>
          <w:r>
            <w:rPr>
              <w:rFonts w:eastAsia="仿宋_GB2312" w:cs="Times New Roman"/>
              <w:highlight w:val="none"/>
            </w:rPr>
            <w:fldChar w:fldCharType="separate"/>
          </w:r>
          <w:r>
            <w:rPr>
              <w:rFonts w:eastAsia="仿宋_GB2312" w:cs="Times New Roman"/>
              <w:bCs/>
              <w:szCs w:val="36"/>
              <w:highlight w:val="none"/>
            </w:rPr>
            <w:t>第四章生态修复</w:t>
          </w:r>
          <w:r>
            <w:rPr>
              <w:rFonts w:hint="eastAsia" w:eastAsia="仿宋_GB2312" w:cs="Times New Roman"/>
              <w:bCs/>
              <w:szCs w:val="36"/>
              <w:highlight w:val="none"/>
              <w:lang w:val="en-US" w:eastAsia="zh-CN"/>
            </w:rPr>
            <w:t>空间布局</w:t>
          </w:r>
          <w:r>
            <w:tab/>
          </w:r>
          <w:r>
            <w:fldChar w:fldCharType="begin"/>
          </w:r>
          <w:r>
            <w:instrText xml:space="preserve"> PAGEREF _Toc25527 \h </w:instrText>
          </w:r>
          <w:r>
            <w:fldChar w:fldCharType="separate"/>
          </w:r>
          <w:r>
            <w:t>15</w:t>
          </w:r>
          <w:r>
            <w:fldChar w:fldCharType="end"/>
          </w:r>
          <w:r>
            <w:rPr>
              <w:rFonts w:eastAsia="仿宋_GB2312" w:cs="Times New Roman"/>
              <w:highlight w:val="none"/>
            </w:rPr>
            <w:fldChar w:fldCharType="end"/>
          </w:r>
        </w:p>
        <w:p w14:paraId="4079C949">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_Toc5320 </w:instrText>
          </w:r>
          <w:r>
            <w:rPr>
              <w:rFonts w:eastAsia="仿宋_GB2312" w:cs="Times New Roman"/>
              <w:highlight w:val="none"/>
            </w:rPr>
            <w:fldChar w:fldCharType="separate"/>
          </w:r>
          <w:r>
            <w:rPr>
              <w:highlight w:val="none"/>
            </w:rPr>
            <w:t>第一节总体</w:t>
          </w:r>
          <w:r>
            <w:rPr>
              <w:rFonts w:hint="eastAsia"/>
              <w:highlight w:val="none"/>
              <w:lang w:val="en-US" w:eastAsia="zh-CN"/>
            </w:rPr>
            <w:t>修复</w:t>
          </w:r>
          <w:r>
            <w:rPr>
              <w:highlight w:val="none"/>
            </w:rPr>
            <w:t>格局</w:t>
          </w:r>
          <w:r>
            <w:tab/>
          </w:r>
          <w:r>
            <w:fldChar w:fldCharType="begin"/>
          </w:r>
          <w:r>
            <w:instrText xml:space="preserve"> PAGEREF _Toc5320 \h </w:instrText>
          </w:r>
          <w:r>
            <w:fldChar w:fldCharType="separate"/>
          </w:r>
          <w:r>
            <w:t>15</w:t>
          </w:r>
          <w:r>
            <w:fldChar w:fldCharType="end"/>
          </w:r>
          <w:r>
            <w:rPr>
              <w:rFonts w:eastAsia="仿宋_GB2312" w:cs="Times New Roman"/>
              <w:highlight w:val="none"/>
            </w:rPr>
            <w:fldChar w:fldCharType="end"/>
          </w:r>
        </w:p>
        <w:p w14:paraId="07FDFE3B">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_Toc10588 </w:instrText>
          </w:r>
          <w:r>
            <w:rPr>
              <w:rFonts w:eastAsia="仿宋_GB2312" w:cs="Times New Roman"/>
              <w:highlight w:val="none"/>
            </w:rPr>
            <w:fldChar w:fldCharType="separate"/>
          </w:r>
          <w:r>
            <w:rPr>
              <w:highlight w:val="none"/>
            </w:rPr>
            <w:t>第二节</w:t>
          </w:r>
          <w:r>
            <w:rPr>
              <w:rFonts w:hint="eastAsia"/>
              <w:highlight w:val="none"/>
              <w:lang w:val="en-US" w:eastAsia="zh-CN"/>
            </w:rPr>
            <w:t>生态</w:t>
          </w:r>
          <w:r>
            <w:rPr>
              <w:highlight w:val="none"/>
            </w:rPr>
            <w:t>修复分区</w:t>
          </w:r>
          <w:r>
            <w:tab/>
          </w:r>
          <w:r>
            <w:fldChar w:fldCharType="begin"/>
          </w:r>
          <w:r>
            <w:instrText xml:space="preserve"> PAGEREF _Toc10588 \h </w:instrText>
          </w:r>
          <w:r>
            <w:fldChar w:fldCharType="separate"/>
          </w:r>
          <w:r>
            <w:t>16</w:t>
          </w:r>
          <w:r>
            <w:fldChar w:fldCharType="end"/>
          </w:r>
          <w:r>
            <w:rPr>
              <w:rFonts w:eastAsia="仿宋_GB2312" w:cs="Times New Roman"/>
              <w:highlight w:val="none"/>
            </w:rPr>
            <w:fldChar w:fldCharType="end"/>
          </w:r>
        </w:p>
        <w:p w14:paraId="47FD968B">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_Toc31930 </w:instrText>
          </w:r>
          <w:r>
            <w:rPr>
              <w:rFonts w:eastAsia="仿宋_GB2312" w:cs="Times New Roman"/>
              <w:highlight w:val="none"/>
            </w:rPr>
            <w:fldChar w:fldCharType="separate"/>
          </w:r>
          <w:r>
            <w:rPr>
              <w:highlight w:val="none"/>
            </w:rPr>
            <w:t>第三节生态修复重点区域</w:t>
          </w:r>
          <w:r>
            <w:tab/>
          </w:r>
          <w:r>
            <w:fldChar w:fldCharType="begin"/>
          </w:r>
          <w:r>
            <w:instrText xml:space="preserve"> PAGEREF _Toc31930 \h </w:instrText>
          </w:r>
          <w:r>
            <w:fldChar w:fldCharType="separate"/>
          </w:r>
          <w:r>
            <w:t>20</w:t>
          </w:r>
          <w:r>
            <w:fldChar w:fldCharType="end"/>
          </w:r>
          <w:r>
            <w:rPr>
              <w:rFonts w:eastAsia="仿宋_GB2312" w:cs="Times New Roman"/>
              <w:highlight w:val="none"/>
            </w:rPr>
            <w:fldChar w:fldCharType="end"/>
          </w:r>
        </w:p>
        <w:p w14:paraId="516C14B3">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_Toc30209 </w:instrText>
          </w:r>
          <w:r>
            <w:rPr>
              <w:rFonts w:eastAsia="仿宋_GB2312" w:cs="Times New Roman"/>
              <w:highlight w:val="none"/>
            </w:rPr>
            <w:fldChar w:fldCharType="separate"/>
          </w:r>
          <w:r>
            <w:rPr>
              <w:rFonts w:eastAsia="仿宋_GB2312" w:cs="Times New Roman"/>
              <w:bCs/>
              <w:szCs w:val="36"/>
              <w:highlight w:val="none"/>
            </w:rPr>
            <w:t>第五章国土空间生态修复重点任务和工程</w:t>
          </w:r>
          <w:r>
            <w:tab/>
          </w:r>
          <w:r>
            <w:fldChar w:fldCharType="begin"/>
          </w:r>
          <w:r>
            <w:instrText xml:space="preserve"> PAGEREF _Toc30209 \h </w:instrText>
          </w:r>
          <w:r>
            <w:fldChar w:fldCharType="separate"/>
          </w:r>
          <w:r>
            <w:t>22</w:t>
          </w:r>
          <w:r>
            <w:fldChar w:fldCharType="end"/>
          </w:r>
          <w:r>
            <w:rPr>
              <w:rFonts w:eastAsia="仿宋_GB2312" w:cs="Times New Roman"/>
              <w:highlight w:val="none"/>
            </w:rPr>
            <w:fldChar w:fldCharType="end"/>
          </w:r>
        </w:p>
        <w:p w14:paraId="2AA46ABF">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_Toc31735 </w:instrText>
          </w:r>
          <w:r>
            <w:rPr>
              <w:rFonts w:eastAsia="仿宋_GB2312" w:cs="Times New Roman"/>
              <w:highlight w:val="none"/>
            </w:rPr>
            <w:fldChar w:fldCharType="separate"/>
          </w:r>
          <w:r>
            <w:rPr>
              <w:highlight w:val="none"/>
            </w:rPr>
            <w:t>第一节重点任务</w:t>
          </w:r>
          <w:r>
            <w:tab/>
          </w:r>
          <w:r>
            <w:fldChar w:fldCharType="begin"/>
          </w:r>
          <w:r>
            <w:instrText xml:space="preserve"> PAGEREF _Toc31735 \h </w:instrText>
          </w:r>
          <w:r>
            <w:fldChar w:fldCharType="separate"/>
          </w:r>
          <w:r>
            <w:t>22</w:t>
          </w:r>
          <w:r>
            <w:fldChar w:fldCharType="end"/>
          </w:r>
          <w:r>
            <w:rPr>
              <w:rFonts w:eastAsia="仿宋_GB2312" w:cs="Times New Roman"/>
              <w:highlight w:val="none"/>
            </w:rPr>
            <w:fldChar w:fldCharType="end"/>
          </w:r>
        </w:p>
        <w:p w14:paraId="30C90DA7">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_Toc28905 </w:instrText>
          </w:r>
          <w:r>
            <w:rPr>
              <w:rFonts w:eastAsia="仿宋_GB2312" w:cs="Times New Roman"/>
              <w:highlight w:val="none"/>
            </w:rPr>
            <w:fldChar w:fldCharType="separate"/>
          </w:r>
          <w:r>
            <w:rPr>
              <w:rFonts w:hint="eastAsia"/>
            </w:rPr>
            <w:t xml:space="preserve">第二节 </w:t>
          </w:r>
          <w:r>
            <w:rPr>
              <w:highlight w:val="none"/>
            </w:rPr>
            <w:t>重点工程</w:t>
          </w:r>
          <w:r>
            <w:tab/>
          </w:r>
          <w:r>
            <w:fldChar w:fldCharType="begin"/>
          </w:r>
          <w:r>
            <w:instrText xml:space="preserve"> PAGEREF _Toc28905 \h </w:instrText>
          </w:r>
          <w:r>
            <w:fldChar w:fldCharType="separate"/>
          </w:r>
          <w:r>
            <w:t>24</w:t>
          </w:r>
          <w:r>
            <w:fldChar w:fldCharType="end"/>
          </w:r>
          <w:r>
            <w:rPr>
              <w:rFonts w:eastAsia="仿宋_GB2312" w:cs="Times New Roman"/>
              <w:highlight w:val="none"/>
            </w:rPr>
            <w:fldChar w:fldCharType="end"/>
          </w:r>
        </w:p>
        <w:p w14:paraId="61120F64">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_Toc10503 </w:instrText>
          </w:r>
          <w:r>
            <w:rPr>
              <w:rFonts w:eastAsia="仿宋_GB2312" w:cs="Times New Roman"/>
              <w:highlight w:val="none"/>
            </w:rPr>
            <w:fldChar w:fldCharType="separate"/>
          </w:r>
          <w:r>
            <w:rPr>
              <w:rFonts w:eastAsia="仿宋_GB2312" w:cs="Times New Roman"/>
              <w:bCs/>
              <w:szCs w:val="36"/>
              <w:highlight w:val="none"/>
            </w:rPr>
            <w:t>第六章资金筹措与实施效益</w:t>
          </w:r>
          <w:r>
            <w:tab/>
          </w:r>
          <w:r>
            <w:fldChar w:fldCharType="begin"/>
          </w:r>
          <w:r>
            <w:instrText xml:space="preserve"> PAGEREF _Toc10503 \h </w:instrText>
          </w:r>
          <w:r>
            <w:fldChar w:fldCharType="separate"/>
          </w:r>
          <w:r>
            <w:t>32</w:t>
          </w:r>
          <w:r>
            <w:fldChar w:fldCharType="end"/>
          </w:r>
          <w:r>
            <w:rPr>
              <w:rFonts w:eastAsia="仿宋_GB2312" w:cs="Times New Roman"/>
              <w:highlight w:val="none"/>
            </w:rPr>
            <w:fldChar w:fldCharType="end"/>
          </w:r>
        </w:p>
        <w:p w14:paraId="69FB486C">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_Toc31106 </w:instrText>
          </w:r>
          <w:r>
            <w:rPr>
              <w:rFonts w:eastAsia="仿宋_GB2312" w:cs="Times New Roman"/>
              <w:highlight w:val="none"/>
            </w:rPr>
            <w:fldChar w:fldCharType="separate"/>
          </w:r>
          <w:r>
            <w:rPr>
              <w:highlight w:val="none"/>
            </w:rPr>
            <w:t>第</w:t>
          </w:r>
          <w:r>
            <w:rPr>
              <w:rFonts w:hint="eastAsia"/>
              <w:highlight w:val="none"/>
              <w:lang w:val="en-US" w:eastAsia="zh-CN"/>
            </w:rPr>
            <w:t>一</w:t>
          </w:r>
          <w:r>
            <w:rPr>
              <w:highlight w:val="none"/>
            </w:rPr>
            <w:t>节资金筹措</w:t>
          </w:r>
          <w:r>
            <w:tab/>
          </w:r>
          <w:r>
            <w:fldChar w:fldCharType="begin"/>
          </w:r>
          <w:r>
            <w:instrText xml:space="preserve"> PAGEREF _Toc31106 \h </w:instrText>
          </w:r>
          <w:r>
            <w:fldChar w:fldCharType="separate"/>
          </w:r>
          <w:r>
            <w:t>32</w:t>
          </w:r>
          <w:r>
            <w:fldChar w:fldCharType="end"/>
          </w:r>
          <w:r>
            <w:rPr>
              <w:rFonts w:eastAsia="仿宋_GB2312" w:cs="Times New Roman"/>
              <w:highlight w:val="none"/>
            </w:rPr>
            <w:fldChar w:fldCharType="end"/>
          </w:r>
        </w:p>
        <w:p w14:paraId="35CCAA56">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_Toc9345 </w:instrText>
          </w:r>
          <w:r>
            <w:rPr>
              <w:rFonts w:eastAsia="仿宋_GB2312" w:cs="Times New Roman"/>
              <w:highlight w:val="none"/>
            </w:rPr>
            <w:fldChar w:fldCharType="separate"/>
          </w:r>
          <w:r>
            <w:rPr>
              <w:highlight w:val="none"/>
            </w:rPr>
            <w:t>第</w:t>
          </w:r>
          <w:r>
            <w:rPr>
              <w:rFonts w:hint="eastAsia"/>
              <w:highlight w:val="none"/>
              <w:lang w:val="en-US" w:eastAsia="zh-CN"/>
            </w:rPr>
            <w:t>二</w:t>
          </w:r>
          <w:r>
            <w:rPr>
              <w:highlight w:val="none"/>
            </w:rPr>
            <w:t>节修复实施效益</w:t>
          </w:r>
          <w:r>
            <w:tab/>
          </w:r>
          <w:r>
            <w:fldChar w:fldCharType="begin"/>
          </w:r>
          <w:r>
            <w:instrText xml:space="preserve"> PAGEREF _Toc9345 \h </w:instrText>
          </w:r>
          <w:r>
            <w:fldChar w:fldCharType="separate"/>
          </w:r>
          <w:r>
            <w:t>33</w:t>
          </w:r>
          <w:r>
            <w:fldChar w:fldCharType="end"/>
          </w:r>
          <w:r>
            <w:rPr>
              <w:rFonts w:eastAsia="仿宋_GB2312" w:cs="Times New Roman"/>
              <w:highlight w:val="none"/>
            </w:rPr>
            <w:fldChar w:fldCharType="end"/>
          </w:r>
        </w:p>
        <w:p w14:paraId="5D82429A">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_Toc31073 </w:instrText>
          </w:r>
          <w:r>
            <w:rPr>
              <w:rFonts w:eastAsia="仿宋_GB2312" w:cs="Times New Roman"/>
              <w:highlight w:val="none"/>
            </w:rPr>
            <w:fldChar w:fldCharType="separate"/>
          </w:r>
          <w:r>
            <w:rPr>
              <w:rFonts w:eastAsia="仿宋_GB2312" w:cs="Times New Roman"/>
              <w:bCs/>
              <w:szCs w:val="36"/>
              <w:highlight w:val="none"/>
            </w:rPr>
            <w:t>第七章保障机制</w:t>
          </w:r>
          <w:r>
            <w:tab/>
          </w:r>
          <w:r>
            <w:fldChar w:fldCharType="begin"/>
          </w:r>
          <w:r>
            <w:instrText xml:space="preserve"> PAGEREF _Toc31073 \h </w:instrText>
          </w:r>
          <w:r>
            <w:fldChar w:fldCharType="separate"/>
          </w:r>
          <w:r>
            <w:t>35</w:t>
          </w:r>
          <w:r>
            <w:fldChar w:fldCharType="end"/>
          </w:r>
          <w:r>
            <w:rPr>
              <w:rFonts w:eastAsia="仿宋_GB2312" w:cs="Times New Roman"/>
              <w:highlight w:val="none"/>
            </w:rPr>
            <w:fldChar w:fldCharType="end"/>
          </w:r>
        </w:p>
        <w:p w14:paraId="64177D68">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_Toc14233 </w:instrText>
          </w:r>
          <w:r>
            <w:rPr>
              <w:rFonts w:eastAsia="仿宋_GB2312" w:cs="Times New Roman"/>
              <w:highlight w:val="none"/>
            </w:rPr>
            <w:fldChar w:fldCharType="separate"/>
          </w:r>
          <w:r>
            <w:rPr>
              <w:highlight w:val="none"/>
            </w:rPr>
            <w:t>第一节加强组织领导</w:t>
          </w:r>
          <w:r>
            <w:tab/>
          </w:r>
          <w:r>
            <w:fldChar w:fldCharType="begin"/>
          </w:r>
          <w:r>
            <w:instrText xml:space="preserve"> PAGEREF _Toc14233 \h </w:instrText>
          </w:r>
          <w:r>
            <w:fldChar w:fldCharType="separate"/>
          </w:r>
          <w:r>
            <w:t>35</w:t>
          </w:r>
          <w:r>
            <w:fldChar w:fldCharType="end"/>
          </w:r>
          <w:r>
            <w:rPr>
              <w:rFonts w:eastAsia="仿宋_GB2312" w:cs="Times New Roman"/>
              <w:highlight w:val="none"/>
            </w:rPr>
            <w:fldChar w:fldCharType="end"/>
          </w:r>
        </w:p>
        <w:p w14:paraId="26781369">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_Toc19222 </w:instrText>
          </w:r>
          <w:r>
            <w:rPr>
              <w:rFonts w:eastAsia="仿宋_GB2312" w:cs="Times New Roman"/>
              <w:highlight w:val="none"/>
            </w:rPr>
            <w:fldChar w:fldCharType="separate"/>
          </w:r>
          <w:r>
            <w:rPr>
              <w:highlight w:val="none"/>
            </w:rPr>
            <w:t>第二节创新政策体系</w:t>
          </w:r>
          <w:r>
            <w:tab/>
          </w:r>
          <w:r>
            <w:fldChar w:fldCharType="begin"/>
          </w:r>
          <w:r>
            <w:instrText xml:space="preserve"> PAGEREF _Toc19222 \h </w:instrText>
          </w:r>
          <w:r>
            <w:fldChar w:fldCharType="separate"/>
          </w:r>
          <w:r>
            <w:t>35</w:t>
          </w:r>
          <w:r>
            <w:fldChar w:fldCharType="end"/>
          </w:r>
          <w:r>
            <w:rPr>
              <w:rFonts w:eastAsia="仿宋_GB2312" w:cs="Times New Roman"/>
              <w:highlight w:val="none"/>
            </w:rPr>
            <w:fldChar w:fldCharType="end"/>
          </w:r>
        </w:p>
        <w:p w14:paraId="449139A2">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_Toc22562 </w:instrText>
          </w:r>
          <w:r>
            <w:rPr>
              <w:rFonts w:eastAsia="仿宋_GB2312" w:cs="Times New Roman"/>
              <w:highlight w:val="none"/>
            </w:rPr>
            <w:fldChar w:fldCharType="separate"/>
          </w:r>
          <w:r>
            <w:rPr>
              <w:highlight w:val="none"/>
            </w:rPr>
            <w:t>第三节强化评估监管</w:t>
          </w:r>
          <w:r>
            <w:tab/>
          </w:r>
          <w:r>
            <w:fldChar w:fldCharType="begin"/>
          </w:r>
          <w:r>
            <w:instrText xml:space="preserve"> PAGEREF _Toc22562 \h </w:instrText>
          </w:r>
          <w:r>
            <w:fldChar w:fldCharType="separate"/>
          </w:r>
          <w:r>
            <w:t>36</w:t>
          </w:r>
          <w:r>
            <w:fldChar w:fldCharType="end"/>
          </w:r>
          <w:r>
            <w:rPr>
              <w:rFonts w:eastAsia="仿宋_GB2312" w:cs="Times New Roman"/>
              <w:highlight w:val="none"/>
            </w:rPr>
            <w:fldChar w:fldCharType="end"/>
          </w:r>
        </w:p>
        <w:p w14:paraId="58325B12">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_Toc1184 </w:instrText>
          </w:r>
          <w:r>
            <w:rPr>
              <w:rFonts w:eastAsia="仿宋_GB2312" w:cs="Times New Roman"/>
              <w:highlight w:val="none"/>
            </w:rPr>
            <w:fldChar w:fldCharType="separate"/>
          </w:r>
          <w:r>
            <w:rPr>
              <w:highlight w:val="none"/>
            </w:rPr>
            <w:t>第四节</w:t>
          </w:r>
          <w:r>
            <w:rPr>
              <w:rFonts w:hint="eastAsia"/>
              <w:highlight w:val="none"/>
              <w:lang w:val="en-US" w:eastAsia="zh-CN"/>
            </w:rPr>
            <w:t>加强科技支撑</w:t>
          </w:r>
          <w:r>
            <w:tab/>
          </w:r>
          <w:r>
            <w:fldChar w:fldCharType="begin"/>
          </w:r>
          <w:r>
            <w:instrText xml:space="preserve"> PAGEREF _Toc1184 \h </w:instrText>
          </w:r>
          <w:r>
            <w:fldChar w:fldCharType="separate"/>
          </w:r>
          <w:r>
            <w:t>36</w:t>
          </w:r>
          <w:r>
            <w:fldChar w:fldCharType="end"/>
          </w:r>
          <w:r>
            <w:rPr>
              <w:rFonts w:eastAsia="仿宋_GB2312" w:cs="Times New Roman"/>
              <w:highlight w:val="none"/>
            </w:rPr>
            <w:fldChar w:fldCharType="end"/>
          </w:r>
        </w:p>
        <w:p w14:paraId="23D845D7">
          <w:pPr>
            <w:pStyle w:val="75"/>
            <w:tabs>
              <w:tab w:val="right" w:leader="dot" w:pos="8902"/>
            </w:tabs>
          </w:pPr>
          <w:r>
            <w:rPr>
              <w:rFonts w:eastAsia="仿宋_GB2312" w:cs="Times New Roman"/>
              <w:highlight w:val="none"/>
            </w:rPr>
            <w:fldChar w:fldCharType="begin"/>
          </w:r>
          <w:r>
            <w:rPr>
              <w:rFonts w:eastAsia="仿宋_GB2312" w:cs="Times New Roman"/>
              <w:highlight w:val="none"/>
            </w:rPr>
            <w:instrText xml:space="preserve"> HYPERLINK \l _Toc17842 </w:instrText>
          </w:r>
          <w:r>
            <w:rPr>
              <w:rFonts w:eastAsia="仿宋_GB2312" w:cs="Times New Roman"/>
              <w:highlight w:val="none"/>
            </w:rPr>
            <w:fldChar w:fldCharType="separate"/>
          </w:r>
          <w:r>
            <w:rPr>
              <w:highlight w:val="none"/>
            </w:rPr>
            <w:t>第五节鼓励公众参与</w:t>
          </w:r>
          <w:r>
            <w:tab/>
          </w:r>
          <w:r>
            <w:fldChar w:fldCharType="begin"/>
          </w:r>
          <w:r>
            <w:instrText xml:space="preserve"> PAGEREF _Toc17842 \h </w:instrText>
          </w:r>
          <w:r>
            <w:fldChar w:fldCharType="separate"/>
          </w:r>
          <w:r>
            <w:t>37</w:t>
          </w:r>
          <w:r>
            <w:fldChar w:fldCharType="end"/>
          </w:r>
          <w:r>
            <w:rPr>
              <w:rFonts w:eastAsia="仿宋_GB2312" w:cs="Times New Roman"/>
              <w:highlight w:val="none"/>
            </w:rPr>
            <w:fldChar w:fldCharType="end"/>
          </w:r>
        </w:p>
        <w:p w14:paraId="4788CC12">
          <w:pPr>
            <w:pStyle w:val="60"/>
            <w:tabs>
              <w:tab w:val="right" w:leader="dot" w:pos="8902"/>
              <w:tab w:val="clear" w:pos="960"/>
              <w:tab w:val="clear" w:pos="8296"/>
            </w:tabs>
          </w:pPr>
          <w:r>
            <w:rPr>
              <w:rFonts w:eastAsia="仿宋_GB2312" w:cs="Times New Roman"/>
              <w:highlight w:val="none"/>
            </w:rPr>
            <w:fldChar w:fldCharType="begin"/>
          </w:r>
          <w:r>
            <w:rPr>
              <w:rFonts w:eastAsia="仿宋_GB2312" w:cs="Times New Roman"/>
              <w:highlight w:val="none"/>
            </w:rPr>
            <w:instrText xml:space="preserve"> HYPERLINK \l _Toc10892 </w:instrText>
          </w:r>
          <w:r>
            <w:rPr>
              <w:rFonts w:eastAsia="仿宋_GB2312" w:cs="Times New Roman"/>
              <w:highlight w:val="none"/>
            </w:rPr>
            <w:fldChar w:fldCharType="separate"/>
          </w:r>
          <w:r>
            <w:rPr>
              <w:rFonts w:eastAsia="仿宋_GB2312" w:cs="Times New Roman"/>
              <w:bCs/>
              <w:szCs w:val="36"/>
              <w:highlight w:val="none"/>
            </w:rPr>
            <w:t>附表</w:t>
          </w:r>
          <w:r>
            <w:tab/>
          </w:r>
          <w:r>
            <w:fldChar w:fldCharType="begin"/>
          </w:r>
          <w:r>
            <w:instrText xml:space="preserve"> PAGEREF _Toc10892 \h </w:instrText>
          </w:r>
          <w:r>
            <w:fldChar w:fldCharType="separate"/>
          </w:r>
          <w:r>
            <w:t>38</w:t>
          </w:r>
          <w:r>
            <w:fldChar w:fldCharType="end"/>
          </w:r>
          <w:r>
            <w:rPr>
              <w:rFonts w:eastAsia="仿宋_GB2312" w:cs="Times New Roman"/>
              <w:highlight w:val="none"/>
            </w:rPr>
            <w:fldChar w:fldCharType="end"/>
          </w:r>
        </w:p>
        <w:p w14:paraId="1DF65307">
          <w:pPr>
            <w:ind w:firstLine="480"/>
            <w:rPr>
              <w:rFonts w:eastAsia="仿宋_GB2312" w:cs="Times New Roman"/>
              <w:highlight w:val="none"/>
            </w:rPr>
          </w:pPr>
          <w:r>
            <w:rPr>
              <w:rFonts w:eastAsia="仿宋_GB2312" w:cs="Times New Roman"/>
              <w:highlight w:val="none"/>
            </w:rPr>
            <w:fldChar w:fldCharType="end"/>
          </w:r>
        </w:p>
      </w:sdtContent>
    </w:sdt>
    <w:p w14:paraId="14967A56">
      <w:pPr>
        <w:ind w:firstLine="480"/>
        <w:rPr>
          <w:rFonts w:eastAsia="仿宋_GB2312" w:cs="Times New Roman"/>
          <w:highlight w:val="none"/>
        </w:rPr>
      </w:pPr>
    </w:p>
    <w:p w14:paraId="3A28D9AA">
      <w:pPr>
        <w:ind w:firstLine="480"/>
        <w:rPr>
          <w:rFonts w:eastAsia="仿宋_GB2312" w:cs="Times New Roman"/>
          <w:highlight w:val="none"/>
        </w:rPr>
      </w:pPr>
    </w:p>
    <w:p w14:paraId="7872EF40">
      <w:pPr>
        <w:ind w:firstLine="480"/>
        <w:rPr>
          <w:rFonts w:eastAsia="仿宋_GB2312" w:cs="Times New Roman"/>
          <w:highlight w:val="none"/>
        </w:rPr>
      </w:pPr>
    </w:p>
    <w:p w14:paraId="69D95AB5">
      <w:pPr>
        <w:ind w:firstLine="480"/>
        <w:rPr>
          <w:rFonts w:eastAsia="仿宋_GB2312" w:cs="Times New Roman"/>
          <w:highlight w:val="none"/>
        </w:rPr>
      </w:pPr>
    </w:p>
    <w:p w14:paraId="20A73A2D">
      <w:pPr>
        <w:pStyle w:val="98"/>
        <w:ind w:left="480" w:firstLine="480"/>
        <w:rPr>
          <w:rFonts w:eastAsia="仿宋_GB2312" w:cs="Times New Roman"/>
          <w:highlight w:val="none"/>
        </w:rPr>
      </w:pPr>
    </w:p>
    <w:p w14:paraId="4020E707">
      <w:pPr>
        <w:ind w:firstLine="480"/>
        <w:rPr>
          <w:rFonts w:eastAsia="仿宋_GB2312" w:cs="Times New Roman"/>
          <w:highlight w:val="none"/>
        </w:rPr>
      </w:pPr>
    </w:p>
    <w:p w14:paraId="494525C3">
      <w:pPr>
        <w:pStyle w:val="98"/>
        <w:ind w:left="480" w:firstLine="480"/>
        <w:rPr>
          <w:rFonts w:eastAsia="仿宋_GB2312" w:cs="Times New Roman"/>
          <w:highlight w:val="none"/>
        </w:rPr>
      </w:pPr>
    </w:p>
    <w:p w14:paraId="28C35615">
      <w:pPr>
        <w:ind w:firstLine="480"/>
        <w:rPr>
          <w:rFonts w:eastAsia="仿宋_GB2312" w:cs="Times New Roman"/>
          <w:highlight w:val="none"/>
        </w:rPr>
      </w:pPr>
    </w:p>
    <w:p w14:paraId="409AF740">
      <w:pPr>
        <w:pStyle w:val="98"/>
        <w:ind w:left="480" w:firstLine="480"/>
        <w:rPr>
          <w:rFonts w:eastAsia="仿宋_GB2312" w:cs="Times New Roman"/>
          <w:highlight w:val="none"/>
        </w:rPr>
      </w:pPr>
    </w:p>
    <w:p w14:paraId="097C88FD">
      <w:pPr>
        <w:ind w:firstLine="480"/>
        <w:rPr>
          <w:rFonts w:eastAsia="仿宋_GB2312" w:cs="Times New Roman"/>
          <w:highlight w:val="none"/>
        </w:rPr>
      </w:pPr>
    </w:p>
    <w:p w14:paraId="3DBA7368">
      <w:pPr>
        <w:ind w:firstLine="480"/>
        <w:rPr>
          <w:rFonts w:eastAsia="仿宋_GB2312" w:cs="Times New Roman"/>
          <w:highlight w:val="none"/>
        </w:rPr>
      </w:pPr>
    </w:p>
    <w:p w14:paraId="44B1F538">
      <w:pPr>
        <w:ind w:firstLine="480"/>
        <w:rPr>
          <w:rFonts w:eastAsia="仿宋_GB2312" w:cs="Times New Roman"/>
          <w:highlight w:val="none"/>
        </w:rPr>
      </w:pPr>
    </w:p>
    <w:p w14:paraId="68144168">
      <w:pPr>
        <w:ind w:firstLine="480"/>
        <w:rPr>
          <w:rFonts w:eastAsia="仿宋_GB2312" w:cs="Times New Roman"/>
          <w:highlight w:val="none"/>
        </w:rPr>
      </w:pPr>
    </w:p>
    <w:p w14:paraId="2BA20A7D">
      <w:pPr>
        <w:ind w:firstLine="480"/>
        <w:rPr>
          <w:rFonts w:eastAsia="仿宋_GB2312" w:cs="Times New Roman"/>
          <w:highlight w:val="none"/>
        </w:rPr>
      </w:pPr>
    </w:p>
    <w:p w14:paraId="4B75F16A">
      <w:pPr>
        <w:ind w:firstLine="480"/>
        <w:rPr>
          <w:rFonts w:eastAsia="仿宋_GB2312" w:cs="Times New Roman"/>
          <w:highlight w:val="none"/>
        </w:rPr>
      </w:pPr>
    </w:p>
    <w:p w14:paraId="5984BB3D">
      <w:pPr>
        <w:ind w:firstLine="480"/>
        <w:rPr>
          <w:rFonts w:eastAsia="仿宋_GB2312" w:cs="Times New Roman"/>
          <w:highlight w:val="none"/>
        </w:rPr>
        <w:sectPr>
          <w:footerReference r:id="rId12" w:type="default"/>
          <w:pgSz w:w="11906" w:h="16838"/>
          <w:pgMar w:top="1587" w:right="1417" w:bottom="1417" w:left="1587" w:header="851" w:footer="992" w:gutter="0"/>
          <w:pgNumType w:fmt="upperRoman" w:start="1"/>
          <w:cols w:space="425" w:num="1"/>
          <w:docGrid w:type="lines" w:linePitch="312" w:charSpace="0"/>
        </w:sectPr>
      </w:pPr>
    </w:p>
    <w:p w14:paraId="7910C793">
      <w:pPr>
        <w:ind w:firstLine="723"/>
        <w:jc w:val="center"/>
        <w:outlineLvl w:val="0"/>
        <w:rPr>
          <w:rStyle w:val="103"/>
          <w:rFonts w:eastAsia="仿宋_GB2312" w:cs="Times New Roman"/>
          <w:color w:val="000000" w:themeColor="text1"/>
          <w:sz w:val="36"/>
          <w:szCs w:val="36"/>
          <w:highlight w:val="none"/>
          <w14:textFill>
            <w14:solidFill>
              <w14:schemeClr w14:val="tx1"/>
            </w14:solidFill>
          </w14:textFill>
        </w:rPr>
      </w:pPr>
      <w:bookmarkStart w:id="15" w:name="_Toc4280"/>
      <w:r>
        <w:rPr>
          <w:rStyle w:val="103"/>
          <w:rFonts w:eastAsia="仿宋_GB2312" w:cs="Times New Roman"/>
          <w:color w:val="000000" w:themeColor="text1"/>
          <w:sz w:val="36"/>
          <w:szCs w:val="36"/>
          <w:highlight w:val="none"/>
          <w14:textFill>
            <w14:solidFill>
              <w14:schemeClr w14:val="tx1"/>
            </w14:solidFill>
          </w14:textFill>
        </w:rPr>
        <w:t>第一章规划基础</w:t>
      </w:r>
      <w:bookmarkEnd w:id="15"/>
    </w:p>
    <w:p w14:paraId="20593EEF">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鹿泉区西倚太行，东环石家庄</w:t>
      </w:r>
      <w:r>
        <w:rPr>
          <w:rFonts w:hint="eastAsia" w:ascii="Times New Roman" w:hAnsi="Times New Roman"/>
          <w:color w:val="auto"/>
          <w:sz w:val="28"/>
          <w:szCs w:val="28"/>
          <w:highlight w:val="none"/>
          <w:lang w:val="en-US" w:eastAsia="zh-CN"/>
        </w:rPr>
        <w:t>主</w:t>
      </w:r>
      <w:r>
        <w:rPr>
          <w:rFonts w:ascii="Times New Roman" w:hAnsi="Times New Roman"/>
          <w:color w:val="auto"/>
          <w:sz w:val="28"/>
          <w:szCs w:val="28"/>
          <w:highlight w:val="none"/>
        </w:rPr>
        <w:t>城区，承接石家庄城市功能外溢，是石家庄市区重要组成部分，是主城区融合度最高的新区。作为省会西花园、都市副中心，高标准开展国土空间生态修复规划，需要全面深刻认识</w:t>
      </w:r>
      <w:r>
        <w:rPr>
          <w:rFonts w:hint="eastAsia" w:ascii="Times New Roman" w:hAnsi="Times New Roman"/>
          <w:color w:val="auto"/>
          <w:sz w:val="28"/>
          <w:szCs w:val="28"/>
          <w:highlight w:val="none"/>
          <w:lang w:val="en-US" w:eastAsia="zh-CN"/>
        </w:rPr>
        <w:t>鹿泉区</w:t>
      </w:r>
      <w:r>
        <w:rPr>
          <w:rFonts w:ascii="Times New Roman" w:hAnsi="Times New Roman"/>
          <w:color w:val="auto"/>
          <w:sz w:val="28"/>
          <w:szCs w:val="28"/>
          <w:highlight w:val="none"/>
        </w:rPr>
        <w:t>生态修复规划的基础。</w:t>
      </w:r>
    </w:p>
    <w:p w14:paraId="182A7981">
      <w:pPr>
        <w:pStyle w:val="6"/>
        <w:rPr>
          <w:rFonts w:hint="default" w:eastAsia="仿宋_GB2312"/>
          <w:color w:val="auto"/>
          <w:highlight w:val="none"/>
          <w:lang w:val="en-US" w:eastAsia="zh-CN"/>
        </w:rPr>
      </w:pPr>
      <w:bookmarkStart w:id="16" w:name="_Toc28814"/>
      <w:r>
        <w:rPr>
          <w:color w:val="auto"/>
          <w:highlight w:val="none"/>
        </w:rPr>
        <w:t>第一节自然</w:t>
      </w:r>
      <w:r>
        <w:rPr>
          <w:rFonts w:hint="eastAsia"/>
          <w:color w:val="auto"/>
          <w:highlight w:val="none"/>
          <w:lang w:val="en-US" w:eastAsia="zh-CN"/>
        </w:rPr>
        <w:t>生态现状</w:t>
      </w:r>
      <w:bookmarkEnd w:id="16"/>
    </w:p>
    <w:p w14:paraId="2C949D3F">
      <w:pPr>
        <w:pStyle w:val="23"/>
        <w:ind w:firstLine="562"/>
        <w:rPr>
          <w:rFonts w:ascii="Times New Roman" w:hAnsi="Times New Roman"/>
          <w:color w:val="auto"/>
          <w:sz w:val="28"/>
          <w:szCs w:val="28"/>
          <w:highlight w:val="none"/>
        </w:rPr>
      </w:pPr>
      <w:r>
        <w:rPr>
          <w:rFonts w:ascii="Times New Roman" w:hAnsi="Times New Roman"/>
          <w:b/>
          <w:bCs/>
          <w:color w:val="auto"/>
          <w:sz w:val="28"/>
          <w:szCs w:val="28"/>
          <w:highlight w:val="none"/>
        </w:rPr>
        <w:t>地形地貌多样</w:t>
      </w:r>
      <w:r>
        <w:rPr>
          <w:rFonts w:hint="eastAsia" w:ascii="Times New Roman" w:hAnsi="Times New Roman"/>
          <w:b/>
          <w:bCs/>
          <w:color w:val="auto"/>
          <w:sz w:val="28"/>
          <w:szCs w:val="28"/>
          <w:highlight w:val="none"/>
          <w:lang w:eastAsia="zh-CN"/>
        </w:rPr>
        <w:t>，</w:t>
      </w:r>
      <w:r>
        <w:rPr>
          <w:rFonts w:hint="eastAsia" w:ascii="Times New Roman" w:hAnsi="Times New Roman"/>
          <w:b/>
          <w:bCs/>
          <w:color w:val="auto"/>
          <w:sz w:val="28"/>
          <w:szCs w:val="28"/>
          <w:highlight w:val="none"/>
          <w:lang w:val="en-US" w:eastAsia="zh-CN"/>
        </w:rPr>
        <w:t>生态要素齐全</w:t>
      </w:r>
      <w:r>
        <w:rPr>
          <w:rFonts w:ascii="Times New Roman" w:hAnsi="Times New Roman"/>
          <w:b/>
          <w:bCs/>
          <w:color w:val="auto"/>
          <w:sz w:val="28"/>
          <w:szCs w:val="28"/>
          <w:highlight w:val="none"/>
        </w:rPr>
        <w:t>。</w:t>
      </w:r>
      <w:r>
        <w:rPr>
          <w:rFonts w:ascii="Times New Roman" w:hAnsi="Times New Roman"/>
          <w:color w:val="auto"/>
          <w:sz w:val="28"/>
          <w:szCs w:val="28"/>
          <w:highlight w:val="none"/>
        </w:rPr>
        <w:t>鹿泉区地处河北省中南部太行山脉与华北平原衔接地带，总体地势西高东低，低山、丘陵、平原各占三分之一</w:t>
      </w:r>
      <w:r>
        <w:rPr>
          <w:rFonts w:hint="default" w:ascii="Times New Roman" w:hAnsi="Times New Roman" w:eastAsia="仿宋_GB2312" w:cs="Times New Roman"/>
          <w:color w:val="auto"/>
          <w:kern w:val="2"/>
          <w:sz w:val="28"/>
          <w:szCs w:val="28"/>
          <w:highlight w:val="none"/>
          <w:lang w:val="en-US" w:eastAsia="zh-CN" w:bidi="ar-SA"/>
        </w:rPr>
        <w:t>，</w:t>
      </w:r>
      <w:r>
        <w:rPr>
          <w:rFonts w:ascii="Times New Roman" w:hAnsi="Times New Roman"/>
          <w:color w:val="auto"/>
          <w:sz w:val="28"/>
          <w:szCs w:val="28"/>
          <w:highlight w:val="none"/>
        </w:rPr>
        <w:t>地形地貌多样，类型完整</w:t>
      </w:r>
      <w:r>
        <w:rPr>
          <w:rFonts w:hint="eastAsia" w:ascii="Times New Roman" w:hAnsi="Times New Roman"/>
          <w:color w:val="auto"/>
          <w:sz w:val="28"/>
          <w:szCs w:val="28"/>
          <w:highlight w:val="none"/>
          <w:lang w:eastAsia="zh-CN"/>
        </w:rPr>
        <w:t>。</w:t>
      </w:r>
      <w:r>
        <w:rPr>
          <w:rFonts w:hint="default" w:ascii="Times New Roman" w:hAnsi="Times New Roman" w:eastAsia="仿宋_GB2312" w:cs="Times New Roman"/>
          <w:color w:val="auto"/>
          <w:kern w:val="2"/>
          <w:sz w:val="28"/>
          <w:szCs w:val="28"/>
          <w:highlight w:val="none"/>
          <w:lang w:val="en-US" w:eastAsia="zh-CN" w:bidi="ar-SA"/>
        </w:rPr>
        <w:t>林草资源丰富，水系廊道众多，属太行山山地生态屏障区，是</w:t>
      </w:r>
      <w:r>
        <w:rPr>
          <w:rFonts w:hint="eastAsia" w:ascii="Times New Roman" w:hAnsi="Times New Roman" w:cs="Times New Roman"/>
          <w:color w:val="auto"/>
          <w:kern w:val="2"/>
          <w:sz w:val="28"/>
          <w:szCs w:val="28"/>
          <w:highlight w:val="none"/>
          <w:lang w:val="en-US" w:eastAsia="zh-CN" w:bidi="ar-SA"/>
        </w:rPr>
        <w:t>石家庄市</w:t>
      </w:r>
      <w:r>
        <w:rPr>
          <w:rFonts w:hint="default" w:ascii="Times New Roman" w:hAnsi="Times New Roman" w:eastAsia="仿宋_GB2312" w:cs="Times New Roman"/>
          <w:color w:val="auto"/>
          <w:kern w:val="2"/>
          <w:sz w:val="28"/>
          <w:szCs w:val="28"/>
          <w:highlight w:val="none"/>
          <w:lang w:val="en-US" w:eastAsia="zh-CN" w:bidi="ar-SA"/>
        </w:rPr>
        <w:t>主要水源地，是省会西花园，生态功能重要。</w:t>
      </w:r>
    </w:p>
    <w:p w14:paraId="35D102DB">
      <w:pPr>
        <w:pStyle w:val="23"/>
        <w:ind w:firstLine="562"/>
        <w:rPr>
          <w:rFonts w:eastAsia="仿宋_GB2312" w:cs="Times New Roman"/>
          <w:b/>
          <w:bCs/>
          <w:sz w:val="28"/>
          <w:szCs w:val="28"/>
          <w:highlight w:val="none"/>
        </w:rPr>
      </w:pPr>
      <w:r>
        <w:rPr>
          <w:rFonts w:ascii="Times New Roman" w:hAnsi="Times New Roman"/>
          <w:b/>
          <w:bCs/>
          <w:sz w:val="28"/>
          <w:szCs w:val="28"/>
          <w:highlight w:val="none"/>
        </w:rPr>
        <w:t>植被类型分异明显</w:t>
      </w:r>
      <w:r>
        <w:rPr>
          <w:rFonts w:hint="eastAsia" w:ascii="Times New Roman" w:hAnsi="Times New Roman"/>
          <w:b/>
          <w:bCs/>
          <w:sz w:val="28"/>
          <w:szCs w:val="28"/>
          <w:highlight w:val="none"/>
          <w:lang w:eastAsia="zh-CN"/>
        </w:rPr>
        <w:t>，</w:t>
      </w:r>
      <w:r>
        <w:rPr>
          <w:rFonts w:eastAsia="仿宋_GB2312" w:cs="Times New Roman"/>
          <w:b/>
          <w:bCs/>
          <w:sz w:val="28"/>
          <w:szCs w:val="28"/>
          <w:highlight w:val="none"/>
        </w:rPr>
        <w:t>林草地面积</w:t>
      </w:r>
      <w:r>
        <w:rPr>
          <w:rFonts w:hint="eastAsia" w:cs="Times New Roman"/>
          <w:b/>
          <w:bCs/>
          <w:sz w:val="28"/>
          <w:szCs w:val="28"/>
          <w:highlight w:val="none"/>
          <w:lang w:val="en-US" w:eastAsia="zh-CN"/>
        </w:rPr>
        <w:t>大</w:t>
      </w:r>
      <w:r>
        <w:rPr>
          <w:rFonts w:ascii="Times New Roman" w:hAnsi="Times New Roman"/>
          <w:b/>
          <w:bCs/>
          <w:sz w:val="28"/>
          <w:szCs w:val="28"/>
          <w:highlight w:val="none"/>
        </w:rPr>
        <w:t>。</w:t>
      </w:r>
      <w:r>
        <w:rPr>
          <w:rFonts w:hint="eastAsia" w:ascii="Times New Roman" w:hAnsi="Times New Roman"/>
          <w:color w:val="auto"/>
          <w:sz w:val="28"/>
          <w:szCs w:val="28"/>
          <w:highlight w:val="none"/>
          <w:lang w:val="en-US" w:eastAsia="zh-CN"/>
        </w:rPr>
        <w:t>鹿泉</w:t>
      </w:r>
      <w:r>
        <w:rPr>
          <w:rFonts w:ascii="Times New Roman" w:hAnsi="Times New Roman"/>
          <w:color w:val="auto"/>
          <w:sz w:val="28"/>
          <w:szCs w:val="28"/>
          <w:highlight w:val="none"/>
        </w:rPr>
        <w:t>植被属暖温带落叶阔叶林，植被类型随水热条件变化分异明显，</w:t>
      </w:r>
      <w:r>
        <w:rPr>
          <w:rFonts w:hint="eastAsia" w:ascii="Times New Roman" w:hAnsi="Times New Roman"/>
          <w:color w:val="auto"/>
          <w:sz w:val="28"/>
          <w:szCs w:val="28"/>
          <w:highlight w:val="none"/>
        </w:rPr>
        <w:t>西部低山丘陵区有乔木、经济林、灌木等，东部平原区以乔木为主</w:t>
      </w:r>
      <w:r>
        <w:rPr>
          <w:rFonts w:ascii="Times New Roman" w:hAnsi="Times New Roman"/>
          <w:color w:val="auto"/>
          <w:sz w:val="28"/>
          <w:szCs w:val="28"/>
          <w:highlight w:val="none"/>
        </w:rPr>
        <w:t>。</w:t>
      </w:r>
      <w:r>
        <w:rPr>
          <w:rFonts w:ascii="Times New Roman" w:hAnsi="Times New Roman" w:eastAsia="仿宋_GB2312" w:cs="Times New Roman"/>
          <w:color w:val="auto"/>
          <w:kern w:val="2"/>
          <w:sz w:val="28"/>
          <w:szCs w:val="28"/>
          <w:highlight w:val="none"/>
          <w:lang w:val="en-US" w:eastAsia="zh-CN" w:bidi="ar-SA"/>
        </w:rPr>
        <w:t>2020年鹿泉区林地面积占全区总面积的23.27%，森林覆盖率31.69%；草地面积占全区总面积的4.69%，林草资源山区多、平原少，分布较为集中</w:t>
      </w:r>
      <w:r>
        <w:rPr>
          <w:rFonts w:hint="eastAsia" w:ascii="Times New Roman" w:hAnsi="Times New Roman" w:cs="Times New Roman"/>
          <w:color w:val="auto"/>
          <w:kern w:val="2"/>
          <w:sz w:val="28"/>
          <w:szCs w:val="28"/>
          <w:highlight w:val="none"/>
          <w:lang w:val="en-US" w:eastAsia="zh-CN" w:bidi="ar-SA"/>
        </w:rPr>
        <w:t>。</w:t>
      </w:r>
    </w:p>
    <w:p w14:paraId="08311B81">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河流水库</w:t>
      </w:r>
      <w:r>
        <w:rPr>
          <w:rFonts w:hint="eastAsia" w:eastAsia="仿宋_GB2312" w:cs="Times New Roman"/>
          <w:b/>
          <w:bCs/>
          <w:sz w:val="28"/>
          <w:szCs w:val="28"/>
          <w:highlight w:val="none"/>
          <w:lang w:val="en-US" w:eastAsia="zh-CN"/>
        </w:rPr>
        <w:t>众</w:t>
      </w:r>
      <w:r>
        <w:rPr>
          <w:rFonts w:eastAsia="仿宋_GB2312" w:cs="Times New Roman"/>
          <w:b/>
          <w:bCs/>
          <w:sz w:val="28"/>
          <w:szCs w:val="28"/>
          <w:highlight w:val="none"/>
        </w:rPr>
        <w:t>多，水资源条件好。</w:t>
      </w:r>
      <w:r>
        <w:rPr>
          <w:rFonts w:ascii="Times New Roman" w:hAnsi="Times New Roman" w:eastAsia="仿宋_GB2312" w:cs="Times New Roman"/>
          <w:color w:val="auto"/>
          <w:kern w:val="2"/>
          <w:sz w:val="28"/>
          <w:szCs w:val="28"/>
          <w:highlight w:val="none"/>
          <w:lang w:val="en-US" w:eastAsia="zh-CN" w:bidi="ar-SA"/>
        </w:rPr>
        <w:t>鹿泉区流域面积在20平方千米以上的河流有五条，分别是洨河、金河、太平河、古运河和滹沱河，均属海河流域子牙河水系。境内有大中小水库13座，其中大型水库1座（黄壁庄水库），南水北调中线总干渠跨越鹿泉区东部。平原区地下水层上下连通性好，富水性高，埋藏浅，西部山区的侧向补给条件较好，地下水恢复较快。</w:t>
      </w:r>
    </w:p>
    <w:p w14:paraId="557B4A2D">
      <w:pPr>
        <w:pStyle w:val="98"/>
        <w:ind w:left="0" w:leftChars="0"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矿产资源储量大，开发利用潜力高。</w:t>
      </w:r>
      <w:r>
        <w:rPr>
          <w:rFonts w:ascii="Times New Roman" w:hAnsi="Times New Roman" w:eastAsia="仿宋_GB2312" w:cs="Times New Roman"/>
          <w:color w:val="auto"/>
          <w:kern w:val="2"/>
          <w:sz w:val="28"/>
          <w:szCs w:val="28"/>
          <w:highlight w:val="none"/>
          <w:lang w:val="en-US" w:eastAsia="zh-CN" w:bidi="ar-SA"/>
        </w:rPr>
        <w:t>鹿泉区西部的山区、丘陵区蕴藏着丰富的矿产资源，水泥用灰岩是全区优势矿产。全区已查明并列入《2020年河北省矿产储量表》的固体矿产有4种，其中：冶金用白云岩矿保有资源量7665.9万吨，水泥用灰岩矿资源量76611万吨，水泥用石英砂岩矿资源量1887.9万吨，陶粒页岩矿资源量5287万吨，开发利用潜力大。境内建有年产百万吨规模的金隅鼎鑫水泥有限公司、曲寨水泥有限公司。</w:t>
      </w:r>
    </w:p>
    <w:p w14:paraId="7B12850D">
      <w:pPr>
        <w:pStyle w:val="98"/>
        <w:ind w:left="0" w:leftChars="0"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耕地分布较集中，整体质量不高。</w:t>
      </w:r>
      <w:r>
        <w:rPr>
          <w:rFonts w:ascii="Times New Roman" w:hAnsi="Times New Roman" w:eastAsia="仿宋_GB2312" w:cs="Times New Roman"/>
          <w:color w:val="auto"/>
          <w:kern w:val="2"/>
          <w:sz w:val="28"/>
          <w:szCs w:val="28"/>
          <w:highlight w:val="none"/>
          <w:lang w:val="en-US" w:eastAsia="zh-CN" w:bidi="ar-SA"/>
        </w:rPr>
        <w:t>鹿泉区2020年现状耕地面积148.80平方千米，占全区总面积的24.24%，包括水浇地140.17平方千米、旱地8.63平方千米，分布较集中，主要分布在平原区、山区河谷地带。耕地质量等别8-14等，其中13-14等占比20.95%，耕地整体质量不高。</w:t>
      </w:r>
    </w:p>
    <w:p w14:paraId="1B5ED2FF">
      <w:pPr>
        <w:ind w:firstLine="562"/>
        <w:jc w:val="left"/>
        <w:rPr>
          <w:rFonts w:ascii="Times New Roman" w:hAnsi="Times New Roman" w:eastAsia="仿宋_GB2312" w:cs="Times New Roman"/>
          <w:color w:val="auto"/>
          <w:kern w:val="2"/>
          <w:sz w:val="28"/>
          <w:szCs w:val="28"/>
          <w:highlight w:val="none"/>
          <w:lang w:val="en-US" w:eastAsia="zh-CN" w:bidi="ar-SA"/>
        </w:rPr>
      </w:pPr>
      <w:bookmarkStart w:id="17" w:name="OLE_LINK51"/>
      <w:r>
        <w:rPr>
          <w:rFonts w:hint="eastAsia" w:eastAsia="仿宋_GB2312" w:cs="Times New Roman"/>
          <w:b/>
          <w:bCs/>
          <w:sz w:val="28"/>
          <w:szCs w:val="28"/>
          <w:highlight w:val="none"/>
          <w:lang w:val="en-US" w:eastAsia="zh-CN"/>
        </w:rPr>
        <w:t>生物多样性丰富</w:t>
      </w:r>
      <w:r>
        <w:rPr>
          <w:rFonts w:eastAsia="仿宋_GB2312" w:cs="Times New Roman"/>
          <w:b/>
          <w:bCs/>
          <w:sz w:val="28"/>
          <w:szCs w:val="28"/>
          <w:highlight w:val="none"/>
        </w:rPr>
        <w:t>，植被</w:t>
      </w:r>
      <w:r>
        <w:rPr>
          <w:rFonts w:hint="eastAsia" w:eastAsia="仿宋_GB2312" w:cs="Times New Roman"/>
          <w:b/>
          <w:bCs/>
          <w:sz w:val="28"/>
          <w:szCs w:val="28"/>
          <w:highlight w:val="none"/>
          <w:lang w:val="en-US" w:eastAsia="zh-CN"/>
        </w:rPr>
        <w:t>类型繁多</w:t>
      </w:r>
      <w:r>
        <w:rPr>
          <w:rFonts w:eastAsia="仿宋_GB2312" w:cs="Times New Roman"/>
          <w:b/>
          <w:bCs/>
          <w:sz w:val="28"/>
          <w:szCs w:val="28"/>
          <w:highlight w:val="none"/>
        </w:rPr>
        <w:t>。</w:t>
      </w:r>
      <w:bookmarkEnd w:id="17"/>
      <w:r>
        <w:rPr>
          <w:rFonts w:ascii="Times New Roman" w:hAnsi="Times New Roman" w:eastAsia="仿宋_GB2312" w:cs="Times New Roman"/>
          <w:color w:val="auto"/>
          <w:kern w:val="2"/>
          <w:sz w:val="28"/>
          <w:szCs w:val="28"/>
          <w:highlight w:val="none"/>
          <w:lang w:val="en-US" w:eastAsia="zh-CN" w:bidi="ar-SA"/>
        </w:rPr>
        <w:t>鹿泉区野生动物以鸟类最多，其次是兽类，两栖类及爬行类较少。鸟类、兽类等主要分布在西部太行山区，水生动物主要分布在滹沱河自然保护区和黄壁庄水库等。植物资源主要集中在西部太行山区</w:t>
      </w:r>
      <w:r>
        <w:rPr>
          <w:rFonts w:hint="eastAsia"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植被类型繁多</w:t>
      </w:r>
      <w:r>
        <w:rPr>
          <w:rFonts w:hint="eastAsia"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树种以落叶树种为主，现有园林植物148种，涉及56个科。草场分山地草甸类、山地灌木类、丘陵草丛类草场和低温草甸草场四类。</w:t>
      </w:r>
    </w:p>
    <w:p w14:paraId="1A425BD4">
      <w:pPr>
        <w:pStyle w:val="6"/>
        <w:rPr>
          <w:color w:val="auto"/>
          <w:highlight w:val="none"/>
        </w:rPr>
      </w:pPr>
      <w:bookmarkStart w:id="18" w:name="_Toc16224"/>
      <w:r>
        <w:rPr>
          <w:color w:val="auto"/>
          <w:highlight w:val="none"/>
        </w:rPr>
        <w:t>第二节生态修复工作成效</w:t>
      </w:r>
      <w:bookmarkEnd w:id="18"/>
    </w:p>
    <w:p w14:paraId="7C303AD3">
      <w:pPr>
        <w:pStyle w:val="23"/>
        <w:ind w:firstLine="560"/>
        <w:jc w:val="left"/>
        <w:rPr>
          <w:rFonts w:ascii="Times New Roman" w:hAnsi="Times New Roman"/>
          <w:color w:val="auto"/>
          <w:sz w:val="28"/>
          <w:szCs w:val="28"/>
          <w:highlight w:val="none"/>
        </w:rPr>
      </w:pPr>
      <w:r>
        <w:rPr>
          <w:rFonts w:eastAsia="仿宋_GB2312" w:cs="Times New Roman"/>
          <w:b/>
          <w:sz w:val="28"/>
          <w:szCs w:val="28"/>
          <w:highlight w:val="none"/>
        </w:rPr>
        <w:t>太行山绿化工程</w:t>
      </w:r>
      <w:r>
        <w:rPr>
          <w:rFonts w:hint="eastAsia" w:cs="Times New Roman"/>
          <w:b/>
          <w:sz w:val="28"/>
          <w:szCs w:val="28"/>
          <w:highlight w:val="none"/>
          <w:lang w:val="en-US" w:eastAsia="zh-CN"/>
        </w:rPr>
        <w:t>已见初步成效</w:t>
      </w:r>
      <w:r>
        <w:rPr>
          <w:rFonts w:eastAsia="仿宋_GB2312" w:cs="Times New Roman"/>
          <w:b/>
          <w:sz w:val="28"/>
          <w:szCs w:val="28"/>
          <w:highlight w:val="none"/>
        </w:rPr>
        <w:t>。</w:t>
      </w:r>
      <w:r>
        <w:rPr>
          <w:rFonts w:ascii="Times New Roman" w:hAnsi="Times New Roman"/>
          <w:color w:val="auto"/>
          <w:sz w:val="28"/>
          <w:szCs w:val="28"/>
          <w:highlight w:val="none"/>
        </w:rPr>
        <w:t>为全面贯彻落实</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绿水青山就是金山银山</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的发展理念，加快生态文明建设，鹿泉区委区政府因地制宜的引导实施人工造林、封山育林，全面绿化、美化太行山。</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十三五</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期间，累计完成人工造林88.33平方千米，封山育林66.67平方千米，全区山场植被覆盖率得到提升，水源涵养能力显著增强。</w:t>
      </w:r>
    </w:p>
    <w:p w14:paraId="207F4B90">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高标准打造山前大道百里景观带，完成京赞线、环抱路等30余条道路景观提升，提升改造十里花廊、海山公园等</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一廊八园</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，十里花廊、山前大道生态环境综合整治项目、龙泉湖垃圾整治生态修复项目荣获</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河北省人居环境范例奖</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w:t>
      </w:r>
    </w:p>
    <w:p w14:paraId="0DC99C52">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河道整治工程</w:t>
      </w:r>
      <w:r>
        <w:rPr>
          <w:rFonts w:hint="eastAsia" w:eastAsia="仿宋_GB2312" w:cs="Times New Roman"/>
          <w:b/>
          <w:sz w:val="28"/>
          <w:szCs w:val="28"/>
          <w:highlight w:val="none"/>
          <w:lang w:val="en-US" w:eastAsia="zh-CN"/>
        </w:rPr>
        <w:t>形成水系治理新格局</w:t>
      </w:r>
      <w:r>
        <w:rPr>
          <w:rFonts w:eastAsia="仿宋_GB2312" w:cs="Times New Roman"/>
          <w:b/>
          <w:sz w:val="28"/>
          <w:szCs w:val="28"/>
          <w:highlight w:val="none"/>
        </w:rPr>
        <w:t>。</w:t>
      </w:r>
      <w:r>
        <w:rPr>
          <w:rFonts w:ascii="Times New Roman" w:hAnsi="Times New Roman" w:eastAsia="仿宋_GB2312" w:cs="Times New Roman"/>
          <w:color w:val="auto"/>
          <w:kern w:val="2"/>
          <w:sz w:val="28"/>
          <w:szCs w:val="28"/>
          <w:highlight w:val="none"/>
          <w:lang w:val="en-US" w:eastAsia="zh-CN" w:bidi="ar-SA"/>
        </w:rPr>
        <w:t>深入落实河长制，全面开展河道整治工程，完成滹沱河生态修复三期工程（鹿泉区）、洨河鹿泉段治理工程（一期）、河北省石家庄市鹿泉区水系连通及水美乡村建设试点（古运河）等，累计治理河道44千米。工程改善了河道生态环境、回灌了地下水资源，同时，保障了沿河两岸防洪安全，恢复了河道两岸水清岸绿的自然风光，构建了主轴带动整体、多点联动的水系治理新格局。</w:t>
      </w:r>
    </w:p>
    <w:p w14:paraId="146BB3F8">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土地综合整治</w:t>
      </w:r>
      <w:r>
        <w:rPr>
          <w:rFonts w:hint="eastAsia" w:eastAsia="仿宋_GB2312" w:cs="Times New Roman"/>
          <w:b/>
          <w:sz w:val="28"/>
          <w:szCs w:val="28"/>
          <w:highlight w:val="none"/>
          <w:lang w:val="en-US" w:eastAsia="zh-CN"/>
        </w:rPr>
        <w:t>优化土地利用结构</w:t>
      </w:r>
      <w:r>
        <w:rPr>
          <w:rFonts w:eastAsia="仿宋_GB2312" w:cs="Times New Roman"/>
          <w:b/>
          <w:sz w:val="28"/>
          <w:szCs w:val="28"/>
          <w:highlight w:val="none"/>
        </w:rPr>
        <w:t>。</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十三五</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期间，鹿泉区实施土地整治项目，整治面积0.54平方千米，新增耕地面积0.25平方千米，建成高标准农田46.32平方千米。通过土地整治和高标准农田项目的实施，完善了农田基础设施，优化了土地利用结构，提升了耕地质量和农田生态系统防护能力。</w:t>
      </w:r>
    </w:p>
    <w:p w14:paraId="5B9D1AD0">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完成地下水超采压减任务。</w:t>
      </w:r>
      <w:r>
        <w:rPr>
          <w:rFonts w:ascii="Times New Roman" w:hAnsi="Times New Roman" w:eastAsia="仿宋_GB2312" w:cs="Times New Roman"/>
          <w:color w:val="auto"/>
          <w:kern w:val="2"/>
          <w:sz w:val="28"/>
          <w:szCs w:val="28"/>
          <w:highlight w:val="none"/>
          <w:lang w:val="en-US" w:eastAsia="zh-CN" w:bidi="ar-SA"/>
        </w:rPr>
        <w:t>鹿泉区属于水资源富集地区，年平均降雨量537.7毫米，多年平均水资源总量17385万立方米，多年平均地下水资源量14160万立方米。2020年总用水量14401.993万立方米，地表水用水量占比67.71%，累计完成地下水超采压减量2188万立方米。</w:t>
      </w:r>
    </w:p>
    <w:p w14:paraId="631A6F4F">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矿山修复取得阶段成果。</w:t>
      </w:r>
      <w:r>
        <w:rPr>
          <w:rFonts w:hint="eastAsia" w:ascii="Times New Roman" w:hAnsi="Times New Roman" w:eastAsia="仿宋_GB2312" w:cs="Times New Roman"/>
          <w:color w:val="auto"/>
          <w:kern w:val="2"/>
          <w:sz w:val="28"/>
          <w:szCs w:val="28"/>
          <w:highlight w:val="none"/>
          <w:lang w:val="en-US" w:eastAsia="zh-CN" w:bidi="ar-SA"/>
        </w:rPr>
        <w:t>根据《</w:t>
      </w:r>
      <w:r>
        <w:rPr>
          <w:rFonts w:hint="default" w:ascii="Times New Roman" w:hAnsi="Times New Roman" w:eastAsia="仿宋_GB2312" w:cs="Times New Roman"/>
          <w:color w:val="auto"/>
          <w:kern w:val="2"/>
          <w:sz w:val="28"/>
          <w:szCs w:val="28"/>
          <w:highlight w:val="none"/>
          <w:lang w:val="en-US" w:eastAsia="zh-CN" w:bidi="ar-SA"/>
        </w:rPr>
        <w:t>石家庄市鹿泉区国民经济和社会发展第十四个五年规划和二〇三五年远景目标纲要</w:t>
      </w:r>
      <w:r>
        <w:rPr>
          <w:rFonts w:hint="eastAsia" w:ascii="Times New Roman" w:hAnsi="Times New Roman" w:eastAsia="仿宋_GB2312" w:cs="Times New Roman"/>
          <w:color w:val="auto"/>
          <w:kern w:val="2"/>
          <w:sz w:val="28"/>
          <w:szCs w:val="28"/>
          <w:highlight w:val="none"/>
          <w:lang w:val="en-US" w:eastAsia="zh-CN" w:bidi="ar-SA"/>
        </w:rPr>
        <w:t>》</w:t>
      </w:r>
      <w:r>
        <w:rPr>
          <w:rFonts w:hint="eastAsia" w:eastAsia="仿宋_GB2312" w:cs="Times New Roman"/>
          <w:color w:val="auto"/>
          <w:kern w:val="2"/>
          <w:sz w:val="28"/>
          <w:szCs w:val="28"/>
          <w:highlight w:val="none"/>
          <w:lang w:val="en-US" w:eastAsia="zh-CN" w:bidi="ar-SA"/>
        </w:rPr>
        <w:t>统计</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十三五</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期间共完成44处责任主体灭失矿山修复工程，治理水土流失面积18.5平方公里。恢复和改善矿山地质环境和生态环境，使废弃矿山得到合理规划，矿山地质环境问题得到了有效治理，具备良好社会效益、经济效益和生态效益。</w:t>
      </w:r>
    </w:p>
    <w:p w14:paraId="4819694D">
      <w:pPr>
        <w:ind w:firstLine="562"/>
        <w:jc w:val="left"/>
        <w:rPr>
          <w:rFonts w:eastAsia="仿宋_GB2312" w:cs="Times New Roman"/>
          <w:highlight w:val="none"/>
        </w:rPr>
      </w:pPr>
      <w:r>
        <w:rPr>
          <w:rFonts w:eastAsia="仿宋_GB2312" w:cs="Times New Roman"/>
          <w:b/>
          <w:sz w:val="28"/>
          <w:szCs w:val="28"/>
          <w:highlight w:val="none"/>
        </w:rPr>
        <w:t>小流域治理增强水源涵养能力。</w:t>
      </w:r>
      <w:r>
        <w:rPr>
          <w:rFonts w:ascii="Times New Roman" w:hAnsi="Times New Roman" w:eastAsia="仿宋_GB2312" w:cs="Times New Roman"/>
          <w:color w:val="auto"/>
          <w:kern w:val="2"/>
          <w:sz w:val="28"/>
          <w:szCs w:val="28"/>
          <w:highlight w:val="none"/>
          <w:lang w:val="en-US" w:eastAsia="zh-CN" w:bidi="ar-SA"/>
        </w:rPr>
        <w:t>采取山水林田湖草</w:t>
      </w:r>
      <w:r>
        <w:rPr>
          <w:rFonts w:hint="eastAsia" w:eastAsia="仿宋_GB2312" w:cs="Times New Roman"/>
          <w:color w:val="auto"/>
          <w:kern w:val="2"/>
          <w:sz w:val="28"/>
          <w:szCs w:val="28"/>
          <w:highlight w:val="none"/>
          <w:lang w:val="en-US" w:eastAsia="zh-CN" w:bidi="ar-SA"/>
        </w:rPr>
        <w:t>沙</w:t>
      </w:r>
      <w:r>
        <w:rPr>
          <w:rFonts w:ascii="Times New Roman" w:hAnsi="Times New Roman" w:eastAsia="仿宋_GB2312" w:cs="Times New Roman"/>
          <w:color w:val="auto"/>
          <w:kern w:val="2"/>
          <w:sz w:val="28"/>
          <w:szCs w:val="28"/>
          <w:highlight w:val="none"/>
          <w:lang w:val="en-US" w:eastAsia="zh-CN" w:bidi="ar-SA"/>
        </w:rPr>
        <w:t>综合治理，以及一系列绿化工程措施，鹿泉区森林覆盖率不断提升，土壤蓄水保土能力有所提高，缓洪减灾能力日益增强，土壤流失明显减少，有效拦截了进入河湖库的泥沙。近年来，鹿泉区水土保持工程建设年减少土壤侵蚀量可达3万吨，增加蓄水能力3万立方米，水源涵养能力日益增强。</w:t>
      </w:r>
    </w:p>
    <w:p w14:paraId="595D39E2">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美丽乡村建设</w:t>
      </w:r>
      <w:r>
        <w:rPr>
          <w:rFonts w:hint="eastAsia" w:eastAsia="仿宋_GB2312" w:cs="Times New Roman"/>
          <w:b/>
          <w:sz w:val="28"/>
          <w:szCs w:val="28"/>
          <w:highlight w:val="none"/>
          <w:lang w:val="en-US" w:eastAsia="zh-CN"/>
        </w:rPr>
        <w:t>取得亮眼成绩</w:t>
      </w:r>
      <w:r>
        <w:rPr>
          <w:rFonts w:eastAsia="仿宋_GB2312" w:cs="Times New Roman"/>
          <w:b/>
          <w:sz w:val="28"/>
          <w:szCs w:val="28"/>
          <w:highlight w:val="none"/>
        </w:rPr>
        <w:t>。</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十三五</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期间全区大力实施农村人居环境整治提升，完成污水治理69个村，建成市级以上美丽乡村59个，村庄绿化率达到30％以上，谷家峪等5个村被评为省级森林乡村，鹿泉全域被列为省级新型城镇化与城乡统筹发展示范区试点。</w:t>
      </w:r>
    </w:p>
    <w:p w14:paraId="268D9580">
      <w:pPr>
        <w:pStyle w:val="6"/>
        <w:rPr>
          <w:rFonts w:hint="eastAsia" w:eastAsia="仿宋_GB2312"/>
          <w:color w:val="auto"/>
          <w:highlight w:val="none"/>
          <w:lang w:val="en-US" w:eastAsia="zh-CN"/>
        </w:rPr>
      </w:pPr>
      <w:bookmarkStart w:id="19" w:name="_Toc2461"/>
      <w:r>
        <w:rPr>
          <w:color w:val="auto"/>
          <w:highlight w:val="none"/>
        </w:rPr>
        <w:t>第三节存在的主要</w:t>
      </w:r>
      <w:r>
        <w:rPr>
          <w:rFonts w:hint="eastAsia"/>
          <w:color w:val="auto"/>
          <w:highlight w:val="none"/>
          <w:lang w:val="en-US" w:eastAsia="zh-CN"/>
        </w:rPr>
        <w:t>问题</w:t>
      </w:r>
      <w:bookmarkEnd w:id="19"/>
    </w:p>
    <w:p w14:paraId="3D473684">
      <w:pPr>
        <w:pStyle w:val="23"/>
        <w:ind w:firstLine="560"/>
        <w:jc w:val="left"/>
        <w:rPr>
          <w:rFonts w:ascii="Times New Roman" w:hAnsi="Times New Roman"/>
          <w:sz w:val="28"/>
          <w:szCs w:val="28"/>
          <w:highlight w:val="none"/>
        </w:rPr>
      </w:pPr>
      <w:r>
        <w:rPr>
          <w:rFonts w:ascii="Times New Roman" w:hAnsi="Times New Roman"/>
          <w:sz w:val="28"/>
          <w:szCs w:val="28"/>
          <w:highlight w:val="none"/>
        </w:rPr>
        <w:t>（一）生态空间问题</w:t>
      </w:r>
    </w:p>
    <w:p w14:paraId="183EB93D">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color w:val="auto"/>
          <w:sz w:val="28"/>
          <w:szCs w:val="28"/>
          <w:highlight w:val="none"/>
        </w:rPr>
        <w:t>部分林地质量</w:t>
      </w:r>
      <w:r>
        <w:rPr>
          <w:rFonts w:eastAsia="仿宋_GB2312" w:cs="Times New Roman"/>
          <w:b/>
          <w:bCs/>
          <w:sz w:val="28"/>
          <w:szCs w:val="28"/>
          <w:highlight w:val="none"/>
        </w:rPr>
        <w:t>不高</w:t>
      </w:r>
      <w:r>
        <w:rPr>
          <w:rFonts w:hint="eastAsia" w:eastAsia="仿宋_GB2312" w:cs="Times New Roman"/>
          <w:b/>
          <w:bCs/>
          <w:sz w:val="28"/>
          <w:szCs w:val="28"/>
          <w:highlight w:val="none"/>
          <w:lang w:eastAsia="zh-CN"/>
        </w:rPr>
        <w:t>，</w:t>
      </w:r>
      <w:r>
        <w:rPr>
          <w:rFonts w:hint="eastAsia" w:eastAsia="仿宋_GB2312" w:cs="Times New Roman"/>
          <w:b/>
          <w:bCs/>
          <w:sz w:val="28"/>
          <w:szCs w:val="28"/>
          <w:highlight w:val="none"/>
          <w:lang w:val="en-US" w:eastAsia="zh-CN"/>
        </w:rPr>
        <w:t>分布不均匀</w:t>
      </w:r>
      <w:r>
        <w:rPr>
          <w:rFonts w:eastAsia="仿宋_GB2312" w:cs="Times New Roman"/>
          <w:b/>
          <w:bCs/>
          <w:sz w:val="28"/>
          <w:szCs w:val="28"/>
          <w:highlight w:val="none"/>
        </w:rPr>
        <w:t>。</w:t>
      </w:r>
      <w:r>
        <w:rPr>
          <w:rFonts w:ascii="Times New Roman" w:hAnsi="Times New Roman" w:eastAsia="仿宋_GB2312" w:cs="Times New Roman"/>
          <w:color w:val="auto"/>
          <w:kern w:val="2"/>
          <w:sz w:val="28"/>
          <w:szCs w:val="28"/>
          <w:highlight w:val="none"/>
          <w:lang w:val="en-US" w:eastAsia="zh-CN" w:bidi="ar-SA"/>
        </w:rPr>
        <w:t>区内森林资源较为充足，但天然林较少，呈零星分布，主要为人工次生林，幼、中龄林地占比较大，存在林木种类简单、林下生物多样性贫乏、抵御灾害和碳汇服务能力较弱、后期抚育措施少、森林生态服务功能较低等问题。</w:t>
      </w:r>
    </w:p>
    <w:p w14:paraId="34A256DB">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河流水面淤塞，水体流动性差。</w:t>
      </w:r>
      <w:r>
        <w:rPr>
          <w:rFonts w:ascii="Times New Roman" w:hAnsi="Times New Roman" w:eastAsia="仿宋_GB2312" w:cs="Times New Roman"/>
          <w:color w:val="auto"/>
          <w:kern w:val="2"/>
          <w:sz w:val="28"/>
          <w:szCs w:val="28"/>
          <w:highlight w:val="none"/>
          <w:lang w:val="en-US" w:eastAsia="zh-CN" w:bidi="ar-SA"/>
        </w:rPr>
        <w:t>区内河流众多，均为季节性河流，年内年际流量变化大。由于河道常年干涸无水，导致河道被挤占、淤塞、防洪能力差，河流生态廊道功能有待提升。</w:t>
      </w:r>
    </w:p>
    <w:p w14:paraId="6F9034B1">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水土流失依然存在，且分布集中。</w:t>
      </w:r>
      <w:r>
        <w:rPr>
          <w:rFonts w:ascii="Times New Roman" w:hAnsi="Times New Roman" w:eastAsia="仿宋_GB2312" w:cs="Times New Roman"/>
          <w:color w:val="auto"/>
          <w:kern w:val="2"/>
          <w:sz w:val="28"/>
          <w:szCs w:val="28"/>
          <w:highlight w:val="none"/>
          <w:lang w:val="en-US" w:eastAsia="zh-CN" w:bidi="ar-SA"/>
        </w:rPr>
        <w:t>由于山场立地条件差，土层薄，裸岩多，汛期暴雨集中，易造成水土流失。水土流失以水力侵蚀为主，主要表现为坡面面蚀，程度为轻度。主要分布在石井乡、白鹿泉乡、上寨乡、宜安镇，水土流失占比近65%。</w:t>
      </w:r>
    </w:p>
    <w:p w14:paraId="1474BA0A">
      <w:pPr>
        <w:pStyle w:val="98"/>
        <w:ind w:left="0" w:leftChars="0"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color w:val="auto"/>
          <w:sz w:val="28"/>
          <w:szCs w:val="28"/>
          <w:highlight w:val="none"/>
        </w:rPr>
        <w:t>生物多样性具有过渡性，次生性明显。</w:t>
      </w:r>
      <w:r>
        <w:rPr>
          <w:rFonts w:ascii="Times New Roman" w:hAnsi="Times New Roman" w:eastAsia="仿宋_GB2312" w:cs="Times New Roman"/>
          <w:color w:val="auto"/>
          <w:kern w:val="2"/>
          <w:sz w:val="28"/>
          <w:szCs w:val="28"/>
          <w:highlight w:val="none"/>
          <w:lang w:val="en-US" w:eastAsia="zh-CN" w:bidi="ar-SA"/>
        </w:rPr>
        <w:t>鹿泉区地理位置处于邻近地区植物区系的交汇点，植物区系具有过渡性，自然生态系统次生性明显，人工生态系统为主体。物种种类主要表现西部山区多，东部中心城区少。西部山地森林生态系统</w:t>
      </w:r>
      <w:r>
        <w:rPr>
          <w:rFonts w:hint="eastAsia" w:eastAsia="仿宋_GB2312" w:cs="Times New Roman"/>
          <w:color w:val="auto"/>
          <w:kern w:val="2"/>
          <w:sz w:val="28"/>
          <w:szCs w:val="28"/>
          <w:highlight w:val="none"/>
          <w:lang w:val="en-US" w:eastAsia="zh-CN" w:bidi="ar-SA"/>
        </w:rPr>
        <w:t>环</w:t>
      </w:r>
      <w:r>
        <w:rPr>
          <w:rFonts w:ascii="Times New Roman" w:hAnsi="Times New Roman" w:eastAsia="仿宋_GB2312" w:cs="Times New Roman"/>
          <w:color w:val="auto"/>
          <w:kern w:val="2"/>
          <w:sz w:val="28"/>
          <w:szCs w:val="28"/>
          <w:highlight w:val="none"/>
          <w:lang w:val="en-US" w:eastAsia="zh-CN" w:bidi="ar-SA"/>
        </w:rPr>
        <w:t>境复杂，</w:t>
      </w:r>
      <w:r>
        <w:rPr>
          <w:rFonts w:hint="eastAsia" w:eastAsia="仿宋_GB2312" w:cs="Times New Roman"/>
          <w:color w:val="auto"/>
          <w:kern w:val="2"/>
          <w:sz w:val="28"/>
          <w:szCs w:val="28"/>
          <w:highlight w:val="none"/>
          <w:lang w:val="en-US" w:eastAsia="zh-CN" w:bidi="ar-SA"/>
        </w:rPr>
        <w:t>环</w:t>
      </w:r>
      <w:r>
        <w:rPr>
          <w:rFonts w:ascii="Times New Roman" w:hAnsi="Times New Roman" w:eastAsia="仿宋_GB2312" w:cs="Times New Roman"/>
          <w:color w:val="auto"/>
          <w:kern w:val="2"/>
          <w:sz w:val="28"/>
          <w:szCs w:val="28"/>
          <w:highlight w:val="none"/>
          <w:lang w:val="en-US" w:eastAsia="zh-CN" w:bidi="ar-SA"/>
        </w:rPr>
        <w:t>境保存完整，破坏性小，生物种类丰富。</w:t>
      </w:r>
    </w:p>
    <w:p w14:paraId="22DBBECE">
      <w:pPr>
        <w:pStyle w:val="23"/>
        <w:ind w:firstLine="560"/>
        <w:jc w:val="left"/>
        <w:rPr>
          <w:rFonts w:ascii="Times New Roman" w:hAnsi="Times New Roman"/>
          <w:sz w:val="28"/>
          <w:szCs w:val="28"/>
          <w:highlight w:val="none"/>
        </w:rPr>
      </w:pPr>
      <w:r>
        <w:rPr>
          <w:rFonts w:ascii="Times New Roman" w:hAnsi="Times New Roman"/>
          <w:sz w:val="28"/>
          <w:szCs w:val="28"/>
          <w:highlight w:val="none"/>
        </w:rPr>
        <w:t>（二）</w:t>
      </w:r>
      <w:r>
        <w:rPr>
          <w:rFonts w:hint="eastAsia" w:ascii="Times New Roman" w:hAnsi="Times New Roman"/>
          <w:sz w:val="28"/>
          <w:szCs w:val="28"/>
          <w:highlight w:val="none"/>
          <w:lang w:val="en-US" w:eastAsia="zh-CN"/>
        </w:rPr>
        <w:t>农业</w:t>
      </w:r>
      <w:r>
        <w:rPr>
          <w:rFonts w:ascii="Times New Roman" w:hAnsi="Times New Roman"/>
          <w:sz w:val="28"/>
          <w:szCs w:val="28"/>
          <w:highlight w:val="none"/>
        </w:rPr>
        <w:t>空间生态问题</w:t>
      </w:r>
    </w:p>
    <w:p w14:paraId="015E7423">
      <w:pPr>
        <w:pStyle w:val="23"/>
        <w:ind w:firstLine="562"/>
        <w:jc w:val="left"/>
        <w:rPr>
          <w:rFonts w:ascii="Times New Roman" w:hAnsi="Times New Roman"/>
          <w:color w:val="auto"/>
          <w:sz w:val="28"/>
          <w:szCs w:val="28"/>
          <w:highlight w:val="none"/>
        </w:rPr>
      </w:pPr>
      <w:r>
        <w:rPr>
          <w:rFonts w:ascii="Times New Roman" w:hAnsi="Times New Roman"/>
          <w:b/>
          <w:bCs/>
          <w:sz w:val="28"/>
          <w:szCs w:val="28"/>
          <w:highlight w:val="none"/>
        </w:rPr>
        <w:t>耕地质量较低，田块破碎。</w:t>
      </w:r>
      <w:r>
        <w:rPr>
          <w:rFonts w:ascii="Times New Roman" w:hAnsi="Times New Roman"/>
          <w:color w:val="auto"/>
          <w:sz w:val="28"/>
          <w:szCs w:val="28"/>
          <w:highlight w:val="none"/>
        </w:rPr>
        <w:t>鹿泉区境内耕地国家利用等介于8-14等，其中高等地（耕地等别8等）仅占区域耕地总面积的7.09%；中等地（耕地等别9-12等）约占区域耕地总面积的71.96%，低等地（耕地等别13-14等）约占区域耕地总面积的20.95%。近年来，随着石家庄城市功能外溢，鹿泉区城镇化进程加快，城市建设特别是线性工程建设不可避免占用耕地，使得耕地破碎化。</w:t>
      </w:r>
    </w:p>
    <w:p w14:paraId="44297D41">
      <w:pPr>
        <w:pStyle w:val="23"/>
        <w:ind w:firstLine="562"/>
        <w:jc w:val="left"/>
        <w:rPr>
          <w:rFonts w:ascii="Times New Roman" w:hAnsi="Times New Roman"/>
          <w:sz w:val="28"/>
          <w:szCs w:val="28"/>
          <w:highlight w:val="none"/>
        </w:rPr>
      </w:pPr>
      <w:r>
        <w:rPr>
          <w:rFonts w:ascii="Times New Roman" w:hAnsi="Times New Roman"/>
          <w:b/>
          <w:bCs/>
          <w:sz w:val="28"/>
          <w:szCs w:val="28"/>
          <w:highlight w:val="none"/>
        </w:rPr>
        <w:t>土壤条件差，农业种植结构单一。</w:t>
      </w:r>
      <w:r>
        <w:rPr>
          <w:rFonts w:ascii="Times New Roman" w:hAnsi="Times New Roman"/>
          <w:color w:val="auto"/>
          <w:sz w:val="28"/>
          <w:szCs w:val="28"/>
          <w:highlight w:val="none"/>
        </w:rPr>
        <w:t>鹿泉区3级坡度以上耕地占耕地总面积的3.53%，沿太行山分布，土壤类型主要是褐土，土壤蓄水保肥能力较差，坡耕地的耕作极易破坏土体结构，导致土层变薄，肥力降低，加剧水土流失风险。农业种植结构单一，用养结合不足，</w:t>
      </w:r>
      <w:r>
        <w:rPr>
          <w:rFonts w:hint="eastAsia" w:ascii="Times New Roman" w:hAnsi="Times New Roman"/>
          <w:color w:val="auto"/>
          <w:sz w:val="28"/>
          <w:szCs w:val="28"/>
          <w:highlight w:val="none"/>
          <w:lang w:eastAsia="zh-CN"/>
        </w:rPr>
        <w:t>环</w:t>
      </w:r>
      <w:r>
        <w:rPr>
          <w:rFonts w:ascii="Times New Roman" w:hAnsi="Times New Roman"/>
          <w:color w:val="auto"/>
          <w:sz w:val="28"/>
          <w:szCs w:val="28"/>
          <w:highlight w:val="none"/>
        </w:rPr>
        <w:t>境丰富度下降，存在撂荒、闲置土地现象，对于保障区域粮食安全与严守耕地红线存在威胁。</w:t>
      </w:r>
    </w:p>
    <w:p w14:paraId="13DFDE21">
      <w:pPr>
        <w:pStyle w:val="23"/>
        <w:ind w:firstLine="560"/>
        <w:jc w:val="left"/>
        <w:rPr>
          <w:rFonts w:ascii="Times New Roman" w:hAnsi="Times New Roman"/>
          <w:color w:val="auto"/>
          <w:sz w:val="28"/>
          <w:szCs w:val="28"/>
          <w:highlight w:val="none"/>
        </w:rPr>
      </w:pPr>
      <w:r>
        <w:rPr>
          <w:rFonts w:ascii="Times New Roman" w:hAnsi="Times New Roman"/>
          <w:sz w:val="28"/>
          <w:szCs w:val="28"/>
          <w:highlight w:val="none"/>
        </w:rPr>
        <w:t>（三）</w:t>
      </w:r>
      <w:r>
        <w:rPr>
          <w:rFonts w:hint="eastAsia" w:ascii="Times New Roman" w:hAnsi="Times New Roman"/>
          <w:sz w:val="28"/>
          <w:szCs w:val="28"/>
          <w:highlight w:val="none"/>
          <w:lang w:val="en-US" w:eastAsia="zh-CN"/>
        </w:rPr>
        <w:t>城镇</w:t>
      </w:r>
      <w:r>
        <w:rPr>
          <w:rFonts w:ascii="Times New Roman" w:hAnsi="Times New Roman"/>
          <w:sz w:val="28"/>
          <w:szCs w:val="28"/>
          <w:highlight w:val="none"/>
        </w:rPr>
        <w:t>空间生态问题</w:t>
      </w:r>
    </w:p>
    <w:p w14:paraId="3ACBF0BE">
      <w:pPr>
        <w:pStyle w:val="23"/>
        <w:ind w:firstLine="562"/>
        <w:jc w:val="left"/>
        <w:rPr>
          <w:rFonts w:ascii="Times New Roman" w:hAnsi="Times New Roman"/>
          <w:color w:val="auto"/>
          <w:sz w:val="28"/>
          <w:szCs w:val="28"/>
          <w:highlight w:val="none"/>
        </w:rPr>
      </w:pPr>
      <w:r>
        <w:rPr>
          <w:rFonts w:ascii="Times New Roman" w:hAnsi="Times New Roman"/>
          <w:b/>
          <w:bCs/>
          <w:color w:val="auto"/>
          <w:sz w:val="28"/>
          <w:szCs w:val="28"/>
          <w:highlight w:val="none"/>
        </w:rPr>
        <w:t>城市生态廊道体系不完善，海绵功能弱。</w:t>
      </w:r>
      <w:r>
        <w:rPr>
          <w:rFonts w:ascii="Times New Roman" w:hAnsi="Times New Roman"/>
          <w:color w:val="auto"/>
          <w:sz w:val="28"/>
          <w:szCs w:val="28"/>
          <w:highlight w:val="none"/>
        </w:rPr>
        <w:t>城镇内河湖水系、道路、绿地连通性差，建筑高度及布局占用或截断城市通风廊道，难以形成蓝绿交织、亲近自然、空气畅通的生态廊道，造成城市热岛效应。夏季降水总量多且集中，加之水泥硬化地面增多，雨水下渗减少，漫流速度快，城市海绵功能弱。</w:t>
      </w:r>
    </w:p>
    <w:p w14:paraId="72CCD41C">
      <w:pPr>
        <w:pStyle w:val="23"/>
        <w:ind w:firstLine="560"/>
        <w:jc w:val="left"/>
        <w:rPr>
          <w:rFonts w:ascii="Times New Roman" w:hAnsi="Times New Roman"/>
          <w:sz w:val="28"/>
          <w:szCs w:val="28"/>
          <w:highlight w:val="none"/>
        </w:rPr>
      </w:pPr>
      <w:r>
        <w:rPr>
          <w:rFonts w:ascii="Times New Roman" w:hAnsi="Times New Roman"/>
          <w:sz w:val="28"/>
          <w:szCs w:val="28"/>
          <w:highlight w:val="none"/>
        </w:rPr>
        <w:t>（四）三类空间相邻或冲突区域生态问题</w:t>
      </w:r>
    </w:p>
    <w:p w14:paraId="4B41F980">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鹿泉区地处太行山区与华北平原的过渡地带，农业和生态空间占比近70%，区内有南水北调干渠、黄壁庄地表水源保护区等重要生态敏感区，生态保护要求高，资源保护与利用矛盾突出。</w:t>
      </w:r>
    </w:p>
    <w:p w14:paraId="07ABD418">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耕地、林地、园地、湿地交错区域，人为活动频繁，生态建设保护管理难度大，生态安全风险大。生活、生产及生态空间之间缺少生态缓冲带，通风廊道被占用或截断。城镇建设占用或破坏耕地、林地、坑塘水面，城市蓝绿空间不足，导致城市生态资源减少，生态空间缩小。</w:t>
      </w:r>
    </w:p>
    <w:p w14:paraId="71AC9BC0">
      <w:pPr>
        <w:ind w:firstLine="883"/>
        <w:jc w:val="left"/>
        <w:rPr>
          <w:rStyle w:val="103"/>
          <w:rFonts w:eastAsia="仿宋_GB2312" w:cs="Times New Roman"/>
          <w:color w:val="000000" w:themeColor="text1"/>
          <w:sz w:val="44"/>
          <w:highlight w:val="none"/>
          <w14:textFill>
            <w14:solidFill>
              <w14:schemeClr w14:val="tx1"/>
            </w14:solidFill>
          </w14:textFill>
        </w:rPr>
      </w:pPr>
      <w:r>
        <w:rPr>
          <w:rStyle w:val="103"/>
          <w:rFonts w:eastAsia="仿宋_GB2312" w:cs="Times New Roman"/>
          <w:color w:val="000000" w:themeColor="text1"/>
          <w:sz w:val="44"/>
          <w:highlight w:val="none"/>
          <w14:textFill>
            <w14:solidFill>
              <w14:schemeClr w14:val="tx1"/>
            </w14:solidFill>
          </w14:textFill>
        </w:rPr>
        <w:br w:type="page"/>
      </w:r>
    </w:p>
    <w:p w14:paraId="42DA123F">
      <w:pPr>
        <w:ind w:firstLine="723"/>
        <w:jc w:val="center"/>
        <w:outlineLvl w:val="0"/>
        <w:rPr>
          <w:rStyle w:val="103"/>
          <w:rFonts w:eastAsia="仿宋_GB2312" w:cs="Times New Roman"/>
          <w:color w:val="000000" w:themeColor="text1"/>
          <w:sz w:val="36"/>
          <w:szCs w:val="36"/>
          <w:highlight w:val="none"/>
          <w14:textFill>
            <w14:solidFill>
              <w14:schemeClr w14:val="tx1"/>
            </w14:solidFill>
          </w14:textFill>
        </w:rPr>
      </w:pPr>
      <w:bookmarkStart w:id="20" w:name="_Toc16832"/>
      <w:r>
        <w:rPr>
          <w:rStyle w:val="103"/>
          <w:rFonts w:eastAsia="仿宋_GB2312" w:cs="Times New Roman"/>
          <w:color w:val="000000" w:themeColor="text1"/>
          <w:sz w:val="36"/>
          <w:szCs w:val="36"/>
          <w:highlight w:val="none"/>
          <w14:textFill>
            <w14:solidFill>
              <w14:schemeClr w14:val="tx1"/>
            </w14:solidFill>
          </w14:textFill>
        </w:rPr>
        <w:t>第二章面临形势</w:t>
      </w:r>
      <w:bookmarkEnd w:id="20"/>
    </w:p>
    <w:p w14:paraId="6B4DB929">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进入中国特色社会主义新时代，以习近平同志为核心的党中央统筹推进</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五位一体</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总体布局，牢固树立创新、协调、绿色、开放、共享五大发展理念，大力推进生态文明建设。鹿泉区在区委区政府的坚强领导下，紧紧围绕</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经济强区、魅力鹿泉、生态宜居宜业宜旅游新城区</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发展定位，努力建设省会西花园，要求深刻认识并全面把握全区国土空间生态修复工程面临的新形势、新要求，合理部署生态修复任务，奋力谱写新时代美丽河北的鹿泉篇章。</w:t>
      </w:r>
    </w:p>
    <w:p w14:paraId="7ECE12C7">
      <w:pPr>
        <w:pStyle w:val="6"/>
        <w:rPr>
          <w:color w:val="auto"/>
          <w:highlight w:val="none"/>
        </w:rPr>
      </w:pPr>
      <w:bookmarkStart w:id="21" w:name="_Toc25592"/>
      <w:r>
        <w:rPr>
          <w:color w:val="auto"/>
          <w:highlight w:val="none"/>
        </w:rPr>
        <w:t>第一节形势与要求</w:t>
      </w:r>
      <w:bookmarkEnd w:id="21"/>
    </w:p>
    <w:p w14:paraId="713EABFA">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习近平生态文明思想提供了根本遵循。</w:t>
      </w:r>
      <w:r>
        <w:rPr>
          <w:rFonts w:ascii="Times New Roman" w:hAnsi="Times New Roman" w:eastAsia="仿宋_GB2312" w:cs="Times New Roman"/>
          <w:color w:val="auto"/>
          <w:kern w:val="2"/>
          <w:sz w:val="28"/>
          <w:szCs w:val="28"/>
          <w:highlight w:val="none"/>
          <w:lang w:val="en-US" w:eastAsia="zh-CN" w:bidi="ar-SA"/>
        </w:rPr>
        <w:t>党的十八大以来，以习近平同志为核心的党中央站在</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五位一体</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总体布局的战略高度，全面推进生态文明建设，提出</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人与自然和谐共生</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绿水青山就是金山银山</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山水林田湖草</w:t>
      </w:r>
      <w:r>
        <w:rPr>
          <w:rFonts w:hint="eastAsia" w:eastAsia="仿宋_GB2312" w:cs="Times New Roman"/>
          <w:color w:val="auto"/>
          <w:kern w:val="2"/>
          <w:sz w:val="28"/>
          <w:szCs w:val="28"/>
          <w:highlight w:val="none"/>
          <w:lang w:val="en-US" w:eastAsia="zh-CN" w:bidi="ar-SA"/>
        </w:rPr>
        <w:t>沙</w:t>
      </w:r>
      <w:r>
        <w:rPr>
          <w:rFonts w:ascii="Times New Roman" w:hAnsi="Times New Roman" w:eastAsia="仿宋_GB2312" w:cs="Times New Roman"/>
          <w:color w:val="auto"/>
          <w:kern w:val="2"/>
          <w:sz w:val="28"/>
          <w:szCs w:val="28"/>
          <w:highlight w:val="none"/>
          <w:lang w:val="en-US" w:eastAsia="zh-CN" w:bidi="ar-SA"/>
        </w:rPr>
        <w:t>是生命共同体</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等新生态理念，习近平生态文明思想为国土空间生态修复提供了根本遵循。鹿泉区国土空间生态修复工作必须全面贯彻落实习近平生态文明思想，坚持人与自然和谐共生基本方略，坚持节约优先、保护优先、自然恢复为主的方针，统筹推进山水林田湖草</w:t>
      </w:r>
      <w:r>
        <w:rPr>
          <w:rFonts w:hint="eastAsia" w:eastAsia="仿宋_GB2312" w:cs="Times New Roman"/>
          <w:color w:val="auto"/>
          <w:kern w:val="2"/>
          <w:sz w:val="28"/>
          <w:szCs w:val="28"/>
          <w:highlight w:val="none"/>
          <w:lang w:val="en-US" w:eastAsia="zh-CN" w:bidi="ar-SA"/>
        </w:rPr>
        <w:t>沙</w:t>
      </w:r>
      <w:r>
        <w:rPr>
          <w:rFonts w:ascii="Times New Roman" w:hAnsi="Times New Roman" w:eastAsia="仿宋_GB2312" w:cs="Times New Roman"/>
          <w:color w:val="auto"/>
          <w:kern w:val="2"/>
          <w:sz w:val="28"/>
          <w:szCs w:val="28"/>
          <w:highlight w:val="none"/>
          <w:lang w:val="en-US" w:eastAsia="zh-CN" w:bidi="ar-SA"/>
        </w:rPr>
        <w:t>一体化保护修复。</w:t>
      </w:r>
    </w:p>
    <w:p w14:paraId="66E6587E">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color w:val="auto"/>
          <w:sz w:val="28"/>
          <w:szCs w:val="28"/>
          <w:highlight w:val="none"/>
        </w:rPr>
        <w:t>京津冀协同发展不断迈上新台阶。</w:t>
      </w:r>
      <w:r>
        <w:rPr>
          <w:rFonts w:ascii="Times New Roman" w:hAnsi="Times New Roman" w:eastAsia="仿宋_GB2312" w:cs="Times New Roman"/>
          <w:color w:val="auto"/>
          <w:kern w:val="2"/>
          <w:sz w:val="28"/>
          <w:szCs w:val="28"/>
          <w:highlight w:val="none"/>
          <w:lang w:val="en-US" w:eastAsia="zh-CN" w:bidi="ar-SA"/>
        </w:rPr>
        <w:t>京津冀协同发展战略是党中央作出的重大决策部署。2023年5月习近平同志在石家庄考察，主持召开深入推进京津冀协同发展座谈会并发表重要讲话，提出新要求、作出新部署，为深入推进京津冀协同发展注入强大思想和行动力量，让京津冀成为中国式现代化建设的先行区、示范区。随着京津冀协同发展不断迈上新台阶，鹿泉区作为省会创新发展重要增长极，区位优势明显，受滹沱河经济带、太行山生态带两条区域联动发展带带动，对鹿泉区生态环境支撑能力建设提出了更高要求，必须加以贯彻落实。</w:t>
      </w:r>
    </w:p>
    <w:p w14:paraId="5CF09B6A">
      <w:pPr>
        <w:pStyle w:val="255"/>
        <w:spacing w:line="560" w:lineRule="exact"/>
        <w:ind w:firstLine="560"/>
        <w:rPr>
          <w:rFonts w:hint="eastAsia" w:ascii="Times New Roman" w:hAnsi="Times New Roman" w:eastAsia="仿宋_GB2312" w:cs="Times New Roman"/>
          <w:color w:val="auto"/>
          <w:kern w:val="2"/>
          <w:sz w:val="28"/>
          <w:szCs w:val="28"/>
          <w:highlight w:val="none"/>
          <w:lang w:val="en-US" w:eastAsia="zh-CN" w:bidi="ar-SA"/>
        </w:rPr>
      </w:pPr>
      <w:r>
        <w:rPr>
          <w:rFonts w:ascii="Times New Roman" w:hAnsi="Times New Roman" w:eastAsia="仿宋_GB2312" w:cs="Times New Roman"/>
          <w:b/>
          <w:color w:val="auto"/>
          <w:kern w:val="0"/>
          <w:sz w:val="28"/>
          <w:szCs w:val="28"/>
          <w:highlight w:val="none"/>
          <w:lang w:val="en-US" w:eastAsia="zh-CN" w:bidi="ar-SA"/>
        </w:rPr>
        <w:t>省会西花园建设，要求在生态环境质量提升上取得新突破。</w:t>
      </w:r>
      <w:r>
        <w:rPr>
          <w:rFonts w:hint="default" w:ascii="Times New Roman" w:hAnsi="Times New Roman" w:eastAsia="仿宋_GB2312" w:cs="Times New Roman"/>
          <w:color w:val="auto"/>
          <w:kern w:val="2"/>
          <w:sz w:val="28"/>
          <w:szCs w:val="28"/>
          <w:highlight w:val="none"/>
          <w:lang w:val="en-US" w:eastAsia="zh-CN" w:bidi="ar-SA"/>
        </w:rPr>
        <w:t>鹿泉区位于河北省中南部，太行山东麓，林草资源丰富，水系廊道众多，属太行山山地生态屏障区，是河北平原主要水源地，是省会西花园，生态功能重要。同时，鹿泉区承接石家庄城市功能外溢，是石家庄市区重要组成部分，是主城区融合度最高的新区</w:t>
      </w:r>
      <w:r>
        <w:rPr>
          <w:rFonts w:hint="eastAsia" w:ascii="Times New Roman" w:hAnsi="Times New Roman" w:eastAsia="仿宋_GB2312" w:cs="Times New Roman"/>
          <w:color w:val="auto"/>
          <w:kern w:val="2"/>
          <w:sz w:val="28"/>
          <w:szCs w:val="28"/>
          <w:highlight w:val="none"/>
          <w:lang w:val="en-US" w:eastAsia="zh-CN" w:bidi="ar-SA"/>
        </w:rPr>
        <w:t>。随着经济发展带来的生态保护修复压力依然较大，产生生态文明建设压力叠加、负重前行的新形势，必须要提供更多优质生态空间以满足人民群众对优美生态环境期盼和对美好生活强烈向往、对优美环境迫切诉求的新要求，支撑省会西花园建设。</w:t>
      </w:r>
    </w:p>
    <w:p w14:paraId="62DDF758">
      <w:pPr>
        <w:pStyle w:val="6"/>
        <w:rPr>
          <w:color w:val="auto"/>
          <w:highlight w:val="none"/>
        </w:rPr>
      </w:pPr>
      <w:bookmarkStart w:id="22" w:name="_Toc12249"/>
      <w:r>
        <w:rPr>
          <w:color w:val="auto"/>
          <w:highlight w:val="none"/>
        </w:rPr>
        <w:t>第</w:t>
      </w:r>
      <w:r>
        <w:rPr>
          <w:rFonts w:hint="eastAsia"/>
          <w:color w:val="auto"/>
          <w:highlight w:val="none"/>
          <w:lang w:val="en-US" w:eastAsia="zh-CN"/>
        </w:rPr>
        <w:t>二</w:t>
      </w:r>
      <w:r>
        <w:rPr>
          <w:color w:val="auto"/>
          <w:highlight w:val="none"/>
        </w:rPr>
        <w:t>节机遇与挑战</w:t>
      </w:r>
      <w:bookmarkEnd w:id="22"/>
    </w:p>
    <w:p w14:paraId="5BD42941">
      <w:pPr>
        <w:pStyle w:val="7"/>
        <w:rPr>
          <w:color w:val="auto"/>
          <w:highlight w:val="none"/>
        </w:rPr>
      </w:pPr>
      <w:bookmarkStart w:id="23" w:name="_Toc2944"/>
      <w:r>
        <w:rPr>
          <w:color w:val="auto"/>
          <w:highlight w:val="none"/>
        </w:rPr>
        <w:t>一、机遇</w:t>
      </w:r>
      <w:bookmarkEnd w:id="23"/>
    </w:p>
    <w:p w14:paraId="207550E6">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大力实施拥河发展战略，使滹沱河流域生态保护修复工作收到前所未有的重视。</w:t>
      </w:r>
      <w:r>
        <w:rPr>
          <w:rFonts w:ascii="Times New Roman" w:hAnsi="Times New Roman" w:eastAsia="仿宋_GB2312" w:cs="Times New Roman"/>
          <w:color w:val="auto"/>
          <w:kern w:val="2"/>
          <w:sz w:val="28"/>
          <w:szCs w:val="28"/>
          <w:highlight w:val="none"/>
          <w:lang w:val="en-US" w:eastAsia="zh-CN" w:bidi="ar-SA"/>
        </w:rPr>
        <w:t>省委省政府提出大力实施拥河发展战略，市委市政府积极推进拥河发展战略，充分发挥滹沱河串联城市发展核心作用，促进滹沱河区域生态、产业、文化、景观协同发展，这使滹沱河流域生态保护修复工作受到前所未有的重视，编制《滹沱河生态环境保护规划》，统筹上游下游，区委区政府抢抓机遇，加快推进滹沱河发展战略，拓展城市蓝绿空间，打造青山常在、绿水长流、蓝天永驻的生态宜居新城区。</w:t>
      </w:r>
    </w:p>
    <w:p w14:paraId="6E59A138">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已取得的生态保护修复成效，为系统实施国土空间生态修复奠定良好基础。</w:t>
      </w:r>
      <w:r>
        <w:rPr>
          <w:rFonts w:ascii="Times New Roman" w:hAnsi="Times New Roman" w:eastAsia="仿宋_GB2312" w:cs="Times New Roman"/>
          <w:color w:val="auto"/>
          <w:kern w:val="2"/>
          <w:sz w:val="28"/>
          <w:szCs w:val="28"/>
          <w:highlight w:val="none"/>
          <w:lang w:val="en-US" w:eastAsia="zh-CN" w:bidi="ar-SA"/>
        </w:rPr>
        <w:t>近年来，区委区政府在市委市政府带领下，深入贯彻落实习近平生态文明思想，高质量开展太行山绿化、打造山前大道景观带、河道整治、提升人居环境建设美丽乡村、责任主体灭失矿山修复等生态环境保护修复工作，全区生态质量明显改善。特别是太行山植树造林、封山育林工程建设，使鹿泉区森林覆盖率不断提高，水源涵养能力不断增强，这为系统实施国土空间生态修复奠定良好基础。</w:t>
      </w:r>
    </w:p>
    <w:p w14:paraId="5A16691D">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color w:val="auto"/>
          <w:sz w:val="28"/>
          <w:szCs w:val="28"/>
          <w:highlight w:val="none"/>
        </w:rPr>
        <w:t>林草资源丰富，水系廊道众多，山水资源条件优越。</w:t>
      </w:r>
      <w:r>
        <w:rPr>
          <w:rFonts w:ascii="Times New Roman" w:hAnsi="Times New Roman" w:eastAsia="仿宋_GB2312" w:cs="Times New Roman"/>
          <w:color w:val="auto"/>
          <w:kern w:val="2"/>
          <w:sz w:val="28"/>
          <w:szCs w:val="28"/>
          <w:highlight w:val="none"/>
          <w:lang w:val="en-US" w:eastAsia="zh-CN" w:bidi="ar-SA"/>
        </w:rPr>
        <w:t>鹿泉区西倚太行、北邻滹沱河，林草资源丰富，水系廊道众多，主要山脉有挂云山、九里山、莲花山、抱犊寨、龙池山、封龙山等。主要河流有石津渠、古运河、太平河、金河、洨河等，人工渠有引岗渠、源泉渠、计三渠及其支分渠，山水资源条件优越。鹿泉区积极开展国土空间生态修复保护，</w:t>
      </w:r>
      <w:bookmarkStart w:id="46" w:name="_GoBack"/>
      <w:bookmarkEnd w:id="46"/>
      <w:r>
        <w:rPr>
          <w:rFonts w:ascii="Times New Roman" w:hAnsi="Times New Roman" w:eastAsia="仿宋_GB2312" w:cs="Times New Roman"/>
          <w:color w:val="auto"/>
          <w:kern w:val="2"/>
          <w:sz w:val="28"/>
          <w:szCs w:val="28"/>
          <w:highlight w:val="none"/>
          <w:lang w:val="en-US" w:eastAsia="zh-CN" w:bidi="ar-SA"/>
        </w:rPr>
        <w:t>推进</w:t>
      </w:r>
      <w:r>
        <w:rPr>
          <w:rFonts w:hint="eastAsia" w:eastAsia="仿宋_GB2312" w:cs="Times New Roman"/>
          <w:color w:val="auto"/>
          <w:kern w:val="2"/>
          <w:sz w:val="28"/>
          <w:szCs w:val="28"/>
          <w:highlight w:val="none"/>
          <w:lang w:val="en-US" w:eastAsia="zh-CN" w:bidi="ar-SA"/>
        </w:rPr>
        <w:t>国家</w:t>
      </w:r>
      <w:r>
        <w:rPr>
          <w:rFonts w:ascii="Times New Roman" w:hAnsi="Times New Roman" w:eastAsia="仿宋_GB2312" w:cs="Times New Roman"/>
          <w:color w:val="auto"/>
          <w:kern w:val="2"/>
          <w:sz w:val="28"/>
          <w:szCs w:val="28"/>
          <w:highlight w:val="none"/>
          <w:lang w:val="en-US" w:eastAsia="zh-CN" w:bidi="ar-SA"/>
        </w:rPr>
        <w:t>治理体系和治理能力现代化，衔接《石家庄市鹿泉区国土空间总体规划（2021-2035年）》确定的生态安全格局，优化形成鹿泉区</w:t>
      </w:r>
      <w:r>
        <w:rPr>
          <w:rFonts w:hint="eastAsia" w:eastAsia="仿宋_GB2312" w:cs="Times New Roman"/>
          <w:b/>
          <w:bCs/>
          <w:sz w:val="28"/>
          <w:szCs w:val="28"/>
          <w:highlight w:val="none"/>
        </w:rPr>
        <w:t>“</w:t>
      </w:r>
      <w:r>
        <w:rPr>
          <w:rFonts w:eastAsia="仿宋_GB2312" w:cs="Times New Roman"/>
          <w:b/>
          <w:bCs/>
          <w:sz w:val="28"/>
          <w:szCs w:val="28"/>
          <w:highlight w:val="none"/>
        </w:rPr>
        <w:t>一山、三水、四区</w:t>
      </w:r>
      <w:r>
        <w:rPr>
          <w:rFonts w:hint="eastAsia" w:eastAsia="仿宋_GB2312" w:cs="Times New Roman"/>
          <w:b/>
          <w:bCs/>
          <w:sz w:val="28"/>
          <w:szCs w:val="28"/>
          <w:highlight w:val="none"/>
        </w:rPr>
        <w:t>”</w:t>
      </w:r>
      <w:r>
        <w:rPr>
          <w:rFonts w:ascii="Times New Roman" w:hAnsi="Times New Roman" w:eastAsia="仿宋_GB2312" w:cs="Times New Roman"/>
          <w:color w:val="auto"/>
          <w:kern w:val="2"/>
          <w:sz w:val="28"/>
          <w:szCs w:val="28"/>
          <w:highlight w:val="none"/>
          <w:lang w:val="en-US" w:eastAsia="zh-CN" w:bidi="ar-SA"/>
        </w:rPr>
        <w:t>的生态修复总体格局。</w:t>
      </w:r>
    </w:p>
    <w:p w14:paraId="0A12DAFA">
      <w:pPr>
        <w:pStyle w:val="7"/>
        <w:rPr>
          <w:color w:val="auto"/>
          <w:highlight w:val="none"/>
        </w:rPr>
      </w:pPr>
      <w:bookmarkStart w:id="24" w:name="_Toc29035"/>
      <w:r>
        <w:rPr>
          <w:color w:val="auto"/>
          <w:highlight w:val="none"/>
        </w:rPr>
        <w:t>二、挑战</w:t>
      </w:r>
      <w:bookmarkEnd w:id="24"/>
    </w:p>
    <w:p w14:paraId="2F1DC351">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发展与保护矛盾突出，生态修复任务艰巨。</w:t>
      </w:r>
      <w:r>
        <w:rPr>
          <w:rFonts w:ascii="Times New Roman" w:hAnsi="Times New Roman" w:eastAsia="仿宋_GB2312" w:cs="Times New Roman"/>
          <w:color w:val="auto"/>
          <w:kern w:val="2"/>
          <w:sz w:val="28"/>
          <w:szCs w:val="28"/>
          <w:highlight w:val="none"/>
          <w:lang w:val="en-US" w:eastAsia="zh-CN" w:bidi="ar-SA"/>
        </w:rPr>
        <w:t>鹿泉区作为省会新三区之一，整体经济趋稳向好、物质基础雄厚、人口稠密。</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十四五</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期间提出地区生产总值年均增长6%以上、展望2035年将基本实现社会主义现代化的目标，这将是鹿泉建设新时代经济强区的历史性窗口期和机遇期，资源需求量大，自然生态环境承受着较大压力，容易因过载产生系统性生态问题，如何统筹生态保护和经济协调发展提出新的挑战。</w:t>
      </w:r>
    </w:p>
    <w:p w14:paraId="15710229">
      <w:pPr>
        <w:pStyle w:val="23"/>
        <w:ind w:firstLine="562"/>
        <w:rPr>
          <w:rFonts w:ascii="Times New Roman" w:hAnsi="Times New Roman"/>
          <w:color w:val="auto"/>
          <w:sz w:val="28"/>
          <w:szCs w:val="28"/>
          <w:highlight w:val="none"/>
        </w:rPr>
      </w:pPr>
      <w:r>
        <w:rPr>
          <w:rFonts w:ascii="Times New Roman" w:hAnsi="Times New Roman"/>
          <w:b/>
          <w:kern w:val="0"/>
          <w:sz w:val="28"/>
          <w:szCs w:val="28"/>
          <w:highlight w:val="none"/>
        </w:rPr>
        <w:t>生态环境保护要求高，</w:t>
      </w:r>
      <w:r>
        <w:rPr>
          <w:rFonts w:ascii="Times New Roman" w:hAnsi="Times New Roman"/>
          <w:b/>
          <w:sz w:val="28"/>
          <w:szCs w:val="28"/>
          <w:highlight w:val="none"/>
        </w:rPr>
        <w:t>资源保护与利用矛盾突出</w:t>
      </w:r>
      <w:r>
        <w:rPr>
          <w:rFonts w:ascii="Times New Roman" w:hAnsi="Times New Roman"/>
          <w:b/>
          <w:kern w:val="0"/>
          <w:sz w:val="28"/>
          <w:szCs w:val="28"/>
          <w:highlight w:val="none"/>
        </w:rPr>
        <w:t>。</w:t>
      </w:r>
      <w:r>
        <w:rPr>
          <w:rFonts w:ascii="Times New Roman" w:hAnsi="Times New Roman"/>
          <w:color w:val="auto"/>
          <w:sz w:val="28"/>
          <w:szCs w:val="28"/>
          <w:highlight w:val="none"/>
        </w:rPr>
        <w:t>鹿泉区地处太行山区与华北平原的过渡地带，农业和生态空间占比近70%，区内有南水北调干渠、黄壁庄地表水源保护区等重要生态敏感区，生态环境保护要求高。鹿泉区设区以来，城市建设用地需求较大，但适宜城镇建设的平原地区也是农业生产适宜空间，在水源保护、严守耕地红线保障粮食安全背景下，如何拓展城镇空间提出新的挑战。</w:t>
      </w:r>
    </w:p>
    <w:p w14:paraId="1C601984">
      <w:pPr>
        <w:pStyle w:val="23"/>
        <w:ind w:firstLine="562"/>
        <w:rPr>
          <w:rFonts w:ascii="Times New Roman" w:hAnsi="Times New Roman"/>
          <w:color w:val="auto"/>
          <w:sz w:val="28"/>
          <w:szCs w:val="28"/>
          <w:highlight w:val="none"/>
        </w:rPr>
      </w:pPr>
      <w:r>
        <w:rPr>
          <w:rFonts w:ascii="Times New Roman" w:hAnsi="Times New Roman"/>
          <w:b/>
          <w:kern w:val="0"/>
          <w:sz w:val="28"/>
          <w:szCs w:val="28"/>
          <w:highlight w:val="none"/>
        </w:rPr>
        <w:t>生态修复难度加大，科技支撑服务能力不够。</w:t>
      </w:r>
      <w:r>
        <w:rPr>
          <w:rFonts w:ascii="Times New Roman" w:hAnsi="Times New Roman"/>
          <w:color w:val="auto"/>
          <w:sz w:val="28"/>
          <w:szCs w:val="28"/>
          <w:highlight w:val="none"/>
        </w:rPr>
        <w:t>由于生态修复是一项复杂的系统工程，影响因素多，技术要求高，随着生态修复工程的不断向前推进，修复难度越来越大，科技支撑能力不够，后期管护投入不足，导致部分生态修复工程实施效果差强人意。需要在实践中不断摸索、总结适合自身的技术措施发出挑战。</w:t>
      </w:r>
    </w:p>
    <w:p w14:paraId="5AF1DABB">
      <w:pPr>
        <w:ind w:firstLine="883"/>
        <w:rPr>
          <w:rStyle w:val="103"/>
          <w:rFonts w:eastAsia="仿宋_GB2312" w:cs="Times New Roman"/>
          <w:color w:val="000000" w:themeColor="text1"/>
          <w:sz w:val="44"/>
          <w:highlight w:val="none"/>
          <w14:textFill>
            <w14:solidFill>
              <w14:schemeClr w14:val="tx1"/>
            </w14:solidFill>
          </w14:textFill>
        </w:rPr>
      </w:pPr>
      <w:r>
        <w:rPr>
          <w:rStyle w:val="103"/>
          <w:rFonts w:eastAsia="仿宋_GB2312" w:cs="Times New Roman"/>
          <w:color w:val="000000" w:themeColor="text1"/>
          <w:sz w:val="44"/>
          <w:highlight w:val="none"/>
          <w14:textFill>
            <w14:solidFill>
              <w14:schemeClr w14:val="tx1"/>
            </w14:solidFill>
          </w14:textFill>
        </w:rPr>
        <w:br w:type="page"/>
      </w:r>
    </w:p>
    <w:p w14:paraId="4A23A8BA">
      <w:pPr>
        <w:pStyle w:val="5"/>
        <w:numPr>
          <w:ilvl w:val="0"/>
          <w:numId w:val="0"/>
        </w:numPr>
        <w:spacing w:before="100" w:beforeAutospacing="1" w:after="100" w:afterAutospacing="1"/>
        <w:jc w:val="center"/>
        <w:rPr>
          <w:rStyle w:val="103"/>
          <w:rFonts w:eastAsia="仿宋_GB2312" w:cs="Times New Roman"/>
          <w:b/>
          <w:bCs/>
          <w:color w:val="000000" w:themeColor="text1"/>
          <w:sz w:val="36"/>
          <w:szCs w:val="36"/>
          <w:highlight w:val="none"/>
          <w14:textFill>
            <w14:solidFill>
              <w14:schemeClr w14:val="tx1"/>
            </w14:solidFill>
          </w14:textFill>
        </w:rPr>
      </w:pPr>
      <w:bookmarkStart w:id="25" w:name="_Toc15686"/>
      <w:r>
        <w:rPr>
          <w:rStyle w:val="103"/>
          <w:rFonts w:eastAsia="仿宋_GB2312" w:cs="Times New Roman"/>
          <w:b/>
          <w:bCs/>
          <w:color w:val="000000" w:themeColor="text1"/>
          <w:sz w:val="36"/>
          <w:szCs w:val="36"/>
          <w:highlight w:val="none"/>
          <w14:textFill>
            <w14:solidFill>
              <w14:schemeClr w14:val="tx1"/>
            </w14:solidFill>
          </w14:textFill>
        </w:rPr>
        <w:t>第三章</w:t>
      </w:r>
      <w:bookmarkEnd w:id="8"/>
      <w:bookmarkEnd w:id="9"/>
      <w:bookmarkEnd w:id="10"/>
      <w:bookmarkEnd w:id="11"/>
      <w:bookmarkEnd w:id="12"/>
      <w:bookmarkEnd w:id="13"/>
      <w:bookmarkEnd w:id="14"/>
      <w:r>
        <w:rPr>
          <w:rStyle w:val="103"/>
          <w:rFonts w:eastAsia="仿宋_GB2312" w:cs="Times New Roman"/>
          <w:b/>
          <w:bCs/>
          <w:color w:val="000000" w:themeColor="text1"/>
          <w:sz w:val="36"/>
          <w:szCs w:val="36"/>
          <w:highlight w:val="none"/>
          <w14:textFill>
            <w14:solidFill>
              <w14:schemeClr w14:val="tx1"/>
            </w14:solidFill>
          </w14:textFill>
        </w:rPr>
        <w:t>总体要求</w:t>
      </w:r>
      <w:bookmarkEnd w:id="25"/>
    </w:p>
    <w:p w14:paraId="7AD5A163">
      <w:pPr>
        <w:pStyle w:val="6"/>
        <w:rPr>
          <w:color w:val="auto"/>
          <w:highlight w:val="none"/>
        </w:rPr>
      </w:pPr>
      <w:bookmarkStart w:id="26" w:name="_Toc26557"/>
      <w:r>
        <w:rPr>
          <w:color w:val="auto"/>
          <w:highlight w:val="none"/>
        </w:rPr>
        <w:t>第一节指导思想</w:t>
      </w:r>
      <w:bookmarkEnd w:id="26"/>
    </w:p>
    <w:p w14:paraId="572F9329">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以</w:t>
      </w:r>
      <w:r>
        <w:rPr>
          <w:rFonts w:hint="eastAsia" w:ascii="Times New Roman" w:hAnsi="Times New Roman"/>
          <w:color w:val="auto"/>
          <w:sz w:val="28"/>
          <w:szCs w:val="28"/>
          <w:highlight w:val="none"/>
          <w:lang w:eastAsia="zh-CN"/>
        </w:rPr>
        <w:t>习近平</w:t>
      </w:r>
      <w:r>
        <w:rPr>
          <w:rFonts w:ascii="Times New Roman" w:hAnsi="Times New Roman"/>
          <w:color w:val="auto"/>
          <w:sz w:val="28"/>
          <w:szCs w:val="28"/>
          <w:highlight w:val="none"/>
        </w:rPr>
        <w:t>新时代中国特色社会主义思想为指导，深入贯彻习近平生态文明思想和习近平在河北考察时重要讲话精神，全面落实党的二十大精神和国务院、自然资源部、省政府、市政府有关决策部署，紧紧围绕</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经济强区、魅力鹿泉、生态宜居宜业宜旅游新城区</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发展定位，以全面提升生态功能为目标，加快京津冀生态环境支撑区、太行山山地生态修复区建设，以高水平生态环境保护推动高质量发展，当好生态文明建设主力军，奋力谱写新时代美丽河北的鹿泉篇章。</w:t>
      </w:r>
    </w:p>
    <w:p w14:paraId="7E5401D9">
      <w:pPr>
        <w:pStyle w:val="6"/>
        <w:rPr>
          <w:color w:val="auto"/>
          <w:highlight w:val="none"/>
        </w:rPr>
      </w:pPr>
      <w:bookmarkStart w:id="27" w:name="_Toc15952"/>
      <w:r>
        <w:rPr>
          <w:color w:val="auto"/>
          <w:highlight w:val="none"/>
        </w:rPr>
        <w:t>第二节基本原则</w:t>
      </w:r>
      <w:bookmarkEnd w:id="27"/>
    </w:p>
    <w:p w14:paraId="184D1E49">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坚持保护优先，自然恢复为主。</w:t>
      </w:r>
      <w:r>
        <w:rPr>
          <w:rFonts w:ascii="Times New Roman" w:hAnsi="Times New Roman" w:eastAsia="仿宋_GB2312" w:cs="Times New Roman"/>
          <w:color w:val="auto"/>
          <w:kern w:val="2"/>
          <w:sz w:val="28"/>
          <w:szCs w:val="28"/>
          <w:highlight w:val="none"/>
          <w:lang w:val="en-US" w:eastAsia="zh-CN" w:bidi="ar-SA"/>
        </w:rPr>
        <w:t>牢固树立和践行</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绿水青山就是金山银山</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理念，坚持人与自然和谐共生，尊重自然、顺应自然、保护自然。坚持优先保护，遵循自然生态系统演替规律，倡导自然恢复理念，充分发挥自然生态系统自我修复能力，避免人类活动对生态系统的过多干预，实现绿色生态、可持续发展。</w:t>
      </w:r>
    </w:p>
    <w:p w14:paraId="793B421A">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坚持统筹兼顾，突出重点难点。</w:t>
      </w:r>
      <w:r>
        <w:rPr>
          <w:rFonts w:ascii="Times New Roman" w:hAnsi="Times New Roman" w:eastAsia="仿宋_GB2312" w:cs="Times New Roman"/>
          <w:color w:val="auto"/>
          <w:kern w:val="2"/>
          <w:sz w:val="28"/>
          <w:szCs w:val="28"/>
          <w:highlight w:val="none"/>
          <w:lang w:val="en-US" w:eastAsia="zh-CN" w:bidi="ar-SA"/>
        </w:rPr>
        <w:t>深入分析全区主要生态问题，着眼于筑牢区域生态屏障，聚焦重点生态功能区、生态保护红线、自然保护地等重点区域，突出目标导向、问题导向，妥善处理开发和保护、当前和长远的关系。立足中长期目标，针对重点生态系统、生态敏感区和脆弱区主要生态问题，优先布局重点修复工程。</w:t>
      </w:r>
    </w:p>
    <w:p w14:paraId="51F2D1C5">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坚持综合治理，分区分类修复</w:t>
      </w:r>
      <w:r>
        <w:rPr>
          <w:rFonts w:eastAsia="仿宋_GB2312" w:cs="Times New Roman"/>
          <w:b/>
          <w:bCs/>
          <w:kern w:val="2"/>
          <w:sz w:val="28"/>
          <w:szCs w:val="28"/>
          <w:highlight w:val="none"/>
        </w:rPr>
        <w:t>。</w:t>
      </w:r>
      <w:r>
        <w:rPr>
          <w:rFonts w:ascii="Times New Roman" w:hAnsi="Times New Roman" w:eastAsia="仿宋_GB2312" w:cs="Times New Roman"/>
          <w:color w:val="auto"/>
          <w:kern w:val="2"/>
          <w:sz w:val="28"/>
          <w:szCs w:val="28"/>
          <w:highlight w:val="none"/>
          <w:lang w:val="en-US" w:eastAsia="zh-CN" w:bidi="ar-SA"/>
        </w:rPr>
        <w:t>秉承</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山水林田湖草</w:t>
      </w:r>
      <w:r>
        <w:rPr>
          <w:rFonts w:hint="eastAsia" w:eastAsia="仿宋_GB2312" w:cs="Times New Roman"/>
          <w:color w:val="auto"/>
          <w:kern w:val="2"/>
          <w:sz w:val="28"/>
          <w:szCs w:val="28"/>
          <w:highlight w:val="none"/>
          <w:lang w:val="en-US" w:eastAsia="zh-CN" w:bidi="ar-SA"/>
        </w:rPr>
        <w:t>沙</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生命共同体理念，科学谋划以流域和山体为单元、以生态安全格局为基础的生态保护修复分区，突出重点区域，系统部署生态修复重大工程，科学采取保护修复措施，进行分区分类修复。</w:t>
      </w:r>
    </w:p>
    <w:p w14:paraId="26B463A1">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坚持改革创新，体现生活新理念。</w:t>
      </w:r>
      <w:r>
        <w:rPr>
          <w:rFonts w:ascii="Times New Roman" w:hAnsi="Times New Roman" w:eastAsia="仿宋_GB2312" w:cs="Times New Roman"/>
          <w:color w:val="auto"/>
          <w:kern w:val="2"/>
          <w:sz w:val="28"/>
          <w:szCs w:val="28"/>
          <w:highlight w:val="none"/>
          <w:lang w:val="en-US" w:eastAsia="zh-CN" w:bidi="ar-SA"/>
        </w:rPr>
        <w:t>优化国土空间利用，推动自然资源利用变革。充分利用城市周边山体、水系，将城市外部生态区和内部绿地互联互通，把山水融入城市建设中，体现宜居宜业的生活新理念。</w:t>
      </w:r>
    </w:p>
    <w:p w14:paraId="6B2441DC">
      <w:pPr>
        <w:pStyle w:val="98"/>
        <w:ind w:left="0" w:leftChars="0"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坚持充分论证，公众广泛参与。</w:t>
      </w:r>
      <w:r>
        <w:rPr>
          <w:rFonts w:ascii="Times New Roman" w:hAnsi="Times New Roman" w:eastAsia="仿宋_GB2312" w:cs="Times New Roman"/>
          <w:color w:val="auto"/>
          <w:kern w:val="2"/>
          <w:sz w:val="28"/>
          <w:szCs w:val="28"/>
          <w:highlight w:val="none"/>
          <w:lang w:val="en-US" w:eastAsia="zh-CN" w:bidi="ar-SA"/>
        </w:rPr>
        <w:t>坚持</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开门编规划</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建立自然资源部门牵头组织、专家领衔、部门合作、公众参与、科学决策的跨部门多领域合作编制工作机制，组建由经验丰富技术人才参与的规划编制团队，加强部门间联系，建立衔接和协调机制，提高规划决策水平。注重专家咨询和公众参与，广泛听取各方面意见，提高决策的科学性和透明度。</w:t>
      </w:r>
    </w:p>
    <w:p w14:paraId="0F87177F">
      <w:pPr>
        <w:pStyle w:val="6"/>
        <w:rPr>
          <w:color w:val="auto"/>
          <w:highlight w:val="none"/>
        </w:rPr>
      </w:pPr>
      <w:bookmarkStart w:id="28" w:name="_Toc3619"/>
      <w:r>
        <w:rPr>
          <w:color w:val="auto"/>
          <w:highlight w:val="none"/>
        </w:rPr>
        <w:t>第三节规划目标</w:t>
      </w:r>
      <w:bookmarkEnd w:id="28"/>
    </w:p>
    <w:p w14:paraId="20A66F07">
      <w:pPr>
        <w:ind w:firstLine="562"/>
        <w:outlineLvl w:val="2"/>
        <w:rPr>
          <w:rFonts w:eastAsia="仿宋_GB2312" w:cs="Times New Roman"/>
          <w:b/>
          <w:bCs/>
          <w:sz w:val="28"/>
          <w:szCs w:val="28"/>
          <w:highlight w:val="none"/>
        </w:rPr>
      </w:pPr>
      <w:r>
        <w:rPr>
          <w:rFonts w:eastAsia="仿宋_GB2312" w:cs="Times New Roman"/>
          <w:b/>
          <w:bCs/>
          <w:sz w:val="28"/>
          <w:szCs w:val="28"/>
          <w:highlight w:val="none"/>
        </w:rPr>
        <w:t>一、总体目标</w:t>
      </w:r>
    </w:p>
    <w:p w14:paraId="52CC605C">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lang w:val="en-US" w:eastAsia="zh-CN"/>
        </w:rPr>
        <w:t>通过系统开展国土空间生态修复，保护太行山区自然</w:t>
      </w:r>
      <w:r>
        <w:rPr>
          <w:rFonts w:hint="eastAsia" w:ascii="Times New Roman" w:hAnsi="Times New Roman"/>
          <w:color w:val="auto"/>
          <w:sz w:val="28"/>
          <w:szCs w:val="28"/>
          <w:highlight w:val="none"/>
          <w:lang w:val="en-US" w:eastAsia="zh-CN"/>
        </w:rPr>
        <w:t>环</w:t>
      </w:r>
      <w:r>
        <w:rPr>
          <w:rFonts w:ascii="Times New Roman" w:hAnsi="Times New Roman"/>
          <w:color w:val="auto"/>
          <w:sz w:val="28"/>
          <w:szCs w:val="28"/>
          <w:highlight w:val="none"/>
          <w:lang w:val="en-US" w:eastAsia="zh-CN"/>
        </w:rPr>
        <w:t>境，</w:t>
      </w:r>
      <w:r>
        <w:rPr>
          <w:rFonts w:hint="eastAsia" w:ascii="Times New Roman" w:hAnsi="Times New Roman"/>
          <w:color w:val="auto"/>
          <w:sz w:val="28"/>
          <w:szCs w:val="28"/>
          <w:highlight w:val="none"/>
          <w:lang w:val="en-US" w:eastAsia="zh-CN"/>
        </w:rPr>
        <w:t>大规模开展国土绿化，加强森林资源保护，提升太行山生态功能，保护以滹沱河为代表的河湖湿地自然生态特质，构建健康完善的水生态系统，打造高品质生态宜居城市，</w:t>
      </w:r>
      <w:r>
        <w:rPr>
          <w:rFonts w:ascii="Times New Roman" w:hAnsi="Times New Roman"/>
          <w:color w:val="auto"/>
          <w:sz w:val="28"/>
          <w:szCs w:val="28"/>
          <w:highlight w:val="none"/>
        </w:rPr>
        <w:t>有序部署国土空间生态修复重点项目，大力建设太行山山地生态系统功能区。</w:t>
      </w:r>
    </w:p>
    <w:p w14:paraId="2C580877">
      <w:pPr>
        <w:ind w:firstLine="562"/>
        <w:outlineLvl w:val="2"/>
        <w:rPr>
          <w:rFonts w:eastAsia="仿宋_GB2312" w:cs="Times New Roman"/>
          <w:b/>
          <w:bCs/>
          <w:sz w:val="28"/>
          <w:szCs w:val="28"/>
          <w:highlight w:val="none"/>
        </w:rPr>
      </w:pPr>
      <w:r>
        <w:rPr>
          <w:rFonts w:eastAsia="仿宋_GB2312" w:cs="Times New Roman"/>
          <w:b/>
          <w:bCs/>
          <w:sz w:val="28"/>
          <w:szCs w:val="28"/>
          <w:highlight w:val="none"/>
        </w:rPr>
        <w:t>二、分期目标</w:t>
      </w:r>
    </w:p>
    <w:p w14:paraId="46F132BE">
      <w:pPr>
        <w:ind w:firstLine="562"/>
        <w:jc w:val="left"/>
        <w:rPr>
          <w:rFonts w:eastAsia="仿宋_GB2312" w:cs="Times New Roman"/>
          <w:sz w:val="28"/>
          <w:szCs w:val="28"/>
          <w:highlight w:val="none"/>
        </w:rPr>
      </w:pPr>
      <w:r>
        <w:rPr>
          <w:rFonts w:eastAsia="仿宋_GB2312" w:cs="Times New Roman"/>
          <w:b/>
          <w:bCs/>
          <w:sz w:val="28"/>
          <w:szCs w:val="28"/>
          <w:highlight w:val="none"/>
        </w:rPr>
        <w:t>到2025年。</w:t>
      </w:r>
      <w:r>
        <w:rPr>
          <w:rFonts w:ascii="Times New Roman" w:hAnsi="Times New Roman" w:eastAsia="仿宋_GB2312" w:cs="Times New Roman"/>
          <w:color w:val="auto"/>
          <w:kern w:val="2"/>
          <w:sz w:val="28"/>
          <w:szCs w:val="28"/>
          <w:highlight w:val="none"/>
          <w:lang w:val="en-US" w:eastAsia="zh-CN" w:bidi="ar-SA"/>
        </w:rPr>
        <w:t>全面落实重点生态功能区、生态保护红线、自然保护地等生态政策，国土空间体系更加</w:t>
      </w:r>
      <w:r>
        <w:rPr>
          <w:rFonts w:hint="eastAsia" w:ascii="Times New Roman" w:hAnsi="Times New Roman" w:eastAsia="仿宋_GB2312" w:cs="Times New Roman"/>
          <w:color w:val="auto"/>
          <w:kern w:val="2"/>
          <w:sz w:val="28"/>
          <w:szCs w:val="28"/>
          <w:highlight w:val="none"/>
          <w:lang w:val="en-US" w:eastAsia="zh-CN" w:bidi="ar-SA"/>
        </w:rPr>
        <w:t>完善</w:t>
      </w:r>
      <w:r>
        <w:rPr>
          <w:rFonts w:ascii="Times New Roman" w:hAnsi="Times New Roman" w:eastAsia="仿宋_GB2312" w:cs="Times New Roman"/>
          <w:color w:val="auto"/>
          <w:kern w:val="2"/>
          <w:sz w:val="28"/>
          <w:szCs w:val="28"/>
          <w:highlight w:val="none"/>
          <w:lang w:val="en-US" w:eastAsia="zh-CN" w:bidi="ar-SA"/>
        </w:rPr>
        <w:t>。生态修复重点工程有序推进，生态保护与修复取得重大进展，太行山山地生态系统服务功能得到提升，人居环境质量得到明显改善，</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绿水青山、多彩鹿泉</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的愿景逐步变成现实。</w:t>
      </w:r>
    </w:p>
    <w:p w14:paraId="15F68A9E">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到2030年。</w:t>
      </w:r>
      <w:r>
        <w:rPr>
          <w:rFonts w:ascii="Times New Roman" w:hAnsi="Times New Roman" w:eastAsia="仿宋_GB2312" w:cs="Times New Roman"/>
          <w:color w:val="auto"/>
          <w:kern w:val="2"/>
          <w:sz w:val="28"/>
          <w:szCs w:val="28"/>
          <w:highlight w:val="none"/>
          <w:lang w:val="en-US" w:eastAsia="zh-CN" w:bidi="ar-SA"/>
        </w:rPr>
        <w:t>太行山山地生态系统服务功能显著提升，生态保护修复协调机制不断完善，水土保持率进一步提高，城乡人居环境品质持续提高，</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生态宜居宜业宜旅游新城区</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逐步呈现。</w:t>
      </w:r>
    </w:p>
    <w:p w14:paraId="25329B7C">
      <w:pPr>
        <w:ind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到2035年。</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山水林田湖草</w:t>
      </w:r>
      <w:r>
        <w:rPr>
          <w:rFonts w:hint="eastAsia" w:eastAsia="仿宋_GB2312" w:cs="Times New Roman"/>
          <w:color w:val="auto"/>
          <w:kern w:val="2"/>
          <w:sz w:val="28"/>
          <w:szCs w:val="28"/>
          <w:highlight w:val="none"/>
          <w:lang w:val="en-US" w:eastAsia="zh-CN" w:bidi="ar-SA"/>
        </w:rPr>
        <w:t>沙</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自然生态系统得到稳定恢复并实现良性循环，生物多样性得到有效保护。</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两带四区、一网络多节点</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生态</w:t>
      </w:r>
      <w:r>
        <w:rPr>
          <w:rFonts w:hint="eastAsia" w:ascii="Times New Roman" w:hAnsi="Times New Roman" w:eastAsia="仿宋_GB2312" w:cs="Times New Roman"/>
          <w:color w:val="auto"/>
          <w:kern w:val="2"/>
          <w:sz w:val="28"/>
          <w:szCs w:val="28"/>
          <w:highlight w:val="none"/>
          <w:lang w:val="en-US" w:eastAsia="zh-CN" w:bidi="ar-SA"/>
        </w:rPr>
        <w:t>空间布局</w:t>
      </w:r>
      <w:r>
        <w:rPr>
          <w:rFonts w:ascii="Times New Roman" w:hAnsi="Times New Roman" w:eastAsia="仿宋_GB2312" w:cs="Times New Roman"/>
          <w:color w:val="auto"/>
          <w:kern w:val="2"/>
          <w:sz w:val="28"/>
          <w:szCs w:val="28"/>
          <w:highlight w:val="none"/>
          <w:lang w:val="en-US" w:eastAsia="zh-CN" w:bidi="ar-SA"/>
        </w:rPr>
        <w:t>所衍生的生产功能、生活功能完全突显；城乡人居环境全面升级，绿色生产生活方式广泛形成，生态环境根本好转，构筑起覆盖鹿泉区系统功能稳定和可持续发展的生态安全体系。</w:t>
      </w:r>
    </w:p>
    <w:p w14:paraId="46E661FA">
      <w:pPr>
        <w:ind w:firstLine="560"/>
        <w:rPr>
          <w:rFonts w:eastAsia="仿宋_GB2312" w:cs="Times New Roman"/>
          <w:sz w:val="28"/>
          <w:szCs w:val="28"/>
          <w:highlight w:val="none"/>
        </w:rPr>
      </w:pPr>
      <w:r>
        <w:rPr>
          <w:rFonts w:eastAsia="仿宋_GB2312" w:cs="Times New Roman"/>
          <w:sz w:val="28"/>
          <w:szCs w:val="28"/>
          <w:highlight w:val="none"/>
        </w:rPr>
        <w:br w:type="page"/>
      </w:r>
    </w:p>
    <w:p w14:paraId="5E264912">
      <w:pPr>
        <w:ind w:firstLine="562"/>
        <w:jc w:val="center"/>
        <w:rPr>
          <w:rFonts w:hint="eastAsia" w:eastAsia="仿宋_GB2312" w:cs="Times New Roman"/>
          <w:b/>
          <w:bCs/>
          <w:sz w:val="28"/>
          <w:szCs w:val="28"/>
          <w:highlight w:val="none"/>
          <w:lang w:eastAsia="zh-CN"/>
        </w:rPr>
      </w:pPr>
      <w:r>
        <w:rPr>
          <w:rFonts w:eastAsia="仿宋_GB2312" w:cs="Times New Roman"/>
          <w:b/>
          <w:bCs/>
          <w:sz w:val="28"/>
          <w:szCs w:val="28"/>
          <w:highlight w:val="none"/>
        </w:rPr>
        <w:t>表3-1鹿泉区国土空间生态修复规划指标表</w:t>
      </w:r>
    </w:p>
    <w:tbl>
      <w:tblPr>
        <w:tblStyle w:val="88"/>
        <w:tblW w:w="926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97"/>
        <w:gridCol w:w="3628"/>
        <w:gridCol w:w="843"/>
        <w:gridCol w:w="938"/>
        <w:gridCol w:w="1066"/>
        <w:gridCol w:w="1127"/>
        <w:gridCol w:w="967"/>
      </w:tblGrid>
      <w:tr w14:paraId="278CC2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97" w:type="dxa"/>
            <w:tcBorders>
              <w:tl2br w:val="nil"/>
              <w:tr2bl w:val="nil"/>
            </w:tcBorders>
            <w:shd w:val="clear" w:color="auto" w:fill="auto"/>
            <w:noWrap/>
            <w:vAlign w:val="center"/>
          </w:tcPr>
          <w:p w14:paraId="0544335C">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类型</w:t>
            </w:r>
          </w:p>
        </w:tc>
        <w:tc>
          <w:tcPr>
            <w:tcW w:w="3628" w:type="dxa"/>
            <w:tcBorders>
              <w:tl2br w:val="nil"/>
              <w:tr2bl w:val="nil"/>
            </w:tcBorders>
            <w:shd w:val="clear" w:color="auto" w:fill="auto"/>
            <w:noWrap/>
            <w:vAlign w:val="center"/>
          </w:tcPr>
          <w:p w14:paraId="428F1EFD">
            <w:pPr>
              <w:spacing w:line="240" w:lineRule="auto"/>
              <w:ind w:firstLine="480"/>
              <w:jc w:val="center"/>
              <w:textAlignment w:val="center"/>
              <w:rPr>
                <w:rFonts w:eastAsia="仿宋_GB2312" w:cs="Times New Roman"/>
                <w:highlight w:val="none"/>
              </w:rPr>
            </w:pPr>
            <w:r>
              <w:rPr>
                <w:rFonts w:eastAsia="仿宋_GB2312" w:cs="Times New Roman"/>
                <w:highlight w:val="none"/>
                <w:lang w:bidi="ar"/>
              </w:rPr>
              <w:t>指标名称</w:t>
            </w:r>
          </w:p>
        </w:tc>
        <w:tc>
          <w:tcPr>
            <w:tcW w:w="843" w:type="dxa"/>
            <w:tcBorders>
              <w:tl2br w:val="nil"/>
              <w:tr2bl w:val="nil"/>
            </w:tcBorders>
            <w:shd w:val="clear" w:color="auto" w:fill="auto"/>
            <w:noWrap/>
            <w:vAlign w:val="center"/>
          </w:tcPr>
          <w:p w14:paraId="1B7544D6">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单位</w:t>
            </w:r>
          </w:p>
        </w:tc>
        <w:tc>
          <w:tcPr>
            <w:tcW w:w="938" w:type="dxa"/>
            <w:tcBorders>
              <w:tl2br w:val="nil"/>
              <w:tr2bl w:val="nil"/>
            </w:tcBorders>
            <w:shd w:val="clear" w:color="auto" w:fill="auto"/>
            <w:noWrap/>
            <w:vAlign w:val="center"/>
          </w:tcPr>
          <w:p w14:paraId="60B143A5">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基期年</w:t>
            </w:r>
          </w:p>
        </w:tc>
        <w:tc>
          <w:tcPr>
            <w:tcW w:w="1066" w:type="dxa"/>
            <w:tcBorders>
              <w:tl2br w:val="nil"/>
              <w:tr2bl w:val="nil"/>
            </w:tcBorders>
            <w:shd w:val="clear" w:color="auto" w:fill="auto"/>
            <w:noWrap/>
            <w:vAlign w:val="center"/>
          </w:tcPr>
          <w:p w14:paraId="15437AB4">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2025年目标值</w:t>
            </w:r>
          </w:p>
        </w:tc>
        <w:tc>
          <w:tcPr>
            <w:tcW w:w="1127" w:type="dxa"/>
            <w:tcBorders>
              <w:tl2br w:val="nil"/>
              <w:tr2bl w:val="nil"/>
            </w:tcBorders>
            <w:shd w:val="clear" w:color="auto" w:fill="auto"/>
            <w:noWrap/>
            <w:vAlign w:val="center"/>
          </w:tcPr>
          <w:p w14:paraId="1B684BFF">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2035年目标值</w:t>
            </w:r>
          </w:p>
        </w:tc>
        <w:tc>
          <w:tcPr>
            <w:tcW w:w="967" w:type="dxa"/>
            <w:tcBorders>
              <w:tl2br w:val="nil"/>
              <w:tr2bl w:val="nil"/>
            </w:tcBorders>
            <w:shd w:val="clear" w:color="auto" w:fill="auto"/>
            <w:noWrap/>
            <w:vAlign w:val="center"/>
          </w:tcPr>
          <w:p w14:paraId="51A614EC">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属性</w:t>
            </w:r>
          </w:p>
        </w:tc>
      </w:tr>
      <w:tr w14:paraId="6D3E14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97" w:type="dxa"/>
            <w:vMerge w:val="restart"/>
            <w:tcBorders>
              <w:tl2br w:val="nil"/>
              <w:tr2bl w:val="nil"/>
            </w:tcBorders>
            <w:shd w:val="clear" w:color="auto" w:fill="auto"/>
            <w:noWrap/>
            <w:textDirection w:val="tbLrV"/>
            <w:vAlign w:val="center"/>
          </w:tcPr>
          <w:p w14:paraId="4D9C4E30">
            <w:pPr>
              <w:spacing w:line="240" w:lineRule="auto"/>
              <w:ind w:left="113" w:right="113" w:firstLine="0" w:firstLineChars="0"/>
              <w:jc w:val="center"/>
              <w:textAlignment w:val="center"/>
              <w:rPr>
                <w:rFonts w:eastAsia="仿宋_GB2312" w:cs="Times New Roman"/>
                <w:highlight w:val="none"/>
              </w:rPr>
            </w:pPr>
            <w:r>
              <w:rPr>
                <w:rFonts w:eastAsia="仿宋_GB2312" w:cs="Times New Roman"/>
                <w:highlight w:val="none"/>
                <w:lang w:bidi="ar"/>
              </w:rPr>
              <w:t>生态质量类</w:t>
            </w:r>
          </w:p>
        </w:tc>
        <w:tc>
          <w:tcPr>
            <w:tcW w:w="3628" w:type="dxa"/>
            <w:tcBorders>
              <w:tl2br w:val="nil"/>
              <w:tr2bl w:val="nil"/>
            </w:tcBorders>
            <w:shd w:val="clear" w:color="auto" w:fill="auto"/>
            <w:noWrap/>
            <w:vAlign w:val="center"/>
          </w:tcPr>
          <w:p w14:paraId="3BD75159">
            <w:pPr>
              <w:spacing w:line="240" w:lineRule="auto"/>
              <w:ind w:firstLine="480"/>
              <w:jc w:val="center"/>
              <w:textAlignment w:val="center"/>
              <w:rPr>
                <w:rFonts w:eastAsia="仿宋_GB2312" w:cs="Times New Roman"/>
                <w:highlight w:val="none"/>
              </w:rPr>
            </w:pPr>
            <w:r>
              <w:rPr>
                <w:rFonts w:eastAsia="仿宋_GB2312" w:cs="Times New Roman"/>
                <w:highlight w:val="none"/>
                <w:lang w:bidi="ar"/>
              </w:rPr>
              <w:t>耕地保有量</w:t>
            </w:r>
          </w:p>
        </w:tc>
        <w:tc>
          <w:tcPr>
            <w:tcW w:w="843" w:type="dxa"/>
            <w:tcBorders>
              <w:tl2br w:val="nil"/>
              <w:tr2bl w:val="nil"/>
            </w:tcBorders>
            <w:shd w:val="clear" w:color="auto" w:fill="auto"/>
            <w:noWrap/>
            <w:vAlign w:val="center"/>
          </w:tcPr>
          <w:p w14:paraId="78B8EF7C">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Km</w:t>
            </w:r>
            <w:r>
              <w:rPr>
                <w:rFonts w:eastAsia="仿宋_GB2312" w:cs="Times New Roman"/>
                <w:highlight w:val="none"/>
                <w:vertAlign w:val="superscript"/>
                <w:lang w:bidi="ar"/>
              </w:rPr>
              <w:t>2</w:t>
            </w:r>
          </w:p>
        </w:tc>
        <w:tc>
          <w:tcPr>
            <w:tcW w:w="938" w:type="dxa"/>
            <w:tcBorders>
              <w:tl2br w:val="nil"/>
              <w:tr2bl w:val="nil"/>
            </w:tcBorders>
            <w:shd w:val="clear" w:color="auto" w:fill="auto"/>
            <w:noWrap/>
            <w:vAlign w:val="center"/>
          </w:tcPr>
          <w:p w14:paraId="2338702F">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145.30</w:t>
            </w:r>
          </w:p>
        </w:tc>
        <w:tc>
          <w:tcPr>
            <w:tcW w:w="1066" w:type="dxa"/>
            <w:tcBorders>
              <w:tl2br w:val="nil"/>
              <w:tr2bl w:val="nil"/>
            </w:tcBorders>
            <w:shd w:val="clear" w:color="auto" w:fill="auto"/>
            <w:noWrap/>
            <w:vAlign w:val="center"/>
          </w:tcPr>
          <w:p w14:paraId="2EBD9D34">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≥145.30</w:t>
            </w:r>
          </w:p>
        </w:tc>
        <w:tc>
          <w:tcPr>
            <w:tcW w:w="1127" w:type="dxa"/>
            <w:tcBorders>
              <w:tl2br w:val="nil"/>
              <w:tr2bl w:val="nil"/>
            </w:tcBorders>
            <w:shd w:val="clear" w:color="auto" w:fill="auto"/>
            <w:noWrap/>
            <w:vAlign w:val="center"/>
          </w:tcPr>
          <w:p w14:paraId="292A3D70">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≥145.30</w:t>
            </w:r>
          </w:p>
        </w:tc>
        <w:tc>
          <w:tcPr>
            <w:tcW w:w="967" w:type="dxa"/>
            <w:tcBorders>
              <w:tl2br w:val="nil"/>
              <w:tr2bl w:val="nil"/>
            </w:tcBorders>
            <w:shd w:val="clear" w:color="auto" w:fill="auto"/>
            <w:noWrap/>
            <w:vAlign w:val="center"/>
          </w:tcPr>
          <w:p w14:paraId="5D6AEA29">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约束性</w:t>
            </w:r>
          </w:p>
        </w:tc>
      </w:tr>
      <w:tr w14:paraId="148679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97" w:type="dxa"/>
            <w:vMerge w:val="continue"/>
            <w:tcBorders>
              <w:tl2br w:val="nil"/>
              <w:tr2bl w:val="nil"/>
            </w:tcBorders>
            <w:shd w:val="clear" w:color="auto" w:fill="auto"/>
            <w:noWrap/>
            <w:textDirection w:val="tbLrV"/>
            <w:vAlign w:val="center"/>
          </w:tcPr>
          <w:p w14:paraId="32A2F958">
            <w:pPr>
              <w:spacing w:line="240" w:lineRule="auto"/>
              <w:ind w:left="113" w:right="113" w:firstLine="480"/>
              <w:jc w:val="center"/>
              <w:rPr>
                <w:rFonts w:eastAsia="仿宋_GB2312" w:cs="Times New Roman"/>
                <w:highlight w:val="none"/>
              </w:rPr>
            </w:pPr>
          </w:p>
        </w:tc>
        <w:tc>
          <w:tcPr>
            <w:tcW w:w="3628" w:type="dxa"/>
            <w:tcBorders>
              <w:tl2br w:val="nil"/>
              <w:tr2bl w:val="nil"/>
            </w:tcBorders>
            <w:shd w:val="clear" w:color="auto" w:fill="auto"/>
            <w:noWrap/>
            <w:vAlign w:val="center"/>
          </w:tcPr>
          <w:p w14:paraId="6C605D37">
            <w:pPr>
              <w:spacing w:line="240" w:lineRule="auto"/>
              <w:ind w:firstLine="480"/>
              <w:jc w:val="center"/>
              <w:textAlignment w:val="center"/>
              <w:rPr>
                <w:rFonts w:eastAsia="仿宋_GB2312" w:cs="Times New Roman"/>
                <w:highlight w:val="none"/>
              </w:rPr>
            </w:pPr>
            <w:r>
              <w:rPr>
                <w:rFonts w:eastAsia="仿宋_GB2312" w:cs="Times New Roman"/>
                <w:highlight w:val="none"/>
                <w:lang w:bidi="ar"/>
              </w:rPr>
              <w:t>森林覆盖率</w:t>
            </w:r>
          </w:p>
        </w:tc>
        <w:tc>
          <w:tcPr>
            <w:tcW w:w="843" w:type="dxa"/>
            <w:tcBorders>
              <w:tl2br w:val="nil"/>
              <w:tr2bl w:val="nil"/>
            </w:tcBorders>
            <w:shd w:val="clear" w:color="auto" w:fill="auto"/>
            <w:noWrap/>
            <w:vAlign w:val="center"/>
          </w:tcPr>
          <w:p w14:paraId="5CA296C4">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w:t>
            </w:r>
          </w:p>
        </w:tc>
        <w:tc>
          <w:tcPr>
            <w:tcW w:w="938" w:type="dxa"/>
            <w:tcBorders>
              <w:tl2br w:val="nil"/>
              <w:tr2bl w:val="nil"/>
            </w:tcBorders>
            <w:shd w:val="clear" w:color="auto" w:fill="auto"/>
            <w:noWrap/>
            <w:vAlign w:val="center"/>
          </w:tcPr>
          <w:p w14:paraId="1B672952">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31.69</w:t>
            </w:r>
          </w:p>
        </w:tc>
        <w:tc>
          <w:tcPr>
            <w:tcW w:w="1066" w:type="dxa"/>
            <w:tcBorders>
              <w:tl2br w:val="nil"/>
              <w:tr2bl w:val="nil"/>
            </w:tcBorders>
            <w:shd w:val="clear" w:color="auto" w:fill="auto"/>
            <w:noWrap/>
            <w:vAlign w:val="center"/>
          </w:tcPr>
          <w:p w14:paraId="70322C87">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≥32</w:t>
            </w:r>
          </w:p>
        </w:tc>
        <w:tc>
          <w:tcPr>
            <w:tcW w:w="1127" w:type="dxa"/>
            <w:tcBorders>
              <w:tl2br w:val="nil"/>
              <w:tr2bl w:val="nil"/>
            </w:tcBorders>
            <w:shd w:val="clear" w:color="auto" w:fill="auto"/>
            <w:noWrap/>
            <w:vAlign w:val="center"/>
          </w:tcPr>
          <w:p w14:paraId="45CB8C95">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≥35</w:t>
            </w:r>
          </w:p>
        </w:tc>
        <w:tc>
          <w:tcPr>
            <w:tcW w:w="967" w:type="dxa"/>
            <w:tcBorders>
              <w:tl2br w:val="nil"/>
              <w:tr2bl w:val="nil"/>
            </w:tcBorders>
            <w:shd w:val="clear" w:color="auto" w:fill="auto"/>
            <w:noWrap/>
            <w:vAlign w:val="center"/>
          </w:tcPr>
          <w:p w14:paraId="6DA9898A">
            <w:pPr>
              <w:spacing w:line="240" w:lineRule="auto"/>
              <w:ind w:firstLine="0" w:firstLineChars="0"/>
              <w:jc w:val="center"/>
              <w:textAlignment w:val="center"/>
              <w:rPr>
                <w:rFonts w:eastAsia="仿宋_GB2312" w:cs="Times New Roman"/>
                <w:highlight w:val="none"/>
              </w:rPr>
            </w:pPr>
            <w:r>
              <w:rPr>
                <w:rFonts w:hint="eastAsia" w:eastAsia="仿宋_GB2312" w:cs="Times New Roman"/>
                <w:highlight w:val="none"/>
                <w:lang w:val="en-US" w:eastAsia="zh-CN" w:bidi="ar"/>
              </w:rPr>
              <w:t>预期</w:t>
            </w:r>
            <w:r>
              <w:rPr>
                <w:rFonts w:eastAsia="仿宋_GB2312" w:cs="Times New Roman"/>
                <w:highlight w:val="none"/>
                <w:lang w:bidi="ar"/>
              </w:rPr>
              <w:t>性</w:t>
            </w:r>
          </w:p>
        </w:tc>
      </w:tr>
      <w:tr w14:paraId="415F8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97" w:type="dxa"/>
            <w:vMerge w:val="continue"/>
            <w:tcBorders>
              <w:tl2br w:val="nil"/>
              <w:tr2bl w:val="nil"/>
            </w:tcBorders>
            <w:shd w:val="clear" w:color="auto" w:fill="auto"/>
            <w:noWrap/>
            <w:textDirection w:val="tbLrV"/>
            <w:vAlign w:val="center"/>
          </w:tcPr>
          <w:p w14:paraId="7DEA7771">
            <w:pPr>
              <w:spacing w:line="240" w:lineRule="auto"/>
              <w:ind w:left="113" w:right="113" w:firstLine="480"/>
              <w:jc w:val="center"/>
              <w:rPr>
                <w:rFonts w:eastAsia="仿宋_GB2312" w:cs="Times New Roman"/>
                <w:highlight w:val="none"/>
              </w:rPr>
            </w:pPr>
          </w:p>
        </w:tc>
        <w:tc>
          <w:tcPr>
            <w:tcW w:w="3628" w:type="dxa"/>
            <w:tcBorders>
              <w:tl2br w:val="nil"/>
              <w:tr2bl w:val="nil"/>
            </w:tcBorders>
            <w:shd w:val="clear" w:color="auto" w:fill="auto"/>
            <w:noWrap/>
            <w:vAlign w:val="center"/>
          </w:tcPr>
          <w:p w14:paraId="18BDA9C6">
            <w:pPr>
              <w:spacing w:line="240" w:lineRule="auto"/>
              <w:ind w:firstLine="480"/>
              <w:jc w:val="center"/>
              <w:textAlignment w:val="center"/>
              <w:rPr>
                <w:rFonts w:eastAsia="仿宋_GB2312" w:cs="Times New Roman"/>
                <w:highlight w:val="none"/>
              </w:rPr>
            </w:pPr>
            <w:r>
              <w:rPr>
                <w:rFonts w:eastAsia="仿宋_GB2312" w:cs="Times New Roman"/>
                <w:highlight w:val="none"/>
                <w:lang w:bidi="ar"/>
              </w:rPr>
              <w:t>湿地面积</w:t>
            </w:r>
          </w:p>
        </w:tc>
        <w:tc>
          <w:tcPr>
            <w:tcW w:w="843" w:type="dxa"/>
            <w:tcBorders>
              <w:tl2br w:val="nil"/>
              <w:tr2bl w:val="nil"/>
            </w:tcBorders>
            <w:shd w:val="clear" w:color="auto" w:fill="auto"/>
            <w:noWrap/>
            <w:vAlign w:val="center"/>
          </w:tcPr>
          <w:p w14:paraId="7F668F5D">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Km</w:t>
            </w:r>
            <w:r>
              <w:rPr>
                <w:rFonts w:eastAsia="仿宋_GB2312" w:cs="Times New Roman"/>
                <w:highlight w:val="none"/>
                <w:vertAlign w:val="superscript"/>
                <w:lang w:bidi="ar"/>
              </w:rPr>
              <w:t>2</w:t>
            </w:r>
          </w:p>
        </w:tc>
        <w:tc>
          <w:tcPr>
            <w:tcW w:w="938" w:type="dxa"/>
            <w:tcBorders>
              <w:tl2br w:val="nil"/>
              <w:tr2bl w:val="nil"/>
            </w:tcBorders>
            <w:shd w:val="clear" w:color="auto" w:fill="auto"/>
            <w:noWrap/>
            <w:vAlign w:val="center"/>
          </w:tcPr>
          <w:p w14:paraId="39188C2A">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0.5008</w:t>
            </w:r>
          </w:p>
        </w:tc>
        <w:tc>
          <w:tcPr>
            <w:tcW w:w="1066" w:type="dxa"/>
            <w:tcBorders>
              <w:tl2br w:val="nil"/>
              <w:tr2bl w:val="nil"/>
            </w:tcBorders>
            <w:shd w:val="clear" w:color="auto" w:fill="auto"/>
            <w:noWrap/>
            <w:vAlign w:val="center"/>
          </w:tcPr>
          <w:p w14:paraId="5239AEA7">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0.5008</w:t>
            </w:r>
          </w:p>
        </w:tc>
        <w:tc>
          <w:tcPr>
            <w:tcW w:w="1127" w:type="dxa"/>
            <w:tcBorders>
              <w:tl2br w:val="nil"/>
              <w:tr2bl w:val="nil"/>
            </w:tcBorders>
            <w:shd w:val="clear" w:color="auto" w:fill="auto"/>
            <w:noWrap/>
            <w:vAlign w:val="center"/>
          </w:tcPr>
          <w:p w14:paraId="0706E901">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0.5008</w:t>
            </w:r>
          </w:p>
        </w:tc>
        <w:tc>
          <w:tcPr>
            <w:tcW w:w="967" w:type="dxa"/>
            <w:tcBorders>
              <w:tl2br w:val="nil"/>
              <w:tr2bl w:val="nil"/>
            </w:tcBorders>
            <w:shd w:val="clear" w:color="auto" w:fill="auto"/>
            <w:noWrap/>
            <w:vAlign w:val="center"/>
          </w:tcPr>
          <w:p w14:paraId="01211A1A">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预期性</w:t>
            </w:r>
          </w:p>
        </w:tc>
      </w:tr>
      <w:tr w14:paraId="5D07D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97" w:type="dxa"/>
            <w:vMerge w:val="continue"/>
            <w:tcBorders>
              <w:tl2br w:val="nil"/>
              <w:tr2bl w:val="nil"/>
            </w:tcBorders>
            <w:shd w:val="clear" w:color="auto" w:fill="auto"/>
            <w:noWrap/>
            <w:textDirection w:val="tbLrV"/>
            <w:vAlign w:val="center"/>
          </w:tcPr>
          <w:p w14:paraId="3455DEA1">
            <w:pPr>
              <w:spacing w:line="240" w:lineRule="auto"/>
              <w:ind w:left="113" w:right="113" w:firstLine="480"/>
              <w:jc w:val="center"/>
              <w:rPr>
                <w:rFonts w:eastAsia="仿宋_GB2312" w:cs="Times New Roman"/>
                <w:highlight w:val="none"/>
              </w:rPr>
            </w:pPr>
          </w:p>
        </w:tc>
        <w:tc>
          <w:tcPr>
            <w:tcW w:w="3628" w:type="dxa"/>
            <w:tcBorders>
              <w:tl2br w:val="nil"/>
              <w:tr2bl w:val="nil"/>
            </w:tcBorders>
            <w:shd w:val="clear" w:color="auto" w:fill="auto"/>
            <w:noWrap/>
            <w:vAlign w:val="center"/>
          </w:tcPr>
          <w:p w14:paraId="2C1F44D7">
            <w:pPr>
              <w:spacing w:line="240" w:lineRule="auto"/>
              <w:ind w:firstLine="480"/>
              <w:jc w:val="center"/>
              <w:textAlignment w:val="center"/>
              <w:rPr>
                <w:rFonts w:eastAsia="仿宋_GB2312" w:cs="Times New Roman"/>
                <w:highlight w:val="none"/>
              </w:rPr>
            </w:pPr>
            <w:r>
              <w:rPr>
                <w:rFonts w:eastAsia="仿宋_GB2312" w:cs="Times New Roman"/>
                <w:highlight w:val="none"/>
                <w:lang w:bidi="ar"/>
              </w:rPr>
              <w:t>人均公园绿地面积</w:t>
            </w:r>
          </w:p>
        </w:tc>
        <w:tc>
          <w:tcPr>
            <w:tcW w:w="843" w:type="dxa"/>
            <w:tcBorders>
              <w:tl2br w:val="nil"/>
              <w:tr2bl w:val="nil"/>
            </w:tcBorders>
            <w:shd w:val="clear" w:color="auto" w:fill="auto"/>
            <w:noWrap/>
            <w:vAlign w:val="center"/>
          </w:tcPr>
          <w:p w14:paraId="7690F78A">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m</w:t>
            </w:r>
            <w:r>
              <w:rPr>
                <w:rFonts w:eastAsia="仿宋_GB2312" w:cs="Times New Roman"/>
                <w:highlight w:val="none"/>
                <w:vertAlign w:val="superscript"/>
                <w:lang w:bidi="ar"/>
              </w:rPr>
              <w:t>2</w:t>
            </w:r>
          </w:p>
        </w:tc>
        <w:tc>
          <w:tcPr>
            <w:tcW w:w="938" w:type="dxa"/>
            <w:tcBorders>
              <w:tl2br w:val="nil"/>
              <w:tr2bl w:val="nil"/>
            </w:tcBorders>
            <w:shd w:val="clear" w:color="auto" w:fill="auto"/>
            <w:noWrap/>
            <w:vAlign w:val="center"/>
          </w:tcPr>
          <w:p w14:paraId="4B2A0B49">
            <w:pPr>
              <w:spacing w:line="240" w:lineRule="auto"/>
              <w:ind w:firstLine="0" w:firstLineChars="0"/>
              <w:jc w:val="center"/>
              <w:textAlignment w:val="center"/>
              <w:rPr>
                <w:rFonts w:hint="default" w:eastAsia="仿宋_GB2312" w:cs="Times New Roman"/>
                <w:highlight w:val="none"/>
                <w:lang w:val="en-US" w:eastAsia="zh-CN"/>
              </w:rPr>
            </w:pPr>
            <w:r>
              <w:rPr>
                <w:rFonts w:hint="eastAsia" w:eastAsia="仿宋_GB2312" w:cs="Times New Roman"/>
                <w:highlight w:val="none"/>
                <w:lang w:val="en-US" w:eastAsia="zh-CN" w:bidi="ar"/>
              </w:rPr>
              <w:t>13</w:t>
            </w:r>
          </w:p>
        </w:tc>
        <w:tc>
          <w:tcPr>
            <w:tcW w:w="1066" w:type="dxa"/>
            <w:tcBorders>
              <w:tl2br w:val="nil"/>
              <w:tr2bl w:val="nil"/>
            </w:tcBorders>
            <w:shd w:val="clear" w:color="auto" w:fill="auto"/>
            <w:noWrap/>
            <w:vAlign w:val="center"/>
          </w:tcPr>
          <w:p w14:paraId="720FB4A0">
            <w:pPr>
              <w:spacing w:line="240" w:lineRule="auto"/>
              <w:ind w:firstLine="0" w:firstLineChars="0"/>
              <w:jc w:val="center"/>
              <w:textAlignment w:val="center"/>
              <w:rPr>
                <w:rFonts w:hint="default" w:eastAsia="仿宋_GB2312" w:cs="Times New Roman"/>
                <w:highlight w:val="none"/>
                <w:lang w:val="en-US" w:eastAsia="zh-CN"/>
              </w:rPr>
            </w:pPr>
            <w:r>
              <w:rPr>
                <w:rFonts w:eastAsia="仿宋_GB2312" w:cs="Times New Roman"/>
                <w:highlight w:val="none"/>
                <w:lang w:bidi="ar"/>
              </w:rPr>
              <w:t>≥</w:t>
            </w:r>
            <w:r>
              <w:rPr>
                <w:rFonts w:hint="eastAsia" w:eastAsia="仿宋_GB2312" w:cs="Times New Roman"/>
                <w:highlight w:val="none"/>
                <w:lang w:val="en-US" w:eastAsia="zh-CN" w:bidi="ar"/>
              </w:rPr>
              <w:t>13</w:t>
            </w:r>
          </w:p>
        </w:tc>
        <w:tc>
          <w:tcPr>
            <w:tcW w:w="1127" w:type="dxa"/>
            <w:tcBorders>
              <w:tl2br w:val="nil"/>
              <w:tr2bl w:val="nil"/>
            </w:tcBorders>
            <w:shd w:val="clear" w:color="auto" w:fill="auto"/>
            <w:noWrap/>
            <w:vAlign w:val="center"/>
          </w:tcPr>
          <w:p w14:paraId="48EA0115">
            <w:pPr>
              <w:spacing w:line="240" w:lineRule="auto"/>
              <w:ind w:firstLine="0" w:firstLineChars="0"/>
              <w:jc w:val="center"/>
              <w:textAlignment w:val="center"/>
              <w:rPr>
                <w:rFonts w:hint="default" w:eastAsia="仿宋_GB2312" w:cs="Times New Roman"/>
                <w:highlight w:val="none"/>
                <w:lang w:val="en-US" w:eastAsia="zh-CN"/>
              </w:rPr>
            </w:pPr>
            <w:r>
              <w:rPr>
                <w:rFonts w:eastAsia="仿宋_GB2312" w:cs="Times New Roman"/>
                <w:highlight w:val="none"/>
                <w:lang w:bidi="ar"/>
              </w:rPr>
              <w:t>≥</w:t>
            </w:r>
            <w:r>
              <w:rPr>
                <w:rFonts w:hint="eastAsia" w:eastAsia="仿宋_GB2312" w:cs="Times New Roman"/>
                <w:highlight w:val="none"/>
                <w:lang w:val="en-US" w:eastAsia="zh-CN" w:bidi="ar"/>
              </w:rPr>
              <w:t>14</w:t>
            </w:r>
          </w:p>
        </w:tc>
        <w:tc>
          <w:tcPr>
            <w:tcW w:w="967" w:type="dxa"/>
            <w:tcBorders>
              <w:tl2br w:val="nil"/>
              <w:tr2bl w:val="nil"/>
            </w:tcBorders>
            <w:shd w:val="clear" w:color="auto" w:fill="auto"/>
            <w:noWrap/>
            <w:vAlign w:val="center"/>
          </w:tcPr>
          <w:p w14:paraId="2D9CC6F6">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预期性</w:t>
            </w:r>
          </w:p>
        </w:tc>
      </w:tr>
      <w:tr w14:paraId="0EE30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97" w:type="dxa"/>
            <w:vMerge w:val="continue"/>
            <w:tcBorders>
              <w:tl2br w:val="nil"/>
              <w:tr2bl w:val="nil"/>
            </w:tcBorders>
            <w:shd w:val="clear" w:color="auto" w:fill="auto"/>
            <w:noWrap/>
            <w:vAlign w:val="center"/>
          </w:tcPr>
          <w:p w14:paraId="588521E8">
            <w:pPr>
              <w:spacing w:line="240" w:lineRule="auto"/>
              <w:ind w:firstLine="480"/>
              <w:jc w:val="center"/>
              <w:rPr>
                <w:rFonts w:eastAsia="仿宋_GB2312" w:cs="Times New Roman"/>
                <w:highlight w:val="none"/>
              </w:rPr>
            </w:pPr>
          </w:p>
        </w:tc>
        <w:tc>
          <w:tcPr>
            <w:tcW w:w="3628" w:type="dxa"/>
            <w:tcBorders>
              <w:tl2br w:val="nil"/>
              <w:tr2bl w:val="nil"/>
            </w:tcBorders>
            <w:shd w:val="clear" w:color="auto" w:fill="auto"/>
            <w:noWrap/>
            <w:vAlign w:val="center"/>
          </w:tcPr>
          <w:p w14:paraId="73BDA828">
            <w:pPr>
              <w:spacing w:line="240" w:lineRule="auto"/>
              <w:ind w:firstLine="480"/>
              <w:jc w:val="center"/>
              <w:textAlignment w:val="center"/>
              <w:rPr>
                <w:rFonts w:eastAsia="仿宋_GB2312" w:cs="Times New Roman"/>
                <w:highlight w:val="none"/>
              </w:rPr>
            </w:pPr>
            <w:r>
              <w:rPr>
                <w:rFonts w:eastAsia="仿宋_GB2312" w:cs="Times New Roman"/>
                <w:highlight w:val="none"/>
                <w:lang w:bidi="ar"/>
              </w:rPr>
              <w:t>水土保持率</w:t>
            </w:r>
          </w:p>
        </w:tc>
        <w:tc>
          <w:tcPr>
            <w:tcW w:w="843" w:type="dxa"/>
            <w:tcBorders>
              <w:tl2br w:val="nil"/>
              <w:tr2bl w:val="nil"/>
            </w:tcBorders>
            <w:shd w:val="clear" w:color="auto" w:fill="auto"/>
            <w:noWrap/>
            <w:vAlign w:val="center"/>
          </w:tcPr>
          <w:p w14:paraId="0BF218B4">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w:t>
            </w:r>
          </w:p>
        </w:tc>
        <w:tc>
          <w:tcPr>
            <w:tcW w:w="938" w:type="dxa"/>
            <w:tcBorders>
              <w:tl2br w:val="nil"/>
              <w:tr2bl w:val="nil"/>
            </w:tcBorders>
            <w:shd w:val="clear" w:color="auto" w:fill="auto"/>
            <w:noWrap/>
            <w:vAlign w:val="center"/>
          </w:tcPr>
          <w:p w14:paraId="0C887C7B">
            <w:pPr>
              <w:spacing w:line="240" w:lineRule="auto"/>
              <w:ind w:firstLine="0" w:firstLineChars="0"/>
              <w:jc w:val="center"/>
              <w:rPr>
                <w:rFonts w:eastAsia="仿宋_GB2312" w:cs="Times New Roman"/>
                <w:highlight w:val="none"/>
              </w:rPr>
            </w:pPr>
            <w:r>
              <w:rPr>
                <w:rFonts w:eastAsia="仿宋_GB2312" w:cs="Times New Roman"/>
                <w:highlight w:val="none"/>
              </w:rPr>
              <w:t>69.26</w:t>
            </w:r>
          </w:p>
        </w:tc>
        <w:tc>
          <w:tcPr>
            <w:tcW w:w="1066" w:type="dxa"/>
            <w:tcBorders>
              <w:tl2br w:val="nil"/>
              <w:tr2bl w:val="nil"/>
            </w:tcBorders>
            <w:shd w:val="clear" w:color="auto" w:fill="auto"/>
            <w:noWrap/>
            <w:vAlign w:val="center"/>
          </w:tcPr>
          <w:p w14:paraId="2E946C06">
            <w:pPr>
              <w:spacing w:line="240" w:lineRule="auto"/>
              <w:ind w:firstLine="0" w:firstLineChars="0"/>
              <w:jc w:val="center"/>
              <w:rPr>
                <w:rFonts w:eastAsia="仿宋_GB2312" w:cs="Times New Roman"/>
                <w:highlight w:val="none"/>
              </w:rPr>
            </w:pPr>
            <w:r>
              <w:rPr>
                <w:rFonts w:eastAsia="仿宋_GB2312" w:cs="Times New Roman"/>
                <w:highlight w:val="none"/>
              </w:rPr>
              <w:t>71.66</w:t>
            </w:r>
          </w:p>
        </w:tc>
        <w:tc>
          <w:tcPr>
            <w:tcW w:w="1127" w:type="dxa"/>
            <w:tcBorders>
              <w:tl2br w:val="nil"/>
              <w:tr2bl w:val="nil"/>
            </w:tcBorders>
            <w:shd w:val="clear" w:color="auto" w:fill="auto"/>
            <w:noWrap/>
            <w:vAlign w:val="center"/>
          </w:tcPr>
          <w:p w14:paraId="0AEE97E7">
            <w:pPr>
              <w:spacing w:line="240" w:lineRule="auto"/>
              <w:ind w:firstLine="0" w:firstLineChars="0"/>
              <w:jc w:val="center"/>
              <w:rPr>
                <w:rFonts w:eastAsia="仿宋_GB2312" w:cs="Times New Roman"/>
                <w:highlight w:val="none"/>
              </w:rPr>
            </w:pPr>
            <w:r>
              <w:rPr>
                <w:rFonts w:eastAsia="仿宋_GB2312" w:cs="Times New Roman"/>
                <w:highlight w:val="none"/>
              </w:rPr>
              <w:t>79.68</w:t>
            </w:r>
          </w:p>
        </w:tc>
        <w:tc>
          <w:tcPr>
            <w:tcW w:w="967" w:type="dxa"/>
            <w:tcBorders>
              <w:tl2br w:val="nil"/>
              <w:tr2bl w:val="nil"/>
            </w:tcBorders>
            <w:shd w:val="clear" w:color="auto" w:fill="auto"/>
            <w:noWrap/>
            <w:vAlign w:val="center"/>
          </w:tcPr>
          <w:p w14:paraId="1D056116">
            <w:pPr>
              <w:spacing w:line="240" w:lineRule="auto"/>
              <w:ind w:firstLine="0" w:firstLineChars="0"/>
              <w:jc w:val="center"/>
              <w:textAlignment w:val="center"/>
              <w:rPr>
                <w:rFonts w:eastAsia="仿宋_GB2312" w:cs="Times New Roman"/>
                <w:highlight w:val="none"/>
              </w:rPr>
            </w:pPr>
            <w:r>
              <w:rPr>
                <w:rFonts w:eastAsia="仿宋_GB2312" w:cs="Times New Roman"/>
                <w:highlight w:val="none"/>
                <w:lang w:bidi="ar"/>
              </w:rPr>
              <w:t>预期性</w:t>
            </w:r>
          </w:p>
        </w:tc>
      </w:tr>
      <w:tr w14:paraId="4C2823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97" w:type="dxa"/>
            <w:vMerge w:val="continue"/>
            <w:tcBorders>
              <w:tl2br w:val="nil"/>
              <w:tr2bl w:val="nil"/>
            </w:tcBorders>
            <w:shd w:val="clear" w:color="auto" w:fill="auto"/>
            <w:noWrap/>
            <w:vAlign w:val="center"/>
          </w:tcPr>
          <w:p w14:paraId="3E6C0552">
            <w:pPr>
              <w:spacing w:line="240" w:lineRule="auto"/>
              <w:ind w:firstLine="480"/>
              <w:jc w:val="center"/>
              <w:rPr>
                <w:rFonts w:eastAsia="仿宋_GB2312" w:cs="Times New Roman"/>
                <w:highlight w:val="none"/>
              </w:rPr>
            </w:pPr>
          </w:p>
        </w:tc>
        <w:tc>
          <w:tcPr>
            <w:tcW w:w="3628" w:type="dxa"/>
            <w:tcBorders>
              <w:tl2br w:val="nil"/>
              <w:tr2bl w:val="nil"/>
            </w:tcBorders>
            <w:shd w:val="clear" w:color="auto" w:fill="auto"/>
            <w:noWrap/>
            <w:vAlign w:val="center"/>
          </w:tcPr>
          <w:p w14:paraId="6E5CCB50">
            <w:pPr>
              <w:spacing w:line="240" w:lineRule="auto"/>
              <w:ind w:firstLine="480"/>
              <w:jc w:val="center"/>
              <w:textAlignment w:val="center"/>
              <w:rPr>
                <w:rFonts w:eastAsia="仿宋_GB2312" w:cs="Times New Roman"/>
                <w:highlight w:val="none"/>
                <w:lang w:bidi="ar"/>
              </w:rPr>
            </w:pPr>
            <w:r>
              <w:rPr>
                <w:rFonts w:hint="eastAsia" w:eastAsia="仿宋_GB2312" w:cs="Times New Roman"/>
                <w:highlight w:val="none"/>
                <w:lang w:bidi="ar"/>
              </w:rPr>
              <w:t>生态保护红线面积</w:t>
            </w:r>
          </w:p>
        </w:tc>
        <w:tc>
          <w:tcPr>
            <w:tcW w:w="843" w:type="dxa"/>
            <w:tcBorders>
              <w:tl2br w:val="nil"/>
              <w:tr2bl w:val="nil"/>
            </w:tcBorders>
            <w:shd w:val="clear" w:color="auto" w:fill="auto"/>
            <w:noWrap/>
            <w:vAlign w:val="center"/>
          </w:tcPr>
          <w:p w14:paraId="32F9EFDB">
            <w:pPr>
              <w:spacing w:line="240" w:lineRule="auto"/>
              <w:ind w:firstLine="0" w:firstLineChars="0"/>
              <w:jc w:val="center"/>
              <w:textAlignment w:val="center"/>
              <w:rPr>
                <w:rFonts w:eastAsia="仿宋_GB2312" w:cs="Times New Roman"/>
                <w:highlight w:val="none"/>
                <w:lang w:bidi="ar"/>
              </w:rPr>
            </w:pPr>
            <w:r>
              <w:rPr>
                <w:rFonts w:eastAsia="仿宋_GB2312" w:cs="Times New Roman"/>
                <w:highlight w:val="none"/>
                <w:lang w:bidi="ar"/>
              </w:rPr>
              <w:t>Km</w:t>
            </w:r>
            <w:r>
              <w:rPr>
                <w:rFonts w:eastAsia="仿宋_GB2312" w:cs="Times New Roman"/>
                <w:highlight w:val="none"/>
                <w:vertAlign w:val="superscript"/>
                <w:lang w:bidi="ar"/>
              </w:rPr>
              <w:t>2</w:t>
            </w:r>
          </w:p>
        </w:tc>
        <w:tc>
          <w:tcPr>
            <w:tcW w:w="938" w:type="dxa"/>
            <w:tcBorders>
              <w:tl2br w:val="nil"/>
              <w:tr2bl w:val="nil"/>
            </w:tcBorders>
            <w:shd w:val="clear" w:color="auto" w:fill="auto"/>
            <w:noWrap/>
            <w:vAlign w:val="center"/>
          </w:tcPr>
          <w:p w14:paraId="5AFFBF02">
            <w:pPr>
              <w:spacing w:line="240" w:lineRule="auto"/>
              <w:ind w:firstLine="0" w:firstLineChars="0"/>
              <w:jc w:val="center"/>
              <w:rPr>
                <w:rFonts w:eastAsia="仿宋_GB2312" w:cs="Times New Roman"/>
                <w:highlight w:val="none"/>
              </w:rPr>
            </w:pPr>
            <w:r>
              <w:rPr>
                <w:rFonts w:eastAsia="仿宋_GB2312" w:cs="Times New Roman"/>
                <w:highlight w:val="none"/>
              </w:rPr>
              <w:t>-</w:t>
            </w:r>
          </w:p>
        </w:tc>
        <w:tc>
          <w:tcPr>
            <w:tcW w:w="1066" w:type="dxa"/>
            <w:tcBorders>
              <w:tl2br w:val="nil"/>
              <w:tr2bl w:val="nil"/>
            </w:tcBorders>
            <w:shd w:val="clear" w:color="auto" w:fill="auto"/>
            <w:noWrap/>
            <w:vAlign w:val="center"/>
          </w:tcPr>
          <w:p w14:paraId="72AA462E">
            <w:pPr>
              <w:spacing w:line="240" w:lineRule="auto"/>
              <w:ind w:firstLine="0" w:firstLineChars="0"/>
              <w:jc w:val="center"/>
              <w:textAlignment w:val="center"/>
              <w:rPr>
                <w:rFonts w:eastAsia="仿宋_GB2312" w:cs="Times New Roman"/>
                <w:highlight w:val="none"/>
              </w:rPr>
            </w:pPr>
            <w:r>
              <w:rPr>
                <w:rFonts w:hint="eastAsia" w:eastAsia="仿宋_GB2312" w:cs="Times New Roman"/>
                <w:highlight w:val="none"/>
                <w:lang w:bidi="ar"/>
              </w:rPr>
              <w:t>≥80.78</w:t>
            </w:r>
          </w:p>
        </w:tc>
        <w:tc>
          <w:tcPr>
            <w:tcW w:w="1127" w:type="dxa"/>
            <w:tcBorders>
              <w:tl2br w:val="nil"/>
              <w:tr2bl w:val="nil"/>
            </w:tcBorders>
            <w:shd w:val="clear" w:color="auto" w:fill="auto"/>
            <w:noWrap/>
            <w:vAlign w:val="center"/>
          </w:tcPr>
          <w:p w14:paraId="0446D936">
            <w:pPr>
              <w:spacing w:line="240" w:lineRule="auto"/>
              <w:ind w:firstLine="0" w:firstLineChars="0"/>
              <w:jc w:val="center"/>
              <w:textAlignment w:val="center"/>
              <w:rPr>
                <w:rFonts w:eastAsia="仿宋_GB2312" w:cs="Times New Roman"/>
                <w:highlight w:val="none"/>
              </w:rPr>
            </w:pPr>
            <w:r>
              <w:rPr>
                <w:rFonts w:hint="eastAsia" w:eastAsia="仿宋_GB2312" w:cs="Times New Roman"/>
                <w:highlight w:val="none"/>
                <w:lang w:bidi="ar"/>
              </w:rPr>
              <w:t>≥80.78</w:t>
            </w:r>
          </w:p>
        </w:tc>
        <w:tc>
          <w:tcPr>
            <w:tcW w:w="967" w:type="dxa"/>
            <w:tcBorders>
              <w:tl2br w:val="nil"/>
              <w:tr2bl w:val="nil"/>
            </w:tcBorders>
            <w:shd w:val="clear" w:color="auto" w:fill="auto"/>
            <w:noWrap/>
            <w:vAlign w:val="center"/>
          </w:tcPr>
          <w:p w14:paraId="654D5307">
            <w:pPr>
              <w:spacing w:line="240" w:lineRule="auto"/>
              <w:ind w:firstLine="0" w:firstLineChars="0"/>
              <w:jc w:val="center"/>
              <w:textAlignment w:val="center"/>
              <w:rPr>
                <w:rFonts w:eastAsia="仿宋_GB2312" w:cs="Times New Roman"/>
                <w:highlight w:val="none"/>
                <w:lang w:bidi="ar"/>
              </w:rPr>
            </w:pPr>
            <w:r>
              <w:rPr>
                <w:rFonts w:hint="eastAsia" w:eastAsia="仿宋_GB2312" w:cs="Times New Roman"/>
                <w:highlight w:val="none"/>
                <w:lang w:bidi="ar"/>
              </w:rPr>
              <w:t>约束性</w:t>
            </w:r>
          </w:p>
        </w:tc>
      </w:tr>
      <w:tr w14:paraId="156511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0" w:hRule="atLeast"/>
        </w:trPr>
        <w:tc>
          <w:tcPr>
            <w:tcW w:w="697" w:type="dxa"/>
            <w:vMerge w:val="continue"/>
            <w:tcBorders>
              <w:tl2br w:val="nil"/>
              <w:tr2bl w:val="nil"/>
            </w:tcBorders>
            <w:shd w:val="clear" w:color="auto" w:fill="auto"/>
            <w:noWrap/>
            <w:vAlign w:val="center"/>
          </w:tcPr>
          <w:p w14:paraId="7600FAAA">
            <w:pPr>
              <w:spacing w:line="240" w:lineRule="auto"/>
              <w:ind w:firstLine="480"/>
              <w:jc w:val="center"/>
              <w:rPr>
                <w:rFonts w:eastAsia="仿宋_GB2312" w:cs="Times New Roman"/>
                <w:highlight w:val="none"/>
              </w:rPr>
            </w:pPr>
          </w:p>
        </w:tc>
        <w:tc>
          <w:tcPr>
            <w:tcW w:w="3628" w:type="dxa"/>
            <w:tcBorders>
              <w:tl2br w:val="nil"/>
              <w:tr2bl w:val="nil"/>
            </w:tcBorders>
            <w:shd w:val="clear" w:color="auto" w:fill="auto"/>
            <w:noWrap/>
            <w:vAlign w:val="center"/>
          </w:tcPr>
          <w:p w14:paraId="31A25B7A">
            <w:pPr>
              <w:spacing w:line="240" w:lineRule="auto"/>
              <w:ind w:firstLine="480"/>
              <w:jc w:val="center"/>
              <w:textAlignment w:val="center"/>
              <w:rPr>
                <w:rFonts w:hint="eastAsia" w:eastAsia="仿宋_GB2312" w:cs="Times New Roman"/>
                <w:highlight w:val="none"/>
                <w:lang w:bidi="ar"/>
              </w:rPr>
            </w:pPr>
            <w:r>
              <w:rPr>
                <w:rFonts w:hint="eastAsia" w:ascii="仿宋_GB2312" w:hAnsi="Times New Roman" w:eastAsia="仿宋_GB2312" w:cs="Times New Roman"/>
                <w:color w:val="000000" w:themeColor="text1"/>
                <w:kern w:val="0"/>
                <w:szCs w:val="21"/>
                <w:highlight w:val="none"/>
                <w14:textFill>
                  <w14:solidFill>
                    <w14:schemeClr w14:val="tx1"/>
                  </w14:solidFill>
                </w14:textFill>
              </w:rPr>
              <w:t>水域空间保有量</w:t>
            </w:r>
          </w:p>
        </w:tc>
        <w:tc>
          <w:tcPr>
            <w:tcW w:w="843" w:type="dxa"/>
            <w:tcBorders>
              <w:tl2br w:val="nil"/>
              <w:tr2bl w:val="nil"/>
            </w:tcBorders>
            <w:shd w:val="clear" w:color="auto" w:fill="auto"/>
            <w:noWrap/>
            <w:vAlign w:val="center"/>
          </w:tcPr>
          <w:p w14:paraId="0AFBC9A4">
            <w:pPr>
              <w:spacing w:line="240" w:lineRule="auto"/>
              <w:ind w:firstLine="0" w:firstLineChars="0"/>
              <w:jc w:val="center"/>
              <w:textAlignment w:val="center"/>
              <w:rPr>
                <w:rFonts w:hint="eastAsia" w:eastAsia="仿宋_GB2312" w:cs="Times New Roman"/>
                <w:highlight w:val="none"/>
                <w:lang w:bidi="ar"/>
              </w:rPr>
            </w:pPr>
            <w:r>
              <w:rPr>
                <w:rFonts w:hint="eastAsia" w:eastAsia="仿宋_GB2312" w:cs="Times New Roman"/>
                <w:highlight w:val="none"/>
                <w:lang w:bidi="ar"/>
              </w:rPr>
              <w:t>万亩</w:t>
            </w:r>
          </w:p>
        </w:tc>
        <w:tc>
          <w:tcPr>
            <w:tcW w:w="938" w:type="dxa"/>
            <w:tcBorders>
              <w:tl2br w:val="nil"/>
              <w:tr2bl w:val="nil"/>
            </w:tcBorders>
            <w:shd w:val="clear" w:color="auto" w:fill="auto"/>
            <w:noWrap/>
            <w:vAlign w:val="center"/>
          </w:tcPr>
          <w:p w14:paraId="24A37EC2">
            <w:pPr>
              <w:spacing w:line="240" w:lineRule="auto"/>
              <w:ind w:firstLine="0" w:firstLineChars="0"/>
              <w:jc w:val="center"/>
              <w:textAlignment w:val="center"/>
              <w:rPr>
                <w:rFonts w:hint="eastAsia" w:eastAsia="仿宋_GB2312" w:cs="Times New Roman"/>
                <w:highlight w:val="none"/>
                <w:lang w:bidi="ar"/>
              </w:rPr>
            </w:pPr>
            <w:r>
              <w:rPr>
                <w:rFonts w:hint="eastAsia" w:eastAsia="仿宋_GB2312" w:cs="Times New Roman"/>
                <w:highlight w:val="none"/>
                <w:lang w:bidi="ar"/>
              </w:rPr>
              <w:t>25.58</w:t>
            </w:r>
          </w:p>
        </w:tc>
        <w:tc>
          <w:tcPr>
            <w:tcW w:w="1066" w:type="dxa"/>
            <w:tcBorders>
              <w:tl2br w:val="nil"/>
              <w:tr2bl w:val="nil"/>
            </w:tcBorders>
            <w:shd w:val="clear" w:color="auto" w:fill="auto"/>
            <w:noWrap/>
            <w:vAlign w:val="center"/>
          </w:tcPr>
          <w:p w14:paraId="49BAD255">
            <w:pPr>
              <w:spacing w:line="240" w:lineRule="auto"/>
              <w:ind w:firstLine="0" w:firstLineChars="0"/>
              <w:jc w:val="center"/>
              <w:textAlignment w:val="center"/>
              <w:rPr>
                <w:rFonts w:hint="eastAsia" w:eastAsia="仿宋_GB2312" w:cs="Times New Roman"/>
                <w:highlight w:val="none"/>
                <w:lang w:val="en-US" w:eastAsia="zh-CN" w:bidi="ar"/>
              </w:rPr>
            </w:pPr>
            <w:r>
              <w:rPr>
                <w:rFonts w:hint="eastAsia" w:eastAsia="仿宋_GB2312" w:cs="Times New Roman"/>
                <w:highlight w:val="none"/>
                <w:lang w:bidi="ar"/>
              </w:rPr>
              <w:t>≥25.58</w:t>
            </w:r>
          </w:p>
        </w:tc>
        <w:tc>
          <w:tcPr>
            <w:tcW w:w="1127" w:type="dxa"/>
            <w:tcBorders>
              <w:tl2br w:val="nil"/>
              <w:tr2bl w:val="nil"/>
            </w:tcBorders>
            <w:shd w:val="clear" w:color="auto" w:fill="auto"/>
            <w:noWrap/>
            <w:vAlign w:val="center"/>
          </w:tcPr>
          <w:p w14:paraId="0B640720">
            <w:pPr>
              <w:spacing w:line="240" w:lineRule="auto"/>
              <w:ind w:firstLine="0" w:firstLineChars="0"/>
              <w:jc w:val="center"/>
              <w:textAlignment w:val="center"/>
              <w:rPr>
                <w:rFonts w:hint="eastAsia" w:eastAsia="仿宋_GB2312" w:cs="Times New Roman"/>
                <w:highlight w:val="none"/>
                <w:lang w:val="en-US" w:eastAsia="zh-CN" w:bidi="ar"/>
              </w:rPr>
            </w:pPr>
            <w:r>
              <w:rPr>
                <w:rFonts w:hint="eastAsia" w:eastAsia="仿宋_GB2312" w:cs="Times New Roman"/>
                <w:highlight w:val="none"/>
                <w:lang w:bidi="ar"/>
              </w:rPr>
              <w:t>≥25.58</w:t>
            </w:r>
          </w:p>
        </w:tc>
        <w:tc>
          <w:tcPr>
            <w:tcW w:w="967" w:type="dxa"/>
            <w:tcBorders>
              <w:tl2br w:val="nil"/>
              <w:tr2bl w:val="nil"/>
            </w:tcBorders>
            <w:shd w:val="clear" w:color="auto" w:fill="auto"/>
            <w:noWrap/>
            <w:vAlign w:val="center"/>
          </w:tcPr>
          <w:p w14:paraId="2F306259">
            <w:pPr>
              <w:spacing w:line="240" w:lineRule="auto"/>
              <w:ind w:firstLine="0" w:firstLineChars="0"/>
              <w:jc w:val="center"/>
              <w:textAlignment w:val="center"/>
              <w:rPr>
                <w:rFonts w:hint="eastAsia" w:eastAsia="仿宋_GB2312" w:cs="Times New Roman"/>
                <w:highlight w:val="none"/>
                <w:lang w:val="en-US" w:eastAsia="zh-CN" w:bidi="ar"/>
              </w:rPr>
            </w:pPr>
            <w:r>
              <w:rPr>
                <w:rFonts w:hint="eastAsia" w:eastAsia="仿宋_GB2312" w:cs="Times New Roman"/>
                <w:highlight w:val="none"/>
                <w:lang w:bidi="ar"/>
              </w:rPr>
              <w:t>预期性</w:t>
            </w:r>
          </w:p>
        </w:tc>
      </w:tr>
      <w:tr w14:paraId="09DEA6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97" w:type="dxa"/>
            <w:vMerge w:val="restart"/>
            <w:tcBorders>
              <w:tl2br w:val="nil"/>
              <w:tr2bl w:val="nil"/>
            </w:tcBorders>
            <w:shd w:val="clear" w:color="auto" w:fill="auto"/>
            <w:noWrap/>
            <w:textDirection w:val="tbRlV"/>
            <w:vAlign w:val="center"/>
          </w:tcPr>
          <w:p w14:paraId="2EC6F0A1">
            <w:pPr>
              <w:spacing w:line="240" w:lineRule="auto"/>
              <w:ind w:left="113" w:leftChars="0" w:right="113" w:firstLine="0" w:firstLineChars="0"/>
              <w:jc w:val="center"/>
              <w:rPr>
                <w:rFonts w:hint="default" w:eastAsia="仿宋_GB2312" w:cs="Times New Roman"/>
                <w:highlight w:val="none"/>
                <w:lang w:val="en-US" w:eastAsia="zh-CN"/>
              </w:rPr>
            </w:pPr>
            <w:r>
              <w:rPr>
                <w:rFonts w:eastAsia="仿宋_GB2312" w:cs="Times New Roman"/>
                <w:highlight w:val="none"/>
                <w:lang w:bidi="ar"/>
              </w:rPr>
              <w:t>生态</w:t>
            </w:r>
            <w:r>
              <w:rPr>
                <w:rFonts w:hint="eastAsia" w:eastAsia="仿宋_GB2312" w:cs="Times New Roman"/>
                <w:highlight w:val="none"/>
                <w:lang w:val="en-US" w:eastAsia="zh-CN" w:bidi="ar"/>
              </w:rPr>
              <w:t>修复</w:t>
            </w:r>
            <w:r>
              <w:rPr>
                <w:rFonts w:eastAsia="仿宋_GB2312" w:cs="Times New Roman"/>
                <w:highlight w:val="none"/>
                <w:lang w:bidi="ar"/>
              </w:rPr>
              <w:t>类</w:t>
            </w:r>
          </w:p>
        </w:tc>
        <w:tc>
          <w:tcPr>
            <w:tcW w:w="3628" w:type="dxa"/>
            <w:tcBorders>
              <w:tl2br w:val="nil"/>
              <w:tr2bl w:val="nil"/>
            </w:tcBorders>
            <w:shd w:val="clear" w:color="auto" w:fill="auto"/>
            <w:noWrap/>
            <w:vAlign w:val="center"/>
          </w:tcPr>
          <w:p w14:paraId="0ECABCBE">
            <w:pPr>
              <w:spacing w:line="240" w:lineRule="auto"/>
              <w:ind w:firstLine="480" w:firstLineChars="200"/>
              <w:jc w:val="center"/>
              <w:textAlignment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lang w:bidi="ar"/>
              </w:rPr>
              <w:t>水土流失治理面积</w:t>
            </w:r>
          </w:p>
        </w:tc>
        <w:tc>
          <w:tcPr>
            <w:tcW w:w="843" w:type="dxa"/>
            <w:tcBorders>
              <w:tl2br w:val="nil"/>
              <w:tr2bl w:val="nil"/>
            </w:tcBorders>
            <w:shd w:val="clear" w:color="auto" w:fill="auto"/>
            <w:noWrap/>
            <w:vAlign w:val="center"/>
          </w:tcPr>
          <w:p w14:paraId="1FA692F9">
            <w:pPr>
              <w:spacing w:line="240" w:lineRule="auto"/>
              <w:ind w:firstLine="0" w:firstLineChars="0"/>
              <w:jc w:val="center"/>
              <w:textAlignment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lang w:bidi="ar"/>
              </w:rPr>
              <w:t>Km</w:t>
            </w:r>
            <w:r>
              <w:rPr>
                <w:rFonts w:eastAsia="仿宋_GB2312" w:cs="Times New Roman"/>
                <w:highlight w:val="none"/>
                <w:vertAlign w:val="superscript"/>
                <w:lang w:bidi="ar"/>
              </w:rPr>
              <w:t>2</w:t>
            </w:r>
          </w:p>
        </w:tc>
        <w:tc>
          <w:tcPr>
            <w:tcW w:w="938" w:type="dxa"/>
            <w:tcBorders>
              <w:tl2br w:val="nil"/>
              <w:tr2bl w:val="nil"/>
            </w:tcBorders>
            <w:shd w:val="clear" w:color="auto" w:fill="auto"/>
            <w:noWrap/>
            <w:vAlign w:val="center"/>
          </w:tcPr>
          <w:p w14:paraId="49A3CAC1">
            <w:pPr>
              <w:spacing w:line="240" w:lineRule="auto"/>
              <w:ind w:firstLine="480" w:firstLineChars="200"/>
              <w:jc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rPr>
              <w:t>-</w:t>
            </w:r>
          </w:p>
        </w:tc>
        <w:tc>
          <w:tcPr>
            <w:tcW w:w="1066" w:type="dxa"/>
            <w:tcBorders>
              <w:tl2br w:val="nil"/>
              <w:tr2bl w:val="nil"/>
            </w:tcBorders>
            <w:shd w:val="clear" w:color="auto" w:fill="auto"/>
            <w:noWrap/>
            <w:vAlign w:val="center"/>
          </w:tcPr>
          <w:p w14:paraId="2431253B">
            <w:pPr>
              <w:spacing w:line="240" w:lineRule="auto"/>
              <w:ind w:firstLine="480" w:firstLineChars="200"/>
              <w:jc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rPr>
              <w:t>40</w:t>
            </w:r>
          </w:p>
        </w:tc>
        <w:tc>
          <w:tcPr>
            <w:tcW w:w="1127" w:type="dxa"/>
            <w:tcBorders>
              <w:tl2br w:val="nil"/>
              <w:tr2bl w:val="nil"/>
            </w:tcBorders>
            <w:shd w:val="clear" w:color="auto" w:fill="auto"/>
            <w:noWrap/>
            <w:vAlign w:val="center"/>
          </w:tcPr>
          <w:p w14:paraId="7A4EB5B1">
            <w:pPr>
              <w:spacing w:line="240" w:lineRule="auto"/>
              <w:ind w:firstLine="0" w:firstLineChars="0"/>
              <w:jc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rPr>
              <w:t>100</w:t>
            </w:r>
          </w:p>
        </w:tc>
        <w:tc>
          <w:tcPr>
            <w:tcW w:w="967" w:type="dxa"/>
            <w:tcBorders>
              <w:tl2br w:val="nil"/>
              <w:tr2bl w:val="nil"/>
            </w:tcBorders>
            <w:shd w:val="clear" w:color="auto" w:fill="auto"/>
            <w:noWrap/>
            <w:vAlign w:val="center"/>
          </w:tcPr>
          <w:p w14:paraId="3404A349">
            <w:pPr>
              <w:spacing w:line="240" w:lineRule="auto"/>
              <w:ind w:firstLine="0" w:firstLineChars="0"/>
              <w:jc w:val="center"/>
              <w:textAlignment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lang w:bidi="ar"/>
              </w:rPr>
              <w:t>预期性</w:t>
            </w:r>
          </w:p>
        </w:tc>
      </w:tr>
      <w:tr w14:paraId="56D7CC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5" w:hRule="atLeast"/>
        </w:trPr>
        <w:tc>
          <w:tcPr>
            <w:tcW w:w="697" w:type="dxa"/>
            <w:vMerge w:val="continue"/>
            <w:tcBorders>
              <w:tl2br w:val="nil"/>
              <w:tr2bl w:val="nil"/>
            </w:tcBorders>
            <w:shd w:val="clear" w:color="auto" w:fill="auto"/>
            <w:noWrap/>
            <w:vAlign w:val="center"/>
          </w:tcPr>
          <w:p w14:paraId="31819446">
            <w:pPr>
              <w:spacing w:line="240" w:lineRule="auto"/>
              <w:ind w:firstLine="480"/>
              <w:jc w:val="center"/>
              <w:rPr>
                <w:rFonts w:eastAsia="仿宋_GB2312" w:cs="Times New Roman"/>
                <w:highlight w:val="none"/>
              </w:rPr>
            </w:pPr>
          </w:p>
        </w:tc>
        <w:tc>
          <w:tcPr>
            <w:tcW w:w="3628" w:type="dxa"/>
            <w:tcBorders>
              <w:tl2br w:val="nil"/>
              <w:tr2bl w:val="nil"/>
            </w:tcBorders>
            <w:shd w:val="clear" w:color="auto" w:fill="auto"/>
            <w:noWrap/>
            <w:vAlign w:val="center"/>
          </w:tcPr>
          <w:p w14:paraId="160656D0">
            <w:pPr>
              <w:spacing w:line="240" w:lineRule="auto"/>
              <w:ind w:firstLine="480" w:firstLineChars="200"/>
              <w:jc w:val="center"/>
              <w:textAlignment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lang w:bidi="ar"/>
              </w:rPr>
              <w:t>历史遗留矿山综合治理面积</w:t>
            </w:r>
          </w:p>
        </w:tc>
        <w:tc>
          <w:tcPr>
            <w:tcW w:w="843" w:type="dxa"/>
            <w:tcBorders>
              <w:tl2br w:val="nil"/>
              <w:tr2bl w:val="nil"/>
            </w:tcBorders>
            <w:shd w:val="clear" w:color="auto" w:fill="auto"/>
            <w:noWrap/>
            <w:vAlign w:val="center"/>
          </w:tcPr>
          <w:p w14:paraId="44841254">
            <w:pPr>
              <w:spacing w:line="240" w:lineRule="auto"/>
              <w:ind w:firstLine="0" w:firstLineChars="0"/>
              <w:jc w:val="center"/>
              <w:textAlignment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lang w:bidi="ar"/>
              </w:rPr>
              <w:t>Km</w:t>
            </w:r>
            <w:r>
              <w:rPr>
                <w:rFonts w:eastAsia="仿宋_GB2312" w:cs="Times New Roman"/>
                <w:highlight w:val="none"/>
                <w:vertAlign w:val="superscript"/>
                <w:lang w:bidi="ar"/>
              </w:rPr>
              <w:t>2</w:t>
            </w:r>
          </w:p>
        </w:tc>
        <w:tc>
          <w:tcPr>
            <w:tcW w:w="938" w:type="dxa"/>
            <w:tcBorders>
              <w:tl2br w:val="nil"/>
              <w:tr2bl w:val="nil"/>
            </w:tcBorders>
            <w:shd w:val="clear" w:color="auto" w:fill="auto"/>
            <w:noWrap/>
            <w:vAlign w:val="center"/>
          </w:tcPr>
          <w:p w14:paraId="260720FF">
            <w:pPr>
              <w:spacing w:line="240" w:lineRule="auto"/>
              <w:ind w:firstLine="0" w:firstLineChars="0"/>
              <w:jc w:val="center"/>
              <w:rPr>
                <w:rFonts w:ascii="Times New Roman" w:hAnsi="Times New Roman" w:eastAsia="仿宋_GB2312" w:cs="Times New Roman"/>
                <w:sz w:val="24"/>
                <w:szCs w:val="24"/>
                <w:highlight w:val="none"/>
                <w:lang w:val="en-US" w:eastAsia="zh-CN" w:bidi="ar-SA"/>
              </w:rPr>
            </w:pPr>
            <w:r>
              <w:rPr>
                <w:rFonts w:eastAsia="仿宋_GB2312" w:cs="Times New Roman"/>
                <w:highlight w:val="none"/>
              </w:rPr>
              <w:t>1.78</w:t>
            </w:r>
          </w:p>
        </w:tc>
        <w:tc>
          <w:tcPr>
            <w:tcW w:w="1066" w:type="dxa"/>
            <w:tcBorders>
              <w:tl2br w:val="nil"/>
              <w:tr2bl w:val="nil"/>
            </w:tcBorders>
            <w:shd w:val="clear" w:color="auto" w:fill="auto"/>
            <w:noWrap/>
            <w:vAlign w:val="center"/>
          </w:tcPr>
          <w:p w14:paraId="21A94206">
            <w:pPr>
              <w:spacing w:line="240" w:lineRule="auto"/>
              <w:ind w:firstLine="0" w:firstLineChars="0"/>
              <w:jc w:val="center"/>
              <w:rPr>
                <w:rFonts w:ascii="Times New Roman" w:hAnsi="Times New Roman" w:eastAsia="仿宋_GB2312" w:cs="Times New Roman"/>
                <w:sz w:val="24"/>
                <w:szCs w:val="24"/>
                <w:highlight w:val="none"/>
                <w:lang w:val="en-US" w:eastAsia="zh-CN" w:bidi="ar-SA"/>
              </w:rPr>
            </w:pPr>
            <w:r>
              <w:rPr>
                <w:rFonts w:hint="eastAsia" w:eastAsia="仿宋_GB2312" w:cs="Times New Roman"/>
                <w:highlight w:val="none"/>
                <w:lang w:bidi="ar"/>
              </w:rPr>
              <w:t>≥</w:t>
            </w:r>
            <w:r>
              <w:rPr>
                <w:rFonts w:eastAsia="仿宋_GB2312" w:cs="Times New Roman"/>
                <w:highlight w:val="none"/>
              </w:rPr>
              <w:t>1.78</w:t>
            </w:r>
          </w:p>
        </w:tc>
        <w:tc>
          <w:tcPr>
            <w:tcW w:w="1127" w:type="dxa"/>
            <w:tcBorders>
              <w:tl2br w:val="nil"/>
              <w:tr2bl w:val="nil"/>
            </w:tcBorders>
            <w:shd w:val="clear" w:color="auto" w:fill="auto"/>
            <w:noWrap/>
            <w:vAlign w:val="center"/>
          </w:tcPr>
          <w:p w14:paraId="7E5A1E6E">
            <w:pPr>
              <w:spacing w:line="240" w:lineRule="auto"/>
              <w:ind w:firstLine="0" w:firstLineChars="0"/>
              <w:jc w:val="center"/>
              <w:textAlignment w:val="center"/>
              <w:rPr>
                <w:rFonts w:ascii="Times New Roman" w:hAnsi="Times New Roman" w:eastAsia="仿宋_GB2312" w:cs="Times New Roman"/>
                <w:color w:val="auto"/>
                <w:sz w:val="24"/>
                <w:szCs w:val="24"/>
                <w:highlight w:val="none"/>
                <w:lang w:val="en-US" w:eastAsia="zh-CN" w:bidi="ar-SA"/>
              </w:rPr>
            </w:pPr>
            <w:r>
              <w:rPr>
                <w:rFonts w:hint="eastAsia" w:eastAsia="仿宋_GB2312" w:cs="Times New Roman"/>
                <w:highlight w:val="none"/>
                <w:lang w:bidi="ar"/>
              </w:rPr>
              <w:t>≥</w:t>
            </w:r>
            <w:r>
              <w:rPr>
                <w:rFonts w:eastAsia="仿宋_GB2312" w:cs="Times New Roman"/>
                <w:color w:val="auto"/>
                <w:highlight w:val="none"/>
                <w:lang w:bidi="ar"/>
              </w:rPr>
              <w:t>1.78</w:t>
            </w:r>
          </w:p>
        </w:tc>
        <w:tc>
          <w:tcPr>
            <w:tcW w:w="967" w:type="dxa"/>
            <w:tcBorders>
              <w:tl2br w:val="nil"/>
              <w:tr2bl w:val="nil"/>
            </w:tcBorders>
            <w:shd w:val="clear" w:color="auto" w:fill="auto"/>
            <w:noWrap/>
            <w:vAlign w:val="center"/>
          </w:tcPr>
          <w:p w14:paraId="6B512FAE">
            <w:pPr>
              <w:spacing w:line="240" w:lineRule="auto"/>
              <w:ind w:firstLine="0" w:firstLineChars="0"/>
              <w:jc w:val="center"/>
              <w:textAlignment w:val="center"/>
              <w:rPr>
                <w:rFonts w:ascii="Times New Roman" w:hAnsi="Times New Roman" w:eastAsia="仿宋_GB2312" w:cs="Times New Roman"/>
                <w:color w:val="auto"/>
                <w:sz w:val="24"/>
                <w:szCs w:val="24"/>
                <w:highlight w:val="none"/>
                <w:lang w:val="en-US" w:eastAsia="zh-CN" w:bidi="ar-SA"/>
              </w:rPr>
            </w:pPr>
            <w:r>
              <w:rPr>
                <w:rFonts w:eastAsia="仿宋_GB2312" w:cs="Times New Roman"/>
                <w:color w:val="auto"/>
                <w:highlight w:val="none"/>
                <w:lang w:bidi="ar"/>
              </w:rPr>
              <w:t>约束性</w:t>
            </w:r>
          </w:p>
        </w:tc>
      </w:tr>
    </w:tbl>
    <w:p w14:paraId="2AD536DC">
      <w:pPr>
        <w:spacing w:line="240" w:lineRule="auto"/>
        <w:ind w:firstLine="480"/>
        <w:jc w:val="center"/>
        <w:rPr>
          <w:rFonts w:eastAsia="仿宋_GB2312" w:cs="Times New Roman"/>
          <w:color w:val="000000" w:themeColor="text1"/>
          <w:highlight w:val="none"/>
          <w14:textFill>
            <w14:solidFill>
              <w14:schemeClr w14:val="tx1"/>
            </w14:solidFill>
          </w14:textFill>
        </w:rPr>
      </w:pPr>
      <w:r>
        <w:rPr>
          <w:rFonts w:eastAsia="仿宋_GB2312" w:cs="Times New Roman"/>
          <w:color w:val="000000" w:themeColor="text1"/>
          <w:highlight w:val="none"/>
          <w14:textFill>
            <w14:solidFill>
              <w14:schemeClr w14:val="tx1"/>
            </w14:solidFill>
          </w14:textFill>
        </w:rPr>
        <w:br w:type="page"/>
      </w:r>
    </w:p>
    <w:p w14:paraId="641EAAA0">
      <w:pPr>
        <w:pStyle w:val="5"/>
        <w:numPr>
          <w:ilvl w:val="0"/>
          <w:numId w:val="0"/>
        </w:numPr>
        <w:spacing w:before="100" w:beforeAutospacing="1" w:after="100" w:afterAutospacing="1"/>
        <w:jc w:val="center"/>
        <w:rPr>
          <w:rStyle w:val="103"/>
          <w:rFonts w:hint="default" w:eastAsia="仿宋_GB2312" w:cs="Times New Roman"/>
          <w:b/>
          <w:bCs/>
          <w:color w:val="000000" w:themeColor="text1"/>
          <w:sz w:val="36"/>
          <w:szCs w:val="36"/>
          <w:highlight w:val="none"/>
          <w:lang w:val="en-US" w:eastAsia="zh-CN"/>
          <w14:textFill>
            <w14:solidFill>
              <w14:schemeClr w14:val="tx1"/>
            </w14:solidFill>
          </w14:textFill>
        </w:rPr>
      </w:pPr>
      <w:bookmarkStart w:id="29" w:name="_Toc25527"/>
      <w:r>
        <w:rPr>
          <w:rStyle w:val="103"/>
          <w:rFonts w:eastAsia="仿宋_GB2312" w:cs="Times New Roman"/>
          <w:b/>
          <w:bCs/>
          <w:color w:val="000000" w:themeColor="text1"/>
          <w:sz w:val="36"/>
          <w:szCs w:val="36"/>
          <w:highlight w:val="none"/>
          <w14:textFill>
            <w14:solidFill>
              <w14:schemeClr w14:val="tx1"/>
            </w14:solidFill>
          </w14:textFill>
        </w:rPr>
        <w:t>第四章生态修复</w:t>
      </w:r>
      <w:r>
        <w:rPr>
          <w:rStyle w:val="103"/>
          <w:rFonts w:hint="eastAsia" w:eastAsia="仿宋_GB2312" w:cs="Times New Roman"/>
          <w:b/>
          <w:bCs/>
          <w:color w:val="000000" w:themeColor="text1"/>
          <w:sz w:val="36"/>
          <w:szCs w:val="36"/>
          <w:highlight w:val="none"/>
          <w:lang w:val="en-US" w:eastAsia="zh-CN"/>
          <w14:textFill>
            <w14:solidFill>
              <w14:schemeClr w14:val="tx1"/>
            </w14:solidFill>
          </w14:textFill>
        </w:rPr>
        <w:t>空间布局</w:t>
      </w:r>
      <w:bookmarkEnd w:id="29"/>
    </w:p>
    <w:p w14:paraId="5C9B5197">
      <w:pPr>
        <w:pStyle w:val="6"/>
        <w:rPr>
          <w:color w:val="auto"/>
          <w:highlight w:val="none"/>
        </w:rPr>
      </w:pPr>
      <w:bookmarkStart w:id="30" w:name="_Toc5320"/>
      <w:r>
        <w:rPr>
          <w:color w:val="auto"/>
          <w:highlight w:val="none"/>
        </w:rPr>
        <w:t>第一节总体</w:t>
      </w:r>
      <w:r>
        <w:rPr>
          <w:rFonts w:hint="eastAsia"/>
          <w:color w:val="auto"/>
          <w:highlight w:val="none"/>
          <w:lang w:val="en-US" w:eastAsia="zh-CN"/>
        </w:rPr>
        <w:t>修复</w:t>
      </w:r>
      <w:r>
        <w:rPr>
          <w:color w:val="auto"/>
          <w:highlight w:val="none"/>
        </w:rPr>
        <w:t>格局</w:t>
      </w:r>
      <w:bookmarkEnd w:id="30"/>
    </w:p>
    <w:p w14:paraId="3BF05C1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牢固树立和践行绿水青山就是金山银山理念，遵循自然生态系统演替规律，聚焦重点生态功能区，着眼于提升鹿泉区生态安全屏障系统质量，依托鹿泉区独特的地形、丰富的水系廊道、重要自然保护地和生态敏感区等，衔接《石家庄市鹿泉区国土空间总体规划（2021-2035年）》确定的生态安全格局，立足鹿泉区自然地理特征和生态现状，统筹考虑国土空间生态修复的需求，构建鹿泉区</w:t>
      </w:r>
      <w:r>
        <w:rPr>
          <w:rFonts w:hint="eastAsia" w:ascii="Times New Roman" w:hAnsi="Times New Roman"/>
          <w:b/>
          <w:bCs/>
          <w:sz w:val="28"/>
          <w:szCs w:val="28"/>
          <w:highlight w:val="none"/>
        </w:rPr>
        <w:t>“</w:t>
      </w:r>
      <w:r>
        <w:rPr>
          <w:rFonts w:ascii="Times New Roman" w:hAnsi="Times New Roman"/>
          <w:b/>
          <w:bCs/>
          <w:sz w:val="28"/>
          <w:szCs w:val="28"/>
          <w:highlight w:val="none"/>
        </w:rPr>
        <w:t>一山、三水、四区</w:t>
      </w:r>
      <w:r>
        <w:rPr>
          <w:rFonts w:hint="eastAsia" w:ascii="Times New Roman" w:hAnsi="Times New Roman"/>
          <w:b/>
          <w:bCs/>
          <w:sz w:val="28"/>
          <w:szCs w:val="28"/>
          <w:highlight w:val="none"/>
        </w:rPr>
        <w:t>”</w:t>
      </w:r>
      <w:r>
        <w:rPr>
          <w:rFonts w:ascii="Times New Roman" w:hAnsi="Times New Roman"/>
          <w:color w:val="auto"/>
          <w:sz w:val="28"/>
          <w:szCs w:val="28"/>
          <w:highlight w:val="none"/>
        </w:rPr>
        <w:t>的生态修复总体</w:t>
      </w:r>
      <w:r>
        <w:rPr>
          <w:rFonts w:hint="eastAsia" w:ascii="Times New Roman" w:hAnsi="Times New Roman"/>
          <w:color w:val="auto"/>
          <w:sz w:val="28"/>
          <w:szCs w:val="28"/>
          <w:highlight w:val="none"/>
          <w:lang w:val="en-US" w:eastAsia="zh-CN"/>
        </w:rPr>
        <w:t>布</w:t>
      </w:r>
      <w:r>
        <w:rPr>
          <w:rFonts w:ascii="Times New Roman" w:hAnsi="Times New Roman"/>
          <w:color w:val="auto"/>
          <w:sz w:val="28"/>
          <w:szCs w:val="28"/>
          <w:highlight w:val="none"/>
        </w:rPr>
        <w:t>局。</w:t>
      </w:r>
    </w:p>
    <w:p w14:paraId="752B8E2F">
      <w:pPr>
        <w:pStyle w:val="23"/>
        <w:ind w:firstLine="560"/>
        <w:jc w:val="left"/>
        <w:rPr>
          <w:rFonts w:ascii="Times New Roman" w:hAnsi="Times New Roman"/>
          <w:color w:val="auto"/>
          <w:sz w:val="28"/>
          <w:szCs w:val="28"/>
          <w:highlight w:val="none"/>
        </w:rPr>
      </w:pPr>
      <w:r>
        <w:rPr>
          <w:rFonts w:hint="eastAsia" w:ascii="Times New Roman" w:hAnsi="Times New Roman"/>
          <w:color w:val="auto"/>
          <w:sz w:val="28"/>
          <w:szCs w:val="28"/>
          <w:highlight w:val="none"/>
        </w:rPr>
        <w:t>“</w:t>
      </w:r>
      <w:r>
        <w:rPr>
          <w:rFonts w:ascii="Times New Roman" w:hAnsi="Times New Roman"/>
          <w:color w:val="auto"/>
          <w:sz w:val="28"/>
          <w:szCs w:val="28"/>
          <w:highlight w:val="none"/>
        </w:rPr>
        <w:t>一山</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指太行山生态带，是生态空间的主要代表。继续推进太行山造林绿化，调整优化林分结构，加强森林抚育，提高森林生态系统稳定性和林地产出效率。开展历史遗留矿山修复，对废弃矿山进行治理、修复、绿化、复垦，采取自然恢复和人工辅助修复策略，助推绿色矿山建设。开展治理水土流失治理，提升区域水土保持能力。推进封龙山自然保护地体系和生物廊道建设，维护生物多样性。</w:t>
      </w:r>
    </w:p>
    <w:p w14:paraId="61898352">
      <w:pPr>
        <w:pStyle w:val="23"/>
        <w:ind w:firstLine="560"/>
        <w:jc w:val="left"/>
        <w:rPr>
          <w:rFonts w:ascii="Times New Roman" w:hAnsi="Times New Roman"/>
          <w:color w:val="auto"/>
          <w:sz w:val="28"/>
          <w:szCs w:val="28"/>
          <w:highlight w:val="none"/>
        </w:rPr>
      </w:pPr>
      <w:r>
        <w:rPr>
          <w:rFonts w:hint="eastAsia" w:ascii="Times New Roman" w:hAnsi="Times New Roman"/>
          <w:color w:val="auto"/>
          <w:sz w:val="28"/>
          <w:szCs w:val="28"/>
          <w:highlight w:val="none"/>
        </w:rPr>
        <w:t>“</w:t>
      </w:r>
      <w:r>
        <w:rPr>
          <w:rFonts w:ascii="Times New Roman" w:hAnsi="Times New Roman"/>
          <w:color w:val="auto"/>
          <w:sz w:val="28"/>
          <w:szCs w:val="28"/>
          <w:highlight w:val="none"/>
        </w:rPr>
        <w:t>三水</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即滹沱河、南水北调干渠、太平河，是连接三类空间的重要廊道。加大水源保护区保护力度，建设生态缓冲带，提升水源涵养功能，统筹实施水系连通，加大生态补水，采取以小流域为单元的水土流失综合治理，维护生物多样性。在农业灌区实施节水渠灌，渠道清淤疏浚、防渗衬砌，完善田间渠系配套，建设干渠沿线水源涵养林。</w:t>
      </w:r>
    </w:p>
    <w:p w14:paraId="6CF6755D">
      <w:pPr>
        <w:pStyle w:val="23"/>
        <w:ind w:firstLine="560"/>
        <w:jc w:val="left"/>
        <w:rPr>
          <w:rFonts w:ascii="Times New Roman" w:hAnsi="Times New Roman"/>
          <w:color w:val="auto"/>
          <w:sz w:val="28"/>
          <w:szCs w:val="28"/>
          <w:highlight w:val="none"/>
        </w:rPr>
      </w:pPr>
      <w:r>
        <w:rPr>
          <w:rFonts w:hint="eastAsia" w:ascii="Times New Roman" w:hAnsi="Times New Roman"/>
          <w:color w:val="auto"/>
          <w:sz w:val="28"/>
          <w:szCs w:val="28"/>
          <w:highlight w:val="none"/>
        </w:rPr>
        <w:t>“</w:t>
      </w:r>
      <w:r>
        <w:rPr>
          <w:rFonts w:ascii="Times New Roman" w:hAnsi="Times New Roman"/>
          <w:color w:val="auto"/>
          <w:sz w:val="28"/>
          <w:szCs w:val="28"/>
          <w:highlight w:val="none"/>
        </w:rPr>
        <w:t>四区</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指以生态问题为导向，结合</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一山、三水</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的自然地理格局，构建人与自然和谐关系，统筹谋划国土空间生态修复工程，形成四个分区。</w:t>
      </w:r>
    </w:p>
    <w:p w14:paraId="6D30962D">
      <w:pPr>
        <w:pStyle w:val="23"/>
        <w:ind w:firstLine="0" w:firstLineChars="0"/>
        <w:rPr>
          <w:rFonts w:ascii="Times New Roman" w:hAnsi="Times New Roman"/>
          <w:highlight w:val="none"/>
        </w:rPr>
      </w:pPr>
    </w:p>
    <w:p w14:paraId="2985CE6F">
      <w:pPr>
        <w:pStyle w:val="6"/>
        <w:rPr>
          <w:color w:val="auto"/>
          <w:highlight w:val="none"/>
        </w:rPr>
      </w:pPr>
      <w:bookmarkStart w:id="31" w:name="_Toc10588"/>
      <w:r>
        <w:rPr>
          <w:color w:val="auto"/>
          <w:highlight w:val="none"/>
        </w:rPr>
        <w:t>第二节</w:t>
      </w:r>
      <w:r>
        <w:rPr>
          <w:rFonts w:hint="eastAsia"/>
          <w:color w:val="auto"/>
          <w:highlight w:val="none"/>
          <w:lang w:val="en-US" w:eastAsia="zh-CN"/>
        </w:rPr>
        <w:t>生态</w:t>
      </w:r>
      <w:r>
        <w:rPr>
          <w:color w:val="auto"/>
          <w:highlight w:val="none"/>
        </w:rPr>
        <w:t>修复分区</w:t>
      </w:r>
      <w:bookmarkEnd w:id="31"/>
    </w:p>
    <w:p w14:paraId="3E98BAA1">
      <w:pPr>
        <w:pStyle w:val="23"/>
        <w:ind w:firstLine="560"/>
        <w:jc w:val="left"/>
        <w:rPr>
          <w:rFonts w:eastAsia="仿宋_GB2312" w:cs="Times New Roman"/>
          <w:sz w:val="28"/>
          <w:szCs w:val="28"/>
          <w:highlight w:val="none"/>
        </w:rPr>
      </w:pPr>
      <w:r>
        <w:rPr>
          <w:rFonts w:ascii="Times New Roman" w:hAnsi="Times New Roman"/>
          <w:color w:val="auto"/>
          <w:sz w:val="28"/>
          <w:szCs w:val="28"/>
          <w:highlight w:val="none"/>
        </w:rPr>
        <w:t>依据国土空间总体规划规定生态修复总体</w:t>
      </w:r>
      <w:r>
        <w:rPr>
          <w:rFonts w:hint="eastAsia" w:ascii="Times New Roman" w:hAnsi="Times New Roman"/>
          <w:color w:val="auto"/>
          <w:sz w:val="28"/>
          <w:szCs w:val="28"/>
          <w:highlight w:val="none"/>
          <w:lang w:val="en-US" w:eastAsia="zh-CN"/>
        </w:rPr>
        <w:t>布</w:t>
      </w:r>
      <w:r>
        <w:rPr>
          <w:rFonts w:ascii="Times New Roman" w:hAnsi="Times New Roman"/>
          <w:color w:val="auto"/>
          <w:sz w:val="28"/>
          <w:szCs w:val="28"/>
          <w:highlight w:val="none"/>
        </w:rPr>
        <w:t>局，以生态问题为导向，结合本辖区流域情况、重点工程等，突出自然地理和生态系统完整性和连通性，充分考虑为当地经济社会发展提供生态保障，以重要流域、山体等生态修复为抓手，将全区划分为四大生态修复区，做到全覆盖、不交叉、不重叠，明确各分区主要生态问题、生态修复方向和生态修复重点区域。</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四区</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即北部滹沱河水源涵养区、</w:t>
      </w:r>
      <w:r>
        <w:rPr>
          <w:rFonts w:hint="eastAsia" w:ascii="Times New Roman" w:hAnsi="Times New Roman"/>
          <w:color w:val="auto"/>
          <w:sz w:val="28"/>
          <w:szCs w:val="28"/>
          <w:highlight w:val="none"/>
          <w:lang w:eastAsia="zh-CN"/>
        </w:rPr>
        <w:t>西部太行山水土保持与矿山生态修复区</w:t>
      </w:r>
      <w:r>
        <w:rPr>
          <w:rFonts w:ascii="Times New Roman" w:hAnsi="Times New Roman"/>
          <w:color w:val="auto"/>
          <w:sz w:val="28"/>
          <w:szCs w:val="28"/>
          <w:highlight w:val="none"/>
        </w:rPr>
        <w:t>、南部平原乡村环境提升区、</w:t>
      </w:r>
      <w:r>
        <w:rPr>
          <w:rFonts w:hint="eastAsia" w:ascii="Times New Roman" w:hAnsi="Times New Roman"/>
          <w:color w:val="auto"/>
          <w:sz w:val="28"/>
          <w:szCs w:val="28"/>
          <w:highlight w:val="none"/>
          <w:lang w:eastAsia="zh-CN"/>
        </w:rPr>
        <w:t>中部太平河流域城镇人居环境提升区</w:t>
      </w:r>
      <w:r>
        <w:rPr>
          <w:rFonts w:ascii="Times New Roman" w:hAnsi="Times New Roman"/>
          <w:color w:val="auto"/>
          <w:sz w:val="28"/>
          <w:szCs w:val="28"/>
          <w:highlight w:val="none"/>
        </w:rPr>
        <w:t>。</w:t>
      </w:r>
    </w:p>
    <w:p w14:paraId="6EEEBF93">
      <w:pPr>
        <w:ind w:firstLine="562"/>
        <w:outlineLvl w:val="2"/>
        <w:rPr>
          <w:rFonts w:eastAsia="仿宋_GB2312" w:cs="Times New Roman"/>
          <w:b/>
          <w:bCs/>
          <w:sz w:val="28"/>
          <w:szCs w:val="28"/>
          <w:highlight w:val="none"/>
        </w:rPr>
      </w:pPr>
      <w:r>
        <w:rPr>
          <w:rFonts w:eastAsia="仿宋_GB2312" w:cs="Times New Roman"/>
          <w:b/>
          <w:bCs/>
          <w:sz w:val="28"/>
          <w:szCs w:val="28"/>
          <w:highlight w:val="none"/>
        </w:rPr>
        <w:t>一、北部滹沱河水源涵养区</w:t>
      </w:r>
    </w:p>
    <w:p w14:paraId="415A055E">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本区域位于鹿泉区北部，属滹沱河上游，包括黄壁庄水库、古运河、小青河、石津干渠流域，区域范围包括黄壁庄镇、李村镇和宜安镇东北的部分等3个乡镇，48个村，面积126.93平方千米，占鹿泉区总面积的20.67%。</w:t>
      </w:r>
    </w:p>
    <w:p w14:paraId="1469C575">
      <w:pPr>
        <w:ind w:firstLine="560"/>
        <w:jc w:val="left"/>
        <w:rPr>
          <w:rFonts w:eastAsia="仿宋_GB2312" w:cs="Times New Roman"/>
          <w:sz w:val="28"/>
          <w:szCs w:val="28"/>
          <w:highlight w:val="none"/>
        </w:rPr>
      </w:pPr>
      <w:r>
        <w:rPr>
          <w:rFonts w:eastAsia="仿宋_GB2312" w:cs="Times New Roman"/>
          <w:sz w:val="28"/>
          <w:szCs w:val="28"/>
          <w:highlight w:val="none"/>
        </w:rPr>
        <w:t>（一）自然生态状况</w:t>
      </w:r>
    </w:p>
    <w:p w14:paraId="4B63A15E">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总体地势西北高、东南低，起伏不大，地形平缓，由洪积扇和山前坡积群组成。土壤条件好，植被丰茂，水资源丰富，是鹿泉区主要地表水源地，也是鹿泉区主要粮食产区之一。土地利用现状地类以耕地、林地为主，面积69.49平方千米，占该修复区面积的54.75%。</w:t>
      </w:r>
    </w:p>
    <w:p w14:paraId="679C24C7">
      <w:pPr>
        <w:numPr>
          <w:ilvl w:val="0"/>
          <w:numId w:val="11"/>
        </w:numPr>
        <w:ind w:firstLine="560"/>
        <w:jc w:val="left"/>
        <w:rPr>
          <w:rFonts w:eastAsia="仿宋_GB2312" w:cs="Times New Roman"/>
          <w:sz w:val="28"/>
          <w:szCs w:val="28"/>
          <w:highlight w:val="none"/>
        </w:rPr>
      </w:pPr>
      <w:r>
        <w:rPr>
          <w:rFonts w:eastAsia="仿宋_GB2312" w:cs="Times New Roman"/>
          <w:sz w:val="28"/>
          <w:szCs w:val="28"/>
          <w:highlight w:val="none"/>
        </w:rPr>
        <w:t>主要生态问题</w:t>
      </w:r>
    </w:p>
    <w:p w14:paraId="01EC4592">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本区域主要生态问题是水源涵养能力差，水库淤积退化、洪水调蓄功能有所下降，河流生态水量不足，连通性差。</w:t>
      </w:r>
    </w:p>
    <w:p w14:paraId="6ED4DEF1">
      <w:pPr>
        <w:numPr>
          <w:ilvl w:val="0"/>
          <w:numId w:val="11"/>
        </w:numPr>
        <w:ind w:firstLine="560"/>
        <w:jc w:val="left"/>
        <w:rPr>
          <w:rFonts w:eastAsia="仿宋_GB2312" w:cs="Times New Roman"/>
          <w:sz w:val="28"/>
          <w:szCs w:val="28"/>
          <w:highlight w:val="none"/>
        </w:rPr>
      </w:pPr>
      <w:r>
        <w:rPr>
          <w:rFonts w:eastAsia="仿宋_GB2312" w:cs="Times New Roman"/>
          <w:sz w:val="28"/>
          <w:szCs w:val="28"/>
          <w:highlight w:val="none"/>
        </w:rPr>
        <w:t>生态修复方向</w:t>
      </w:r>
    </w:p>
    <w:p w14:paraId="221F438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结合石家庄市滹沱河生态修复工程，加大水源保护区保护力度，建设生态缓冲带，提升水源涵养功能，统筹实施水系连通，加大生态补水，采取以小流域为单元的水土流失综合治理，维护生物多样性。与灵寿县、正定县共同维护滹沱河生态修复成果，继续推进河道清障，增加河流两岸蓝绿空间，提升河流廊道连通性和湿地生态功能。</w:t>
      </w:r>
    </w:p>
    <w:p w14:paraId="5102EE33">
      <w:pPr>
        <w:ind w:firstLine="562"/>
        <w:outlineLvl w:val="2"/>
        <w:rPr>
          <w:rFonts w:eastAsia="仿宋_GB2312" w:cs="Times New Roman"/>
          <w:b/>
          <w:bCs/>
          <w:sz w:val="28"/>
          <w:szCs w:val="28"/>
          <w:highlight w:val="none"/>
        </w:rPr>
      </w:pPr>
      <w:r>
        <w:rPr>
          <w:rFonts w:eastAsia="仿宋_GB2312" w:cs="Times New Roman"/>
          <w:b/>
          <w:bCs/>
          <w:sz w:val="28"/>
          <w:szCs w:val="28"/>
          <w:highlight w:val="none"/>
        </w:rPr>
        <w:t>二、西部太行山</w:t>
      </w:r>
      <w:r>
        <w:rPr>
          <w:rFonts w:hint="eastAsia" w:eastAsia="仿宋_GB2312" w:cs="Times New Roman"/>
          <w:b/>
          <w:bCs/>
          <w:sz w:val="28"/>
          <w:szCs w:val="28"/>
          <w:highlight w:val="none"/>
          <w:lang w:val="en-US" w:eastAsia="zh-CN"/>
        </w:rPr>
        <w:t>水土保持</w:t>
      </w:r>
      <w:r>
        <w:rPr>
          <w:rFonts w:eastAsia="仿宋_GB2312" w:cs="Times New Roman"/>
          <w:b/>
          <w:bCs/>
          <w:sz w:val="28"/>
          <w:szCs w:val="28"/>
          <w:highlight w:val="none"/>
        </w:rPr>
        <w:t>与矿山生态修复区</w:t>
      </w:r>
    </w:p>
    <w:p w14:paraId="634C3B3A">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西部屏障生态修复区位于鹿泉区西部，涉及白鹿泉乡、山尹村镇、上寨乡、上庄镇、石井乡、铜冶镇、宜安镇、大河镇的部分等8个乡镇，68个村，面积236.96平方千米，占鹿泉区总面积的38.60%。</w:t>
      </w:r>
    </w:p>
    <w:p w14:paraId="0F309D8C">
      <w:pPr>
        <w:ind w:firstLine="560"/>
        <w:jc w:val="left"/>
        <w:rPr>
          <w:rFonts w:eastAsia="仿宋_GB2312" w:cs="Times New Roman"/>
          <w:sz w:val="28"/>
          <w:szCs w:val="28"/>
          <w:highlight w:val="none"/>
        </w:rPr>
      </w:pPr>
      <w:r>
        <w:rPr>
          <w:rFonts w:eastAsia="仿宋_GB2312" w:cs="Times New Roman"/>
          <w:sz w:val="28"/>
          <w:szCs w:val="28"/>
          <w:highlight w:val="none"/>
        </w:rPr>
        <w:t>（一）自然生态状况</w:t>
      </w:r>
    </w:p>
    <w:p w14:paraId="36A41C49">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位于太行山低山丘陵区，山峦起伏，沟谷发育，最高海拔在上寨乡梁庄村西与井陉县交界处，海拔907米。岩石以石灰岩为主，植被类型分异明显，以灌木林为主，是鹿泉区水源涵养、水土保持重点区域。包括封龙山自然保护地、石家庄西山森林自然公园、抱犊寨景区、龙凤湖水库。土地利用现状地类以园地、林地、草地为主，面积56.92平方千米，占该修复区面积的57.71%。</w:t>
      </w:r>
    </w:p>
    <w:p w14:paraId="06578704">
      <w:pPr>
        <w:ind w:firstLine="560"/>
        <w:jc w:val="left"/>
        <w:rPr>
          <w:rFonts w:eastAsia="仿宋_GB2312" w:cs="Times New Roman"/>
          <w:sz w:val="28"/>
          <w:szCs w:val="28"/>
          <w:highlight w:val="none"/>
        </w:rPr>
      </w:pPr>
      <w:r>
        <w:rPr>
          <w:rFonts w:eastAsia="仿宋_GB2312" w:cs="Times New Roman"/>
          <w:sz w:val="28"/>
          <w:szCs w:val="28"/>
          <w:highlight w:val="none"/>
        </w:rPr>
        <w:t>（二）主要生态问题</w:t>
      </w:r>
    </w:p>
    <w:p w14:paraId="0003827D">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主要生态问题是水源涵养功能降低，人类活动导致植被破坏，生态防护功能持续下降。矿产资源开采对生态系统破坏面大，破坏程度高，裸岩多，恢复治理难度大，现有森林资源的有效保护和人工造林后期管护有待提高。山场立地条件差，土层薄，水土流失问题严重。旅游、土地资源开发、矿山开采等人类活动威胁生态安全，开发与保护矛盾突出。</w:t>
      </w:r>
    </w:p>
    <w:p w14:paraId="0E86BE87">
      <w:pPr>
        <w:ind w:firstLine="560"/>
        <w:jc w:val="left"/>
        <w:rPr>
          <w:rFonts w:eastAsia="仿宋_GB2312" w:cs="Times New Roman"/>
          <w:sz w:val="28"/>
          <w:szCs w:val="28"/>
          <w:highlight w:val="none"/>
        </w:rPr>
      </w:pPr>
      <w:r>
        <w:rPr>
          <w:rFonts w:eastAsia="仿宋_GB2312" w:cs="Times New Roman"/>
          <w:sz w:val="28"/>
          <w:szCs w:val="28"/>
          <w:highlight w:val="none"/>
        </w:rPr>
        <w:t>（三）生态修复方向</w:t>
      </w:r>
    </w:p>
    <w:p w14:paraId="7306B4A0">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继续推进太行山造林绿化，调整优化林分结构，加强森林抚育，提高森林生态系统稳定性和林地产出效率。开展历史遗留矿山修复，对废弃矿山进行治理、修复、绿化、复垦，采取自然恢复和人工辅助修复策略，助推绿色矿山建设。开展治理水土流失治理，提升区域水土保持能力。立地条件差的陡坡地应重点实施封山育林，实行生态自然修复。推进封龙山自然保护地体系和生物廊道建设，维护生物多样性。</w:t>
      </w:r>
    </w:p>
    <w:p w14:paraId="51DD6D52">
      <w:pPr>
        <w:ind w:firstLine="562"/>
        <w:outlineLvl w:val="2"/>
        <w:rPr>
          <w:rFonts w:eastAsia="仿宋_GB2312" w:cs="Times New Roman"/>
          <w:b/>
          <w:bCs/>
          <w:sz w:val="28"/>
          <w:szCs w:val="28"/>
          <w:highlight w:val="none"/>
        </w:rPr>
      </w:pPr>
      <w:r>
        <w:rPr>
          <w:rFonts w:eastAsia="仿宋_GB2312" w:cs="Times New Roman"/>
          <w:b/>
          <w:bCs/>
          <w:sz w:val="28"/>
          <w:szCs w:val="28"/>
          <w:highlight w:val="none"/>
        </w:rPr>
        <w:t>三、南部平原乡村环境提升区</w:t>
      </w:r>
    </w:p>
    <w:p w14:paraId="54C2B9A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南部平原乡村环境提升区位于鹿泉区东部的山尹村镇、寺家庄镇、铜冶镇、上庄镇、开发区的5个乡镇（区），涉及42个村，面积120.18平方千米，占鹿泉区总面积的19.57%。</w:t>
      </w:r>
    </w:p>
    <w:p w14:paraId="5EF40E89">
      <w:pPr>
        <w:ind w:firstLine="560"/>
        <w:jc w:val="left"/>
        <w:rPr>
          <w:rFonts w:eastAsia="仿宋_GB2312" w:cs="Times New Roman"/>
          <w:sz w:val="28"/>
          <w:szCs w:val="28"/>
          <w:highlight w:val="none"/>
        </w:rPr>
      </w:pPr>
      <w:r>
        <w:rPr>
          <w:rFonts w:eastAsia="仿宋_GB2312" w:cs="Times New Roman"/>
          <w:sz w:val="28"/>
          <w:szCs w:val="28"/>
          <w:highlight w:val="none"/>
        </w:rPr>
        <w:t>（一）自然生态状况</w:t>
      </w:r>
    </w:p>
    <w:p w14:paraId="47E9A167">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是山前丘陵向平原过渡的地带，地势平缓，起伏不大，土壤条件好。南水北调中线工程分配鹿泉区多年平均引江水量为5878万m3，是鹿泉区主要地表水源地。近年来，随着南水北调通水运行，鹿泉区引江水用水量逐年增加，平原区地下水位开始逐步回升。土地利用现状地类以耕地、园地、林地为主，面积58.33平方千米，占该修复区面积的54.61%。</w:t>
      </w:r>
    </w:p>
    <w:p w14:paraId="317F53DB">
      <w:pPr>
        <w:ind w:firstLine="560"/>
        <w:jc w:val="left"/>
        <w:rPr>
          <w:rFonts w:eastAsia="仿宋_GB2312" w:cs="Times New Roman"/>
          <w:sz w:val="28"/>
          <w:szCs w:val="28"/>
          <w:highlight w:val="none"/>
        </w:rPr>
      </w:pPr>
      <w:r>
        <w:rPr>
          <w:rFonts w:eastAsia="仿宋_GB2312" w:cs="Times New Roman"/>
          <w:sz w:val="28"/>
          <w:szCs w:val="28"/>
          <w:highlight w:val="none"/>
        </w:rPr>
        <w:t>（二）主要生态问题</w:t>
      </w:r>
    </w:p>
    <w:p w14:paraId="223622F6">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主要生态问题是干渠两侧农业灌溉水源主要为地表水，农田灌溉需水量大；总干渠及部分交叉建筑物的修建压缩了两岸河道行洪断面，现状行洪能力不足，对周边城镇、农田造成威胁。农业种植面源污染大，城乡建设用地粗放。</w:t>
      </w:r>
    </w:p>
    <w:p w14:paraId="28CC975A">
      <w:pPr>
        <w:ind w:firstLine="560"/>
        <w:jc w:val="left"/>
        <w:rPr>
          <w:rFonts w:eastAsia="仿宋_GB2312" w:cs="Times New Roman"/>
          <w:sz w:val="28"/>
          <w:szCs w:val="28"/>
          <w:highlight w:val="none"/>
        </w:rPr>
      </w:pPr>
      <w:r>
        <w:rPr>
          <w:rFonts w:eastAsia="仿宋_GB2312" w:cs="Times New Roman"/>
          <w:sz w:val="28"/>
          <w:szCs w:val="28"/>
          <w:highlight w:val="none"/>
        </w:rPr>
        <w:t>（三）生态修复方向</w:t>
      </w:r>
    </w:p>
    <w:p w14:paraId="2B7F0597">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在农业灌区实施高标准农田建设，推广节水渠灌，增施有机肥，发展生态农业、有机农业。建设干渠防洪影响处理后续工程，清淤疏浚，沿线种植水源涵养林。推动实施国土综合整治，提升乡村整体生态环境质量。加强乡村人居环境整治，开展水美乡村建设，打造宜居宜业和美乡村。</w:t>
      </w:r>
    </w:p>
    <w:p w14:paraId="772BC05F">
      <w:pPr>
        <w:ind w:firstLine="562"/>
        <w:outlineLvl w:val="2"/>
        <w:rPr>
          <w:rFonts w:eastAsia="仿宋_GB2312" w:cs="Times New Roman"/>
          <w:b/>
          <w:bCs/>
          <w:sz w:val="28"/>
          <w:szCs w:val="28"/>
          <w:highlight w:val="none"/>
        </w:rPr>
      </w:pPr>
      <w:r>
        <w:rPr>
          <w:rFonts w:eastAsia="仿宋_GB2312" w:cs="Times New Roman"/>
          <w:b/>
          <w:bCs/>
          <w:sz w:val="28"/>
          <w:szCs w:val="28"/>
          <w:highlight w:val="none"/>
        </w:rPr>
        <w:t>四、中部太平河流域城镇</w:t>
      </w:r>
      <w:r>
        <w:rPr>
          <w:rFonts w:hint="eastAsia" w:eastAsia="仿宋_GB2312" w:cs="Times New Roman"/>
          <w:b/>
          <w:bCs/>
          <w:sz w:val="28"/>
          <w:szCs w:val="28"/>
          <w:highlight w:val="none"/>
          <w:lang w:val="en-US" w:eastAsia="zh-CN"/>
        </w:rPr>
        <w:t>人居</w:t>
      </w:r>
      <w:r>
        <w:rPr>
          <w:rFonts w:eastAsia="仿宋_GB2312" w:cs="Times New Roman"/>
          <w:b/>
          <w:bCs/>
          <w:sz w:val="28"/>
          <w:szCs w:val="28"/>
          <w:highlight w:val="none"/>
        </w:rPr>
        <w:t>环境提升区</w:t>
      </w:r>
    </w:p>
    <w:p w14:paraId="0EF18DB9">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中部太平河生态修复区位于鹿泉区中部，是中心城区所在地，行政范围包括获鹿镇、开发区、上庄镇、大河镇的部分，涉及4个乡镇（区）的58个村（街道），面积129.89平方千米，占区域总面积的21.16%。</w:t>
      </w:r>
    </w:p>
    <w:p w14:paraId="05479888">
      <w:pPr>
        <w:ind w:firstLine="560"/>
        <w:jc w:val="left"/>
        <w:rPr>
          <w:rFonts w:eastAsia="仿宋_GB2312" w:cs="Times New Roman"/>
          <w:sz w:val="28"/>
          <w:szCs w:val="28"/>
          <w:highlight w:val="none"/>
        </w:rPr>
      </w:pPr>
      <w:r>
        <w:rPr>
          <w:rFonts w:eastAsia="仿宋_GB2312" w:cs="Times New Roman"/>
          <w:sz w:val="28"/>
          <w:szCs w:val="28"/>
          <w:highlight w:val="none"/>
        </w:rPr>
        <w:t>（一）自然生态状况</w:t>
      </w:r>
    </w:p>
    <w:p w14:paraId="693903BD">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本区地貌主要为山前平原，土地承载力较强。土地利用以农用地和建设用地为主，河湖、湿地等生态用地面积占比较低，仅为3.40%。</w:t>
      </w:r>
    </w:p>
    <w:p w14:paraId="520EFE7D">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太平河上段处于山区，河床较宽，河底坡降较大，堤岸冲毁严重，两岸有坍塌现象，下段处于平原区，受河道两岸建筑和耕地限制，河床变窄，纵坡变缓，淤塞严重。</w:t>
      </w:r>
    </w:p>
    <w:p w14:paraId="1600F760">
      <w:pPr>
        <w:ind w:firstLine="560"/>
        <w:jc w:val="left"/>
        <w:rPr>
          <w:rFonts w:eastAsia="仿宋_GB2312" w:cs="Times New Roman"/>
          <w:sz w:val="28"/>
          <w:szCs w:val="28"/>
          <w:highlight w:val="none"/>
        </w:rPr>
      </w:pPr>
      <w:r>
        <w:rPr>
          <w:rFonts w:eastAsia="仿宋_GB2312" w:cs="Times New Roman"/>
          <w:sz w:val="28"/>
          <w:szCs w:val="28"/>
          <w:highlight w:val="none"/>
        </w:rPr>
        <w:t>（二）主要生态问题</w:t>
      </w:r>
    </w:p>
    <w:p w14:paraId="2F393C5C">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太平河为季节性河流，自然补给不足，洪水调蓄功力弱，河流水生态环境较差，连通性差。本区人类活动密集，城市水泥硬化地面增多，雨水下渗减少，漫流速度快，城市海绵功能弱。</w:t>
      </w:r>
    </w:p>
    <w:p w14:paraId="2207B410">
      <w:pPr>
        <w:ind w:firstLine="560"/>
        <w:jc w:val="left"/>
        <w:rPr>
          <w:rFonts w:eastAsia="仿宋_GB2312" w:cs="Times New Roman"/>
          <w:sz w:val="28"/>
          <w:szCs w:val="28"/>
          <w:highlight w:val="none"/>
        </w:rPr>
      </w:pPr>
      <w:r>
        <w:rPr>
          <w:rFonts w:eastAsia="仿宋_GB2312" w:cs="Times New Roman"/>
          <w:sz w:val="28"/>
          <w:szCs w:val="28"/>
          <w:highlight w:val="none"/>
        </w:rPr>
        <w:t>（三）生态修复方向</w:t>
      </w:r>
    </w:p>
    <w:p w14:paraId="7E17EE4D">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开展小流域治理，统筹实施水系连通、河道清障、岸坡整治、水源涵养和水土保持、桥梁改建、景观人文等工程建设，改善人居生态环境，减少城市热岛效应，提高城市韧性。</w:t>
      </w:r>
    </w:p>
    <w:p w14:paraId="08125D83">
      <w:pPr>
        <w:pStyle w:val="6"/>
        <w:rPr>
          <w:color w:val="auto"/>
          <w:highlight w:val="none"/>
        </w:rPr>
      </w:pPr>
      <w:bookmarkStart w:id="32" w:name="_Toc31930"/>
      <w:r>
        <w:rPr>
          <w:color w:val="auto"/>
          <w:highlight w:val="none"/>
        </w:rPr>
        <w:t>第三节生态修复重点区域</w:t>
      </w:r>
      <w:bookmarkEnd w:id="32"/>
    </w:p>
    <w:p w14:paraId="54AA95C8">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传导落实河北省国土空间生态修复规划和石家庄市国土空间生态修复规划所确定的生态修复重点区域，结合鹿泉区自然地理，主要生态问题，统筹相关部门生态修复任务，按生态功能和生态要素确定鹿泉区生态修复重点区域。</w:t>
      </w:r>
    </w:p>
    <w:p w14:paraId="424954AE">
      <w:pPr>
        <w:ind w:firstLine="562"/>
        <w:outlineLvl w:val="2"/>
        <w:rPr>
          <w:rFonts w:eastAsia="仿宋_GB2312" w:cs="Times New Roman"/>
          <w:b/>
          <w:bCs/>
          <w:sz w:val="28"/>
          <w:szCs w:val="28"/>
          <w:highlight w:val="none"/>
        </w:rPr>
      </w:pPr>
      <w:r>
        <w:rPr>
          <w:rFonts w:eastAsia="仿宋_GB2312" w:cs="Times New Roman"/>
          <w:b/>
          <w:bCs/>
          <w:sz w:val="28"/>
          <w:szCs w:val="28"/>
          <w:highlight w:val="none"/>
        </w:rPr>
        <w:t>一、森林抚育重点区</w:t>
      </w:r>
    </w:p>
    <w:p w14:paraId="0CA69796">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主要位于太行山西部的中低山区，包括白鹿泉乡、山尹村镇、上寨乡、上庄镇、石井乡、铜冶镇、宜安镇、大河镇的部分。加强森林抚育，提高森林生态系统稳定性和林地产出效率。持续推荐太行山造林绿化，重点加强公益林保护，营造水源涵养林和水土保持林，调整林分结构，巩固国土绿化成效。</w:t>
      </w:r>
    </w:p>
    <w:p w14:paraId="0BD7D3E9">
      <w:pPr>
        <w:ind w:firstLine="562"/>
        <w:outlineLvl w:val="2"/>
        <w:rPr>
          <w:rFonts w:eastAsia="仿宋_GB2312" w:cs="Times New Roman"/>
          <w:b/>
          <w:bCs/>
          <w:sz w:val="28"/>
          <w:szCs w:val="28"/>
          <w:highlight w:val="none"/>
        </w:rPr>
      </w:pPr>
      <w:r>
        <w:rPr>
          <w:rFonts w:eastAsia="仿宋_GB2312" w:cs="Times New Roman"/>
          <w:b/>
          <w:bCs/>
          <w:sz w:val="28"/>
          <w:szCs w:val="28"/>
          <w:highlight w:val="none"/>
        </w:rPr>
        <w:t>二、水源保护重点区</w:t>
      </w:r>
    </w:p>
    <w:p w14:paraId="3AB48C2B">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主要位于黄壁庄水库水源保护区、南水北调水源保护区。重要水源保护区包括黄壁庄水库饮用水水源保护区和南水北调饮用水水源保护区。加大水源保护区保护力度，发展节水高效生态种植，推进小流域治理，水美乡村建设。</w:t>
      </w:r>
    </w:p>
    <w:p w14:paraId="576B57E4">
      <w:pPr>
        <w:ind w:firstLine="562"/>
        <w:outlineLvl w:val="2"/>
        <w:rPr>
          <w:rFonts w:eastAsia="仿宋_GB2312" w:cs="Times New Roman"/>
          <w:b/>
          <w:bCs/>
          <w:sz w:val="28"/>
          <w:szCs w:val="28"/>
          <w:highlight w:val="none"/>
        </w:rPr>
      </w:pPr>
      <w:r>
        <w:rPr>
          <w:rFonts w:eastAsia="仿宋_GB2312" w:cs="Times New Roman"/>
          <w:b/>
          <w:bCs/>
          <w:sz w:val="28"/>
          <w:szCs w:val="28"/>
          <w:highlight w:val="none"/>
        </w:rPr>
        <w:t>三、矿山生态修复重点区</w:t>
      </w:r>
    </w:p>
    <w:p w14:paraId="18E3D020">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主要位于宜安镇、白鹿泉乡、石井乡的部分，本区域按照</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宜</w:t>
      </w:r>
      <w:r>
        <w:rPr>
          <w:rFonts w:hint="eastAsia" w:ascii="Times New Roman" w:hAnsi="Times New Roman"/>
          <w:color w:val="auto"/>
          <w:sz w:val="28"/>
          <w:szCs w:val="28"/>
          <w:highlight w:val="none"/>
          <w:lang w:val="en-US" w:eastAsia="zh-CN"/>
        </w:rPr>
        <w:t>耕</w:t>
      </w:r>
      <w:r>
        <w:rPr>
          <w:rFonts w:ascii="Times New Roman" w:hAnsi="Times New Roman"/>
          <w:color w:val="auto"/>
          <w:sz w:val="28"/>
          <w:szCs w:val="28"/>
          <w:highlight w:val="none"/>
        </w:rPr>
        <w:t>则</w:t>
      </w:r>
      <w:r>
        <w:rPr>
          <w:rFonts w:hint="eastAsia" w:ascii="Times New Roman" w:hAnsi="Times New Roman"/>
          <w:color w:val="auto"/>
          <w:sz w:val="28"/>
          <w:szCs w:val="28"/>
          <w:highlight w:val="none"/>
          <w:lang w:val="en-US" w:eastAsia="zh-CN"/>
        </w:rPr>
        <w:t>耕</w:t>
      </w:r>
      <w:r>
        <w:rPr>
          <w:rFonts w:ascii="Times New Roman" w:hAnsi="Times New Roman"/>
          <w:color w:val="auto"/>
          <w:sz w:val="28"/>
          <w:szCs w:val="28"/>
          <w:highlight w:val="none"/>
        </w:rPr>
        <w:t>、宜林则林、宜园则园、宜景则景、因地制宜</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的原则，因矿施策，一矿一策，有计划、分批次，推动矿山生态修复。</w:t>
      </w:r>
    </w:p>
    <w:p w14:paraId="0D72B433">
      <w:pPr>
        <w:ind w:firstLine="562"/>
        <w:outlineLvl w:val="2"/>
        <w:rPr>
          <w:rFonts w:eastAsia="仿宋_GB2312" w:cs="Times New Roman"/>
          <w:b/>
          <w:bCs/>
          <w:sz w:val="28"/>
          <w:szCs w:val="28"/>
          <w:highlight w:val="none"/>
        </w:rPr>
      </w:pPr>
      <w:r>
        <w:rPr>
          <w:rFonts w:eastAsia="仿宋_GB2312" w:cs="Times New Roman"/>
          <w:b/>
          <w:bCs/>
          <w:sz w:val="28"/>
          <w:szCs w:val="28"/>
          <w:highlight w:val="none"/>
        </w:rPr>
        <w:t>四、国土综合整治重点区</w:t>
      </w:r>
    </w:p>
    <w:p w14:paraId="0B4A7599">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主要位于李村镇、大河镇、铜冶镇、山尹村镇、寺家庄镇的部分。大力推进高标准农田建设，提升耕地质量与产能，发展节水农业，改善农业生产条件和生态环境；推进农用地综合整治，优化国土空间布局；推进未利用地开发，挖掘耕地潜力，增加耕地面积；实施村庄建设用地整治，积极盘活存量用地和引导建设用地高效复合利用，促进乡村振兴。</w:t>
      </w:r>
    </w:p>
    <w:p w14:paraId="4D21F62C">
      <w:pPr>
        <w:ind w:firstLine="562"/>
        <w:outlineLvl w:val="2"/>
        <w:rPr>
          <w:rFonts w:eastAsia="仿宋_GB2312" w:cs="Times New Roman"/>
          <w:b/>
          <w:bCs/>
          <w:sz w:val="28"/>
          <w:szCs w:val="28"/>
          <w:highlight w:val="none"/>
        </w:rPr>
      </w:pPr>
      <w:r>
        <w:rPr>
          <w:rFonts w:eastAsia="仿宋_GB2312" w:cs="Times New Roman"/>
          <w:b/>
          <w:bCs/>
          <w:sz w:val="28"/>
          <w:szCs w:val="28"/>
          <w:highlight w:val="none"/>
        </w:rPr>
        <w:t>五、人居环境重点提升区</w:t>
      </w:r>
    </w:p>
    <w:p w14:paraId="36A5CDB0">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主要位获鹿镇、开发区、上庄镇的部分。优化城镇空间布局，避免城镇拓展对生态空间挤占，改善人居生态环境，减少城市热岛，实施城镇周边绿化，提升城镇碳汇功能；推进国省干道、村落生态廊道建设，增强栖息地协调性和完整性。</w:t>
      </w:r>
    </w:p>
    <w:p w14:paraId="08E99154">
      <w:pPr>
        <w:rPr>
          <w:rStyle w:val="103"/>
          <w:rFonts w:eastAsia="仿宋_GB2312" w:cs="Times New Roman"/>
          <w:b/>
          <w:bCs/>
          <w:color w:val="000000" w:themeColor="text1"/>
          <w:sz w:val="36"/>
          <w:szCs w:val="36"/>
          <w:highlight w:val="none"/>
          <w14:textFill>
            <w14:solidFill>
              <w14:schemeClr w14:val="tx1"/>
            </w14:solidFill>
          </w14:textFill>
        </w:rPr>
      </w:pPr>
      <w:r>
        <w:rPr>
          <w:rStyle w:val="103"/>
          <w:rFonts w:eastAsia="仿宋_GB2312" w:cs="Times New Roman"/>
          <w:b/>
          <w:bCs/>
          <w:color w:val="000000" w:themeColor="text1"/>
          <w:sz w:val="36"/>
          <w:szCs w:val="36"/>
          <w:highlight w:val="none"/>
          <w14:textFill>
            <w14:solidFill>
              <w14:schemeClr w14:val="tx1"/>
            </w14:solidFill>
          </w14:textFill>
        </w:rPr>
        <w:br w:type="page"/>
      </w:r>
    </w:p>
    <w:p w14:paraId="5A206B20">
      <w:pPr>
        <w:pStyle w:val="5"/>
        <w:numPr>
          <w:ilvl w:val="0"/>
          <w:numId w:val="0"/>
        </w:numPr>
        <w:spacing w:before="100" w:beforeAutospacing="1" w:after="100" w:afterAutospacing="1"/>
        <w:jc w:val="center"/>
        <w:rPr>
          <w:rStyle w:val="103"/>
          <w:rFonts w:eastAsia="仿宋_GB2312" w:cs="Times New Roman"/>
          <w:b/>
          <w:bCs/>
          <w:color w:val="000000" w:themeColor="text1"/>
          <w:sz w:val="36"/>
          <w:szCs w:val="36"/>
          <w:highlight w:val="none"/>
          <w14:textFill>
            <w14:solidFill>
              <w14:schemeClr w14:val="tx1"/>
            </w14:solidFill>
          </w14:textFill>
        </w:rPr>
      </w:pPr>
      <w:bookmarkStart w:id="33" w:name="_Toc30209"/>
      <w:r>
        <w:rPr>
          <w:rStyle w:val="103"/>
          <w:rFonts w:eastAsia="仿宋_GB2312" w:cs="Times New Roman"/>
          <w:b/>
          <w:bCs/>
          <w:color w:val="000000" w:themeColor="text1"/>
          <w:sz w:val="36"/>
          <w:szCs w:val="36"/>
          <w:highlight w:val="none"/>
          <w14:textFill>
            <w14:solidFill>
              <w14:schemeClr w14:val="tx1"/>
            </w14:solidFill>
          </w14:textFill>
        </w:rPr>
        <w:t>第五章国土空间生态修复重点任务和工程</w:t>
      </w:r>
      <w:bookmarkEnd w:id="33"/>
    </w:p>
    <w:p w14:paraId="4A47E71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以生态问题和生态重要性分析评价结果为基础，根据本区域自然环境现状、识别出的生态环境问题以及建立的生态保护修复目标，结合全区生态空间存在的主要问题，因地制宜地划定生态修复重点任务和工程，至2035年形成生态空间山清水秀、生产空间集约高效、生活空间宜居适度，安全和谐，富有竞争力和可持续发展的国土空间格局。</w:t>
      </w:r>
    </w:p>
    <w:p w14:paraId="0E4D48C4">
      <w:pPr>
        <w:pStyle w:val="6"/>
        <w:rPr>
          <w:color w:val="auto"/>
          <w:highlight w:val="none"/>
        </w:rPr>
      </w:pPr>
      <w:bookmarkStart w:id="34" w:name="_Toc31735"/>
      <w:r>
        <w:rPr>
          <w:color w:val="auto"/>
          <w:highlight w:val="none"/>
        </w:rPr>
        <w:t>第一节重点任务</w:t>
      </w:r>
      <w:bookmarkEnd w:id="34"/>
    </w:p>
    <w:p w14:paraId="5806771A">
      <w:pPr>
        <w:ind w:firstLine="562"/>
        <w:rPr>
          <w:rFonts w:eastAsia="仿宋_GB2312" w:cs="Times New Roman"/>
          <w:b/>
          <w:bCs/>
          <w:sz w:val="28"/>
          <w:szCs w:val="28"/>
          <w:highlight w:val="none"/>
        </w:rPr>
      </w:pPr>
      <w:r>
        <w:rPr>
          <w:rFonts w:eastAsia="仿宋_GB2312" w:cs="Times New Roman"/>
          <w:b/>
          <w:bCs/>
          <w:sz w:val="28"/>
          <w:szCs w:val="28"/>
          <w:highlight w:val="none"/>
        </w:rPr>
        <w:t>（一）严守生态保护红线，构建生态安全格局</w:t>
      </w:r>
    </w:p>
    <w:p w14:paraId="657190BA">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严格落实鹿泉区国土空间规划划定的生态保护红线管控边界，生态保护红线内应规范管控对生态功能不造成破坏的有限人为活动，其中自然保护地核心保护区内原则上禁止人为活动，实施生态保护红线分区管控策略，重点加强封龙山自然保护地的严格管控。生态保护红线和自然保护地内生态修复措施以自然恢复为主，保育保护相结合的方式，维护生态系统的完整性、原真性。</w:t>
      </w:r>
    </w:p>
    <w:p w14:paraId="6B76FF9A">
      <w:pPr>
        <w:ind w:firstLine="562"/>
        <w:rPr>
          <w:rFonts w:eastAsia="仿宋_GB2312" w:cs="Times New Roman"/>
          <w:b/>
          <w:bCs/>
          <w:sz w:val="28"/>
          <w:szCs w:val="28"/>
          <w:highlight w:val="none"/>
        </w:rPr>
      </w:pPr>
      <w:r>
        <w:rPr>
          <w:rFonts w:eastAsia="仿宋_GB2312" w:cs="Times New Roman"/>
          <w:b/>
          <w:bCs/>
          <w:sz w:val="28"/>
          <w:szCs w:val="28"/>
          <w:highlight w:val="none"/>
        </w:rPr>
        <w:t>（二）持续推进国土绿化工程，筑牢太行山生态屏障</w:t>
      </w:r>
    </w:p>
    <w:p w14:paraId="7E53EFB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依托西部太行山生态资源，重点开展西部太行山绿化、东部环城水系、南水北调干渠沿线以及道路两侧绿化，因地制宜采取人工造林、封山育林，加强林草抚育，优化林分结构，提高森林质量和水源涵养能力，高质量打造碳汇林。重点加强小壁林场、郄庄林场、石家庄西山森林公园、封龙山风景名胜区等区域内国家公益林和一般防护林的保护，筑牢太行山生态屏障。</w:t>
      </w:r>
    </w:p>
    <w:p w14:paraId="5BA76606">
      <w:pPr>
        <w:ind w:firstLine="562"/>
        <w:rPr>
          <w:rFonts w:eastAsia="仿宋_GB2312" w:cs="Times New Roman"/>
          <w:b/>
          <w:bCs/>
          <w:color w:val="auto"/>
          <w:sz w:val="28"/>
          <w:szCs w:val="28"/>
          <w:highlight w:val="none"/>
        </w:rPr>
      </w:pPr>
      <w:r>
        <w:rPr>
          <w:rFonts w:eastAsia="仿宋_GB2312" w:cs="Times New Roman"/>
          <w:b/>
          <w:bCs/>
          <w:color w:val="auto"/>
          <w:sz w:val="28"/>
          <w:szCs w:val="28"/>
          <w:highlight w:val="none"/>
        </w:rPr>
        <w:t>（</w:t>
      </w:r>
      <w:r>
        <w:rPr>
          <w:rFonts w:hint="eastAsia" w:eastAsia="仿宋_GB2312" w:cs="Times New Roman"/>
          <w:b/>
          <w:bCs/>
          <w:color w:val="auto"/>
          <w:sz w:val="28"/>
          <w:szCs w:val="28"/>
          <w:highlight w:val="none"/>
          <w:lang w:val="en-US" w:eastAsia="zh-CN"/>
        </w:rPr>
        <w:t>三</w:t>
      </w:r>
      <w:r>
        <w:rPr>
          <w:rFonts w:eastAsia="仿宋_GB2312" w:cs="Times New Roman"/>
          <w:b/>
          <w:bCs/>
          <w:color w:val="auto"/>
          <w:sz w:val="28"/>
          <w:szCs w:val="28"/>
          <w:highlight w:val="none"/>
        </w:rPr>
        <w:t>）开展水土流失综合防治，支撑省会西花园建设</w:t>
      </w:r>
    </w:p>
    <w:p w14:paraId="5C8DD0B2">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加强对滹沱河、古运河、太平河、金河和洨河等河流的综合治理，提升生态系统连通性。对破坏和退化的水域通过采取自然恢复为主，保育保护相结合的策略进行生态修复</w:t>
      </w:r>
      <w:r>
        <w:rPr>
          <w:rFonts w:hint="eastAsia" w:ascii="Times New Roman" w:hAnsi="Times New Roman"/>
          <w:color w:val="auto"/>
          <w:sz w:val="28"/>
          <w:szCs w:val="28"/>
          <w:highlight w:val="none"/>
          <w:lang w:eastAsia="zh-CN"/>
        </w:rPr>
        <w:t>。</w:t>
      </w:r>
      <w:r>
        <w:rPr>
          <w:rFonts w:ascii="Times New Roman" w:hAnsi="Times New Roman"/>
          <w:color w:val="auto"/>
          <w:sz w:val="28"/>
          <w:szCs w:val="28"/>
          <w:highlight w:val="none"/>
        </w:rPr>
        <w:t>结合乡村振兴、和美乡村、农村人居环境改善等战略部署，加快水土流失治理进度</w:t>
      </w:r>
      <w:r>
        <w:rPr>
          <w:rFonts w:hint="eastAsia" w:ascii="Times New Roman" w:hAnsi="Times New Roman"/>
          <w:color w:val="auto"/>
          <w:sz w:val="28"/>
          <w:szCs w:val="28"/>
          <w:highlight w:val="none"/>
          <w:lang w:eastAsia="zh-CN"/>
        </w:rPr>
        <w:t>。</w:t>
      </w:r>
      <w:r>
        <w:rPr>
          <w:rFonts w:ascii="Times New Roman" w:hAnsi="Times New Roman"/>
          <w:color w:val="auto"/>
          <w:sz w:val="28"/>
          <w:szCs w:val="28"/>
          <w:highlight w:val="none"/>
        </w:rPr>
        <w:t>开展古运河流域、太平河流域、金河流域、洨河流域</w:t>
      </w:r>
      <w:r>
        <w:rPr>
          <w:rFonts w:hint="eastAsia" w:ascii="Times New Roman" w:hAnsi="Times New Roman"/>
          <w:color w:val="auto"/>
          <w:sz w:val="28"/>
          <w:szCs w:val="28"/>
          <w:highlight w:val="none"/>
          <w:lang w:val="en-US" w:eastAsia="zh-CN"/>
        </w:rPr>
        <w:t>治理</w:t>
      </w:r>
      <w:r>
        <w:rPr>
          <w:rFonts w:ascii="Times New Roman" w:hAnsi="Times New Roman"/>
          <w:color w:val="auto"/>
          <w:sz w:val="28"/>
          <w:szCs w:val="28"/>
          <w:highlight w:val="none"/>
        </w:rPr>
        <w:t>，统筹实施水系连通、河道清障、岸坡整治、水源涵养和水土保持、桥梁改建、景观人文等工程建设</w:t>
      </w:r>
      <w:r>
        <w:rPr>
          <w:rFonts w:hint="eastAsia" w:ascii="Times New Roman" w:hAnsi="Times New Roman"/>
          <w:color w:val="auto"/>
          <w:sz w:val="28"/>
          <w:szCs w:val="28"/>
          <w:highlight w:val="none"/>
          <w:lang w:eastAsia="zh-CN"/>
        </w:rPr>
        <w:t>，</w:t>
      </w:r>
      <w:r>
        <w:rPr>
          <w:rFonts w:ascii="Times New Roman" w:hAnsi="Times New Roman"/>
          <w:color w:val="auto"/>
          <w:sz w:val="28"/>
          <w:szCs w:val="28"/>
          <w:highlight w:val="none"/>
        </w:rPr>
        <w:t>提高水土保持率，支撑省会西花园建设。重点治理范围包括：宜安镇、石井乡、白鹿泉乡、上寨乡全部区域及获鹿镇、上庄镇、铜冶镇、山尹村镇部分区域。</w:t>
      </w:r>
    </w:p>
    <w:p w14:paraId="15E8BD1E">
      <w:pPr>
        <w:ind w:firstLine="562"/>
        <w:jc w:val="left"/>
        <w:rPr>
          <w:rFonts w:eastAsia="仿宋_GB2312" w:cs="Times New Roman"/>
          <w:b/>
          <w:bCs/>
          <w:sz w:val="28"/>
          <w:szCs w:val="28"/>
          <w:highlight w:val="none"/>
        </w:rPr>
      </w:pPr>
      <w:r>
        <w:rPr>
          <w:rFonts w:eastAsia="仿宋_GB2312" w:cs="Times New Roman"/>
          <w:b/>
          <w:bCs/>
          <w:sz w:val="28"/>
          <w:szCs w:val="28"/>
          <w:highlight w:val="none"/>
        </w:rPr>
        <w:t>（</w:t>
      </w:r>
      <w:r>
        <w:rPr>
          <w:rFonts w:hint="eastAsia" w:eastAsia="仿宋_GB2312" w:cs="Times New Roman"/>
          <w:b/>
          <w:bCs/>
          <w:sz w:val="28"/>
          <w:szCs w:val="28"/>
          <w:highlight w:val="none"/>
          <w:lang w:val="en-US" w:eastAsia="zh-CN"/>
        </w:rPr>
        <w:t>四</w:t>
      </w:r>
      <w:r>
        <w:rPr>
          <w:rFonts w:eastAsia="仿宋_GB2312" w:cs="Times New Roman"/>
          <w:b/>
          <w:bCs/>
          <w:sz w:val="28"/>
          <w:szCs w:val="28"/>
          <w:highlight w:val="none"/>
        </w:rPr>
        <w:t>）加强高标准农田建设，增加农田粮食产能</w:t>
      </w:r>
    </w:p>
    <w:p w14:paraId="7CDF64B8">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统筹推进高标准农田的建设，逐步将永久基本农田全部建成为高标准农田。提升耕地质量与农田基础设施建设，形成集中连片、设施配套、高产稳产、生态良好、抗灾能力强，与现代农业生产和经营方式相适应的高标准农田。加快建设高产稳产农田，加强高标准农田建设与管理，建设优质、集中连片的农田保护体系。</w:t>
      </w:r>
    </w:p>
    <w:p w14:paraId="731868A9">
      <w:pPr>
        <w:ind w:firstLine="562"/>
        <w:jc w:val="left"/>
        <w:rPr>
          <w:rFonts w:eastAsia="仿宋_GB2312" w:cs="Times New Roman"/>
          <w:b/>
          <w:bCs/>
          <w:sz w:val="28"/>
          <w:szCs w:val="28"/>
          <w:highlight w:val="none"/>
        </w:rPr>
      </w:pPr>
      <w:r>
        <w:rPr>
          <w:rFonts w:eastAsia="仿宋_GB2312" w:cs="Times New Roman"/>
          <w:b/>
          <w:bCs/>
          <w:sz w:val="28"/>
          <w:szCs w:val="28"/>
          <w:highlight w:val="none"/>
        </w:rPr>
        <w:t>（</w:t>
      </w:r>
      <w:r>
        <w:rPr>
          <w:rFonts w:hint="eastAsia" w:eastAsia="仿宋_GB2312" w:cs="Times New Roman"/>
          <w:b/>
          <w:bCs/>
          <w:sz w:val="28"/>
          <w:szCs w:val="28"/>
          <w:highlight w:val="none"/>
          <w:lang w:val="en-US" w:eastAsia="zh-CN"/>
        </w:rPr>
        <w:t>五</w:t>
      </w:r>
      <w:r>
        <w:rPr>
          <w:rFonts w:eastAsia="仿宋_GB2312" w:cs="Times New Roman"/>
          <w:b/>
          <w:bCs/>
          <w:sz w:val="28"/>
          <w:szCs w:val="28"/>
          <w:highlight w:val="none"/>
        </w:rPr>
        <w:t>）开展国土综合整治</w:t>
      </w:r>
    </w:p>
    <w:p w14:paraId="5017FF30">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积极开展国土综合整治工作，增加耕地数量、提高耕地质量、优化生态空间格局，促进耕地保护和土地集约节约利用，构建生态廊道和生态缓冲带，改善农田及周边</w:t>
      </w:r>
      <w:r>
        <w:rPr>
          <w:rFonts w:hint="eastAsia" w:ascii="Times New Roman" w:hAnsi="Times New Roman"/>
          <w:color w:val="auto"/>
          <w:sz w:val="28"/>
          <w:szCs w:val="28"/>
          <w:highlight w:val="none"/>
          <w:lang w:eastAsia="zh-CN"/>
        </w:rPr>
        <w:t>环</w:t>
      </w:r>
      <w:r>
        <w:rPr>
          <w:rFonts w:ascii="Times New Roman" w:hAnsi="Times New Roman"/>
          <w:color w:val="auto"/>
          <w:sz w:val="28"/>
          <w:szCs w:val="28"/>
          <w:highlight w:val="none"/>
        </w:rPr>
        <w:t>境，恢复田间生物群落和生态链，提高农田生态系统生物多样性。大力实施矿山绿色开发，按照</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宜农则农、宜林则林、宜园则园、宜景则景、因地制宜</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的原则，因矿施策，一矿一策，有计划、分批次，推动矿山生态修复。</w:t>
      </w:r>
    </w:p>
    <w:p w14:paraId="77D7FB5E">
      <w:pPr>
        <w:ind w:firstLine="560"/>
        <w:rPr>
          <w:rFonts w:eastAsia="仿宋_GB2312" w:cs="Times New Roman"/>
          <w:b/>
          <w:bCs/>
          <w:sz w:val="28"/>
          <w:szCs w:val="28"/>
          <w:highlight w:val="none"/>
        </w:rPr>
      </w:pPr>
      <w:r>
        <w:rPr>
          <w:rFonts w:eastAsia="仿宋_GB2312" w:cs="Times New Roman"/>
          <w:b/>
          <w:bCs/>
          <w:sz w:val="28"/>
          <w:szCs w:val="28"/>
          <w:highlight w:val="none"/>
        </w:rPr>
        <w:t>（</w:t>
      </w:r>
      <w:r>
        <w:rPr>
          <w:rFonts w:hint="eastAsia" w:eastAsia="仿宋_GB2312" w:cs="Times New Roman"/>
          <w:b/>
          <w:bCs/>
          <w:sz w:val="28"/>
          <w:szCs w:val="28"/>
          <w:highlight w:val="none"/>
          <w:lang w:val="en-US" w:eastAsia="zh-CN"/>
        </w:rPr>
        <w:t>六</w:t>
      </w:r>
      <w:r>
        <w:rPr>
          <w:rFonts w:eastAsia="仿宋_GB2312" w:cs="Times New Roman"/>
          <w:b/>
          <w:bCs/>
          <w:sz w:val="28"/>
          <w:szCs w:val="28"/>
          <w:highlight w:val="none"/>
        </w:rPr>
        <w:t>）推进村庄建设用地整治，优化村庄布局</w:t>
      </w:r>
    </w:p>
    <w:p w14:paraId="4576D038">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充分尊重农民意愿，盘活利用空置宅基地、村内废弃地和闲置地，有效释放存量建设用地，推进农村建设用地整治，腾退的建设用地优先用于乡村基础设施、公共服务设施和乡村振兴等。有序推进铜冶镇小张庄及部分闲置宅基地拆旧复垦，充分利用城乡建设用地增减挂钩政策，腾挪建设用地指标，最大限度提升土地利用效率和土地效益。</w:t>
      </w:r>
    </w:p>
    <w:p w14:paraId="0D75B06B">
      <w:pPr>
        <w:pStyle w:val="6"/>
        <w:numPr>
          <w:ilvl w:val="0"/>
          <w:numId w:val="12"/>
        </w:numPr>
        <w:rPr>
          <w:color w:val="auto"/>
          <w:highlight w:val="none"/>
        </w:rPr>
      </w:pPr>
      <w:bookmarkStart w:id="35" w:name="_Toc28905"/>
      <w:r>
        <w:rPr>
          <w:color w:val="auto"/>
          <w:highlight w:val="none"/>
        </w:rPr>
        <w:t>重点工程</w:t>
      </w:r>
      <w:bookmarkEnd w:id="35"/>
    </w:p>
    <w:p w14:paraId="03650EFA">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重大工程是落实规划重大任务，实现规划目标，解决鹿泉区生态主要问题的落脚点，对鹿泉区国土空间生态修复工作方向具有指引性。考虑到鹿泉区生态修复实际需求和重点任务，规划提出</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4+1</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的国土空间生态修复重点工程，包括4项区域性生态系统修复重点工程，1项重要生态廊道建设和网络构建重点工程。</w:t>
      </w:r>
    </w:p>
    <w:p w14:paraId="26CE9F08">
      <w:pPr>
        <w:ind w:firstLine="562"/>
        <w:outlineLvl w:val="2"/>
        <w:rPr>
          <w:rFonts w:eastAsia="仿宋_GB2312" w:cs="Times New Roman"/>
          <w:b/>
          <w:bCs/>
          <w:sz w:val="28"/>
          <w:szCs w:val="28"/>
          <w:highlight w:val="none"/>
        </w:rPr>
      </w:pPr>
      <w:r>
        <w:rPr>
          <w:rFonts w:eastAsia="仿宋_GB2312" w:cs="Times New Roman"/>
          <w:b/>
          <w:bCs/>
          <w:sz w:val="28"/>
          <w:szCs w:val="28"/>
          <w:highlight w:val="none"/>
        </w:rPr>
        <w:t>一、北部滹沱河水源涵养区</w:t>
      </w:r>
    </w:p>
    <w:p w14:paraId="11C8787E">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本区域重点推进黄壁庄水源保护区生态修复工程，滹沱河、石津干渠、古运河等流域治理，涵养水源，推进山水林田湖草</w:t>
      </w:r>
      <w:r>
        <w:rPr>
          <w:rFonts w:hint="eastAsia" w:ascii="Times New Roman" w:hAnsi="Times New Roman"/>
          <w:color w:val="auto"/>
          <w:sz w:val="28"/>
          <w:szCs w:val="28"/>
          <w:highlight w:val="none"/>
          <w:lang w:val="en-US" w:eastAsia="zh-CN"/>
        </w:rPr>
        <w:t>沙</w:t>
      </w:r>
      <w:r>
        <w:rPr>
          <w:rFonts w:ascii="Times New Roman" w:hAnsi="Times New Roman"/>
          <w:color w:val="auto"/>
          <w:sz w:val="28"/>
          <w:szCs w:val="28"/>
          <w:highlight w:val="none"/>
        </w:rPr>
        <w:t>一体化系统修复及全域综合整治；强化水系绿化和生物多样性保护，全面提升区域生态质量。</w:t>
      </w:r>
    </w:p>
    <w:tbl>
      <w:tblPr>
        <w:tblStyle w:val="88"/>
        <w:tblW w:w="5000" w:type="pct"/>
        <w:tblInd w:w="0" w:type="dxa"/>
        <w:tblLayout w:type="autofit"/>
        <w:tblCellMar>
          <w:top w:w="0" w:type="dxa"/>
          <w:left w:w="108" w:type="dxa"/>
          <w:bottom w:w="0" w:type="dxa"/>
          <w:right w:w="108" w:type="dxa"/>
        </w:tblCellMar>
      </w:tblPr>
      <w:tblGrid>
        <w:gridCol w:w="9118"/>
      </w:tblGrid>
      <w:tr w14:paraId="5A39A45C">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vAlign w:val="center"/>
          </w:tcPr>
          <w:p w14:paraId="55A141E8">
            <w:pPr>
              <w:ind w:firstLine="482"/>
              <w:jc w:val="center"/>
              <w:textAlignment w:val="center"/>
              <w:rPr>
                <w:rFonts w:eastAsia="宋体" w:cs="Times New Roman"/>
                <w:b/>
                <w:bCs/>
                <w:color w:val="000000"/>
                <w:highlight w:val="none"/>
              </w:rPr>
            </w:pPr>
            <w:r>
              <w:rPr>
                <w:rFonts w:eastAsia="宋体" w:cs="Times New Roman"/>
                <w:b/>
                <w:bCs/>
                <w:color w:val="000000"/>
                <w:highlight w:val="none"/>
                <w:lang w:bidi="ar"/>
              </w:rPr>
              <w:t>专栏5-1北部滹沱河水源涵养区生态修复重点工程</w:t>
            </w:r>
          </w:p>
        </w:tc>
      </w:tr>
      <w:tr w14:paraId="7BADCFA8">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5FD6D">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①</w:t>
            </w:r>
            <w:r>
              <w:rPr>
                <w:rFonts w:eastAsia="宋体" w:cs="Times New Roman"/>
                <w:b/>
                <w:bCs/>
                <w:color w:val="000000"/>
                <w:highlight w:val="none"/>
                <w:lang w:bidi="ar"/>
              </w:rPr>
              <w:t>滹沱河上游河湖湿地生态修复工程</w:t>
            </w:r>
          </w:p>
        </w:tc>
      </w:tr>
      <w:tr w14:paraId="3DE55BFA">
        <w:tblPrEx>
          <w:tblCellMar>
            <w:top w:w="0" w:type="dxa"/>
            <w:left w:w="108" w:type="dxa"/>
            <w:bottom w:w="0" w:type="dxa"/>
            <w:right w:w="108" w:type="dxa"/>
          </w:tblCellMar>
        </w:tblPrEx>
        <w:trPr>
          <w:trHeight w:val="340" w:hRule="atLeast"/>
        </w:trPr>
        <w:tc>
          <w:tcPr>
            <w:tcW w:w="5000" w:type="pct"/>
            <w:tcBorders>
              <w:top w:val="nil"/>
              <w:left w:val="single" w:color="000000" w:sz="4" w:space="0"/>
              <w:bottom w:val="nil"/>
              <w:right w:val="single" w:color="000000" w:sz="4" w:space="0"/>
            </w:tcBorders>
            <w:shd w:val="clear" w:color="auto" w:fill="auto"/>
          </w:tcPr>
          <w:p w14:paraId="768F25AD">
            <w:pPr>
              <w:ind w:firstLine="480"/>
              <w:jc w:val="left"/>
              <w:textAlignment w:val="top"/>
              <w:rPr>
                <w:rFonts w:eastAsia="宋体" w:cs="Times New Roman"/>
                <w:color w:val="000000"/>
                <w:highlight w:val="none"/>
              </w:rPr>
            </w:pPr>
            <w:r>
              <w:rPr>
                <w:rFonts w:eastAsia="宋体" w:cs="Times New Roman"/>
                <w:color w:val="000000"/>
                <w:highlight w:val="none"/>
                <w:lang w:bidi="ar"/>
              </w:rPr>
              <w:t>项目范围涉及滹沱河流域黄壁庄镇，建立长效引水机制，科学调度黄壁庄水库向滹沱河实施生态补水，保障枯水期生态基流；在滹沱河干流两岸15米，支流两岸10米范围内划定生态缓冲带，按照</w:t>
            </w:r>
            <w:r>
              <w:rPr>
                <w:rFonts w:hint="eastAsia" w:eastAsia="宋体" w:cs="Times New Roman"/>
                <w:color w:val="000000"/>
                <w:highlight w:val="none"/>
                <w:lang w:bidi="ar"/>
              </w:rPr>
              <w:t>“</w:t>
            </w:r>
            <w:r>
              <w:rPr>
                <w:rFonts w:eastAsia="宋体" w:cs="Times New Roman"/>
                <w:color w:val="000000"/>
                <w:highlight w:val="none"/>
                <w:lang w:bidi="ar"/>
              </w:rPr>
              <w:t>守、退、补</w:t>
            </w:r>
            <w:r>
              <w:rPr>
                <w:rFonts w:hint="eastAsia" w:eastAsia="宋体" w:cs="Times New Roman"/>
                <w:color w:val="000000"/>
                <w:highlight w:val="none"/>
                <w:lang w:bidi="ar"/>
              </w:rPr>
              <w:t>”</w:t>
            </w:r>
            <w:r>
              <w:rPr>
                <w:rFonts w:eastAsia="宋体" w:cs="Times New Roman"/>
                <w:color w:val="000000"/>
                <w:highlight w:val="none"/>
                <w:lang w:bidi="ar"/>
              </w:rPr>
              <w:t>原则严格管控。强化水源地生态治理，全面提升水环境。在水库开阔水域和岸带坑塘构建微小</w:t>
            </w:r>
            <w:r>
              <w:rPr>
                <w:rFonts w:hint="eastAsia" w:eastAsia="宋体" w:cs="Times New Roman"/>
                <w:color w:val="000000"/>
                <w:highlight w:val="none"/>
                <w:lang w:eastAsia="zh-CN" w:bidi="ar"/>
              </w:rPr>
              <w:t>环</w:t>
            </w:r>
            <w:r>
              <w:rPr>
                <w:rFonts w:eastAsia="宋体" w:cs="Times New Roman"/>
                <w:color w:val="000000"/>
                <w:highlight w:val="none"/>
                <w:lang w:bidi="ar"/>
              </w:rPr>
              <w:t>境，为鹭类、雁鸭类等水鸟提供栖息空间；修复自然河道，对适宜河岸开展生态驳岸构建，满足鱼类</w:t>
            </w:r>
            <w:r>
              <w:rPr>
                <w:rFonts w:hint="eastAsia" w:eastAsia="宋体" w:cs="Times New Roman"/>
                <w:color w:val="000000"/>
                <w:highlight w:val="none"/>
                <w:lang w:eastAsia="zh-CN" w:bidi="ar"/>
              </w:rPr>
              <w:t>环</w:t>
            </w:r>
            <w:r>
              <w:rPr>
                <w:rFonts w:eastAsia="宋体" w:cs="Times New Roman"/>
                <w:color w:val="000000"/>
                <w:highlight w:val="none"/>
                <w:lang w:bidi="ar"/>
              </w:rPr>
              <w:t>境需求。</w:t>
            </w:r>
          </w:p>
        </w:tc>
      </w:tr>
      <w:tr w14:paraId="13171380">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16916174">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693BC28F">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47DD2">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②</w:t>
            </w:r>
            <w:r>
              <w:rPr>
                <w:rFonts w:eastAsia="宋体" w:cs="Times New Roman"/>
                <w:b/>
                <w:bCs/>
                <w:color w:val="000000"/>
                <w:highlight w:val="none"/>
                <w:lang w:bidi="ar"/>
              </w:rPr>
              <w:t>河北省石家庄市鹿泉区水系连通及农村水系综合整治试点（古运河）</w:t>
            </w:r>
          </w:p>
        </w:tc>
      </w:tr>
      <w:tr w14:paraId="10E211B9">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5654BA66">
            <w:pPr>
              <w:ind w:firstLine="480"/>
              <w:jc w:val="left"/>
              <w:textAlignment w:val="top"/>
              <w:rPr>
                <w:rFonts w:eastAsia="宋体" w:cs="Times New Roman"/>
                <w:color w:val="000000"/>
                <w:highlight w:val="none"/>
              </w:rPr>
            </w:pPr>
            <w:r>
              <w:rPr>
                <w:rFonts w:eastAsia="宋体" w:cs="Times New Roman"/>
                <w:color w:val="000000"/>
                <w:highlight w:val="none"/>
                <w:lang w:bidi="ar"/>
              </w:rPr>
              <w:t>项目范围涉及古运河沿线宜安镇、李村镇、大河镇，以沿线村庄为重点，河道清淤疏浚、生态护坡、水系连通、桥梁拆除重建、景观节点建设。实现古运河水域、岸线及沿岸文化、生态、景观等资源有机结合和高效匹配，构建主轴带动整体、多点联动的农村水系治理格局，实现河道全线有水，恢复河道功能、河流形态，建设水美乡村。</w:t>
            </w:r>
          </w:p>
        </w:tc>
      </w:tr>
      <w:tr w14:paraId="5A88C676">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43C7BF7D">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7B06DEAE">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F438C">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③</w:t>
            </w:r>
            <w:r>
              <w:rPr>
                <w:rFonts w:eastAsia="宋体" w:cs="Times New Roman"/>
                <w:b/>
                <w:bCs/>
                <w:color w:val="000000"/>
                <w:highlight w:val="none"/>
                <w:lang w:bidi="ar"/>
              </w:rPr>
              <w:t>国土绿化营造林工程</w:t>
            </w:r>
          </w:p>
        </w:tc>
      </w:tr>
      <w:tr w14:paraId="03F40D40">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42689C9E">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工程范围涉及大河镇、黄壁庄镇水库、宜安镇，继续推进国土绿化造林，调整优化林分结构，加强森林抚育，提高森林质量和水源涵养能力。</w:t>
            </w:r>
          </w:p>
        </w:tc>
      </w:tr>
      <w:tr w14:paraId="02BC4800">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2E772593">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时序安排：2021-2025年</w:t>
            </w:r>
          </w:p>
        </w:tc>
      </w:tr>
      <w:tr w14:paraId="56FB1E5A">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BD17B">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④</w:t>
            </w:r>
            <w:r>
              <w:rPr>
                <w:rFonts w:eastAsia="宋体" w:cs="Times New Roman"/>
                <w:b/>
                <w:bCs/>
                <w:color w:val="000000"/>
                <w:highlight w:val="none"/>
                <w:lang w:bidi="ar"/>
              </w:rPr>
              <w:t>历史遗留矿山生态恢复治理</w:t>
            </w:r>
          </w:p>
        </w:tc>
      </w:tr>
      <w:tr w14:paraId="2256DAF0">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3709B20C">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宜安镇西鲍庄村，对矿区及周边更大范围进行综合治理和系统修复，采取自然恢复和人工辅助修复策略，治理矿山边坡，消除地质灾害隐患，促进植被恢复，改良基层土壤，恢复废弃地的微生物群落，推进绿色发展。</w:t>
            </w:r>
          </w:p>
        </w:tc>
      </w:tr>
      <w:tr w14:paraId="67D6AF3E">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4F6D5264">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时序安排：2021-2025年</w:t>
            </w:r>
          </w:p>
        </w:tc>
      </w:tr>
      <w:tr w14:paraId="1A0CEEFE">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26BC7">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⑤高标准农田建设</w:t>
            </w:r>
          </w:p>
        </w:tc>
      </w:tr>
      <w:tr w14:paraId="41405CDB">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397942B7">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工程范围涉及黄壁庄镇、李村镇、大河镇、宜安镇，实施高标准农田建设，完善农田基础设施，建成适宜耕作、旱涝保收、高产稳产的现代化良田。</w:t>
            </w:r>
          </w:p>
        </w:tc>
      </w:tr>
      <w:tr w14:paraId="542D3786">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79836C80">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1FFA1496">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B9461">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⑥土地综合整治</w:t>
            </w:r>
          </w:p>
        </w:tc>
      </w:tr>
      <w:tr w14:paraId="1B78EE0C">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7460B756">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工程范围涉及黄壁庄镇、李村镇、大河镇、宜安镇，坚持统筹协调，拓宽补充耕地途</w:t>
            </w:r>
            <w:r>
              <w:rPr>
                <w:rFonts w:hint="eastAsia" w:eastAsia="宋体" w:cs="Times New Roman"/>
                <w:color w:val="000000"/>
                <w:highlight w:val="none"/>
                <w:lang w:eastAsia="zh-CN" w:bidi="ar"/>
              </w:rPr>
              <w:t>径</w:t>
            </w:r>
            <w:r>
              <w:rPr>
                <w:rFonts w:eastAsia="宋体" w:cs="Times New Roman"/>
                <w:color w:val="000000"/>
                <w:highlight w:val="none"/>
                <w:lang w:bidi="ar"/>
              </w:rPr>
              <w:t>。</w:t>
            </w:r>
          </w:p>
        </w:tc>
      </w:tr>
      <w:tr w14:paraId="22CDB008">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288D492E">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3E76A309">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F50D1">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⑦村庄建设用地整治</w:t>
            </w:r>
          </w:p>
        </w:tc>
      </w:tr>
      <w:tr w14:paraId="5FD7A042">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167A55DC">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工程范围涉及黄壁庄镇北庄、东升，不具备明显发展优势与特色的村庄，进行搬迁撤并，腾退农村住宅用地。</w:t>
            </w:r>
          </w:p>
        </w:tc>
      </w:tr>
      <w:tr w14:paraId="74C4FCEA">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75EB401D">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bl>
    <w:p w14:paraId="36FC75E1">
      <w:pPr>
        <w:ind w:firstLine="562"/>
        <w:outlineLvl w:val="2"/>
        <w:rPr>
          <w:rFonts w:hint="eastAsia" w:eastAsia="仿宋_GB2312" w:cs="Times New Roman"/>
          <w:b/>
          <w:bCs/>
          <w:sz w:val="28"/>
          <w:szCs w:val="28"/>
          <w:highlight w:val="none"/>
          <w:lang w:eastAsia="zh-CN"/>
        </w:rPr>
      </w:pPr>
      <w:r>
        <w:rPr>
          <w:rFonts w:eastAsia="仿宋_GB2312" w:cs="Times New Roman"/>
          <w:b/>
          <w:bCs/>
          <w:sz w:val="28"/>
          <w:szCs w:val="28"/>
          <w:highlight w:val="none"/>
        </w:rPr>
        <w:t>二、</w:t>
      </w:r>
      <w:r>
        <w:rPr>
          <w:rFonts w:hint="eastAsia" w:eastAsia="仿宋_GB2312" w:cs="Times New Roman"/>
          <w:b/>
          <w:bCs/>
          <w:sz w:val="28"/>
          <w:szCs w:val="28"/>
          <w:highlight w:val="none"/>
          <w:lang w:eastAsia="zh-CN"/>
        </w:rPr>
        <w:t>西部太行山水土保持与矿山生态修复区</w:t>
      </w:r>
    </w:p>
    <w:p w14:paraId="14F026BB">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本区域遵循山水林田湖生命共同体理念，坚持保护优先、自然恢复为主，构建太行山生态安全屏障，以太行山绿化、治理水土流失、矿山修复，宜耕后备资源开发为目标，增强林业碳汇功能，提升区域水土保持功能和水源涵养能力，促进土地资源的可持续发展。</w:t>
      </w:r>
    </w:p>
    <w:tbl>
      <w:tblPr>
        <w:tblStyle w:val="88"/>
        <w:tblW w:w="5000" w:type="pct"/>
        <w:tblInd w:w="0" w:type="dxa"/>
        <w:tblLayout w:type="autofit"/>
        <w:tblCellMar>
          <w:top w:w="0" w:type="dxa"/>
          <w:left w:w="108" w:type="dxa"/>
          <w:bottom w:w="0" w:type="dxa"/>
          <w:right w:w="108" w:type="dxa"/>
        </w:tblCellMar>
      </w:tblPr>
      <w:tblGrid>
        <w:gridCol w:w="9118"/>
      </w:tblGrid>
      <w:tr w14:paraId="7668E5E1">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vAlign w:val="center"/>
          </w:tcPr>
          <w:p w14:paraId="73DE0AA1">
            <w:pPr>
              <w:ind w:firstLine="482"/>
              <w:jc w:val="center"/>
              <w:textAlignment w:val="center"/>
              <w:rPr>
                <w:rFonts w:eastAsia="宋体" w:cs="Times New Roman"/>
                <w:color w:val="000000"/>
                <w:highlight w:val="none"/>
              </w:rPr>
            </w:pPr>
            <w:r>
              <w:rPr>
                <w:rFonts w:eastAsia="宋体" w:cs="Times New Roman"/>
                <w:b/>
                <w:bCs/>
                <w:color w:val="000000"/>
                <w:highlight w:val="none"/>
                <w:lang w:bidi="ar"/>
              </w:rPr>
              <w:t>专栏5-2</w:t>
            </w:r>
            <w:r>
              <w:rPr>
                <w:rFonts w:hint="eastAsia" w:eastAsia="宋体" w:cs="Times New Roman"/>
                <w:b/>
                <w:bCs/>
                <w:color w:val="000000"/>
                <w:highlight w:val="none"/>
                <w:lang w:eastAsia="zh-CN" w:bidi="ar"/>
              </w:rPr>
              <w:t>西部太行山水土保持与矿山生态修复区</w:t>
            </w:r>
            <w:r>
              <w:rPr>
                <w:rFonts w:eastAsia="宋体" w:cs="Times New Roman"/>
                <w:b/>
                <w:bCs/>
                <w:color w:val="000000"/>
                <w:highlight w:val="none"/>
                <w:lang w:bidi="ar"/>
              </w:rPr>
              <w:t>生态修复重点工程</w:t>
            </w:r>
          </w:p>
        </w:tc>
      </w:tr>
      <w:tr w14:paraId="27ACAC4C">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E0F97">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①</w:t>
            </w:r>
            <w:r>
              <w:rPr>
                <w:rFonts w:eastAsia="宋体" w:cs="Times New Roman"/>
                <w:b/>
                <w:bCs/>
                <w:color w:val="000000"/>
                <w:highlight w:val="none"/>
                <w:lang w:bidi="ar"/>
              </w:rPr>
              <w:t>鹿泉区洨河支流-金河水环境综合治理与可持续发展试点工程</w:t>
            </w:r>
          </w:p>
        </w:tc>
      </w:tr>
      <w:tr w14:paraId="02113E88">
        <w:tblPrEx>
          <w:tblCellMar>
            <w:top w:w="0" w:type="dxa"/>
            <w:left w:w="108" w:type="dxa"/>
            <w:bottom w:w="0" w:type="dxa"/>
            <w:right w:w="108" w:type="dxa"/>
          </w:tblCellMar>
        </w:tblPrEx>
        <w:trPr>
          <w:trHeight w:val="340" w:hRule="atLeast"/>
        </w:trPr>
        <w:tc>
          <w:tcPr>
            <w:tcW w:w="5000" w:type="pct"/>
            <w:tcBorders>
              <w:top w:val="nil"/>
              <w:left w:val="single" w:color="000000" w:sz="4" w:space="0"/>
              <w:bottom w:val="single" w:color="000000" w:sz="4" w:space="0"/>
              <w:right w:val="single" w:color="000000" w:sz="4" w:space="0"/>
            </w:tcBorders>
            <w:shd w:val="clear" w:color="auto" w:fill="auto"/>
          </w:tcPr>
          <w:p w14:paraId="54F3A6FD">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工程范围涉及白鹿泉乡、铜冶镇，主要建设内容为河道底泥清理、生态护岸、桥梁拆除重建、周边垃圾清运、建设生态隔离带。</w:t>
            </w:r>
          </w:p>
        </w:tc>
      </w:tr>
      <w:tr w14:paraId="687A7E24">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5E86F1B6">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5DB1F740">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80314">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②</w:t>
            </w:r>
            <w:r>
              <w:rPr>
                <w:rFonts w:eastAsia="宋体" w:cs="Times New Roman"/>
                <w:b/>
                <w:bCs/>
                <w:color w:val="000000"/>
                <w:highlight w:val="none"/>
                <w:lang w:bidi="ar"/>
              </w:rPr>
              <w:t>国土绿化营造林工程</w:t>
            </w:r>
          </w:p>
        </w:tc>
      </w:tr>
      <w:tr w14:paraId="4718E254">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0ADBB32C">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工程范围涉及白鹿泉乡、山尹村镇、上寨乡、石井乡、铜冶镇、宜安镇。继续推进国土绿化造林，调整优化林分结构，加强森林抚育，提高森林质量和水源涵养能力。</w:t>
            </w:r>
          </w:p>
        </w:tc>
      </w:tr>
      <w:tr w14:paraId="5E6A284A">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61B11AE4">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786A5B09">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AC7BD">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③历史遗留矿山生态修复工程</w:t>
            </w:r>
          </w:p>
        </w:tc>
      </w:tr>
      <w:tr w14:paraId="521F6F1A">
        <w:tblPrEx>
          <w:tblCellMar>
            <w:top w:w="0" w:type="dxa"/>
            <w:left w:w="108" w:type="dxa"/>
            <w:bottom w:w="0" w:type="dxa"/>
            <w:right w:w="108" w:type="dxa"/>
          </w:tblCellMar>
        </w:tblPrEx>
        <w:trPr>
          <w:trHeight w:val="340" w:hRule="atLeast"/>
        </w:trPr>
        <w:tc>
          <w:tcPr>
            <w:tcW w:w="5000" w:type="pct"/>
            <w:tcBorders>
              <w:top w:val="nil"/>
              <w:left w:val="single" w:color="000000" w:sz="4" w:space="0"/>
              <w:bottom w:val="single" w:color="000000" w:sz="4" w:space="0"/>
              <w:right w:val="single" w:color="000000" w:sz="4" w:space="0"/>
            </w:tcBorders>
            <w:shd w:val="clear" w:color="auto" w:fill="auto"/>
          </w:tcPr>
          <w:p w14:paraId="1CF8FAF3">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宜安镇、石井乡、白鹿泉乡、铜冶镇，对矿区及周边更大范围进行综合治理和系统修复，采取自然恢复和人工辅助修复策略，治理矿山边坡，促进植被恢复，改良基层土壤，恢复废弃地的微生物群落，推进绿色发展。</w:t>
            </w:r>
          </w:p>
        </w:tc>
      </w:tr>
      <w:tr w14:paraId="24C0508B">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529A0469">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58C5E9D7">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2973F">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④高标准农田建设</w:t>
            </w:r>
          </w:p>
        </w:tc>
      </w:tr>
      <w:tr w14:paraId="2A6419AE">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20590DE5">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工程范围涉及白鹿泉乡、大河镇、山尹村镇、上寨乡、上庄镇、石井乡、铜冶镇、宜安镇，完善农田基础设施，建成适宜耕作、旱涝保收、高产稳产的现代化良田。</w:t>
            </w:r>
          </w:p>
        </w:tc>
      </w:tr>
      <w:tr w14:paraId="7376917A">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3A583918">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102C1EC5">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143D3">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⑤土地综合整治</w:t>
            </w:r>
          </w:p>
        </w:tc>
      </w:tr>
      <w:tr w14:paraId="40EB17E4">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17CC33D7">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工程范围涉及白鹿泉乡、大河镇、山尹村镇、上寨乡、上庄镇、石井乡、铜冶镇、宜安镇，坚持统筹协调，拓宽补充耕地途</w:t>
            </w:r>
            <w:r>
              <w:rPr>
                <w:rFonts w:hint="eastAsia" w:eastAsia="宋体" w:cs="Times New Roman"/>
                <w:color w:val="000000"/>
                <w:highlight w:val="none"/>
                <w:lang w:eastAsia="zh-CN" w:bidi="ar"/>
              </w:rPr>
              <w:t>径</w:t>
            </w:r>
            <w:r>
              <w:rPr>
                <w:rFonts w:eastAsia="宋体" w:cs="Times New Roman"/>
                <w:color w:val="000000"/>
                <w:highlight w:val="none"/>
                <w:lang w:bidi="ar"/>
              </w:rPr>
              <w:t>。</w:t>
            </w:r>
          </w:p>
        </w:tc>
      </w:tr>
      <w:tr w14:paraId="1A0A985E">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12B48E12">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2E917FE1">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3A465">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⑥村庄建设用地整治</w:t>
            </w:r>
          </w:p>
        </w:tc>
      </w:tr>
      <w:tr w14:paraId="1F430E56">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4F9838E8">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工程范围涉及黄壁庄镇高家台、岭口、于庄，不具备明显发展优势与特色的村庄，进行搬迁撤并，腾退农村住宅用地。</w:t>
            </w:r>
          </w:p>
        </w:tc>
      </w:tr>
      <w:tr w14:paraId="21BF61D4">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27346981">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3E622F9F">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7F2C6">
            <w:pPr>
              <w:ind w:firstLine="0" w:firstLineChars="0"/>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⑦鹿泉区石井乡光伏制氢及氢能配套产业项目</w:t>
            </w:r>
          </w:p>
        </w:tc>
      </w:tr>
      <w:tr w14:paraId="1DCACDF6">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nil"/>
              <w:right w:val="single" w:color="000000" w:sz="4" w:space="0"/>
            </w:tcBorders>
            <w:shd w:val="clear" w:color="auto" w:fill="auto"/>
          </w:tcPr>
          <w:p w14:paraId="1DFA021F">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工程范围涉及石井乡，利用废弃矿坑建设制氢中心、储气中心及相关配套设施</w:t>
            </w:r>
          </w:p>
        </w:tc>
      </w:tr>
      <w:tr w14:paraId="395CA8D2">
        <w:tblPrEx>
          <w:tblCellMar>
            <w:top w:w="0" w:type="dxa"/>
            <w:left w:w="108" w:type="dxa"/>
            <w:bottom w:w="0" w:type="dxa"/>
            <w:right w:w="108" w:type="dxa"/>
          </w:tblCellMar>
        </w:tblPrEx>
        <w:trPr>
          <w:trHeight w:val="340"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5C818C38">
            <w:pPr>
              <w:ind w:firstLine="0" w:firstLineChars="0"/>
              <w:jc w:val="left"/>
              <w:textAlignment w:val="top"/>
              <w:rPr>
                <w:rFonts w:eastAsia="宋体" w:cs="Times New Roman"/>
                <w:color w:val="000000"/>
                <w:highlight w:val="none"/>
              </w:rPr>
            </w:pPr>
            <w:r>
              <w:rPr>
                <w:rFonts w:eastAsia="宋体" w:cs="Times New Roman"/>
                <w:color w:val="000000"/>
                <w:highlight w:val="none"/>
                <w:lang w:bidi="ar"/>
              </w:rPr>
              <w:t>时序安排：2021-2025年</w:t>
            </w:r>
          </w:p>
        </w:tc>
      </w:tr>
    </w:tbl>
    <w:p w14:paraId="25103EC6">
      <w:pPr>
        <w:spacing w:before="100" w:beforeAutospacing="1"/>
        <w:ind w:firstLine="0" w:firstLineChars="0"/>
        <w:outlineLvl w:val="2"/>
        <w:rPr>
          <w:rFonts w:eastAsia="仿宋_GB2312" w:cs="Times New Roman"/>
          <w:b/>
          <w:bCs/>
          <w:sz w:val="28"/>
          <w:szCs w:val="28"/>
          <w:highlight w:val="none"/>
        </w:rPr>
      </w:pPr>
      <w:r>
        <w:rPr>
          <w:rFonts w:eastAsia="仿宋_GB2312" w:cs="Times New Roman"/>
          <w:b/>
          <w:bCs/>
          <w:sz w:val="28"/>
          <w:szCs w:val="28"/>
          <w:highlight w:val="none"/>
        </w:rPr>
        <w:t>三、南部平原乡村环境提升区</w:t>
      </w:r>
    </w:p>
    <w:p w14:paraId="7865C578">
      <w:pPr>
        <w:pStyle w:val="23"/>
        <w:ind w:firstLine="560"/>
        <w:jc w:val="left"/>
        <w:rPr>
          <w:rFonts w:ascii="Times New Roman" w:hAnsi="Times New Roman"/>
          <w:color w:val="auto"/>
          <w:sz w:val="28"/>
          <w:szCs w:val="28"/>
          <w:highlight w:val="none"/>
        </w:rPr>
        <w:sectPr>
          <w:footerReference r:id="rId13" w:type="default"/>
          <w:pgSz w:w="11906" w:h="16838"/>
          <w:pgMar w:top="1587" w:right="1417" w:bottom="1417" w:left="1587" w:header="851" w:footer="992" w:gutter="0"/>
          <w:pgNumType w:fmt="decimal" w:start="1"/>
          <w:cols w:space="425" w:num="1"/>
          <w:docGrid w:type="lines" w:linePitch="312" w:charSpace="0"/>
        </w:sectPr>
      </w:pPr>
      <w:r>
        <w:rPr>
          <w:rFonts w:ascii="Times New Roman" w:hAnsi="Times New Roman"/>
          <w:color w:val="auto"/>
          <w:sz w:val="28"/>
          <w:szCs w:val="28"/>
          <w:highlight w:val="none"/>
        </w:rPr>
        <w:t>本区域重点开展人居环境整治和水美乡村建设，开展小流域水环境综合治理，高标准农田建设，铜冶镇村庄建设用地整治，道路生态廊道建设，恢复和提升自然生态功能。</w:t>
      </w:r>
    </w:p>
    <w:tbl>
      <w:tblPr>
        <w:tblStyle w:val="88"/>
        <w:tblW w:w="8625" w:type="dxa"/>
        <w:tblInd w:w="91" w:type="dxa"/>
        <w:tblLayout w:type="autofit"/>
        <w:tblCellMar>
          <w:top w:w="0" w:type="dxa"/>
          <w:left w:w="108" w:type="dxa"/>
          <w:bottom w:w="0" w:type="dxa"/>
          <w:right w:w="108" w:type="dxa"/>
        </w:tblCellMar>
      </w:tblPr>
      <w:tblGrid>
        <w:gridCol w:w="8625"/>
      </w:tblGrid>
      <w:tr w14:paraId="18CB8AC8">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nil"/>
              <w:right w:val="single" w:color="000000" w:sz="4" w:space="0"/>
            </w:tcBorders>
            <w:shd w:val="clear" w:color="auto" w:fill="auto"/>
            <w:vAlign w:val="center"/>
          </w:tcPr>
          <w:p w14:paraId="720A457D">
            <w:pPr>
              <w:spacing w:line="240" w:lineRule="auto"/>
              <w:ind w:firstLine="482"/>
              <w:jc w:val="center"/>
              <w:textAlignment w:val="center"/>
              <w:rPr>
                <w:rFonts w:eastAsia="宋体" w:cs="Times New Roman"/>
                <w:b/>
                <w:bCs/>
                <w:color w:val="000000"/>
                <w:highlight w:val="none"/>
              </w:rPr>
            </w:pPr>
            <w:r>
              <w:rPr>
                <w:rFonts w:eastAsia="宋体" w:cs="Times New Roman"/>
                <w:b/>
                <w:bCs/>
                <w:color w:val="000000"/>
                <w:highlight w:val="none"/>
                <w:lang w:bidi="ar"/>
              </w:rPr>
              <w:t>专栏5-3南部平原乡村环境提升区生态修复重点工程</w:t>
            </w:r>
          </w:p>
        </w:tc>
      </w:tr>
      <w:tr w14:paraId="0B3CBDE0">
        <w:tblPrEx>
          <w:tblCellMar>
            <w:top w:w="0" w:type="dxa"/>
            <w:left w:w="108" w:type="dxa"/>
            <w:bottom w:w="0" w:type="dxa"/>
            <w:right w:w="108" w:type="dxa"/>
          </w:tblCellMar>
        </w:tblPrEx>
        <w:trPr>
          <w:trHeight w:val="340" w:hRule="atLeast"/>
        </w:trPr>
        <w:tc>
          <w:tcPr>
            <w:tcW w:w="86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F48480">
            <w:pPr>
              <w:spacing w:line="240" w:lineRule="auto"/>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①.石家庄市鹿泉区洨河支流—金河（一期）水环境综合治理与可持续发展试点工程</w:t>
            </w:r>
          </w:p>
        </w:tc>
      </w:tr>
      <w:tr w14:paraId="39401FDF">
        <w:tblPrEx>
          <w:tblCellMar>
            <w:top w:w="0" w:type="dxa"/>
            <w:left w:w="108" w:type="dxa"/>
            <w:bottom w:w="0" w:type="dxa"/>
            <w:right w:w="108" w:type="dxa"/>
          </w:tblCellMar>
        </w:tblPrEx>
        <w:trPr>
          <w:trHeight w:val="340" w:hRule="atLeast"/>
        </w:trPr>
        <w:tc>
          <w:tcPr>
            <w:tcW w:w="8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00665D">
            <w:pPr>
              <w:spacing w:line="240" w:lineRule="auto"/>
              <w:ind w:firstLine="482"/>
              <w:jc w:val="left"/>
              <w:rPr>
                <w:rFonts w:eastAsia="宋体" w:cs="Times New Roman"/>
                <w:b/>
                <w:bCs/>
                <w:color w:val="000000"/>
                <w:highlight w:val="none"/>
              </w:rPr>
            </w:pPr>
          </w:p>
        </w:tc>
      </w:tr>
      <w:tr w14:paraId="10DF5548">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single" w:color="000000" w:sz="4" w:space="0"/>
              <w:right w:val="single" w:color="000000" w:sz="4" w:space="0"/>
            </w:tcBorders>
            <w:shd w:val="clear" w:color="auto" w:fill="auto"/>
          </w:tcPr>
          <w:p w14:paraId="4771E043">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开展水质提升、水环境综合治理，加强生态补水，促进水系连通，改善洨河整体水环境质量</w:t>
            </w:r>
          </w:p>
        </w:tc>
      </w:tr>
      <w:tr w14:paraId="44DD4CCD">
        <w:tblPrEx>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Pr>
          <w:p w14:paraId="57FF462C">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时序安排：2025-2030年</w:t>
            </w:r>
          </w:p>
        </w:tc>
      </w:tr>
      <w:tr w14:paraId="17538668">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4586">
            <w:pPr>
              <w:spacing w:line="240" w:lineRule="auto"/>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②.石家庄城市水系及水系空间项目五支渠-洨河排洪畅通工程</w:t>
            </w:r>
          </w:p>
        </w:tc>
      </w:tr>
      <w:tr w14:paraId="326917B0">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nil"/>
              <w:right w:val="single" w:color="000000" w:sz="4" w:space="0"/>
            </w:tcBorders>
            <w:shd w:val="clear" w:color="auto" w:fill="auto"/>
          </w:tcPr>
          <w:p w14:paraId="5BBCC3CF">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通过河道疏浚、拓宽、防护工程，确保排洪畅通</w:t>
            </w:r>
          </w:p>
        </w:tc>
      </w:tr>
      <w:tr w14:paraId="368D5847">
        <w:tblPrEx>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Pr>
          <w:p w14:paraId="7F4C2E38">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时序安排：2030-2035年</w:t>
            </w:r>
          </w:p>
        </w:tc>
      </w:tr>
      <w:tr w14:paraId="208113CC">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D2F1E">
            <w:pPr>
              <w:spacing w:line="240" w:lineRule="auto"/>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③.国土绿化营造林工程</w:t>
            </w:r>
          </w:p>
        </w:tc>
      </w:tr>
      <w:tr w14:paraId="333DB7D8">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nil"/>
              <w:right w:val="single" w:color="000000" w:sz="4" w:space="0"/>
            </w:tcBorders>
            <w:shd w:val="clear" w:color="auto" w:fill="auto"/>
          </w:tcPr>
          <w:p w14:paraId="71AA1D4D">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工程范围涉及山尹村镇、上庄镇、寺家庄镇、铜冶镇。继续推进国土绿化造林，调整优化林分结构，加强森林抚育，提高森林质量和水源涵养能力。</w:t>
            </w:r>
          </w:p>
        </w:tc>
      </w:tr>
      <w:tr w14:paraId="7FE70714">
        <w:tblPrEx>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Pr>
          <w:p w14:paraId="5484D305">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时序安排：2030-2035年</w:t>
            </w:r>
          </w:p>
        </w:tc>
      </w:tr>
      <w:tr w14:paraId="5BD88459">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B494F">
            <w:pPr>
              <w:spacing w:line="240" w:lineRule="auto"/>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④高标准农田建设</w:t>
            </w:r>
          </w:p>
        </w:tc>
      </w:tr>
      <w:tr w14:paraId="2BA5BB9B">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nil"/>
              <w:right w:val="single" w:color="000000" w:sz="4" w:space="0"/>
            </w:tcBorders>
            <w:shd w:val="clear" w:color="auto" w:fill="auto"/>
          </w:tcPr>
          <w:p w14:paraId="0410A4F6">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工程范围涉及铜冶镇、寺家庄镇、上庄镇、开发区、山尹村镇，完善农田基础设施，建成适宜耕作、旱涝保收、高产稳产的现代化良田。</w:t>
            </w:r>
          </w:p>
        </w:tc>
      </w:tr>
      <w:tr w14:paraId="68B3B7BF">
        <w:tblPrEx>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Pr>
          <w:p w14:paraId="1037A4A0">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6CF7503B">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BDD1E">
            <w:pPr>
              <w:spacing w:line="240" w:lineRule="auto"/>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⑤土地综合整治</w:t>
            </w:r>
          </w:p>
        </w:tc>
      </w:tr>
      <w:tr w14:paraId="19F329AA">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nil"/>
              <w:right w:val="single" w:color="000000" w:sz="4" w:space="0"/>
            </w:tcBorders>
            <w:shd w:val="clear" w:color="auto" w:fill="auto"/>
          </w:tcPr>
          <w:p w14:paraId="1CA2CDEE">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工程范围涉及山尹村镇、上庄镇、寺家庄镇、铜冶镇，坚持统筹协调，拓宽补充耕地途</w:t>
            </w:r>
            <w:r>
              <w:rPr>
                <w:rFonts w:hint="eastAsia" w:eastAsia="宋体" w:cs="Times New Roman"/>
                <w:color w:val="000000"/>
                <w:highlight w:val="none"/>
                <w:lang w:eastAsia="zh-CN" w:bidi="ar"/>
              </w:rPr>
              <w:t>径</w:t>
            </w:r>
            <w:r>
              <w:rPr>
                <w:rFonts w:eastAsia="宋体" w:cs="Times New Roman"/>
                <w:color w:val="000000"/>
                <w:highlight w:val="none"/>
                <w:lang w:bidi="ar"/>
              </w:rPr>
              <w:t>。</w:t>
            </w:r>
          </w:p>
        </w:tc>
      </w:tr>
      <w:tr w14:paraId="3475B5A0">
        <w:tblPrEx>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Pr>
          <w:p w14:paraId="0A773294">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6238C49F">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17FD6">
            <w:pPr>
              <w:spacing w:line="240" w:lineRule="auto"/>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⑥村庄建设用地整治</w:t>
            </w:r>
          </w:p>
        </w:tc>
      </w:tr>
      <w:tr w14:paraId="47CAA5CB">
        <w:tblPrEx>
          <w:tblCellMar>
            <w:top w:w="0" w:type="dxa"/>
            <w:left w:w="108" w:type="dxa"/>
            <w:bottom w:w="0" w:type="dxa"/>
            <w:right w:w="108" w:type="dxa"/>
          </w:tblCellMar>
        </w:tblPrEx>
        <w:trPr>
          <w:trHeight w:val="340" w:hRule="atLeast"/>
        </w:trPr>
        <w:tc>
          <w:tcPr>
            <w:tcW w:w="8625" w:type="dxa"/>
            <w:tcBorders>
              <w:top w:val="single" w:color="000000" w:sz="4" w:space="0"/>
              <w:left w:val="single" w:color="000000" w:sz="4" w:space="0"/>
              <w:bottom w:val="nil"/>
              <w:right w:val="single" w:color="000000" w:sz="4" w:space="0"/>
            </w:tcBorders>
            <w:shd w:val="clear" w:color="auto" w:fill="auto"/>
          </w:tcPr>
          <w:p w14:paraId="7D8EB3DB">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工程范围涉及铜冶镇南杜村、小张庄，位于南泄洪区行洪控制区内，进行搬迁撤并，村庄个数2个，搬迁撤并后的村庄原址，因地制宜复垦、复绿，增加乡村生产生态空间，腾退农村住宅。</w:t>
            </w:r>
          </w:p>
        </w:tc>
      </w:tr>
      <w:tr w14:paraId="5AE6EED1">
        <w:tblPrEx>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Pr>
          <w:p w14:paraId="099E7E2E">
            <w:pPr>
              <w:spacing w:line="240" w:lineRule="auto"/>
              <w:ind w:firstLine="48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bl>
    <w:p w14:paraId="386F349B">
      <w:pPr>
        <w:keepNext/>
        <w:spacing w:before="100" w:beforeAutospacing="1"/>
        <w:ind w:firstLine="562"/>
        <w:outlineLvl w:val="2"/>
        <w:rPr>
          <w:rFonts w:hint="eastAsia" w:eastAsia="仿宋_GB2312" w:cs="Times New Roman"/>
          <w:b/>
          <w:bCs/>
          <w:sz w:val="28"/>
          <w:szCs w:val="28"/>
          <w:highlight w:val="none"/>
          <w:lang w:eastAsia="zh-CN"/>
        </w:rPr>
      </w:pPr>
      <w:r>
        <w:rPr>
          <w:rFonts w:eastAsia="仿宋_GB2312" w:cs="Times New Roman"/>
          <w:b/>
          <w:bCs/>
          <w:sz w:val="28"/>
          <w:szCs w:val="28"/>
          <w:highlight w:val="none"/>
        </w:rPr>
        <w:t>四、</w:t>
      </w:r>
      <w:r>
        <w:rPr>
          <w:rFonts w:hint="eastAsia" w:eastAsia="仿宋_GB2312" w:cs="Times New Roman"/>
          <w:b/>
          <w:bCs/>
          <w:sz w:val="28"/>
          <w:szCs w:val="28"/>
          <w:highlight w:val="none"/>
          <w:lang w:eastAsia="zh-CN"/>
        </w:rPr>
        <w:t>中部太平河流域城镇人居环境提升区</w:t>
      </w:r>
    </w:p>
    <w:p w14:paraId="49A30545">
      <w:pPr>
        <w:pStyle w:val="23"/>
        <w:ind w:firstLine="560"/>
        <w:jc w:val="left"/>
        <w:rPr>
          <w:rFonts w:ascii="Times New Roman" w:hAnsi="Times New Roman"/>
          <w:color w:val="auto"/>
          <w:sz w:val="28"/>
          <w:szCs w:val="28"/>
          <w:highlight w:val="none"/>
        </w:rPr>
        <w:sectPr>
          <w:pgSz w:w="11906" w:h="16838"/>
          <w:pgMar w:top="1587" w:right="1417" w:bottom="1417" w:left="1587" w:header="851" w:footer="992" w:gutter="0"/>
          <w:pgNumType w:fmt="decimal"/>
          <w:cols w:space="425" w:num="1"/>
          <w:docGrid w:type="lines" w:linePitch="312" w:charSpace="0"/>
        </w:sectPr>
      </w:pPr>
      <w:r>
        <w:rPr>
          <w:rFonts w:ascii="Times New Roman" w:hAnsi="Times New Roman"/>
          <w:color w:val="auto"/>
          <w:sz w:val="28"/>
          <w:szCs w:val="28"/>
          <w:highlight w:val="none"/>
        </w:rPr>
        <w:t>本区域重点实施小流域治理，加大生态补水，高标准农田建设和太平河生态廊道建设，提高岸线生态环境承载力，改善人居生态环境，减少城市热岛效应，提高城市韧性。</w:t>
      </w:r>
    </w:p>
    <w:tbl>
      <w:tblPr>
        <w:tblStyle w:val="88"/>
        <w:tblW w:w="5000" w:type="pct"/>
        <w:tblInd w:w="0" w:type="dxa"/>
        <w:tblLayout w:type="autofit"/>
        <w:tblCellMar>
          <w:top w:w="0" w:type="dxa"/>
          <w:left w:w="108" w:type="dxa"/>
          <w:bottom w:w="0" w:type="dxa"/>
          <w:right w:w="108" w:type="dxa"/>
        </w:tblCellMar>
      </w:tblPr>
      <w:tblGrid>
        <w:gridCol w:w="9118"/>
      </w:tblGrid>
      <w:tr w14:paraId="654B2429">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nil"/>
              <w:right w:val="single" w:color="000000" w:sz="4" w:space="0"/>
            </w:tcBorders>
            <w:shd w:val="clear" w:color="auto" w:fill="auto"/>
            <w:vAlign w:val="center"/>
          </w:tcPr>
          <w:p w14:paraId="0FF1F441">
            <w:pPr>
              <w:ind w:firstLine="482"/>
              <w:jc w:val="center"/>
              <w:textAlignment w:val="center"/>
              <w:rPr>
                <w:rFonts w:eastAsia="宋体" w:cs="Times New Roman"/>
                <w:b/>
                <w:bCs/>
                <w:color w:val="000000"/>
                <w:highlight w:val="none"/>
              </w:rPr>
            </w:pPr>
            <w:r>
              <w:rPr>
                <w:rFonts w:eastAsia="宋体" w:cs="Times New Roman"/>
                <w:b/>
                <w:bCs/>
                <w:color w:val="000000"/>
                <w:highlight w:val="none"/>
                <w:lang w:bidi="ar"/>
              </w:rPr>
              <w:t>专栏5-4中部太平河流域生态修复区生态修复重点工程</w:t>
            </w:r>
          </w:p>
        </w:tc>
      </w:tr>
      <w:tr w14:paraId="73BF3AB3">
        <w:tblPrEx>
          <w:tblCellMar>
            <w:top w:w="0" w:type="dxa"/>
            <w:left w:w="108" w:type="dxa"/>
            <w:bottom w:w="0" w:type="dxa"/>
            <w:right w:w="108" w:type="dxa"/>
          </w:tblCellMar>
        </w:tblPrEx>
        <w:trPr>
          <w:trHeight w:val="468" w:hRule="atLeast"/>
        </w:trPr>
        <w:tc>
          <w:tcPr>
            <w:tcW w:w="50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E75465">
            <w:pPr>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①</w:t>
            </w:r>
            <w:r>
              <w:rPr>
                <w:rFonts w:eastAsia="宋体" w:cs="Times New Roman"/>
                <w:b/>
                <w:bCs/>
                <w:color w:val="000000"/>
                <w:highlight w:val="none"/>
                <w:lang w:bidi="ar"/>
              </w:rPr>
              <w:t>.鹿泉区北太平河（石井乡政府～石井桥段）暨石井南沟治理工程</w:t>
            </w:r>
          </w:p>
        </w:tc>
      </w:tr>
      <w:tr w14:paraId="3C6F6B00">
        <w:tblPrEx>
          <w:tblCellMar>
            <w:top w:w="0" w:type="dxa"/>
            <w:left w:w="108" w:type="dxa"/>
            <w:bottom w:w="0" w:type="dxa"/>
            <w:right w:w="108" w:type="dxa"/>
          </w:tblCellMar>
        </w:tblPrEx>
        <w:trPr>
          <w:trHeight w:val="468" w:hRule="atLeast"/>
        </w:trPr>
        <w:tc>
          <w:tcPr>
            <w:tcW w:w="50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745654">
            <w:pPr>
              <w:ind w:firstLine="482"/>
              <w:jc w:val="left"/>
              <w:rPr>
                <w:rFonts w:eastAsia="宋体" w:cs="Times New Roman"/>
                <w:b/>
                <w:bCs/>
                <w:color w:val="000000"/>
                <w:highlight w:val="none"/>
              </w:rPr>
            </w:pPr>
          </w:p>
        </w:tc>
      </w:tr>
      <w:tr w14:paraId="7216C9E9">
        <w:tblPrEx>
          <w:tblCellMar>
            <w:top w:w="0" w:type="dxa"/>
            <w:left w:w="108" w:type="dxa"/>
            <w:bottom w:w="0" w:type="dxa"/>
            <w:right w:w="108" w:type="dxa"/>
          </w:tblCellMar>
        </w:tblPrEx>
        <w:trPr>
          <w:trHeight w:val="840" w:hRule="atLeast"/>
        </w:trPr>
        <w:tc>
          <w:tcPr>
            <w:tcW w:w="5000" w:type="pct"/>
            <w:tcBorders>
              <w:top w:val="single" w:color="000000" w:sz="4" w:space="0"/>
              <w:left w:val="single" w:color="000000" w:sz="4" w:space="0"/>
              <w:bottom w:val="nil"/>
              <w:right w:val="single" w:color="000000" w:sz="4" w:space="0"/>
            </w:tcBorders>
            <w:shd w:val="clear" w:color="auto" w:fill="auto"/>
          </w:tcPr>
          <w:p w14:paraId="572803B6">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工程范围涉及石井乡，开展水质提升、水环境综合治理，加强生态补水，促进水系连通，改善洨河整体水环境质量</w:t>
            </w:r>
          </w:p>
        </w:tc>
      </w:tr>
      <w:tr w14:paraId="4596BFAD">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6FF13C6A">
            <w:pPr>
              <w:ind w:firstLine="480"/>
              <w:jc w:val="left"/>
              <w:textAlignment w:val="top"/>
              <w:rPr>
                <w:rFonts w:eastAsia="宋体" w:cs="Times New Roman"/>
                <w:color w:val="000000"/>
                <w:highlight w:val="none"/>
              </w:rPr>
            </w:pPr>
            <w:r>
              <w:rPr>
                <w:rFonts w:eastAsia="宋体" w:cs="Times New Roman"/>
                <w:color w:val="000000"/>
                <w:highlight w:val="none"/>
                <w:lang w:bidi="ar"/>
              </w:rPr>
              <w:t>时序安排：2025-2030年</w:t>
            </w:r>
          </w:p>
        </w:tc>
      </w:tr>
      <w:tr w14:paraId="59C9C3DD">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215E0">
            <w:pPr>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②国土绿化营造林工程</w:t>
            </w:r>
          </w:p>
        </w:tc>
      </w:tr>
      <w:tr w14:paraId="7CF8B81B">
        <w:tblPrEx>
          <w:tblCellMar>
            <w:top w:w="0" w:type="dxa"/>
            <w:left w:w="108" w:type="dxa"/>
            <w:bottom w:w="0" w:type="dxa"/>
            <w:right w:w="108" w:type="dxa"/>
          </w:tblCellMar>
        </w:tblPrEx>
        <w:trPr>
          <w:trHeight w:val="1000" w:hRule="atLeast"/>
        </w:trPr>
        <w:tc>
          <w:tcPr>
            <w:tcW w:w="5000" w:type="pct"/>
            <w:tcBorders>
              <w:top w:val="single" w:color="000000" w:sz="4" w:space="0"/>
              <w:left w:val="single" w:color="000000" w:sz="4" w:space="0"/>
              <w:bottom w:val="nil"/>
              <w:right w:val="single" w:color="000000" w:sz="4" w:space="0"/>
            </w:tcBorders>
            <w:shd w:val="clear" w:color="auto" w:fill="auto"/>
          </w:tcPr>
          <w:p w14:paraId="326EADC5">
            <w:pPr>
              <w:ind w:firstLine="480"/>
              <w:jc w:val="left"/>
              <w:textAlignment w:val="top"/>
              <w:rPr>
                <w:rFonts w:hint="eastAsia" w:eastAsia="宋体" w:cs="Times New Roman"/>
                <w:color w:val="000000"/>
                <w:highlight w:val="none"/>
                <w:lang w:eastAsia="zh-CN"/>
              </w:rPr>
            </w:pPr>
            <w:r>
              <w:rPr>
                <w:rFonts w:eastAsia="宋体" w:cs="Times New Roman"/>
                <w:color w:val="000000"/>
                <w:highlight w:val="none"/>
                <w:lang w:bidi="ar"/>
              </w:rPr>
              <w:t>工程范围涉及白鹿泉乡东土门村、西土门村，获鹿镇杜家庄、黄峪、七街，继续推进国土绿化造林，调整优化林分结构，加强森林抚育，提高森林质量和水源涵养能力</w:t>
            </w:r>
            <w:r>
              <w:rPr>
                <w:rFonts w:hint="eastAsia" w:eastAsia="宋体" w:cs="Times New Roman"/>
                <w:color w:val="000000"/>
                <w:highlight w:val="none"/>
                <w:lang w:eastAsia="zh-CN" w:bidi="ar"/>
              </w:rPr>
              <w:t>。</w:t>
            </w:r>
          </w:p>
        </w:tc>
      </w:tr>
      <w:tr w14:paraId="49E8A20E">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632F6CB4">
            <w:pPr>
              <w:ind w:firstLine="48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53D62837">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A7B76">
            <w:pPr>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③高标准农田建设</w:t>
            </w:r>
          </w:p>
        </w:tc>
      </w:tr>
      <w:tr w14:paraId="5325FAEF">
        <w:tblPrEx>
          <w:tblCellMar>
            <w:top w:w="0" w:type="dxa"/>
            <w:left w:w="108" w:type="dxa"/>
            <w:bottom w:w="0" w:type="dxa"/>
            <w:right w:w="108" w:type="dxa"/>
          </w:tblCellMar>
        </w:tblPrEx>
        <w:trPr>
          <w:trHeight w:val="1000" w:hRule="atLeast"/>
        </w:trPr>
        <w:tc>
          <w:tcPr>
            <w:tcW w:w="5000" w:type="pct"/>
            <w:tcBorders>
              <w:top w:val="single" w:color="000000" w:sz="4" w:space="0"/>
              <w:left w:val="single" w:color="000000" w:sz="4" w:space="0"/>
              <w:bottom w:val="nil"/>
              <w:right w:val="single" w:color="000000" w:sz="4" w:space="0"/>
            </w:tcBorders>
            <w:shd w:val="clear" w:color="auto" w:fill="auto"/>
          </w:tcPr>
          <w:p w14:paraId="59E1C0F2">
            <w:pPr>
              <w:ind w:firstLine="480"/>
              <w:jc w:val="left"/>
              <w:textAlignment w:val="top"/>
              <w:rPr>
                <w:rFonts w:eastAsia="宋体" w:cs="Times New Roman"/>
                <w:color w:val="000000"/>
                <w:highlight w:val="none"/>
              </w:rPr>
            </w:pPr>
            <w:r>
              <w:rPr>
                <w:rFonts w:eastAsia="宋体" w:cs="Times New Roman"/>
                <w:color w:val="000000"/>
                <w:highlight w:val="none"/>
                <w:lang w:bidi="ar"/>
              </w:rPr>
              <w:t>工程范围涉及获鹿镇、开发区、白鹿泉乡，完善农田基础设施，建成适宜耕作、旱涝保收、高产稳产的现代化良田</w:t>
            </w:r>
          </w:p>
        </w:tc>
      </w:tr>
      <w:tr w14:paraId="28C86C67">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3546B05F">
            <w:pPr>
              <w:ind w:firstLine="48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r w14:paraId="02136FF8">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EAFBE">
            <w:pPr>
              <w:ind w:firstLine="482"/>
              <w:jc w:val="left"/>
              <w:textAlignment w:val="center"/>
              <w:rPr>
                <w:rFonts w:eastAsia="宋体" w:cs="Times New Roman"/>
                <w:b/>
                <w:bCs/>
                <w:color w:val="000000"/>
                <w:highlight w:val="none"/>
              </w:rPr>
            </w:pPr>
            <w:r>
              <w:rPr>
                <w:rFonts w:hint="eastAsia" w:ascii="宋体" w:hAnsi="宋体" w:eastAsia="宋体"/>
                <w:b/>
                <w:bCs/>
                <w:color w:val="000000"/>
                <w:highlight w:val="none"/>
                <w:lang w:bidi="ar"/>
              </w:rPr>
              <w:t>④土地综合整治</w:t>
            </w:r>
          </w:p>
        </w:tc>
      </w:tr>
      <w:tr w14:paraId="5D76B528">
        <w:tblPrEx>
          <w:tblCellMar>
            <w:top w:w="0" w:type="dxa"/>
            <w:left w:w="108" w:type="dxa"/>
            <w:bottom w:w="0" w:type="dxa"/>
            <w:right w:w="108" w:type="dxa"/>
          </w:tblCellMar>
        </w:tblPrEx>
        <w:trPr>
          <w:trHeight w:val="510" w:hRule="atLeast"/>
        </w:trPr>
        <w:tc>
          <w:tcPr>
            <w:tcW w:w="5000" w:type="pct"/>
            <w:tcBorders>
              <w:top w:val="single" w:color="000000" w:sz="4" w:space="0"/>
              <w:left w:val="single" w:color="000000" w:sz="4" w:space="0"/>
              <w:bottom w:val="nil"/>
              <w:right w:val="single" w:color="000000" w:sz="4" w:space="0"/>
            </w:tcBorders>
            <w:shd w:val="clear" w:color="auto" w:fill="auto"/>
          </w:tcPr>
          <w:p w14:paraId="65F754AD">
            <w:pPr>
              <w:ind w:firstLine="480"/>
              <w:jc w:val="left"/>
              <w:textAlignment w:val="top"/>
              <w:rPr>
                <w:rFonts w:hint="eastAsia" w:eastAsia="宋体" w:cs="Times New Roman"/>
                <w:color w:val="000000"/>
                <w:highlight w:val="none"/>
                <w:lang w:eastAsia="zh-CN"/>
              </w:rPr>
            </w:pPr>
            <w:r>
              <w:rPr>
                <w:rFonts w:eastAsia="宋体" w:cs="Times New Roman"/>
                <w:color w:val="000000"/>
                <w:highlight w:val="none"/>
                <w:lang w:bidi="ar"/>
              </w:rPr>
              <w:t>工程范围涉及获鹿镇、开发区、白鹿泉乡，坚持统筹协调，拓宽补充耕地途</w:t>
            </w:r>
            <w:r>
              <w:rPr>
                <w:rFonts w:hint="eastAsia" w:eastAsia="宋体" w:cs="Times New Roman"/>
                <w:color w:val="000000"/>
                <w:highlight w:val="none"/>
                <w:lang w:eastAsia="zh-CN" w:bidi="ar"/>
              </w:rPr>
              <w:t>径。</w:t>
            </w:r>
          </w:p>
        </w:tc>
      </w:tr>
      <w:tr w14:paraId="363FF45B">
        <w:tblPrEx>
          <w:tblCellMar>
            <w:top w:w="0" w:type="dxa"/>
            <w:left w:w="108" w:type="dxa"/>
            <w:bottom w:w="0" w:type="dxa"/>
            <w:right w:w="108" w:type="dxa"/>
          </w:tblCellMar>
        </w:tblPrEx>
        <w:trPr>
          <w:trHeight w:val="285"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tcPr>
          <w:p w14:paraId="5DFFF73C">
            <w:pPr>
              <w:ind w:firstLine="480"/>
              <w:jc w:val="left"/>
              <w:textAlignment w:val="top"/>
              <w:rPr>
                <w:rFonts w:eastAsia="宋体" w:cs="Times New Roman"/>
                <w:color w:val="000000"/>
                <w:highlight w:val="none"/>
              </w:rPr>
            </w:pPr>
            <w:r>
              <w:rPr>
                <w:rFonts w:eastAsia="宋体" w:cs="Times New Roman"/>
                <w:color w:val="000000"/>
                <w:highlight w:val="none"/>
                <w:lang w:bidi="ar"/>
              </w:rPr>
              <w:t>时序安排：2021-2035年</w:t>
            </w:r>
          </w:p>
        </w:tc>
      </w:tr>
    </w:tbl>
    <w:p w14:paraId="43A1D905">
      <w:pPr>
        <w:ind w:firstLine="480"/>
        <w:rPr>
          <w:rFonts w:eastAsia="仿宋_GB2312" w:cs="Times New Roman"/>
          <w:highlight w:val="none"/>
        </w:rPr>
      </w:pPr>
    </w:p>
    <w:p w14:paraId="1A7F73F5">
      <w:pPr>
        <w:keepNext/>
        <w:ind w:firstLine="562"/>
        <w:outlineLvl w:val="2"/>
        <w:rPr>
          <w:rFonts w:eastAsia="仿宋_GB2312" w:cs="Times New Roman"/>
          <w:b/>
          <w:bCs/>
          <w:sz w:val="28"/>
          <w:szCs w:val="28"/>
          <w:highlight w:val="none"/>
        </w:rPr>
      </w:pPr>
      <w:r>
        <w:rPr>
          <w:rFonts w:eastAsia="仿宋_GB2312" w:cs="Times New Roman"/>
          <w:b/>
          <w:bCs/>
          <w:sz w:val="28"/>
          <w:szCs w:val="28"/>
          <w:highlight w:val="none"/>
        </w:rPr>
        <w:t>五、重要生态廊道和生态网络构建</w:t>
      </w:r>
    </w:p>
    <w:p w14:paraId="2ADEDDF6">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为维护生物多样性，优化生态安全屏障体系和提升生态系统质量和稳定性，实施生态廊道与生态网络建设重点工程。以鹿泉区河流水系、交通干线为主体骨架，形成滹沱河、太平河、南水北调干渠、高速公路等线型开敞防护绿地为网络的蓝绿生态廊道。</w:t>
      </w:r>
    </w:p>
    <w:p w14:paraId="2B6273FB">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规划河流生态廊道，联合分散生态单元。</w:t>
      </w:r>
      <w:r>
        <w:rPr>
          <w:rFonts w:ascii="Times New Roman" w:hAnsi="Times New Roman" w:eastAsia="仿宋_GB2312" w:cs="Times New Roman"/>
          <w:color w:val="auto"/>
          <w:kern w:val="2"/>
          <w:sz w:val="28"/>
          <w:szCs w:val="28"/>
          <w:highlight w:val="none"/>
          <w:lang w:val="en-US" w:eastAsia="zh-CN" w:bidi="ar-SA"/>
        </w:rPr>
        <w:t>构建河流生态廊道，联合分散的生态景观单元，满足水生生物繁殖洄游、水鸟、候鸟迁飞需求。实施滹沱河生态经济带建设工程，统筹流域生态，落实拥河发展战略。实施封龙山自然保护地体系建设工程和重要物种生态廊道建设工程，保护野生动植物栖息地，为物种迁徙提供通道，维护地区生物多样性。河流生态廊道规划主要沿太平河布置滨水景观，沿南水北调干渠建设湿地公园。积极推进生态缓冲带建设，开展生态防护林带建设工程，有效增加河流周边地区林木覆盖率，打造绿色景观通道，改善沿岸生态环境。重点加强小壁林场、滹沱河自然保护区和西山森林公园生态廊道建设，保障候鸟迁徙通道畅通，维护生物多样性。</w:t>
      </w:r>
    </w:p>
    <w:p w14:paraId="2B1CD646">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规划道路生态廊道，改善出行环境。</w:t>
      </w:r>
      <w:r>
        <w:rPr>
          <w:rFonts w:ascii="Times New Roman" w:hAnsi="Times New Roman" w:eastAsia="仿宋_GB2312" w:cs="Times New Roman"/>
          <w:color w:val="auto"/>
          <w:kern w:val="2"/>
          <w:sz w:val="28"/>
          <w:szCs w:val="28"/>
          <w:highlight w:val="none"/>
          <w:lang w:val="en-US" w:eastAsia="zh-CN" w:bidi="ar-SA"/>
        </w:rPr>
        <w:t>以域内铁路、高速公路、国省干道、城市环道等为轴，对两侧林带进行提升改造，补植补种，改善出行环境，展现景观效应。以各级道路绿化构成鹿泉区的道路生态廊道，主要有G307、西柏坡高速、石太高速等道路绿化构成，优先开展绿化补植工程，改善和保护环境，形成多色彩、多层次的道路立体绿化格局，同时维护了生物多样性，为生物迁徙和栖息提供保障。</w:t>
      </w:r>
    </w:p>
    <w:p w14:paraId="4E13A21E">
      <w:pPr>
        <w:pStyle w:val="98"/>
        <w:ind w:left="0" w:leftChars="0" w:firstLine="562"/>
        <w:jc w:val="left"/>
        <w:rPr>
          <w:rFonts w:ascii="Times New Roman" w:hAnsi="Times New Roman" w:eastAsia="仿宋_GB2312" w:cs="Times New Roman"/>
          <w:color w:val="auto"/>
          <w:kern w:val="2"/>
          <w:sz w:val="28"/>
          <w:szCs w:val="28"/>
          <w:highlight w:val="none"/>
          <w:lang w:val="en-US" w:eastAsia="zh-CN" w:bidi="ar-SA"/>
        </w:rPr>
        <w:sectPr>
          <w:pgSz w:w="11906" w:h="16838"/>
          <w:pgMar w:top="1587" w:right="1417" w:bottom="1417" w:left="1587" w:header="851" w:footer="992" w:gutter="0"/>
          <w:pgNumType w:fmt="decimal"/>
          <w:cols w:space="425" w:num="1"/>
          <w:docGrid w:type="lines" w:linePitch="312" w:charSpace="0"/>
        </w:sectPr>
      </w:pPr>
      <w:r>
        <w:rPr>
          <w:rFonts w:eastAsia="仿宋_GB2312" w:cs="Times New Roman"/>
          <w:b/>
          <w:bCs/>
          <w:sz w:val="28"/>
          <w:szCs w:val="28"/>
          <w:highlight w:val="none"/>
        </w:rPr>
        <w:t>规划通风廊道，缓解城市热岛。</w:t>
      </w:r>
      <w:r>
        <w:rPr>
          <w:rFonts w:ascii="Times New Roman" w:hAnsi="Times New Roman" w:eastAsia="仿宋_GB2312" w:cs="Times New Roman"/>
          <w:color w:val="auto"/>
          <w:kern w:val="2"/>
          <w:sz w:val="28"/>
          <w:szCs w:val="28"/>
          <w:highlight w:val="none"/>
          <w:lang w:val="en-US" w:eastAsia="zh-CN" w:bidi="ar-SA"/>
        </w:rPr>
        <w:t>衔接落实石家庄中心城区城市通风廊道规划，鹿泉中心城区控制1条一级通风廊道和7条二级通风廊道，改善局地气候环境，缓解城市热岛效应，向主城区输送山区冷源，加速空气污染物扩散。严格控制通风廊道内开发建设规模，管控廊道内建筑高度、宽度以及布局形式，保证廊道通风效果。</w:t>
      </w:r>
    </w:p>
    <w:tbl>
      <w:tblPr>
        <w:tblStyle w:val="88"/>
        <w:tblW w:w="5000" w:type="pct"/>
        <w:tblInd w:w="0" w:type="dxa"/>
        <w:tblLayout w:type="autofit"/>
        <w:tblCellMar>
          <w:top w:w="0" w:type="dxa"/>
          <w:left w:w="108" w:type="dxa"/>
          <w:bottom w:w="0" w:type="dxa"/>
          <w:right w:w="108" w:type="dxa"/>
        </w:tblCellMar>
      </w:tblPr>
      <w:tblGrid>
        <w:gridCol w:w="9118"/>
      </w:tblGrid>
      <w:tr w14:paraId="48A6F1AA">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10895">
            <w:pPr>
              <w:ind w:firstLine="482"/>
              <w:jc w:val="center"/>
              <w:textAlignment w:val="center"/>
              <w:rPr>
                <w:rFonts w:eastAsia="宋体" w:cs="Times New Roman"/>
                <w:b/>
                <w:bCs/>
                <w:color w:val="000000"/>
                <w:highlight w:val="none"/>
              </w:rPr>
            </w:pPr>
            <w:r>
              <w:rPr>
                <w:rFonts w:eastAsia="宋体" w:cs="Times New Roman"/>
                <w:b/>
                <w:bCs/>
                <w:color w:val="000000"/>
                <w:highlight w:val="none"/>
                <w:lang w:bidi="ar"/>
              </w:rPr>
              <w:t>专栏5-5重要生态廊道和生态网络构建</w:t>
            </w:r>
          </w:p>
        </w:tc>
      </w:tr>
      <w:tr w14:paraId="744BB725">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4F513">
            <w:pPr>
              <w:ind w:firstLine="0" w:firstLineChars="0"/>
              <w:jc w:val="left"/>
              <w:textAlignment w:val="center"/>
              <w:rPr>
                <w:rFonts w:eastAsia="宋体" w:cs="Times New Roman"/>
                <w:b/>
                <w:bCs/>
                <w:color w:val="000000"/>
                <w:highlight w:val="none"/>
              </w:rPr>
            </w:pPr>
            <w:r>
              <w:rPr>
                <w:rFonts w:eastAsia="宋体" w:cs="Times New Roman"/>
                <w:b/>
                <w:bCs/>
                <w:color w:val="000000"/>
                <w:highlight w:val="none"/>
                <w:lang w:bidi="ar"/>
              </w:rPr>
              <w:t>1.封龙山风景名胜区自然保护地体系建设工程</w:t>
            </w:r>
          </w:p>
        </w:tc>
      </w:tr>
      <w:tr w14:paraId="6C6EF94D">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tcPr>
          <w:p w14:paraId="6FB8D7CF">
            <w:pPr>
              <w:ind w:firstLine="480"/>
              <w:jc w:val="left"/>
              <w:textAlignment w:val="top"/>
              <w:rPr>
                <w:rFonts w:eastAsia="宋体" w:cs="Times New Roman"/>
                <w:color w:val="000000"/>
                <w:highlight w:val="none"/>
              </w:rPr>
            </w:pPr>
            <w:r>
              <w:rPr>
                <w:rFonts w:eastAsia="宋体" w:cs="Times New Roman"/>
                <w:color w:val="000000"/>
                <w:highlight w:val="none"/>
                <w:lang w:bidi="ar"/>
              </w:rPr>
              <w:t>严控封龙山自然保护地内非生态活动，提高自然保护地质量，分类开展受损自然生态系统修复，开展重要栖息地</w:t>
            </w:r>
            <w:r>
              <w:rPr>
                <w:rFonts w:hint="eastAsia" w:eastAsia="宋体" w:cs="Times New Roman"/>
                <w:color w:val="000000"/>
                <w:highlight w:val="none"/>
                <w:lang w:eastAsia="zh-CN" w:bidi="ar"/>
              </w:rPr>
              <w:t>环</w:t>
            </w:r>
            <w:r>
              <w:rPr>
                <w:rFonts w:eastAsia="宋体" w:cs="Times New Roman"/>
                <w:color w:val="000000"/>
                <w:highlight w:val="none"/>
                <w:lang w:bidi="ar"/>
              </w:rPr>
              <w:t>境恢复和</w:t>
            </w:r>
            <w:r>
              <w:rPr>
                <w:rFonts w:hint="eastAsia" w:eastAsia="宋体" w:cs="Times New Roman"/>
                <w:color w:val="000000"/>
                <w:highlight w:val="none"/>
                <w:lang w:eastAsia="zh-CN" w:bidi="ar"/>
              </w:rPr>
              <w:t>环</w:t>
            </w:r>
            <w:r>
              <w:rPr>
                <w:rFonts w:eastAsia="宋体" w:cs="Times New Roman"/>
                <w:color w:val="000000"/>
                <w:highlight w:val="none"/>
                <w:lang w:bidi="ar"/>
              </w:rPr>
              <w:t>境斑块生态修复，增强生态系统的完整性和连通度，统筹自然保护地内生态廊道建设、重要栖息地恢复和废弃地修复，确保自然资源健康安全，提高区域生物多样性。</w:t>
            </w:r>
          </w:p>
        </w:tc>
      </w:tr>
      <w:tr w14:paraId="70A0D908">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7D9DF">
            <w:pPr>
              <w:ind w:firstLine="0" w:firstLineChars="0"/>
              <w:jc w:val="left"/>
              <w:textAlignment w:val="center"/>
              <w:rPr>
                <w:rFonts w:eastAsia="宋体" w:cs="Times New Roman"/>
                <w:color w:val="000000"/>
                <w:highlight w:val="none"/>
              </w:rPr>
            </w:pPr>
            <w:r>
              <w:rPr>
                <w:rFonts w:eastAsia="宋体" w:cs="Times New Roman"/>
                <w:color w:val="000000"/>
                <w:highlight w:val="none"/>
                <w:lang w:bidi="ar"/>
              </w:rPr>
              <w:t>时序安排：2021-2035年</w:t>
            </w:r>
          </w:p>
        </w:tc>
      </w:tr>
      <w:tr w14:paraId="5626C34C">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827F4">
            <w:pPr>
              <w:ind w:firstLine="0" w:firstLineChars="0"/>
              <w:jc w:val="left"/>
              <w:textAlignment w:val="center"/>
              <w:rPr>
                <w:rFonts w:eastAsia="宋体" w:cs="Times New Roman"/>
                <w:b/>
                <w:bCs/>
                <w:color w:val="000000"/>
                <w:highlight w:val="none"/>
              </w:rPr>
            </w:pPr>
            <w:r>
              <w:rPr>
                <w:rFonts w:eastAsia="宋体" w:cs="Times New Roman"/>
                <w:b/>
                <w:bCs/>
                <w:color w:val="000000"/>
                <w:highlight w:val="none"/>
                <w:lang w:bidi="ar"/>
              </w:rPr>
              <w:t>2.高速公路道路生态廊道建设</w:t>
            </w:r>
          </w:p>
        </w:tc>
      </w:tr>
      <w:tr w14:paraId="73A36E04">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tcPr>
          <w:p w14:paraId="07095155">
            <w:pPr>
              <w:ind w:firstLine="480"/>
              <w:jc w:val="left"/>
              <w:textAlignment w:val="top"/>
              <w:rPr>
                <w:rFonts w:eastAsia="宋体" w:cs="Times New Roman"/>
                <w:color w:val="000000"/>
                <w:highlight w:val="none"/>
              </w:rPr>
            </w:pPr>
            <w:r>
              <w:rPr>
                <w:rFonts w:eastAsia="宋体" w:cs="Times New Roman"/>
                <w:color w:val="000000"/>
                <w:highlight w:val="none"/>
                <w:lang w:bidi="ar"/>
              </w:rPr>
              <w:t>对滹沱河沿岸防护林带和小壁林场保护区进行植树绿化，建立生物繁衍生息廊道，为珍稀鸟类和候鸟提供栖息、迁徙廊道。加快构建以自然保护地及其周边生态功能缓冲区为核心的生态网络，优化区域生态系统连通性和完整性，提升区域生态系统服务功能，强化生物多样性保护力度，特别是加强动物园、植物园珍稀动植物异地保护工作，储备优良动物资源，形成一定数量的濒危植物保护种群。</w:t>
            </w:r>
          </w:p>
        </w:tc>
      </w:tr>
      <w:tr w14:paraId="12936051">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67109">
            <w:pPr>
              <w:ind w:firstLine="0" w:firstLineChars="0"/>
              <w:jc w:val="left"/>
              <w:textAlignment w:val="center"/>
              <w:rPr>
                <w:rFonts w:eastAsia="宋体" w:cs="Times New Roman"/>
                <w:color w:val="000000"/>
                <w:highlight w:val="none"/>
              </w:rPr>
            </w:pPr>
            <w:r>
              <w:rPr>
                <w:rFonts w:eastAsia="宋体" w:cs="Times New Roman"/>
                <w:color w:val="000000"/>
                <w:highlight w:val="none"/>
                <w:lang w:bidi="ar"/>
              </w:rPr>
              <w:t>时序安排：2021-2035年</w:t>
            </w:r>
          </w:p>
        </w:tc>
      </w:tr>
      <w:tr w14:paraId="73DA3C93">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81045">
            <w:pPr>
              <w:ind w:firstLine="0" w:firstLineChars="0"/>
              <w:jc w:val="left"/>
              <w:textAlignment w:val="center"/>
              <w:rPr>
                <w:rFonts w:eastAsia="宋体" w:cs="Times New Roman"/>
                <w:b/>
                <w:bCs/>
                <w:color w:val="000000"/>
                <w:highlight w:val="none"/>
              </w:rPr>
            </w:pPr>
            <w:r>
              <w:rPr>
                <w:rFonts w:eastAsia="宋体" w:cs="Times New Roman"/>
                <w:b/>
                <w:bCs/>
                <w:color w:val="000000"/>
                <w:highlight w:val="none"/>
                <w:lang w:bidi="ar"/>
              </w:rPr>
              <w:t>3.鸟类</w:t>
            </w:r>
            <w:r>
              <w:rPr>
                <w:rFonts w:hint="eastAsia" w:eastAsia="宋体" w:cs="Times New Roman"/>
                <w:b/>
                <w:bCs/>
                <w:color w:val="000000"/>
                <w:highlight w:val="none"/>
                <w:lang w:val="en-US" w:eastAsia="zh-CN" w:bidi="ar"/>
              </w:rPr>
              <w:t>栖息地保护</w:t>
            </w:r>
            <w:r>
              <w:rPr>
                <w:rFonts w:eastAsia="宋体" w:cs="Times New Roman"/>
                <w:b/>
                <w:bCs/>
                <w:color w:val="000000"/>
                <w:highlight w:val="none"/>
                <w:lang w:bidi="ar"/>
              </w:rPr>
              <w:t>工程</w:t>
            </w:r>
          </w:p>
        </w:tc>
      </w:tr>
      <w:tr w14:paraId="12329DCE">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tcPr>
          <w:p w14:paraId="7DD14DE2">
            <w:pPr>
              <w:ind w:firstLine="480"/>
              <w:jc w:val="left"/>
              <w:textAlignment w:val="top"/>
              <w:rPr>
                <w:rFonts w:eastAsia="宋体" w:cs="Times New Roman"/>
                <w:color w:val="000000"/>
                <w:highlight w:val="none"/>
              </w:rPr>
            </w:pPr>
            <w:r>
              <w:rPr>
                <w:rFonts w:eastAsia="宋体" w:cs="Times New Roman"/>
                <w:color w:val="000000"/>
                <w:highlight w:val="none"/>
                <w:lang w:bidi="ar"/>
              </w:rPr>
              <w:t>对滹沱河沿岸防护林和小壁林场保护区进行植树绿化，建立生物繁衍生息通道。</w:t>
            </w:r>
          </w:p>
        </w:tc>
      </w:tr>
      <w:tr w14:paraId="5E90AE83">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9E7F6">
            <w:pPr>
              <w:ind w:firstLine="0" w:firstLineChars="0"/>
              <w:jc w:val="left"/>
              <w:textAlignment w:val="center"/>
              <w:rPr>
                <w:rFonts w:eastAsia="宋体" w:cs="Times New Roman"/>
                <w:color w:val="000000"/>
                <w:highlight w:val="none"/>
              </w:rPr>
            </w:pPr>
            <w:r>
              <w:rPr>
                <w:rFonts w:eastAsia="宋体" w:cs="Times New Roman"/>
                <w:color w:val="000000"/>
                <w:highlight w:val="none"/>
                <w:lang w:bidi="ar"/>
              </w:rPr>
              <w:t>时序安排：2021-2035年</w:t>
            </w:r>
          </w:p>
        </w:tc>
      </w:tr>
      <w:tr w14:paraId="5CDB5CC8">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DA492">
            <w:pPr>
              <w:ind w:firstLine="0" w:firstLineChars="0"/>
              <w:jc w:val="left"/>
              <w:textAlignment w:val="center"/>
              <w:rPr>
                <w:rFonts w:eastAsia="宋体" w:cs="Times New Roman"/>
                <w:b/>
                <w:bCs/>
                <w:color w:val="000000"/>
                <w:highlight w:val="none"/>
              </w:rPr>
            </w:pPr>
            <w:r>
              <w:rPr>
                <w:rFonts w:eastAsia="宋体" w:cs="Times New Roman"/>
                <w:b/>
                <w:bCs/>
                <w:color w:val="000000"/>
                <w:highlight w:val="none"/>
                <w:lang w:bidi="ar"/>
              </w:rPr>
              <w:t>4.城市通风廊道建设工程</w:t>
            </w:r>
          </w:p>
        </w:tc>
      </w:tr>
      <w:tr w14:paraId="084B67FE">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tcPr>
          <w:p w14:paraId="6302FCFB">
            <w:pPr>
              <w:ind w:firstLine="480"/>
              <w:jc w:val="left"/>
              <w:textAlignment w:val="top"/>
              <w:rPr>
                <w:rFonts w:eastAsia="宋体" w:cs="Times New Roman"/>
                <w:color w:val="000000"/>
                <w:highlight w:val="none"/>
              </w:rPr>
            </w:pPr>
            <w:r>
              <w:rPr>
                <w:rFonts w:eastAsia="宋体" w:cs="Times New Roman"/>
                <w:color w:val="000000"/>
                <w:highlight w:val="none"/>
                <w:lang w:bidi="ar"/>
              </w:rPr>
              <w:t>衔接落实石家庄中心城区城市通风廊道规划，沿城区主要交通干线、河流水系建设通风廊道，向主城区输送山区冷源，缓解城市热岛效应，加速空气污染物扩散，改善局地气候环境。严格控制通风廊道内开发建设规模，管控廊道内建筑高度、宽度以及布局形式，保证廊道通风效果。</w:t>
            </w:r>
          </w:p>
        </w:tc>
      </w:tr>
      <w:tr w14:paraId="1FDA509C">
        <w:tblPrEx>
          <w:tblCellMar>
            <w:top w:w="0" w:type="dxa"/>
            <w:left w:w="108" w:type="dxa"/>
            <w:bottom w:w="0" w:type="dxa"/>
            <w:right w:w="108" w:type="dxa"/>
          </w:tblCellMar>
        </w:tblPrEx>
        <w:trPr>
          <w:trHeight w:val="283" w:hRule="atLeast"/>
        </w:trPr>
        <w:tc>
          <w:tcPr>
            <w:tcW w:w="50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A7F91">
            <w:pPr>
              <w:ind w:firstLine="0" w:firstLineChars="0"/>
              <w:jc w:val="left"/>
              <w:textAlignment w:val="center"/>
              <w:rPr>
                <w:rFonts w:eastAsia="宋体" w:cs="Times New Roman"/>
                <w:color w:val="000000"/>
                <w:highlight w:val="none"/>
              </w:rPr>
            </w:pPr>
            <w:r>
              <w:rPr>
                <w:rFonts w:eastAsia="宋体" w:cs="Times New Roman"/>
                <w:color w:val="000000"/>
                <w:highlight w:val="none"/>
                <w:lang w:bidi="ar"/>
              </w:rPr>
              <w:t>时序安排：2021-2035年</w:t>
            </w:r>
          </w:p>
        </w:tc>
      </w:tr>
    </w:tbl>
    <w:p w14:paraId="0DA41FC4">
      <w:pPr>
        <w:ind w:firstLine="723"/>
        <w:rPr>
          <w:rStyle w:val="103"/>
          <w:rFonts w:eastAsia="仿宋_GB2312" w:cs="Times New Roman"/>
          <w:color w:val="000000" w:themeColor="text1"/>
          <w:sz w:val="36"/>
          <w:szCs w:val="36"/>
          <w:highlight w:val="none"/>
          <w14:textFill>
            <w14:solidFill>
              <w14:schemeClr w14:val="tx1"/>
            </w14:solidFill>
          </w14:textFill>
        </w:rPr>
      </w:pPr>
      <w:r>
        <w:rPr>
          <w:rStyle w:val="103"/>
          <w:rFonts w:eastAsia="仿宋_GB2312" w:cs="Times New Roman"/>
          <w:color w:val="000000" w:themeColor="text1"/>
          <w:sz w:val="36"/>
          <w:szCs w:val="36"/>
          <w:highlight w:val="none"/>
          <w14:textFill>
            <w14:solidFill>
              <w14:schemeClr w14:val="tx1"/>
            </w14:solidFill>
          </w14:textFill>
        </w:rPr>
        <w:br w:type="page"/>
      </w:r>
    </w:p>
    <w:p w14:paraId="017BEC25">
      <w:pPr>
        <w:pStyle w:val="5"/>
        <w:numPr>
          <w:ilvl w:val="0"/>
          <w:numId w:val="0"/>
        </w:numPr>
        <w:spacing w:before="100" w:beforeAutospacing="1" w:after="100" w:afterAutospacing="1"/>
        <w:jc w:val="center"/>
        <w:rPr>
          <w:rStyle w:val="103"/>
          <w:rFonts w:eastAsia="仿宋_GB2312" w:cs="Times New Roman"/>
          <w:b/>
          <w:bCs/>
          <w:color w:val="000000" w:themeColor="text1"/>
          <w:sz w:val="36"/>
          <w:szCs w:val="36"/>
          <w:highlight w:val="none"/>
          <w14:textFill>
            <w14:solidFill>
              <w14:schemeClr w14:val="tx1"/>
            </w14:solidFill>
          </w14:textFill>
        </w:rPr>
      </w:pPr>
      <w:bookmarkStart w:id="36" w:name="_Toc10503"/>
      <w:r>
        <w:rPr>
          <w:rStyle w:val="103"/>
          <w:rFonts w:eastAsia="仿宋_GB2312" w:cs="Times New Roman"/>
          <w:b/>
          <w:bCs/>
          <w:color w:val="000000" w:themeColor="text1"/>
          <w:sz w:val="36"/>
          <w:szCs w:val="36"/>
          <w:highlight w:val="none"/>
          <w14:textFill>
            <w14:solidFill>
              <w14:schemeClr w14:val="tx1"/>
            </w14:solidFill>
          </w14:textFill>
        </w:rPr>
        <w:t>第六章资金筹措与实施效益</w:t>
      </w:r>
      <w:bookmarkEnd w:id="36"/>
    </w:p>
    <w:p w14:paraId="55492484">
      <w:pPr>
        <w:pStyle w:val="6"/>
        <w:rPr>
          <w:color w:val="auto"/>
          <w:highlight w:val="none"/>
        </w:rPr>
      </w:pPr>
      <w:bookmarkStart w:id="37" w:name="_Toc31106"/>
      <w:r>
        <w:rPr>
          <w:color w:val="auto"/>
          <w:highlight w:val="none"/>
        </w:rPr>
        <w:t>第</w:t>
      </w:r>
      <w:r>
        <w:rPr>
          <w:rFonts w:hint="eastAsia"/>
          <w:color w:val="auto"/>
          <w:highlight w:val="none"/>
          <w:lang w:val="en-US" w:eastAsia="zh-CN"/>
        </w:rPr>
        <w:t>一</w:t>
      </w:r>
      <w:r>
        <w:rPr>
          <w:color w:val="auto"/>
          <w:highlight w:val="none"/>
        </w:rPr>
        <w:t>节资金筹措</w:t>
      </w:r>
      <w:bookmarkEnd w:id="37"/>
    </w:p>
    <w:p w14:paraId="429ECB53">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国土空间生态修复项目资金主要来源于中央财政建设资金、省市和地方政府财政资金、各类社会资本。</w:t>
      </w:r>
    </w:p>
    <w:p w14:paraId="273BDC5F">
      <w:pPr>
        <w:ind w:firstLine="560"/>
        <w:jc w:val="left"/>
        <w:rPr>
          <w:rFonts w:eastAsia="仿宋_GB2312" w:cs="Times New Roman"/>
          <w:sz w:val="28"/>
          <w:szCs w:val="28"/>
          <w:highlight w:val="none"/>
        </w:rPr>
      </w:pPr>
      <w:r>
        <w:rPr>
          <w:rFonts w:eastAsia="仿宋_GB2312" w:cs="Times New Roman"/>
          <w:sz w:val="28"/>
          <w:szCs w:val="28"/>
          <w:highlight w:val="none"/>
        </w:rPr>
        <w:t>（一）中央、省级财政建设资金</w:t>
      </w:r>
    </w:p>
    <w:p w14:paraId="2F92A365">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中央财政资金主要围绕国家生态屏障和重点生态功能区建设。作为</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京津冀生态环境支撑区</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，加大生态保护修复建设财政投入，营造、抚育和保护国家级公益林，积极争取中央财政专项资金。</w:t>
      </w:r>
    </w:p>
    <w:p w14:paraId="42916EB8">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按照《河北省国土空间生态修复规划（2021-2035年）》工程布局和主要任务，省级财政资金主要侧重于省级重点生态功能区、重大战略支撑区、生态问题突出区，抓住建设</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六个现代化河北</w:t>
      </w:r>
      <w:r>
        <w:rPr>
          <w:rFonts w:hint="eastAsia" w:ascii="Times New Roman" w:hAnsi="Times New Roman"/>
          <w:color w:val="auto"/>
          <w:sz w:val="28"/>
          <w:szCs w:val="28"/>
          <w:highlight w:val="none"/>
        </w:rPr>
        <w:t>”</w:t>
      </w:r>
      <w:r>
        <w:rPr>
          <w:rFonts w:ascii="Times New Roman" w:hAnsi="Times New Roman"/>
          <w:color w:val="auto"/>
          <w:sz w:val="28"/>
          <w:szCs w:val="28"/>
          <w:highlight w:val="none"/>
        </w:rPr>
        <w:t>的契机，围绕国土空间生态安全和生态文明建设，统筹跨流域、跨区域的山水林田湖草</w:t>
      </w:r>
      <w:r>
        <w:rPr>
          <w:rFonts w:hint="eastAsia" w:ascii="Times New Roman" w:hAnsi="Times New Roman"/>
          <w:color w:val="auto"/>
          <w:sz w:val="28"/>
          <w:szCs w:val="28"/>
          <w:highlight w:val="none"/>
          <w:lang w:val="en-US" w:eastAsia="zh-CN"/>
        </w:rPr>
        <w:t>沙</w:t>
      </w:r>
      <w:r>
        <w:rPr>
          <w:rFonts w:ascii="Times New Roman" w:hAnsi="Times New Roman"/>
          <w:color w:val="auto"/>
          <w:sz w:val="28"/>
          <w:szCs w:val="28"/>
          <w:highlight w:val="none"/>
        </w:rPr>
        <w:t>系统治理目标和任务，确保重点工程项目有序实施。</w:t>
      </w:r>
    </w:p>
    <w:p w14:paraId="0E557473">
      <w:pPr>
        <w:ind w:firstLine="560"/>
        <w:jc w:val="left"/>
        <w:rPr>
          <w:rFonts w:eastAsia="仿宋_GB2312" w:cs="Times New Roman"/>
          <w:sz w:val="28"/>
          <w:szCs w:val="28"/>
          <w:highlight w:val="none"/>
        </w:rPr>
      </w:pPr>
      <w:r>
        <w:rPr>
          <w:rFonts w:eastAsia="仿宋_GB2312" w:cs="Times New Roman"/>
          <w:sz w:val="28"/>
          <w:szCs w:val="28"/>
          <w:highlight w:val="none"/>
        </w:rPr>
        <w:t>（二）市区财政资金</w:t>
      </w:r>
    </w:p>
    <w:p w14:paraId="3D89CD03">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市级财政资金按照生态保护修复重点工程布局，着重解决重点区域性突出生态问题，统筹跨区域的生态保护修复目标任务，确保重点工程项目有序实施。</w:t>
      </w:r>
    </w:p>
    <w:p w14:paraId="01AEEA1B">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国土空间生态修复重点工程应优先纳入国民经济和社会发展计划，工程建设项目争取地方财政资金，足额落实配套资金，加强相关资金的整合，统筹安排，加大对国土空间生态修复重点工程的支持力度。</w:t>
      </w:r>
    </w:p>
    <w:p w14:paraId="7510DF52">
      <w:pPr>
        <w:ind w:firstLine="560"/>
        <w:jc w:val="left"/>
        <w:rPr>
          <w:rFonts w:eastAsia="仿宋_GB2312" w:cs="Times New Roman"/>
          <w:sz w:val="28"/>
          <w:szCs w:val="28"/>
          <w:highlight w:val="none"/>
        </w:rPr>
      </w:pPr>
      <w:r>
        <w:rPr>
          <w:rFonts w:eastAsia="仿宋_GB2312" w:cs="Times New Roman"/>
          <w:sz w:val="28"/>
          <w:szCs w:val="28"/>
          <w:highlight w:val="none"/>
        </w:rPr>
        <w:t>（三）社会资本</w:t>
      </w:r>
    </w:p>
    <w:p w14:paraId="237A438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积极贯彻落实《国务院办公厅关于鼓励和支持社会资本参与生态保护修复的意见》（国办发〔2021〕40号），鼓励和支持社会资本参与生态保护修复项目投资、设计、修复、管护全过程，允许围绕生态保护修复开展生态产品开发、产业发展、科技创新、技术服务等，对生态保护修复进行全生命周期运营管护。</w:t>
      </w:r>
    </w:p>
    <w:p w14:paraId="4EACCDEB">
      <w:pPr>
        <w:pStyle w:val="6"/>
        <w:rPr>
          <w:color w:val="auto"/>
          <w:highlight w:val="none"/>
        </w:rPr>
      </w:pPr>
      <w:bookmarkStart w:id="38" w:name="_Toc9345"/>
      <w:r>
        <w:rPr>
          <w:color w:val="auto"/>
          <w:highlight w:val="none"/>
        </w:rPr>
        <w:t>第</w:t>
      </w:r>
      <w:r>
        <w:rPr>
          <w:rFonts w:hint="eastAsia"/>
          <w:color w:val="auto"/>
          <w:highlight w:val="none"/>
          <w:lang w:val="en-US" w:eastAsia="zh-CN"/>
        </w:rPr>
        <w:t>二</w:t>
      </w:r>
      <w:r>
        <w:rPr>
          <w:color w:val="auto"/>
          <w:highlight w:val="none"/>
        </w:rPr>
        <w:t>节修复实施效益</w:t>
      </w:r>
      <w:bookmarkEnd w:id="38"/>
    </w:p>
    <w:p w14:paraId="5DA68F32">
      <w:pPr>
        <w:ind w:firstLine="562"/>
        <w:outlineLvl w:val="2"/>
        <w:rPr>
          <w:rFonts w:eastAsia="仿宋_GB2312" w:cs="Times New Roman"/>
          <w:b/>
          <w:bCs/>
          <w:sz w:val="28"/>
          <w:szCs w:val="28"/>
          <w:highlight w:val="none"/>
        </w:rPr>
      </w:pPr>
      <w:r>
        <w:rPr>
          <w:rFonts w:eastAsia="仿宋_GB2312" w:cs="Times New Roman"/>
          <w:b/>
          <w:bCs/>
          <w:sz w:val="28"/>
          <w:szCs w:val="28"/>
          <w:highlight w:val="none"/>
        </w:rPr>
        <w:t>一、生态效益分析</w:t>
      </w:r>
    </w:p>
    <w:p w14:paraId="030C9861">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鹿泉区拥有独特的地形特征、丰富的水系廊道和重要的自然保护地，依山傍水，自然条件优越，生态环境优良，是河北省重点生态区，是省会的西花园。</w:t>
      </w:r>
    </w:p>
    <w:p w14:paraId="1C89E8CE">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规划的实施，可以有效提高太行山山地森林生态系统质量，减少水土流失，显著提升涵养水源、保持水土的功能；丰富生物多样性，为野生动植物栖息和繁衍提供良好的保护体系和生存环境；加大水源保护区保护力度，建设生态缓冲带，提升水源涵养功能，统筹实施水系连通，加大生态补水。在农业灌区实施节水灌溉，建设干渠沿线水源涵养林。规划的实施，有效改善鹿泉区生态环境，稳固鹿泉区生态安全格局，助力构建</w:t>
      </w:r>
      <w:r>
        <w:rPr>
          <w:rFonts w:hint="eastAsia" w:ascii="Times New Roman" w:hAnsi="Times New Roman"/>
          <w:color w:val="000000" w:themeColor="text1"/>
          <w:sz w:val="28"/>
          <w:szCs w:val="28"/>
          <w:highlight w:val="none"/>
          <w14:textFill>
            <w14:solidFill>
              <w14:schemeClr w14:val="tx1"/>
            </w14:solidFill>
          </w14:textFill>
        </w:rPr>
        <w:t>“</w:t>
      </w:r>
      <w:r>
        <w:rPr>
          <w:rFonts w:ascii="Times New Roman" w:hAnsi="Times New Roman"/>
          <w:b/>
          <w:bCs/>
          <w:color w:val="000000" w:themeColor="text1"/>
          <w:sz w:val="28"/>
          <w:szCs w:val="28"/>
          <w:highlight w:val="none"/>
          <w14:textFill>
            <w14:solidFill>
              <w14:schemeClr w14:val="tx1"/>
            </w14:solidFill>
          </w14:textFill>
        </w:rPr>
        <w:t>一山、三水、四区</w:t>
      </w:r>
      <w:r>
        <w:rPr>
          <w:rFonts w:hint="eastAsia" w:ascii="Times New Roman" w:hAnsi="Times New Roman"/>
          <w:color w:val="000000" w:themeColor="text1"/>
          <w:sz w:val="28"/>
          <w:szCs w:val="28"/>
          <w:highlight w:val="none"/>
          <w14:textFill>
            <w14:solidFill>
              <w14:schemeClr w14:val="tx1"/>
            </w14:solidFill>
          </w14:textFill>
        </w:rPr>
        <w:t>”</w:t>
      </w:r>
      <w:r>
        <w:rPr>
          <w:rFonts w:ascii="Times New Roman" w:hAnsi="Times New Roman"/>
          <w:color w:val="auto"/>
          <w:sz w:val="28"/>
          <w:szCs w:val="28"/>
          <w:highlight w:val="none"/>
        </w:rPr>
        <w:t>生态修复总体</w:t>
      </w:r>
      <w:r>
        <w:rPr>
          <w:rFonts w:hint="eastAsia" w:ascii="Times New Roman" w:hAnsi="Times New Roman"/>
          <w:color w:val="auto"/>
          <w:sz w:val="28"/>
          <w:szCs w:val="28"/>
          <w:highlight w:val="none"/>
          <w:lang w:val="en-US" w:eastAsia="zh-CN"/>
        </w:rPr>
        <w:t>布</w:t>
      </w:r>
      <w:r>
        <w:rPr>
          <w:rFonts w:ascii="Times New Roman" w:hAnsi="Times New Roman"/>
          <w:color w:val="auto"/>
          <w:sz w:val="28"/>
          <w:szCs w:val="28"/>
          <w:highlight w:val="none"/>
        </w:rPr>
        <w:t>局。</w:t>
      </w:r>
    </w:p>
    <w:p w14:paraId="4131E293">
      <w:pPr>
        <w:ind w:firstLine="562"/>
        <w:outlineLvl w:val="2"/>
        <w:rPr>
          <w:rFonts w:eastAsia="仿宋_GB2312" w:cs="Times New Roman"/>
          <w:b/>
          <w:bCs/>
          <w:color w:val="000000" w:themeColor="text1"/>
          <w:sz w:val="28"/>
          <w:szCs w:val="28"/>
          <w:highlight w:val="none"/>
          <w14:textFill>
            <w14:solidFill>
              <w14:schemeClr w14:val="tx1"/>
            </w14:solidFill>
          </w14:textFill>
        </w:rPr>
      </w:pPr>
      <w:r>
        <w:rPr>
          <w:rFonts w:eastAsia="仿宋_GB2312" w:cs="Times New Roman"/>
          <w:b/>
          <w:bCs/>
          <w:color w:val="000000" w:themeColor="text1"/>
          <w:sz w:val="28"/>
          <w:szCs w:val="28"/>
          <w:highlight w:val="none"/>
          <w14:textFill>
            <w14:solidFill>
              <w14:schemeClr w14:val="tx1"/>
            </w14:solidFill>
          </w14:textFill>
        </w:rPr>
        <w:t>二、社会效益分析</w:t>
      </w:r>
    </w:p>
    <w:p w14:paraId="15EE68F5">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在鹿泉区国土空间生态修复规划重大工程过程中，注重全社会参与，将提升全社会对生态保护修复重要性的认识。有利于树立生态文明观，形成对自然生态敬畏的价值理念；树立生态责任和生态道德意识，逐步自觉开展生态环境保护；树立生态知识的学习教育意识，更多了解和掌握生态治理与保护的基本常识和理念。形成全社会动员，共治、共管、共享的生态文明新格局。</w:t>
      </w:r>
    </w:p>
    <w:p w14:paraId="60B5D1E4">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鹿泉区国土空间生态修复规划重大工程的实施，将实现农村人居环境极大改善，同时也推动当地的美丽乡村建设，促进科教、文化、卫生事业的发展，群众的文化素质和身体素质得到普遍提高，经济繁荣稳定和社会和谐发展，生态改善，农民增收，广大农村群众过上富裕生活，将增加全区人民幸福感。</w:t>
      </w:r>
    </w:p>
    <w:p w14:paraId="15801F4D">
      <w:pPr>
        <w:ind w:firstLine="562"/>
        <w:outlineLvl w:val="2"/>
        <w:rPr>
          <w:rFonts w:eastAsia="仿宋_GB2312" w:cs="Times New Roman"/>
          <w:b/>
          <w:bCs/>
          <w:sz w:val="28"/>
          <w:szCs w:val="28"/>
          <w:highlight w:val="none"/>
        </w:rPr>
      </w:pPr>
      <w:r>
        <w:rPr>
          <w:rFonts w:eastAsia="仿宋_GB2312" w:cs="Times New Roman"/>
          <w:b/>
          <w:bCs/>
          <w:sz w:val="28"/>
          <w:szCs w:val="28"/>
          <w:highlight w:val="none"/>
        </w:rPr>
        <w:t>三、经济效益分析</w:t>
      </w:r>
    </w:p>
    <w:p w14:paraId="18BC56C7">
      <w:pPr>
        <w:pStyle w:val="23"/>
        <w:ind w:firstLine="560"/>
        <w:jc w:val="left"/>
        <w:rPr>
          <w:rFonts w:hint="eastAsia" w:ascii="Times New Roman" w:hAnsi="Times New Roman" w:eastAsia="仿宋_GB2312"/>
          <w:color w:val="auto"/>
          <w:sz w:val="28"/>
          <w:szCs w:val="28"/>
          <w:highlight w:val="none"/>
          <w:lang w:eastAsia="zh-CN"/>
        </w:rPr>
      </w:pPr>
      <w:r>
        <w:rPr>
          <w:rFonts w:ascii="Times New Roman" w:hAnsi="Times New Roman"/>
          <w:color w:val="auto"/>
          <w:sz w:val="28"/>
          <w:szCs w:val="28"/>
          <w:highlight w:val="none"/>
        </w:rPr>
        <w:t>通过</w:t>
      </w:r>
      <w:r>
        <w:rPr>
          <w:rFonts w:hint="eastAsia" w:ascii="Times New Roman" w:hAnsi="Times New Roman"/>
          <w:color w:val="auto"/>
          <w:sz w:val="28"/>
          <w:szCs w:val="28"/>
          <w:highlight w:val="none"/>
          <w:lang w:val="en-US" w:eastAsia="zh-CN"/>
        </w:rPr>
        <w:t>国土</w:t>
      </w:r>
      <w:r>
        <w:rPr>
          <w:rFonts w:ascii="Times New Roman" w:hAnsi="Times New Roman"/>
          <w:color w:val="auto"/>
          <w:sz w:val="28"/>
          <w:szCs w:val="28"/>
          <w:highlight w:val="none"/>
        </w:rPr>
        <w:t>综合整治，可以增加有效耕地面积，提升耕地质量，提高粮食产能。通过改善农业生产条件，有利于现代化农业技术的推广应用，提高农业科技含量，降低农业生产成本，增加农民务农收入，提高农民种地积极性。通过矿山生态修复可以盘活工矿废弃地，增加当地财政收入和土地出让收入，带动地区生产总值增长。</w:t>
      </w:r>
    </w:p>
    <w:p w14:paraId="7859524A">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总体上，生态修复项目的实施将大大提高区域生态系统服务水平，增加生态服务功能价值，对生态保护和保育起到十分积极的作用，使鹿泉区生态系统得到更全面的完善和功能提升。</w:t>
      </w:r>
    </w:p>
    <w:p w14:paraId="56CAC433">
      <w:pPr>
        <w:pStyle w:val="23"/>
        <w:ind w:firstLine="560"/>
        <w:rPr>
          <w:rFonts w:ascii="Times New Roman" w:hAnsi="Times New Roman"/>
          <w:sz w:val="28"/>
          <w:szCs w:val="28"/>
          <w:highlight w:val="none"/>
        </w:rPr>
      </w:pPr>
    </w:p>
    <w:p w14:paraId="27A7F65A">
      <w:pPr>
        <w:pStyle w:val="23"/>
        <w:ind w:firstLine="480"/>
        <w:rPr>
          <w:rFonts w:ascii="Times New Roman" w:hAnsi="Times New Roman"/>
          <w:highlight w:val="none"/>
        </w:rPr>
      </w:pPr>
    </w:p>
    <w:p w14:paraId="31D25A5C">
      <w:pPr>
        <w:rPr>
          <w:rStyle w:val="103"/>
          <w:rFonts w:eastAsia="仿宋_GB2312" w:cs="Times New Roman"/>
          <w:b/>
          <w:bCs/>
          <w:color w:val="000000" w:themeColor="text1"/>
          <w:sz w:val="36"/>
          <w:szCs w:val="36"/>
          <w:highlight w:val="none"/>
          <w14:textFill>
            <w14:solidFill>
              <w14:schemeClr w14:val="tx1"/>
            </w14:solidFill>
          </w14:textFill>
        </w:rPr>
      </w:pPr>
      <w:r>
        <w:rPr>
          <w:rStyle w:val="103"/>
          <w:rFonts w:eastAsia="仿宋_GB2312" w:cs="Times New Roman"/>
          <w:b/>
          <w:bCs/>
          <w:color w:val="000000" w:themeColor="text1"/>
          <w:sz w:val="36"/>
          <w:szCs w:val="36"/>
          <w:highlight w:val="none"/>
          <w14:textFill>
            <w14:solidFill>
              <w14:schemeClr w14:val="tx1"/>
            </w14:solidFill>
          </w14:textFill>
        </w:rPr>
        <w:br w:type="page"/>
      </w:r>
    </w:p>
    <w:p w14:paraId="4C8A6FA8">
      <w:pPr>
        <w:pStyle w:val="5"/>
        <w:numPr>
          <w:ilvl w:val="0"/>
          <w:numId w:val="0"/>
        </w:numPr>
        <w:spacing w:before="100" w:beforeAutospacing="1" w:after="100" w:afterAutospacing="1"/>
        <w:jc w:val="center"/>
        <w:rPr>
          <w:rStyle w:val="103"/>
          <w:rFonts w:eastAsia="仿宋_GB2312" w:cs="Times New Roman"/>
          <w:b/>
          <w:bCs/>
          <w:color w:val="000000" w:themeColor="text1"/>
          <w:sz w:val="36"/>
          <w:szCs w:val="36"/>
          <w:highlight w:val="none"/>
          <w14:textFill>
            <w14:solidFill>
              <w14:schemeClr w14:val="tx1"/>
            </w14:solidFill>
          </w14:textFill>
        </w:rPr>
      </w:pPr>
      <w:bookmarkStart w:id="39" w:name="_Toc31073"/>
      <w:r>
        <w:rPr>
          <w:rStyle w:val="103"/>
          <w:rFonts w:eastAsia="仿宋_GB2312" w:cs="Times New Roman"/>
          <w:b/>
          <w:bCs/>
          <w:color w:val="000000" w:themeColor="text1"/>
          <w:sz w:val="36"/>
          <w:szCs w:val="36"/>
          <w:highlight w:val="none"/>
          <w14:textFill>
            <w14:solidFill>
              <w14:schemeClr w14:val="tx1"/>
            </w14:solidFill>
          </w14:textFill>
        </w:rPr>
        <w:t>第七章保障机制</w:t>
      </w:r>
      <w:bookmarkEnd w:id="39"/>
    </w:p>
    <w:p w14:paraId="0FE96C83">
      <w:pPr>
        <w:pStyle w:val="23"/>
        <w:ind w:firstLine="560"/>
        <w:jc w:val="left"/>
        <w:rPr>
          <w:rFonts w:ascii="Times New Roman" w:hAnsi="Times New Roman"/>
          <w:color w:val="auto"/>
          <w:sz w:val="28"/>
          <w:szCs w:val="28"/>
          <w:highlight w:val="none"/>
        </w:rPr>
      </w:pPr>
      <w:r>
        <w:rPr>
          <w:rFonts w:ascii="Times New Roman" w:hAnsi="Times New Roman"/>
          <w:color w:val="auto"/>
          <w:sz w:val="28"/>
          <w:szCs w:val="28"/>
          <w:highlight w:val="none"/>
        </w:rPr>
        <w:t>强化规划实施保障机制，加强组织领导，创新政策体系，强化评估监管，鼓励公众参与，落实规划传导。</w:t>
      </w:r>
    </w:p>
    <w:p w14:paraId="0B1248BF">
      <w:pPr>
        <w:pStyle w:val="6"/>
        <w:rPr>
          <w:color w:val="auto"/>
          <w:highlight w:val="none"/>
        </w:rPr>
      </w:pPr>
      <w:bookmarkStart w:id="40" w:name="_Toc14233"/>
      <w:r>
        <w:rPr>
          <w:color w:val="auto"/>
          <w:highlight w:val="none"/>
        </w:rPr>
        <w:t>第一节加强组织领导</w:t>
      </w:r>
      <w:bookmarkEnd w:id="40"/>
    </w:p>
    <w:p w14:paraId="0B02A69A">
      <w:pPr>
        <w:keepNext/>
        <w:keepLines/>
        <w:numPr>
          <w:ilvl w:val="1"/>
          <w:numId w:val="0"/>
        </w:numPr>
        <w:ind w:firstLine="562" w:firstLineChars="200"/>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加强组织领导。</w:t>
      </w:r>
      <w:r>
        <w:rPr>
          <w:rFonts w:ascii="Times New Roman" w:hAnsi="Times New Roman" w:eastAsia="仿宋_GB2312" w:cs="Times New Roman"/>
          <w:color w:val="auto"/>
          <w:kern w:val="2"/>
          <w:sz w:val="28"/>
          <w:szCs w:val="28"/>
          <w:highlight w:val="none"/>
          <w:lang w:val="en-US" w:eastAsia="zh-CN" w:bidi="ar-SA"/>
        </w:rPr>
        <w:t>坚持和加强党的全面领导，把党的领导始终贯穿于国土空间生态修复全过程。建立</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区政府组织实施、部门分工协作、社会共同参与</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的生态修复工作机制，明确政府的国土空间生态修复责任，加强规划实施监督指导，强化国土空间生态修复工程全过程监管、全区域监测。强化部门联动。在区委、区政府领导下，建立由</w:t>
      </w:r>
      <w:r>
        <w:rPr>
          <w:rFonts w:hint="eastAsia" w:eastAsia="仿宋_GB2312" w:cs="Times New Roman"/>
          <w:color w:val="auto"/>
          <w:kern w:val="2"/>
          <w:sz w:val="28"/>
          <w:szCs w:val="28"/>
          <w:highlight w:val="none"/>
          <w:lang w:val="en-US" w:eastAsia="zh-CN" w:bidi="ar-SA"/>
        </w:rPr>
        <w:t>石家庄</w:t>
      </w:r>
      <w:r>
        <w:rPr>
          <w:rFonts w:ascii="Times New Roman" w:hAnsi="Times New Roman" w:eastAsia="仿宋_GB2312" w:cs="Times New Roman"/>
          <w:color w:val="auto"/>
          <w:kern w:val="2"/>
          <w:sz w:val="28"/>
          <w:szCs w:val="28"/>
          <w:highlight w:val="none"/>
          <w:lang w:val="en-US" w:eastAsia="zh-CN" w:bidi="ar-SA"/>
        </w:rPr>
        <w:t>市自然资源和规划局鹿泉分局、市生态环境局鹿泉区分局、交通运输局、水利局、农业农村局、气象局等组成的协调联动机制，明确责任分工，压紧压实责任，解决生态修复中重大问题，共同推进规划实施。</w:t>
      </w:r>
    </w:p>
    <w:p w14:paraId="03686248">
      <w:pPr>
        <w:pStyle w:val="6"/>
        <w:rPr>
          <w:color w:val="auto"/>
          <w:highlight w:val="none"/>
        </w:rPr>
      </w:pPr>
      <w:bookmarkStart w:id="41" w:name="_Toc19222"/>
      <w:r>
        <w:rPr>
          <w:color w:val="auto"/>
          <w:highlight w:val="none"/>
        </w:rPr>
        <w:t>第二节创新政策体系</w:t>
      </w:r>
      <w:bookmarkEnd w:id="41"/>
    </w:p>
    <w:p w14:paraId="0D1A98F5">
      <w:pPr>
        <w:keepNext/>
        <w:keepLines/>
        <w:numPr>
          <w:ilvl w:val="1"/>
          <w:numId w:val="0"/>
        </w:numPr>
        <w:ind w:firstLine="562" w:firstLineChars="200"/>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sz w:val="28"/>
          <w:szCs w:val="28"/>
          <w:highlight w:val="none"/>
        </w:rPr>
        <w:t>建立生态保护补偿机制。</w:t>
      </w:r>
      <w:r>
        <w:rPr>
          <w:rFonts w:ascii="Times New Roman" w:hAnsi="Times New Roman" w:eastAsia="仿宋_GB2312" w:cs="Times New Roman"/>
          <w:color w:val="auto"/>
          <w:kern w:val="2"/>
          <w:sz w:val="28"/>
          <w:szCs w:val="28"/>
          <w:highlight w:val="none"/>
          <w:lang w:val="en-US" w:eastAsia="zh-CN" w:bidi="ar-SA"/>
        </w:rPr>
        <w:t>建立分类补偿制度，推动水域、草原、森林、湿地和耕地等生态环境要素保护。健全横向补偿制度，促进生态受益地区与保护地区利益共享。优化纵向补偿制度，加大生态安全保护力度，在整合优化自然保护地的基础上，建立健全自然保护地体系生态保护补偿制度。推进市场化多元化补偿，激发全社会参与生态保护积极性。</w:t>
      </w:r>
    </w:p>
    <w:p w14:paraId="352977C1">
      <w:pPr>
        <w:pStyle w:val="23"/>
        <w:ind w:firstLine="562"/>
        <w:rPr>
          <w:rFonts w:ascii="Times New Roman" w:hAnsi="Times New Roman"/>
          <w:color w:val="auto"/>
          <w:sz w:val="28"/>
          <w:szCs w:val="28"/>
          <w:highlight w:val="none"/>
        </w:rPr>
      </w:pPr>
      <w:r>
        <w:rPr>
          <w:rFonts w:ascii="Times New Roman" w:hAnsi="Times New Roman"/>
          <w:b/>
          <w:sz w:val="28"/>
          <w:szCs w:val="28"/>
          <w:highlight w:val="none"/>
        </w:rPr>
        <w:t>健全生态产品价值实现机制。</w:t>
      </w:r>
      <w:r>
        <w:rPr>
          <w:rFonts w:ascii="Times New Roman" w:hAnsi="Times New Roman"/>
          <w:color w:val="auto"/>
          <w:sz w:val="28"/>
          <w:szCs w:val="28"/>
          <w:highlight w:val="none"/>
        </w:rPr>
        <w:t>坚持绿水青山就是金山银山理念，推进生态产业化和产业生态化，加快生态修复与生态产业发展有机融合；强化生态产品价值实现路径，推动生态产品价值实现，构建绿水青山就是金山银山的政策制度体系。</w:t>
      </w:r>
    </w:p>
    <w:p w14:paraId="2C97506D">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强化资金保障。</w:t>
      </w:r>
      <w:r>
        <w:rPr>
          <w:rFonts w:ascii="Times New Roman" w:hAnsi="Times New Roman" w:eastAsia="仿宋_GB2312" w:cs="Times New Roman"/>
          <w:color w:val="auto"/>
          <w:kern w:val="2"/>
          <w:sz w:val="28"/>
          <w:szCs w:val="28"/>
          <w:highlight w:val="none"/>
          <w:lang w:val="en-US" w:eastAsia="zh-CN" w:bidi="ar-SA"/>
        </w:rPr>
        <w:t>统筹整合各部门、各类项目资金，加大对生态修复重大工程资金支持力度。积极争取中央财政资金支持，不断优化政府资金投入，发挥政府财政资金的支撑和引导作用。将生态修复领域作为金融支持的重点，拓宽资金筹措渠道，鼓励引导社会资金投入。</w:t>
      </w:r>
    </w:p>
    <w:p w14:paraId="4C06D355">
      <w:pPr>
        <w:pStyle w:val="6"/>
        <w:rPr>
          <w:color w:val="auto"/>
          <w:highlight w:val="none"/>
        </w:rPr>
      </w:pPr>
      <w:bookmarkStart w:id="42" w:name="_Toc22562"/>
      <w:r>
        <w:rPr>
          <w:color w:val="auto"/>
          <w:highlight w:val="none"/>
        </w:rPr>
        <w:t>第三节强化评估监管</w:t>
      </w:r>
      <w:bookmarkEnd w:id="42"/>
    </w:p>
    <w:p w14:paraId="333EB09D">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建立规划实施监管。</w:t>
      </w:r>
      <w:r>
        <w:rPr>
          <w:rFonts w:ascii="Times New Roman" w:hAnsi="Times New Roman" w:eastAsia="仿宋_GB2312" w:cs="Times New Roman"/>
          <w:color w:val="auto"/>
          <w:kern w:val="2"/>
          <w:sz w:val="28"/>
          <w:szCs w:val="28"/>
          <w:highlight w:val="none"/>
          <w:lang w:val="en-US" w:eastAsia="zh-CN" w:bidi="ar-SA"/>
        </w:rPr>
        <w:t>根据鹿泉区国土空间生态修复规划内容，建立调查、监测、评估、管控、考核等全流程的适应性监管体系。依托自然资源调查监测体系和生态质量监测网络，建立国土空间生态保护和修复的监管系统，对工作开展进行同意管理和监督，实现监管过程信息化、网络化、智慧化。</w:t>
      </w:r>
    </w:p>
    <w:p w14:paraId="46CEAF42">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开展规划实施评估监测。</w:t>
      </w:r>
      <w:r>
        <w:rPr>
          <w:rFonts w:ascii="Times New Roman" w:hAnsi="Times New Roman" w:eastAsia="仿宋_GB2312" w:cs="Times New Roman"/>
          <w:color w:val="auto"/>
          <w:kern w:val="2"/>
          <w:sz w:val="28"/>
          <w:szCs w:val="28"/>
          <w:highlight w:val="none"/>
          <w:lang w:val="en-US" w:eastAsia="zh-CN" w:bidi="ar-SA"/>
        </w:rPr>
        <w:t>完善生态修复监测评价指标，规范生态修复工程监测点位布设，监测重点工程效果，评估规划实施成效。健全考核指标，改进考核办法。开展实施评估，强化规划实施情况跟踪管理，健全生态修复评估监管体系，探索生态修复工程成效评价方法。</w:t>
      </w:r>
    </w:p>
    <w:p w14:paraId="1890EFD5">
      <w:pPr>
        <w:pStyle w:val="6"/>
        <w:rPr>
          <w:rFonts w:hint="default" w:eastAsia="仿宋_GB2312"/>
          <w:color w:val="auto"/>
          <w:highlight w:val="none"/>
          <w:lang w:val="en-US" w:eastAsia="zh-CN"/>
        </w:rPr>
      </w:pPr>
      <w:bookmarkStart w:id="43" w:name="_Toc1184"/>
      <w:r>
        <w:rPr>
          <w:color w:val="auto"/>
          <w:highlight w:val="none"/>
        </w:rPr>
        <w:t>第四节</w:t>
      </w:r>
      <w:r>
        <w:rPr>
          <w:rFonts w:hint="eastAsia"/>
          <w:color w:val="auto"/>
          <w:highlight w:val="none"/>
          <w:lang w:val="en-US" w:eastAsia="zh-CN"/>
        </w:rPr>
        <w:t>加强科技支撑</w:t>
      </w:r>
      <w:bookmarkEnd w:id="43"/>
    </w:p>
    <w:p w14:paraId="4914906A">
      <w:pPr>
        <w:ind w:firstLine="562"/>
        <w:rPr>
          <w:rFonts w:hint="eastAsia" w:ascii="Times New Roman" w:hAnsi="Times New Roman" w:eastAsia="仿宋_GB2312" w:cs="Times New Roman"/>
          <w:color w:val="auto"/>
          <w:kern w:val="2"/>
          <w:sz w:val="28"/>
          <w:szCs w:val="28"/>
          <w:highlight w:val="none"/>
          <w:lang w:val="en-US" w:eastAsia="zh-CN" w:bidi="ar-SA"/>
        </w:rPr>
      </w:pPr>
      <w:r>
        <w:rPr>
          <w:rFonts w:hint="eastAsia" w:eastAsia="仿宋_GB2312" w:cs="Times New Roman"/>
          <w:b/>
          <w:bCs/>
          <w:sz w:val="28"/>
          <w:szCs w:val="28"/>
          <w:highlight w:val="none"/>
        </w:rPr>
        <w:t>夯实科学研究。</w:t>
      </w:r>
      <w:r>
        <w:rPr>
          <w:rFonts w:hint="eastAsia" w:ascii="Times New Roman" w:hAnsi="Times New Roman" w:eastAsia="仿宋_GB2312" w:cs="Times New Roman"/>
          <w:color w:val="auto"/>
          <w:kern w:val="2"/>
          <w:sz w:val="28"/>
          <w:szCs w:val="28"/>
          <w:highlight w:val="none"/>
          <w:lang w:val="en-US" w:eastAsia="zh-CN" w:bidi="ar-SA"/>
        </w:rPr>
        <w:t>依托科研院所机构和高校开展科学研究工作，加强生态修复基础性理论研究和关键技术攻关，重点围绕生物多样性保护、矿山生态修复、生态廊道与网络建设、生态系统监测与评估等方面展开研究与应用探索；探索符合鹿泉区特点的山水林田湖草</w:t>
      </w:r>
      <w:r>
        <w:rPr>
          <w:rFonts w:hint="eastAsia" w:eastAsia="仿宋_GB2312" w:cs="Times New Roman"/>
          <w:color w:val="auto"/>
          <w:kern w:val="2"/>
          <w:sz w:val="28"/>
          <w:szCs w:val="28"/>
          <w:highlight w:val="none"/>
          <w:lang w:val="en-US" w:eastAsia="zh-CN" w:bidi="ar-SA"/>
        </w:rPr>
        <w:t>沙</w:t>
      </w:r>
      <w:r>
        <w:rPr>
          <w:rFonts w:hint="eastAsia" w:ascii="Times New Roman" w:hAnsi="Times New Roman" w:eastAsia="仿宋_GB2312" w:cs="Times New Roman"/>
          <w:color w:val="auto"/>
          <w:kern w:val="2"/>
          <w:sz w:val="28"/>
          <w:szCs w:val="28"/>
          <w:highlight w:val="none"/>
          <w:lang w:val="en-US" w:eastAsia="zh-CN" w:bidi="ar-SA"/>
        </w:rPr>
        <w:t>一体化生态修复方法模式，积极推广先进理念与适用技术，增强生态修复科技成果转化能力，切实保障石家庄市鹿泉区国土空间生态修复的成效。</w:t>
      </w:r>
    </w:p>
    <w:p w14:paraId="5DDEB704">
      <w:pPr>
        <w:ind w:firstLine="560"/>
        <w:rPr>
          <w:rFonts w:eastAsia="仿宋_GB2312" w:cs="Times New Roman"/>
          <w:sz w:val="28"/>
          <w:szCs w:val="28"/>
          <w:highlight w:val="none"/>
        </w:rPr>
      </w:pPr>
      <w:r>
        <w:rPr>
          <w:rFonts w:eastAsia="仿宋_GB2312" w:cs="Times New Roman"/>
          <w:sz w:val="28"/>
          <w:szCs w:val="28"/>
          <w:highlight w:val="none"/>
        </w:rPr>
        <w:br w:type="page"/>
      </w:r>
    </w:p>
    <w:p w14:paraId="638DE03C">
      <w:pPr>
        <w:pStyle w:val="6"/>
        <w:rPr>
          <w:color w:val="auto"/>
          <w:highlight w:val="none"/>
        </w:rPr>
      </w:pPr>
      <w:bookmarkStart w:id="44" w:name="_Toc17842"/>
      <w:r>
        <w:rPr>
          <w:color w:val="auto"/>
          <w:highlight w:val="none"/>
        </w:rPr>
        <w:t>第五节鼓励公众参与</w:t>
      </w:r>
      <w:bookmarkEnd w:id="44"/>
    </w:p>
    <w:p w14:paraId="518DAB74">
      <w:pPr>
        <w:pStyle w:val="98"/>
        <w:ind w:left="0" w:leftChars="0" w:firstLine="562"/>
        <w:jc w:val="left"/>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加强信息公开。</w:t>
      </w:r>
      <w:r>
        <w:rPr>
          <w:rFonts w:ascii="Times New Roman" w:hAnsi="Times New Roman" w:eastAsia="仿宋_GB2312" w:cs="Times New Roman"/>
          <w:color w:val="auto"/>
          <w:kern w:val="2"/>
          <w:sz w:val="28"/>
          <w:szCs w:val="28"/>
          <w:highlight w:val="none"/>
          <w:lang w:val="en-US" w:eastAsia="zh-CN" w:bidi="ar-SA"/>
        </w:rPr>
        <w:t>区人民政府按照《政府信息公开条例》，依法公开国土空间生态修复规划的有关政策、项目规模、建设内容、投资金额、资金来源、建设过程和预期性效益等，让公众充分了解各个程序、环节，切实发挥公众监督作用。</w:t>
      </w:r>
    </w:p>
    <w:p w14:paraId="25214C14">
      <w:pPr>
        <w:pStyle w:val="23"/>
        <w:ind w:firstLine="562"/>
        <w:rPr>
          <w:rFonts w:ascii="Times New Roman" w:hAnsi="Times New Roman"/>
          <w:color w:val="auto"/>
          <w:sz w:val="28"/>
          <w:szCs w:val="28"/>
          <w:highlight w:val="none"/>
        </w:rPr>
      </w:pPr>
      <w:r>
        <w:rPr>
          <w:rFonts w:ascii="Times New Roman" w:hAnsi="Times New Roman"/>
          <w:b/>
          <w:bCs/>
          <w:sz w:val="28"/>
          <w:szCs w:val="28"/>
          <w:highlight w:val="none"/>
        </w:rPr>
        <w:t>加大宣传教育。</w:t>
      </w:r>
      <w:r>
        <w:rPr>
          <w:rFonts w:ascii="Times New Roman" w:hAnsi="Times New Roman"/>
          <w:color w:val="auto"/>
          <w:sz w:val="28"/>
          <w:szCs w:val="28"/>
          <w:highlight w:val="none"/>
        </w:rPr>
        <w:t>各部门要大力依托各类型媒体，搭建信息网络平台，积极开展国土空间生态修复工作重要性和必要性宣传教育、相关政策解读和培训教育，及时回应社会关切，普及生态文明理念，鼓励和引导公众广泛参与、持续做好国土空间生态修复工作。</w:t>
      </w:r>
    </w:p>
    <w:p w14:paraId="5637C85B">
      <w:pPr>
        <w:ind w:firstLine="562"/>
        <w:rPr>
          <w:rFonts w:ascii="Times New Roman" w:hAnsi="Times New Roman" w:eastAsia="仿宋_GB2312" w:cs="Times New Roman"/>
          <w:color w:val="auto"/>
          <w:kern w:val="2"/>
          <w:sz w:val="28"/>
          <w:szCs w:val="28"/>
          <w:highlight w:val="none"/>
          <w:lang w:val="en-US" w:eastAsia="zh-CN" w:bidi="ar-SA"/>
        </w:rPr>
      </w:pPr>
      <w:r>
        <w:rPr>
          <w:rFonts w:eastAsia="仿宋_GB2312" w:cs="Times New Roman"/>
          <w:b/>
          <w:bCs/>
          <w:sz w:val="28"/>
          <w:szCs w:val="28"/>
          <w:highlight w:val="none"/>
        </w:rPr>
        <w:t>引导公众参与。</w:t>
      </w:r>
      <w:r>
        <w:rPr>
          <w:rFonts w:ascii="Times New Roman" w:hAnsi="Times New Roman" w:eastAsia="仿宋_GB2312" w:cs="Times New Roman"/>
          <w:color w:val="auto"/>
          <w:kern w:val="2"/>
          <w:sz w:val="28"/>
          <w:szCs w:val="28"/>
          <w:highlight w:val="none"/>
          <w:lang w:val="en-US" w:eastAsia="zh-CN" w:bidi="ar-SA"/>
        </w:rPr>
        <w:t>提高公众生态保护修复意识，搭建公众参与平台，创新运用新媒体手段，宣传滹沱河水源保护区、太行山西部生态屏障、封龙山自然保护地、西山森林公园等重要生态红线区生态保护修复的基本常识和重要意义，开展志愿服务等公益活动，充分调动和激发公众参与的积极性，共同推进</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山水鹿泉</w:t>
      </w:r>
      <w:r>
        <w:rPr>
          <w:rFonts w:hint="eastAsia" w:ascii="Times New Roman" w:hAnsi="Times New Roman" w:eastAsia="仿宋_GB2312" w:cs="Times New Roman"/>
          <w:color w:val="auto"/>
          <w:kern w:val="2"/>
          <w:sz w:val="28"/>
          <w:szCs w:val="28"/>
          <w:highlight w:val="none"/>
          <w:lang w:val="en-US" w:eastAsia="zh-CN" w:bidi="ar-SA"/>
        </w:rPr>
        <w:t>”</w:t>
      </w:r>
      <w:r>
        <w:rPr>
          <w:rFonts w:ascii="Times New Roman" w:hAnsi="Times New Roman" w:eastAsia="仿宋_GB2312" w:cs="Times New Roman"/>
          <w:color w:val="auto"/>
          <w:kern w:val="2"/>
          <w:sz w:val="28"/>
          <w:szCs w:val="28"/>
          <w:highlight w:val="none"/>
          <w:lang w:val="en-US" w:eastAsia="zh-CN" w:bidi="ar-SA"/>
        </w:rPr>
        <w:t>的城市建设。</w:t>
      </w:r>
    </w:p>
    <w:p w14:paraId="25E96FB7">
      <w:pPr>
        <w:pStyle w:val="98"/>
        <w:ind w:left="480" w:firstLine="480"/>
        <w:rPr>
          <w:rFonts w:eastAsia="仿宋_GB2312" w:cs="Times New Roman"/>
          <w:highlight w:val="none"/>
        </w:rPr>
      </w:pPr>
    </w:p>
    <w:p w14:paraId="3FFD4EA9">
      <w:pPr>
        <w:ind w:firstLine="480"/>
        <w:rPr>
          <w:rFonts w:eastAsia="仿宋_GB2312" w:cs="Times New Roman"/>
          <w:highlight w:val="none"/>
        </w:rPr>
      </w:pPr>
      <w:r>
        <w:rPr>
          <w:rFonts w:eastAsia="仿宋_GB2312" w:cs="Times New Roman"/>
          <w:highlight w:val="none"/>
        </w:rPr>
        <w:br w:type="page"/>
      </w:r>
    </w:p>
    <w:p w14:paraId="7ABAA7A4">
      <w:pPr>
        <w:pStyle w:val="23"/>
        <w:ind w:firstLine="480"/>
        <w:rPr>
          <w:rFonts w:ascii="Times New Roman" w:hAnsi="Times New Roman"/>
          <w:highlight w:val="none"/>
        </w:rPr>
        <w:sectPr>
          <w:pgSz w:w="11906" w:h="16838"/>
          <w:pgMar w:top="1587" w:right="1417" w:bottom="1417" w:left="1587" w:header="851" w:footer="992" w:gutter="0"/>
          <w:pgNumType w:fmt="decimal"/>
          <w:cols w:space="425" w:num="1"/>
          <w:docGrid w:type="lines" w:linePitch="312" w:charSpace="0"/>
        </w:sectPr>
      </w:pPr>
    </w:p>
    <w:p w14:paraId="513FB9DE">
      <w:pPr>
        <w:pStyle w:val="5"/>
        <w:numPr>
          <w:ilvl w:val="0"/>
          <w:numId w:val="0"/>
        </w:numPr>
        <w:spacing w:line="240" w:lineRule="auto"/>
        <w:rPr>
          <w:rStyle w:val="103"/>
          <w:rFonts w:hint="eastAsia" w:eastAsia="仿宋_GB2312" w:cs="Times New Roman"/>
          <w:b/>
          <w:bCs/>
          <w:color w:val="000000" w:themeColor="text1"/>
          <w:sz w:val="36"/>
          <w:szCs w:val="36"/>
          <w:highlight w:val="none"/>
          <w:lang w:eastAsia="zh-CN"/>
          <w14:textFill>
            <w14:solidFill>
              <w14:schemeClr w14:val="tx1"/>
            </w14:solidFill>
          </w14:textFill>
        </w:rPr>
      </w:pPr>
      <w:bookmarkStart w:id="45" w:name="_Toc10892"/>
      <w:r>
        <w:rPr>
          <w:rStyle w:val="103"/>
          <w:rFonts w:eastAsia="仿宋_GB2312" w:cs="Times New Roman"/>
          <w:b/>
          <w:bCs/>
          <w:color w:val="000000" w:themeColor="text1"/>
          <w:sz w:val="36"/>
          <w:szCs w:val="36"/>
          <w:highlight w:val="none"/>
          <w14:textFill>
            <w14:solidFill>
              <w14:schemeClr w14:val="tx1"/>
            </w14:solidFill>
          </w14:textFill>
        </w:rPr>
        <w:t>附表</w:t>
      </w:r>
      <w:bookmarkEnd w:id="45"/>
    </w:p>
    <w:p w14:paraId="0E03193C">
      <w:pPr>
        <w:keepNext/>
        <w:keepLines/>
        <w:spacing w:line="240" w:lineRule="auto"/>
        <w:ind w:firstLine="0" w:firstLineChars="0"/>
        <w:jc w:val="center"/>
        <w:rPr>
          <w:rFonts w:eastAsia="仿宋_GB2312" w:cs="Times New Roman"/>
          <w:b/>
          <w:bCs/>
          <w:color w:val="000000" w:themeColor="text1"/>
          <w:sz w:val="32"/>
          <w:szCs w:val="32"/>
          <w:highlight w:val="none"/>
          <w14:textFill>
            <w14:solidFill>
              <w14:schemeClr w14:val="tx1"/>
            </w14:solidFill>
          </w14:textFill>
        </w:rPr>
      </w:pPr>
      <w:r>
        <w:rPr>
          <w:rFonts w:eastAsia="仿宋_GB2312" w:cs="Times New Roman"/>
          <w:b/>
          <w:bCs/>
          <w:color w:val="000000" w:themeColor="text1"/>
          <w:sz w:val="32"/>
          <w:szCs w:val="32"/>
          <w:highlight w:val="none"/>
          <w14:textFill>
            <w14:solidFill>
              <w14:schemeClr w14:val="tx1"/>
            </w14:solidFill>
          </w14:textFill>
        </w:rPr>
        <w:t>表1石家庄市鹿泉区国土空间生态修复规划分区</w:t>
      </w:r>
    </w:p>
    <w:p w14:paraId="3E7D9A78">
      <w:pPr>
        <w:spacing w:line="240" w:lineRule="auto"/>
        <w:ind w:firstLine="480"/>
        <w:jc w:val="right"/>
        <w:rPr>
          <w:rFonts w:eastAsia="仿宋_GB2312" w:cs="Times New Roman"/>
          <w:highlight w:val="none"/>
        </w:rPr>
      </w:pPr>
      <w:r>
        <w:rPr>
          <w:rFonts w:eastAsia="仿宋_GB2312" w:cs="Times New Roman"/>
          <w:highlight w:val="none"/>
        </w:rPr>
        <w:t>单位：平方千米</w:t>
      </w:r>
    </w:p>
    <w:tbl>
      <w:tblPr>
        <w:tblStyle w:val="88"/>
        <w:tblW w:w="0" w:type="auto"/>
        <w:jc w:val="center"/>
        <w:tblLayout w:type="fixed"/>
        <w:tblCellMar>
          <w:top w:w="0" w:type="dxa"/>
          <w:left w:w="108" w:type="dxa"/>
          <w:bottom w:w="0" w:type="dxa"/>
          <w:right w:w="108" w:type="dxa"/>
        </w:tblCellMar>
      </w:tblPr>
      <w:tblGrid>
        <w:gridCol w:w="725"/>
        <w:gridCol w:w="1762"/>
        <w:gridCol w:w="1481"/>
        <w:gridCol w:w="5682"/>
        <w:gridCol w:w="4400"/>
      </w:tblGrid>
      <w:tr w14:paraId="57B5554C">
        <w:tblPrEx>
          <w:tblCellMar>
            <w:top w:w="0" w:type="dxa"/>
            <w:left w:w="108" w:type="dxa"/>
            <w:bottom w:w="0" w:type="dxa"/>
            <w:right w:w="108" w:type="dxa"/>
          </w:tblCellMar>
        </w:tblPrEx>
        <w:trPr>
          <w:trHeight w:val="315" w:hRule="atLeast"/>
          <w:jc w:val="center"/>
        </w:trPr>
        <w:tc>
          <w:tcPr>
            <w:tcW w:w="725" w:type="dxa"/>
            <w:tcBorders>
              <w:top w:val="single" w:color="000000" w:sz="4" w:space="0"/>
              <w:left w:val="single" w:color="000000" w:sz="4" w:space="0"/>
              <w:bottom w:val="single" w:color="000000" w:sz="4" w:space="0"/>
              <w:right w:val="single" w:color="000000" w:sz="4" w:space="0"/>
            </w:tcBorders>
            <w:shd w:val="clear" w:color="auto" w:fill="D9E1F4"/>
            <w:noWrap/>
            <w:vAlign w:val="center"/>
          </w:tcPr>
          <w:p w14:paraId="0FECB6AC">
            <w:pPr>
              <w:spacing w:line="240" w:lineRule="auto"/>
              <w:ind w:firstLine="0" w:firstLineChars="0"/>
              <w:jc w:val="center"/>
              <w:textAlignment w:val="center"/>
              <w:rPr>
                <w:rFonts w:eastAsia="仿宋_GB2312" w:cs="Times New Roman"/>
                <w:b/>
                <w:bCs/>
                <w:color w:val="000000"/>
                <w:highlight w:val="none"/>
              </w:rPr>
            </w:pPr>
            <w:r>
              <w:rPr>
                <w:rFonts w:eastAsia="仿宋_GB2312" w:cs="Times New Roman"/>
                <w:b/>
                <w:bCs/>
                <w:color w:val="000000"/>
                <w:highlight w:val="none"/>
                <w:lang w:bidi="ar"/>
              </w:rPr>
              <w:t>序号</w:t>
            </w:r>
          </w:p>
        </w:tc>
        <w:tc>
          <w:tcPr>
            <w:tcW w:w="1762" w:type="dxa"/>
            <w:tcBorders>
              <w:top w:val="single" w:color="000000" w:sz="4" w:space="0"/>
              <w:left w:val="single" w:color="000000" w:sz="4" w:space="0"/>
              <w:bottom w:val="single" w:color="000000" w:sz="4" w:space="0"/>
              <w:right w:val="single" w:color="000000" w:sz="4" w:space="0"/>
            </w:tcBorders>
            <w:shd w:val="clear" w:color="auto" w:fill="D9E1F4"/>
            <w:noWrap/>
            <w:vAlign w:val="center"/>
          </w:tcPr>
          <w:p w14:paraId="0ACF52BF">
            <w:pPr>
              <w:spacing w:line="240" w:lineRule="auto"/>
              <w:ind w:firstLine="0" w:firstLineChars="0"/>
              <w:jc w:val="center"/>
              <w:textAlignment w:val="center"/>
              <w:rPr>
                <w:rFonts w:eastAsia="仿宋_GB2312" w:cs="Times New Roman"/>
                <w:b/>
                <w:bCs/>
                <w:color w:val="000000"/>
                <w:highlight w:val="none"/>
              </w:rPr>
            </w:pPr>
            <w:r>
              <w:rPr>
                <w:rFonts w:eastAsia="仿宋_GB2312" w:cs="Times New Roman"/>
                <w:b/>
                <w:bCs/>
                <w:color w:val="000000"/>
                <w:highlight w:val="none"/>
                <w:lang w:bidi="ar"/>
              </w:rPr>
              <w:t>分区名称</w:t>
            </w:r>
          </w:p>
        </w:tc>
        <w:tc>
          <w:tcPr>
            <w:tcW w:w="1481" w:type="dxa"/>
            <w:tcBorders>
              <w:top w:val="single" w:color="000000" w:sz="4" w:space="0"/>
              <w:left w:val="single" w:color="000000" w:sz="4" w:space="0"/>
              <w:bottom w:val="single" w:color="000000" w:sz="4" w:space="0"/>
              <w:right w:val="single" w:color="000000" w:sz="4" w:space="0"/>
            </w:tcBorders>
            <w:shd w:val="clear" w:color="auto" w:fill="D9E1F4"/>
            <w:noWrap/>
            <w:vAlign w:val="center"/>
          </w:tcPr>
          <w:p w14:paraId="24C744BB">
            <w:pPr>
              <w:spacing w:line="240" w:lineRule="auto"/>
              <w:ind w:firstLine="0" w:firstLineChars="0"/>
              <w:textAlignment w:val="center"/>
              <w:rPr>
                <w:rFonts w:eastAsia="仿宋_GB2312" w:cs="Times New Roman"/>
                <w:b/>
                <w:bCs/>
                <w:color w:val="000000"/>
                <w:highlight w:val="none"/>
              </w:rPr>
            </w:pPr>
            <w:r>
              <w:rPr>
                <w:rFonts w:eastAsia="仿宋_GB2312" w:cs="Times New Roman"/>
                <w:b/>
                <w:bCs/>
                <w:color w:val="000000"/>
                <w:highlight w:val="none"/>
                <w:lang w:bidi="ar"/>
              </w:rPr>
              <w:t>分区/重点区域面积</w:t>
            </w:r>
          </w:p>
        </w:tc>
        <w:tc>
          <w:tcPr>
            <w:tcW w:w="5682" w:type="dxa"/>
            <w:tcBorders>
              <w:top w:val="single" w:color="000000" w:sz="4" w:space="0"/>
              <w:left w:val="single" w:color="000000" w:sz="4" w:space="0"/>
              <w:bottom w:val="single" w:color="000000" w:sz="4" w:space="0"/>
              <w:right w:val="single" w:color="000000" w:sz="4" w:space="0"/>
            </w:tcBorders>
            <w:shd w:val="clear" w:color="auto" w:fill="D9E1F4"/>
            <w:noWrap/>
            <w:vAlign w:val="center"/>
          </w:tcPr>
          <w:p w14:paraId="09F08593">
            <w:pPr>
              <w:spacing w:line="240" w:lineRule="auto"/>
              <w:ind w:firstLine="482"/>
              <w:jc w:val="center"/>
              <w:textAlignment w:val="center"/>
              <w:rPr>
                <w:rFonts w:eastAsia="仿宋_GB2312" w:cs="Times New Roman"/>
                <w:b/>
                <w:bCs/>
                <w:color w:val="000000"/>
                <w:highlight w:val="none"/>
              </w:rPr>
            </w:pPr>
            <w:r>
              <w:rPr>
                <w:rFonts w:eastAsia="仿宋_GB2312" w:cs="Times New Roman"/>
                <w:b/>
                <w:bCs/>
                <w:color w:val="000000"/>
                <w:highlight w:val="none"/>
                <w:lang w:bidi="ar"/>
              </w:rPr>
              <w:t>涉及乡（镇）、村</w:t>
            </w:r>
          </w:p>
        </w:tc>
        <w:tc>
          <w:tcPr>
            <w:tcW w:w="4400" w:type="dxa"/>
            <w:tcBorders>
              <w:top w:val="single" w:color="000000" w:sz="4" w:space="0"/>
              <w:left w:val="single" w:color="000000" w:sz="4" w:space="0"/>
              <w:bottom w:val="single" w:color="000000" w:sz="4" w:space="0"/>
              <w:right w:val="single" w:color="000000" w:sz="4" w:space="0"/>
            </w:tcBorders>
            <w:shd w:val="clear" w:color="auto" w:fill="D9E1F4"/>
            <w:noWrap/>
            <w:vAlign w:val="center"/>
          </w:tcPr>
          <w:p w14:paraId="03F22363">
            <w:pPr>
              <w:spacing w:line="240" w:lineRule="auto"/>
              <w:ind w:firstLine="482"/>
              <w:jc w:val="center"/>
              <w:textAlignment w:val="center"/>
              <w:rPr>
                <w:rFonts w:eastAsia="仿宋_GB2312" w:cs="Times New Roman"/>
                <w:b/>
                <w:bCs/>
                <w:color w:val="000000"/>
                <w:highlight w:val="none"/>
              </w:rPr>
            </w:pPr>
            <w:r>
              <w:rPr>
                <w:rFonts w:eastAsia="仿宋_GB2312" w:cs="Times New Roman"/>
                <w:b/>
                <w:bCs/>
                <w:color w:val="000000"/>
                <w:highlight w:val="none"/>
                <w:lang w:bidi="ar"/>
              </w:rPr>
              <w:t>修复方向</w:t>
            </w:r>
          </w:p>
        </w:tc>
      </w:tr>
      <w:tr w14:paraId="40C23EF7">
        <w:tblPrEx>
          <w:tblCellMar>
            <w:top w:w="0" w:type="dxa"/>
            <w:left w:w="108" w:type="dxa"/>
            <w:bottom w:w="0" w:type="dxa"/>
            <w:right w:w="108" w:type="dxa"/>
          </w:tblCellMar>
        </w:tblPrEx>
        <w:trPr>
          <w:trHeight w:val="312" w:hRule="atLeast"/>
          <w:jc w:val="center"/>
        </w:trPr>
        <w:tc>
          <w:tcPr>
            <w:tcW w:w="7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C45F">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1</w:t>
            </w:r>
          </w:p>
        </w:tc>
        <w:tc>
          <w:tcPr>
            <w:tcW w:w="17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E7FB7A">
            <w:pPr>
              <w:spacing w:line="240" w:lineRule="auto"/>
              <w:ind w:firstLine="0" w:firstLineChars="0"/>
              <w:jc w:val="center"/>
              <w:textAlignment w:val="center"/>
              <w:rPr>
                <w:rFonts w:eastAsia="仿宋_GB2312" w:cs="Times New Roman"/>
                <w:b/>
                <w:bCs/>
                <w:color w:val="000000"/>
                <w:sz w:val="28"/>
                <w:szCs w:val="28"/>
                <w:highlight w:val="none"/>
              </w:rPr>
            </w:pPr>
            <w:r>
              <w:rPr>
                <w:rFonts w:eastAsia="仿宋_GB2312" w:cs="Times New Roman"/>
                <w:b/>
                <w:bCs/>
                <w:color w:val="000000"/>
                <w:sz w:val="28"/>
                <w:szCs w:val="28"/>
                <w:highlight w:val="none"/>
                <w:lang w:bidi="ar"/>
              </w:rPr>
              <w:t>北部滹沱河水源涵养区</w:t>
            </w:r>
          </w:p>
        </w:tc>
        <w:tc>
          <w:tcPr>
            <w:tcW w:w="148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47118">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126.93</w:t>
            </w:r>
          </w:p>
        </w:tc>
        <w:tc>
          <w:tcPr>
            <w:tcW w:w="5682" w:type="dxa"/>
            <w:vMerge w:val="restart"/>
            <w:tcBorders>
              <w:top w:val="single" w:color="000000" w:sz="4" w:space="0"/>
              <w:left w:val="single" w:color="000000" w:sz="4" w:space="0"/>
              <w:bottom w:val="nil"/>
              <w:right w:val="single" w:color="000000" w:sz="4" w:space="0"/>
            </w:tcBorders>
            <w:shd w:val="clear" w:color="auto" w:fill="auto"/>
            <w:vAlign w:val="center"/>
          </w:tcPr>
          <w:p w14:paraId="127FD1F1">
            <w:pPr>
              <w:spacing w:line="240" w:lineRule="auto"/>
              <w:ind w:firstLine="482"/>
              <w:jc w:val="left"/>
              <w:textAlignment w:val="center"/>
              <w:rPr>
                <w:rFonts w:eastAsia="仿宋_GB2312" w:cs="Times New Roman"/>
                <w:b/>
                <w:bCs/>
                <w:color w:val="000000"/>
                <w:highlight w:val="none"/>
              </w:rPr>
            </w:pPr>
            <w:r>
              <w:rPr>
                <w:rFonts w:eastAsia="仿宋_GB2312" w:cs="Times New Roman"/>
                <w:b/>
                <w:bCs/>
                <w:color w:val="000000"/>
                <w:highlight w:val="none"/>
                <w:lang w:bidi="ar"/>
              </w:rPr>
              <w:t>黄壁庄镇:</w:t>
            </w:r>
            <w:r>
              <w:rPr>
                <w:rFonts w:eastAsia="仿宋_GB2312" w:cs="Times New Roman"/>
                <w:color w:val="000000"/>
                <w:highlight w:val="none"/>
                <w:lang w:bidi="ar"/>
              </w:rPr>
              <w:t>北白砂、北庄、东升、古贤、黄壁庄、黄壁庄水库、林场、上黄壁、上吕、田村、下黄壁、沿村；</w:t>
            </w:r>
            <w:r>
              <w:rPr>
                <w:rFonts w:eastAsia="仿宋_GB2312" w:cs="Times New Roman"/>
                <w:b/>
                <w:bCs/>
                <w:color w:val="000000"/>
                <w:highlight w:val="none"/>
                <w:lang w:bidi="ar"/>
              </w:rPr>
              <w:t>李村镇：</w:t>
            </w:r>
            <w:r>
              <w:rPr>
                <w:rFonts w:eastAsia="仿宋_GB2312" w:cs="Times New Roman"/>
                <w:color w:val="000000"/>
                <w:highlight w:val="none"/>
                <w:lang w:bidi="ar"/>
              </w:rPr>
              <w:t>百尺杆、北胡庄、北许营、邓村、邓庄、东小壁、后东毗、灰壁、李村、孟庄、南白砂、南胡庄、南许营、前东毗、秦庄、同阁、屯头、王村、西小壁、向阳、闫同、张堡、郑村；</w:t>
            </w:r>
            <w:r>
              <w:rPr>
                <w:rFonts w:eastAsia="仿宋_GB2312" w:cs="Times New Roman"/>
                <w:b/>
                <w:bCs/>
                <w:color w:val="000000"/>
                <w:highlight w:val="none"/>
                <w:lang w:bidi="ar"/>
              </w:rPr>
              <w:t>宜安镇</w:t>
            </w:r>
            <w:r>
              <w:rPr>
                <w:rFonts w:eastAsia="仿宋_GB2312" w:cs="Times New Roman"/>
                <w:color w:val="000000"/>
                <w:highlight w:val="none"/>
                <w:lang w:bidi="ar"/>
              </w:rPr>
              <w:t>：北鲍庄、东鲍庄、东邱陵、马山、孟岭、南鲍庄、裴村、田都、西鲍庄、西邱陵、新寨、永乐、庄头</w:t>
            </w:r>
          </w:p>
        </w:tc>
        <w:tc>
          <w:tcPr>
            <w:tcW w:w="4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D1F9FD">
            <w:pPr>
              <w:spacing w:line="240" w:lineRule="auto"/>
              <w:ind w:firstLine="480"/>
              <w:jc w:val="center"/>
              <w:textAlignment w:val="center"/>
              <w:rPr>
                <w:rFonts w:eastAsia="仿宋_GB2312" w:cs="Times New Roman"/>
                <w:color w:val="000000"/>
                <w:highlight w:val="none"/>
              </w:rPr>
            </w:pPr>
            <w:r>
              <w:rPr>
                <w:rFonts w:eastAsia="仿宋_GB2312" w:cs="Times New Roman"/>
                <w:color w:val="000000"/>
                <w:highlight w:val="none"/>
                <w:lang w:bidi="ar"/>
              </w:rPr>
              <w:t>依托滹沱河生态经济带，加大水源保护区保护力度，建设生态缓冲带，提升水源涵养功能，统筹实施水系连通，采取以小流域为单元的水土流失综合治理，维护生物多样性。与灵寿县、正定县共同维护滹沱河生态修复成果，继续推进河道清障，增加河流两岸蓝绿空间，提升河流廊道连通性和水文调蓄和湿地生态功能</w:t>
            </w:r>
          </w:p>
        </w:tc>
      </w:tr>
      <w:tr w14:paraId="4B722611">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F6A57">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4B347">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B1796">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753F1EE1">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4F3946">
            <w:pPr>
              <w:spacing w:line="240" w:lineRule="auto"/>
              <w:ind w:firstLine="480"/>
              <w:jc w:val="center"/>
              <w:rPr>
                <w:rFonts w:eastAsia="仿宋_GB2312" w:cs="Times New Roman"/>
                <w:color w:val="000000"/>
                <w:highlight w:val="none"/>
              </w:rPr>
            </w:pPr>
          </w:p>
        </w:tc>
      </w:tr>
      <w:tr w14:paraId="4D98F2D9">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9961E">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5698A">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6BBAD">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36DE71A9">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79A65">
            <w:pPr>
              <w:spacing w:line="240" w:lineRule="auto"/>
              <w:ind w:firstLine="480"/>
              <w:jc w:val="center"/>
              <w:rPr>
                <w:rFonts w:eastAsia="仿宋_GB2312" w:cs="Times New Roman"/>
                <w:color w:val="000000"/>
                <w:highlight w:val="none"/>
              </w:rPr>
            </w:pPr>
          </w:p>
        </w:tc>
      </w:tr>
      <w:tr w14:paraId="32D739E6">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20A17">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7F10F2">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3257E">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0A388DFE">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E6719F">
            <w:pPr>
              <w:spacing w:line="240" w:lineRule="auto"/>
              <w:ind w:firstLine="480"/>
              <w:jc w:val="center"/>
              <w:rPr>
                <w:rFonts w:eastAsia="仿宋_GB2312" w:cs="Times New Roman"/>
                <w:color w:val="000000"/>
                <w:highlight w:val="none"/>
              </w:rPr>
            </w:pPr>
          </w:p>
        </w:tc>
      </w:tr>
      <w:tr w14:paraId="25C48344">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DF0AD">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8630A">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96C6E">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0A91C997">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252EBB">
            <w:pPr>
              <w:spacing w:line="240" w:lineRule="auto"/>
              <w:ind w:firstLine="480"/>
              <w:jc w:val="center"/>
              <w:rPr>
                <w:rFonts w:eastAsia="仿宋_GB2312" w:cs="Times New Roman"/>
                <w:color w:val="000000"/>
                <w:highlight w:val="none"/>
              </w:rPr>
            </w:pPr>
          </w:p>
        </w:tc>
      </w:tr>
      <w:tr w14:paraId="7F72F5A9">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A3AE6">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6B6CE2">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E7F0D">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2F4410D6">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50E57E">
            <w:pPr>
              <w:spacing w:line="240" w:lineRule="auto"/>
              <w:ind w:firstLine="480"/>
              <w:jc w:val="center"/>
              <w:rPr>
                <w:rFonts w:eastAsia="仿宋_GB2312" w:cs="Times New Roman"/>
                <w:color w:val="000000"/>
                <w:highlight w:val="none"/>
              </w:rPr>
            </w:pPr>
          </w:p>
        </w:tc>
      </w:tr>
      <w:tr w14:paraId="3198D27A">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33FBD">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EB5DE1">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5B087">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681107E7">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DB1B3">
            <w:pPr>
              <w:spacing w:line="240" w:lineRule="auto"/>
              <w:ind w:firstLine="480"/>
              <w:jc w:val="center"/>
              <w:rPr>
                <w:rFonts w:eastAsia="仿宋_GB2312" w:cs="Times New Roman"/>
                <w:color w:val="000000"/>
                <w:highlight w:val="none"/>
              </w:rPr>
            </w:pPr>
          </w:p>
        </w:tc>
      </w:tr>
      <w:tr w14:paraId="38ADDC44">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CF594">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E0F04">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8C014">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639A956D">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87897A">
            <w:pPr>
              <w:spacing w:line="240" w:lineRule="auto"/>
              <w:ind w:firstLine="480"/>
              <w:jc w:val="center"/>
              <w:rPr>
                <w:rFonts w:eastAsia="仿宋_GB2312" w:cs="Times New Roman"/>
                <w:color w:val="000000"/>
                <w:highlight w:val="none"/>
              </w:rPr>
            </w:pPr>
          </w:p>
        </w:tc>
      </w:tr>
      <w:tr w14:paraId="6F93D6AD">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4B0C7">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15E57">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39FA9">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22528728">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5A92F">
            <w:pPr>
              <w:spacing w:line="240" w:lineRule="auto"/>
              <w:ind w:firstLine="480"/>
              <w:jc w:val="center"/>
              <w:rPr>
                <w:rFonts w:eastAsia="仿宋_GB2312" w:cs="Times New Roman"/>
                <w:color w:val="000000"/>
                <w:highlight w:val="none"/>
              </w:rPr>
            </w:pPr>
          </w:p>
        </w:tc>
      </w:tr>
      <w:tr w14:paraId="3743C1C5">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83DEC">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1B897C">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D9080">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71BF17A0">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94602">
            <w:pPr>
              <w:spacing w:line="240" w:lineRule="auto"/>
              <w:ind w:firstLine="480"/>
              <w:jc w:val="center"/>
              <w:rPr>
                <w:rFonts w:eastAsia="仿宋_GB2312" w:cs="Times New Roman"/>
                <w:color w:val="000000"/>
                <w:highlight w:val="none"/>
              </w:rPr>
            </w:pPr>
          </w:p>
        </w:tc>
      </w:tr>
      <w:tr w14:paraId="36DE5F99">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AED67">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3F2AB">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35ABF">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543288BB">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A9D463">
            <w:pPr>
              <w:spacing w:line="240" w:lineRule="auto"/>
              <w:ind w:firstLine="480"/>
              <w:jc w:val="center"/>
              <w:rPr>
                <w:rFonts w:eastAsia="仿宋_GB2312" w:cs="Times New Roman"/>
                <w:color w:val="000000"/>
                <w:highlight w:val="none"/>
              </w:rPr>
            </w:pPr>
          </w:p>
        </w:tc>
      </w:tr>
      <w:tr w14:paraId="337629AB">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AD274">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14092A">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8CCE5">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3D7BA46B">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96C7BC">
            <w:pPr>
              <w:spacing w:line="240" w:lineRule="auto"/>
              <w:ind w:firstLine="480"/>
              <w:jc w:val="center"/>
              <w:rPr>
                <w:rFonts w:eastAsia="仿宋_GB2312" w:cs="Times New Roman"/>
                <w:color w:val="000000"/>
                <w:highlight w:val="none"/>
              </w:rPr>
            </w:pPr>
          </w:p>
        </w:tc>
      </w:tr>
      <w:tr w14:paraId="161452D1">
        <w:tblPrEx>
          <w:tblCellMar>
            <w:top w:w="0" w:type="dxa"/>
            <w:left w:w="108" w:type="dxa"/>
            <w:bottom w:w="0" w:type="dxa"/>
            <w:right w:w="108" w:type="dxa"/>
          </w:tblCellMar>
        </w:tblPrEx>
        <w:trPr>
          <w:trHeight w:val="312" w:hRule="atLeast"/>
          <w:jc w:val="center"/>
        </w:trPr>
        <w:tc>
          <w:tcPr>
            <w:tcW w:w="7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BEA91">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2</w:t>
            </w:r>
          </w:p>
        </w:tc>
        <w:tc>
          <w:tcPr>
            <w:tcW w:w="17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A78BC4">
            <w:pPr>
              <w:spacing w:line="240" w:lineRule="auto"/>
              <w:ind w:firstLine="0" w:firstLineChars="0"/>
              <w:textAlignment w:val="center"/>
              <w:rPr>
                <w:rFonts w:hint="eastAsia" w:eastAsia="仿宋_GB2312" w:cs="Times New Roman"/>
                <w:b/>
                <w:bCs/>
                <w:color w:val="000000"/>
                <w:sz w:val="28"/>
                <w:szCs w:val="28"/>
                <w:highlight w:val="none"/>
                <w:lang w:eastAsia="zh-CN"/>
              </w:rPr>
            </w:pPr>
            <w:r>
              <w:rPr>
                <w:rFonts w:hint="eastAsia" w:eastAsia="仿宋_GB2312" w:cs="Times New Roman"/>
                <w:b/>
                <w:bCs/>
                <w:color w:val="000000"/>
                <w:sz w:val="28"/>
                <w:szCs w:val="28"/>
                <w:highlight w:val="none"/>
                <w:lang w:eastAsia="zh-CN" w:bidi="ar"/>
              </w:rPr>
              <w:t>西部太行山水土保持与矿山生态修复区</w:t>
            </w:r>
          </w:p>
        </w:tc>
        <w:tc>
          <w:tcPr>
            <w:tcW w:w="148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19716">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236.96</w:t>
            </w:r>
          </w:p>
        </w:tc>
        <w:tc>
          <w:tcPr>
            <w:tcW w:w="56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278599">
            <w:pPr>
              <w:spacing w:line="240" w:lineRule="auto"/>
              <w:ind w:firstLine="482"/>
              <w:jc w:val="center"/>
              <w:textAlignment w:val="center"/>
              <w:rPr>
                <w:rFonts w:eastAsia="仿宋_GB2312" w:cs="Times New Roman"/>
                <w:b/>
                <w:bCs/>
                <w:color w:val="000000"/>
                <w:highlight w:val="none"/>
              </w:rPr>
            </w:pPr>
            <w:r>
              <w:rPr>
                <w:rFonts w:eastAsia="仿宋_GB2312" w:cs="Times New Roman"/>
                <w:b/>
                <w:bCs/>
                <w:color w:val="000000"/>
                <w:highlight w:val="none"/>
                <w:lang w:bidi="ar"/>
              </w:rPr>
              <w:t>白鹿泉乡：</w:t>
            </w:r>
            <w:r>
              <w:rPr>
                <w:rFonts w:eastAsia="仿宋_GB2312" w:cs="Times New Roman"/>
                <w:color w:val="000000"/>
                <w:highlight w:val="none"/>
                <w:lang w:bidi="ar"/>
              </w:rPr>
              <w:t>白鹿泉、曹家坊、东胡申、东土门、段庄、谷家峪、荷莲峪、梁庄、郄庄、上聂庄、水峪、武家庄、西胡申、西土门、西薛庄、西杨庄、枣林</w:t>
            </w:r>
            <w:r>
              <w:rPr>
                <w:rFonts w:eastAsia="仿宋_GB2312" w:cs="Times New Roman"/>
                <w:b/>
                <w:bCs/>
                <w:color w:val="000000"/>
                <w:highlight w:val="none"/>
                <w:lang w:bidi="ar"/>
              </w:rPr>
              <w:t>；大河镇：</w:t>
            </w:r>
            <w:r>
              <w:rPr>
                <w:rFonts w:eastAsia="仿宋_GB2312" w:cs="Times New Roman"/>
                <w:color w:val="000000"/>
                <w:highlight w:val="none"/>
                <w:lang w:bidi="ar"/>
              </w:rPr>
              <w:t>刘庄、山前、小栈道；</w:t>
            </w:r>
            <w:r>
              <w:rPr>
                <w:rFonts w:eastAsia="仿宋_GB2312" w:cs="Times New Roman"/>
                <w:b/>
                <w:bCs/>
                <w:color w:val="000000"/>
                <w:highlight w:val="none"/>
                <w:lang w:bidi="ar"/>
              </w:rPr>
              <w:t>获鹿镇</w:t>
            </w:r>
            <w:r>
              <w:rPr>
                <w:rFonts w:eastAsia="仿宋_GB2312" w:cs="Times New Roman"/>
                <w:color w:val="000000"/>
                <w:highlight w:val="none"/>
                <w:lang w:bidi="ar"/>
              </w:rPr>
              <w:t>：黄峪、下聂庄；</w:t>
            </w:r>
            <w:r>
              <w:rPr>
                <w:rFonts w:eastAsia="仿宋_GB2312" w:cs="Times New Roman"/>
                <w:b/>
                <w:bCs/>
                <w:color w:val="000000"/>
                <w:highlight w:val="none"/>
                <w:lang w:bidi="ar"/>
              </w:rPr>
              <w:t>山尹村镇：</w:t>
            </w:r>
            <w:r>
              <w:rPr>
                <w:rFonts w:eastAsia="仿宋_GB2312" w:cs="Times New Roman"/>
                <w:color w:val="000000"/>
                <w:highlight w:val="none"/>
                <w:lang w:bidi="ar"/>
              </w:rPr>
              <w:t>底下园、龙风胡水库、山南张庄、西郭庄</w:t>
            </w:r>
            <w:r>
              <w:rPr>
                <w:rFonts w:eastAsia="仿宋_GB2312" w:cs="Times New Roman"/>
                <w:b/>
                <w:bCs/>
                <w:color w:val="000000"/>
                <w:highlight w:val="none"/>
                <w:lang w:bidi="ar"/>
              </w:rPr>
              <w:t>；上寨乡：</w:t>
            </w:r>
            <w:r>
              <w:rPr>
                <w:rFonts w:eastAsia="仿宋_GB2312" w:cs="Times New Roman"/>
                <w:color w:val="000000"/>
                <w:highlight w:val="none"/>
                <w:lang w:bidi="ar"/>
              </w:rPr>
              <w:t>上寨、常河、梁家庄、南寨、北寨；</w:t>
            </w:r>
            <w:r>
              <w:rPr>
                <w:rFonts w:eastAsia="仿宋_GB2312" w:cs="Times New Roman"/>
                <w:b/>
                <w:bCs/>
                <w:color w:val="000000"/>
                <w:highlight w:val="none"/>
                <w:lang w:bidi="ar"/>
              </w:rPr>
              <w:t>上庄镇：</w:t>
            </w:r>
            <w:r>
              <w:rPr>
                <w:rFonts w:eastAsia="仿宋_GB2312" w:cs="Times New Roman"/>
                <w:color w:val="000000"/>
                <w:highlight w:val="none"/>
                <w:lang w:bidi="ar"/>
              </w:rPr>
              <w:t>洞沟、谷庄村、韩庄、王家庄、小车行、小李庄、钟庄、庄窝</w:t>
            </w:r>
            <w:r>
              <w:rPr>
                <w:rFonts w:eastAsia="仿宋_GB2312" w:cs="Times New Roman"/>
                <w:b/>
                <w:bCs/>
                <w:color w:val="000000"/>
                <w:highlight w:val="none"/>
                <w:lang w:bidi="ar"/>
              </w:rPr>
              <w:t>；石井乡：</w:t>
            </w:r>
            <w:r>
              <w:rPr>
                <w:rFonts w:eastAsia="仿宋_GB2312" w:cs="Times New Roman"/>
                <w:color w:val="000000"/>
                <w:highlight w:val="none"/>
                <w:lang w:bidi="ar"/>
              </w:rPr>
              <w:t>岸下、北薛庄、东庄、封庄、黄岩、石井、天井沟、栈道、张庄</w:t>
            </w:r>
            <w:r>
              <w:rPr>
                <w:rFonts w:eastAsia="仿宋_GB2312" w:cs="Times New Roman"/>
                <w:b/>
                <w:bCs/>
                <w:color w:val="000000"/>
                <w:highlight w:val="none"/>
                <w:lang w:bidi="ar"/>
              </w:rPr>
              <w:t>；铜冶镇：</w:t>
            </w:r>
            <w:r>
              <w:rPr>
                <w:rFonts w:eastAsia="仿宋_GB2312" w:cs="Times New Roman"/>
                <w:color w:val="000000"/>
                <w:highlight w:val="none"/>
                <w:lang w:bidi="ar"/>
              </w:rPr>
              <w:t>北故邑、东任村、岭底、南故邑、南任村、乔门沟、西任村</w:t>
            </w:r>
            <w:r>
              <w:rPr>
                <w:rFonts w:eastAsia="仿宋_GB2312" w:cs="Times New Roman"/>
                <w:b/>
                <w:bCs/>
                <w:color w:val="000000"/>
                <w:highlight w:val="none"/>
                <w:lang w:bidi="ar"/>
              </w:rPr>
              <w:t>；宜安镇：</w:t>
            </w:r>
            <w:r>
              <w:rPr>
                <w:rFonts w:eastAsia="仿宋_GB2312" w:cs="Times New Roman"/>
                <w:color w:val="000000"/>
                <w:highlight w:val="none"/>
                <w:lang w:bidi="ar"/>
              </w:rPr>
              <w:t>东焦东队、东焦西队、东焦中队、高家台、高家窑、岭口、牛山、王屋、宜安、于庄</w:t>
            </w:r>
            <w:r>
              <w:rPr>
                <w:rFonts w:eastAsia="仿宋_GB2312" w:cs="Times New Roman"/>
                <w:b/>
                <w:bCs/>
                <w:color w:val="000000"/>
                <w:highlight w:val="none"/>
                <w:lang w:bidi="ar"/>
              </w:rPr>
              <w:t>；</w:t>
            </w:r>
          </w:p>
        </w:tc>
        <w:tc>
          <w:tcPr>
            <w:tcW w:w="4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95889A">
            <w:pPr>
              <w:spacing w:line="240" w:lineRule="auto"/>
              <w:ind w:firstLine="480"/>
              <w:jc w:val="center"/>
              <w:textAlignment w:val="center"/>
              <w:rPr>
                <w:rFonts w:eastAsia="仿宋_GB2312" w:cs="Times New Roman"/>
                <w:color w:val="000000"/>
                <w:highlight w:val="none"/>
              </w:rPr>
            </w:pPr>
            <w:r>
              <w:rPr>
                <w:rFonts w:eastAsia="仿宋_GB2312" w:cs="Times New Roman"/>
                <w:color w:val="000000"/>
                <w:highlight w:val="none"/>
                <w:lang w:bidi="ar"/>
              </w:rPr>
              <w:t>开展太行山造林绿化、历史遗留矿山修复，治理水土流失、维护生物多样性，加强森林抚育，调整优化林分结构，提高森林生态系统稳定性和林地产出效率，维护生物多样性。对废弃矿山进行治理、修复、绿化、复垦，采取自然恢复和人工辅助修复策略，助推绿色矿山建设</w:t>
            </w:r>
          </w:p>
        </w:tc>
      </w:tr>
      <w:tr w14:paraId="62840839">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A0998">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EFA75">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B064E">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D41AF">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0C2D65">
            <w:pPr>
              <w:spacing w:line="240" w:lineRule="auto"/>
              <w:ind w:firstLine="480"/>
              <w:jc w:val="center"/>
              <w:rPr>
                <w:rFonts w:eastAsia="仿宋_GB2312" w:cs="Times New Roman"/>
                <w:color w:val="000000"/>
                <w:highlight w:val="none"/>
              </w:rPr>
            </w:pPr>
          </w:p>
        </w:tc>
      </w:tr>
      <w:tr w14:paraId="4CCDABA7">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EF788">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4A2560">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9DA49">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B286C">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6ECCA5">
            <w:pPr>
              <w:spacing w:line="240" w:lineRule="auto"/>
              <w:ind w:firstLine="480"/>
              <w:jc w:val="center"/>
              <w:rPr>
                <w:rFonts w:eastAsia="仿宋_GB2312" w:cs="Times New Roman"/>
                <w:color w:val="000000"/>
                <w:highlight w:val="none"/>
              </w:rPr>
            </w:pPr>
          </w:p>
        </w:tc>
      </w:tr>
      <w:tr w14:paraId="76188267">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61C6B">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985099">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10BD3">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EC5A2A">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AA475C">
            <w:pPr>
              <w:spacing w:line="240" w:lineRule="auto"/>
              <w:ind w:firstLine="480"/>
              <w:jc w:val="center"/>
              <w:rPr>
                <w:rFonts w:eastAsia="仿宋_GB2312" w:cs="Times New Roman"/>
                <w:color w:val="000000"/>
                <w:highlight w:val="none"/>
              </w:rPr>
            </w:pPr>
          </w:p>
        </w:tc>
      </w:tr>
      <w:tr w14:paraId="332F4904">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56E82">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52C81F">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1F0F9">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B59A6">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801382">
            <w:pPr>
              <w:spacing w:line="240" w:lineRule="auto"/>
              <w:ind w:firstLine="480"/>
              <w:jc w:val="center"/>
              <w:rPr>
                <w:rFonts w:eastAsia="仿宋_GB2312" w:cs="Times New Roman"/>
                <w:color w:val="000000"/>
                <w:highlight w:val="none"/>
              </w:rPr>
            </w:pPr>
          </w:p>
        </w:tc>
      </w:tr>
      <w:tr w14:paraId="52E1747C">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A8E42">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1A25C">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7B77A">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CFF419">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2984B6">
            <w:pPr>
              <w:spacing w:line="240" w:lineRule="auto"/>
              <w:ind w:firstLine="480"/>
              <w:jc w:val="center"/>
              <w:rPr>
                <w:rFonts w:eastAsia="仿宋_GB2312" w:cs="Times New Roman"/>
                <w:color w:val="000000"/>
                <w:highlight w:val="none"/>
              </w:rPr>
            </w:pPr>
          </w:p>
        </w:tc>
      </w:tr>
      <w:tr w14:paraId="4A9630F8">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39034">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6CC4C">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A853C">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DA4655">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C0A75">
            <w:pPr>
              <w:spacing w:line="240" w:lineRule="auto"/>
              <w:ind w:firstLine="480"/>
              <w:jc w:val="center"/>
              <w:rPr>
                <w:rFonts w:eastAsia="仿宋_GB2312" w:cs="Times New Roman"/>
                <w:color w:val="000000"/>
                <w:highlight w:val="none"/>
              </w:rPr>
            </w:pPr>
          </w:p>
        </w:tc>
      </w:tr>
      <w:tr w14:paraId="204085FF">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E3403">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8F42A">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99035">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F19DA">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7F9550">
            <w:pPr>
              <w:spacing w:line="240" w:lineRule="auto"/>
              <w:ind w:firstLine="480"/>
              <w:jc w:val="center"/>
              <w:rPr>
                <w:rFonts w:eastAsia="仿宋_GB2312" w:cs="Times New Roman"/>
                <w:color w:val="000000"/>
                <w:highlight w:val="none"/>
              </w:rPr>
            </w:pPr>
          </w:p>
        </w:tc>
      </w:tr>
      <w:tr w14:paraId="6906A052">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CDA50">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17122A">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CCE17">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1337B">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C31EF2">
            <w:pPr>
              <w:spacing w:line="240" w:lineRule="auto"/>
              <w:ind w:firstLine="480"/>
              <w:jc w:val="center"/>
              <w:rPr>
                <w:rFonts w:eastAsia="仿宋_GB2312" w:cs="Times New Roman"/>
                <w:color w:val="000000"/>
                <w:highlight w:val="none"/>
              </w:rPr>
            </w:pPr>
          </w:p>
        </w:tc>
      </w:tr>
      <w:tr w14:paraId="2BFF6335">
        <w:tblPrEx>
          <w:tblCellMar>
            <w:top w:w="0" w:type="dxa"/>
            <w:left w:w="108" w:type="dxa"/>
            <w:bottom w:w="0" w:type="dxa"/>
            <w:right w:w="108" w:type="dxa"/>
          </w:tblCellMar>
        </w:tblPrEx>
        <w:trPr>
          <w:trHeight w:val="312" w:hRule="atLeast"/>
          <w:jc w:val="center"/>
        </w:trPr>
        <w:tc>
          <w:tcPr>
            <w:tcW w:w="7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25208">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3</w:t>
            </w:r>
          </w:p>
        </w:tc>
        <w:tc>
          <w:tcPr>
            <w:tcW w:w="1762" w:type="dxa"/>
            <w:vMerge w:val="restart"/>
            <w:tcBorders>
              <w:top w:val="single" w:color="000000" w:sz="4" w:space="0"/>
              <w:left w:val="single" w:color="000000" w:sz="4" w:space="0"/>
              <w:bottom w:val="nil"/>
              <w:right w:val="single" w:color="000000" w:sz="4" w:space="0"/>
            </w:tcBorders>
            <w:shd w:val="clear" w:color="auto" w:fill="auto"/>
            <w:vAlign w:val="center"/>
          </w:tcPr>
          <w:p w14:paraId="2A70DD85">
            <w:pPr>
              <w:spacing w:line="240" w:lineRule="auto"/>
              <w:ind w:firstLine="0" w:firstLineChars="0"/>
              <w:textAlignment w:val="center"/>
              <w:rPr>
                <w:rFonts w:eastAsia="仿宋_GB2312" w:cs="Times New Roman"/>
                <w:b/>
                <w:bCs/>
                <w:color w:val="000000"/>
                <w:sz w:val="28"/>
                <w:szCs w:val="28"/>
                <w:highlight w:val="none"/>
              </w:rPr>
            </w:pPr>
            <w:r>
              <w:rPr>
                <w:rFonts w:eastAsia="仿宋_GB2312" w:cs="Times New Roman"/>
                <w:b/>
                <w:bCs/>
                <w:color w:val="000000"/>
                <w:sz w:val="28"/>
                <w:szCs w:val="28"/>
                <w:highlight w:val="none"/>
                <w:lang w:bidi="ar"/>
              </w:rPr>
              <w:t>南部平原乡村环境提升区</w:t>
            </w:r>
          </w:p>
        </w:tc>
        <w:tc>
          <w:tcPr>
            <w:tcW w:w="1481" w:type="dxa"/>
            <w:vMerge w:val="restart"/>
            <w:tcBorders>
              <w:top w:val="single" w:color="000000" w:sz="4" w:space="0"/>
              <w:left w:val="single" w:color="000000" w:sz="4" w:space="0"/>
              <w:bottom w:val="nil"/>
              <w:right w:val="single" w:color="000000" w:sz="4" w:space="0"/>
            </w:tcBorders>
            <w:shd w:val="clear" w:color="auto" w:fill="auto"/>
            <w:noWrap/>
            <w:vAlign w:val="center"/>
          </w:tcPr>
          <w:p w14:paraId="660301F7">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120.18</w:t>
            </w:r>
          </w:p>
        </w:tc>
        <w:tc>
          <w:tcPr>
            <w:tcW w:w="5682" w:type="dxa"/>
            <w:vMerge w:val="restart"/>
            <w:tcBorders>
              <w:top w:val="single" w:color="000000" w:sz="4" w:space="0"/>
              <w:left w:val="single" w:color="000000" w:sz="4" w:space="0"/>
              <w:bottom w:val="nil"/>
              <w:right w:val="single" w:color="000000" w:sz="4" w:space="0"/>
            </w:tcBorders>
            <w:shd w:val="clear" w:color="auto" w:fill="auto"/>
            <w:vAlign w:val="center"/>
          </w:tcPr>
          <w:p w14:paraId="340E5FA1">
            <w:pPr>
              <w:spacing w:line="240" w:lineRule="auto"/>
              <w:ind w:firstLine="482"/>
              <w:jc w:val="left"/>
              <w:textAlignment w:val="center"/>
              <w:rPr>
                <w:rFonts w:eastAsia="仿宋_GB2312" w:cs="Times New Roman"/>
                <w:b/>
                <w:bCs/>
                <w:color w:val="000000"/>
                <w:highlight w:val="none"/>
              </w:rPr>
            </w:pPr>
            <w:r>
              <w:rPr>
                <w:rFonts w:eastAsia="仿宋_GB2312" w:cs="Times New Roman"/>
                <w:b/>
                <w:bCs/>
                <w:color w:val="000000"/>
                <w:highlight w:val="none"/>
                <w:lang w:bidi="ar"/>
              </w:rPr>
              <w:t>山尹村镇：</w:t>
            </w:r>
            <w:r>
              <w:rPr>
                <w:rFonts w:eastAsia="仿宋_GB2312" w:cs="Times New Roman"/>
                <w:color w:val="000000"/>
                <w:highlight w:val="none"/>
                <w:lang w:bidi="ar"/>
              </w:rPr>
              <w:t>东郭庄、韩家园、南平同、山尹村；</w:t>
            </w:r>
            <w:r>
              <w:rPr>
                <w:rFonts w:eastAsia="仿宋_GB2312" w:cs="Times New Roman"/>
                <w:b/>
                <w:bCs/>
                <w:color w:val="000000"/>
                <w:highlight w:val="none"/>
                <w:lang w:bidi="ar"/>
              </w:rPr>
              <w:t>寺家庄镇：</w:t>
            </w:r>
            <w:r>
              <w:rPr>
                <w:rFonts w:eastAsia="仿宋_GB2312" w:cs="Times New Roman"/>
                <w:color w:val="000000"/>
                <w:highlight w:val="none"/>
                <w:lang w:bidi="ar"/>
              </w:rPr>
              <w:t>东良政、东营北街、东营东街、东营西街、岗上、高迁北街、高迁东街、高迁西街、南降壁、南龙贵、平北、平南、寺家庄、西良政、西龙贵</w:t>
            </w:r>
            <w:r>
              <w:rPr>
                <w:rFonts w:eastAsia="仿宋_GB2312" w:cs="Times New Roman"/>
                <w:b/>
                <w:bCs/>
                <w:color w:val="000000"/>
                <w:highlight w:val="none"/>
                <w:lang w:bidi="ar"/>
              </w:rPr>
              <w:t>；铜冶镇：</w:t>
            </w:r>
            <w:r>
              <w:rPr>
                <w:rFonts w:eastAsia="仿宋_GB2312" w:cs="Times New Roman"/>
                <w:color w:val="000000"/>
                <w:highlight w:val="none"/>
                <w:lang w:bidi="ar"/>
              </w:rPr>
              <w:t>北甘子、北降壁、北铜冶、耿家庄、莲花营、南杜村、南甘子、南李家庄、南铜冶、南张家庄、西良厢、西铜冶、小张庄、羊角庄、永壁北街、永壁东街、永壁南街、永壁西街</w:t>
            </w:r>
            <w:r>
              <w:rPr>
                <w:rFonts w:eastAsia="仿宋_GB2312" w:cs="Times New Roman"/>
                <w:b/>
                <w:bCs/>
                <w:color w:val="000000"/>
                <w:highlight w:val="none"/>
                <w:lang w:bidi="ar"/>
              </w:rPr>
              <w:t>；上庄镇：</w:t>
            </w:r>
            <w:r>
              <w:rPr>
                <w:rFonts w:eastAsia="仿宋_GB2312" w:cs="Times New Roman"/>
                <w:color w:val="000000"/>
                <w:highlight w:val="none"/>
                <w:lang w:bidi="ar"/>
              </w:rPr>
              <w:t>大车行、大宋楼、南庄、台头、小宋楼</w:t>
            </w:r>
          </w:p>
        </w:tc>
        <w:tc>
          <w:tcPr>
            <w:tcW w:w="4400" w:type="dxa"/>
            <w:vMerge w:val="restart"/>
            <w:tcBorders>
              <w:top w:val="single" w:color="000000" w:sz="4" w:space="0"/>
              <w:left w:val="single" w:color="000000" w:sz="4" w:space="0"/>
              <w:bottom w:val="nil"/>
              <w:right w:val="single" w:color="000000" w:sz="4" w:space="0"/>
            </w:tcBorders>
            <w:shd w:val="clear" w:color="auto" w:fill="auto"/>
            <w:vAlign w:val="center"/>
          </w:tcPr>
          <w:p w14:paraId="1B965477">
            <w:pPr>
              <w:spacing w:line="240" w:lineRule="auto"/>
              <w:ind w:firstLine="480"/>
              <w:jc w:val="center"/>
              <w:textAlignment w:val="center"/>
              <w:rPr>
                <w:rFonts w:eastAsia="仿宋_GB2312" w:cs="Times New Roman"/>
                <w:color w:val="000000"/>
                <w:highlight w:val="none"/>
              </w:rPr>
            </w:pPr>
            <w:r>
              <w:rPr>
                <w:rFonts w:eastAsia="仿宋_GB2312" w:cs="Times New Roman"/>
                <w:color w:val="000000"/>
                <w:highlight w:val="none"/>
                <w:lang w:bidi="ar"/>
              </w:rPr>
              <w:t>加强乡村人居环境整治，开展水美乡村建设，打造宜居宜业和美乡村。开展小流域治理，统筹实施水系连通</w:t>
            </w:r>
          </w:p>
        </w:tc>
      </w:tr>
      <w:tr w14:paraId="2C7B0C95">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836D3">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27B6C95E">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355FF388">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17921C85">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491F3ABE">
            <w:pPr>
              <w:spacing w:line="240" w:lineRule="auto"/>
              <w:ind w:firstLine="480"/>
              <w:jc w:val="center"/>
              <w:rPr>
                <w:rFonts w:eastAsia="仿宋_GB2312" w:cs="Times New Roman"/>
                <w:color w:val="000000"/>
                <w:highlight w:val="none"/>
              </w:rPr>
            </w:pPr>
          </w:p>
        </w:tc>
      </w:tr>
      <w:tr w14:paraId="22ACD2C0">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290E9">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73D947A9">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57666028">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4FB82F13">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7FC2264C">
            <w:pPr>
              <w:spacing w:line="240" w:lineRule="auto"/>
              <w:ind w:firstLine="480"/>
              <w:jc w:val="center"/>
              <w:rPr>
                <w:rFonts w:eastAsia="仿宋_GB2312" w:cs="Times New Roman"/>
                <w:color w:val="000000"/>
                <w:highlight w:val="none"/>
              </w:rPr>
            </w:pPr>
          </w:p>
        </w:tc>
      </w:tr>
      <w:tr w14:paraId="2DEB5918">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1494">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76B0DA0C">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36312A60">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4B4E2BE7">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70CD918D">
            <w:pPr>
              <w:spacing w:line="240" w:lineRule="auto"/>
              <w:ind w:firstLine="480"/>
              <w:jc w:val="center"/>
              <w:rPr>
                <w:rFonts w:eastAsia="仿宋_GB2312" w:cs="Times New Roman"/>
                <w:color w:val="000000"/>
                <w:highlight w:val="none"/>
              </w:rPr>
            </w:pPr>
          </w:p>
        </w:tc>
      </w:tr>
      <w:tr w14:paraId="256DB3EB">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858EC">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6E261093">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2F9E1A4A">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185EF6CA">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37614EF7">
            <w:pPr>
              <w:spacing w:line="240" w:lineRule="auto"/>
              <w:ind w:firstLine="480"/>
              <w:jc w:val="center"/>
              <w:rPr>
                <w:rFonts w:eastAsia="仿宋_GB2312" w:cs="Times New Roman"/>
                <w:color w:val="000000"/>
                <w:highlight w:val="none"/>
              </w:rPr>
            </w:pPr>
          </w:p>
        </w:tc>
      </w:tr>
      <w:tr w14:paraId="3DD63FA7">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8AD1D">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1762AF9D">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09DDFC6C">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55796E4A">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5C2258BA">
            <w:pPr>
              <w:spacing w:line="240" w:lineRule="auto"/>
              <w:ind w:firstLine="480"/>
              <w:jc w:val="center"/>
              <w:rPr>
                <w:rFonts w:eastAsia="仿宋_GB2312" w:cs="Times New Roman"/>
                <w:color w:val="000000"/>
                <w:highlight w:val="none"/>
              </w:rPr>
            </w:pPr>
          </w:p>
        </w:tc>
      </w:tr>
      <w:tr w14:paraId="7F40E4A6">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3B602">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27A2F14E">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19DF885C">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45C96B2E">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164C6FF6">
            <w:pPr>
              <w:spacing w:line="240" w:lineRule="auto"/>
              <w:ind w:firstLine="480"/>
              <w:jc w:val="center"/>
              <w:rPr>
                <w:rFonts w:eastAsia="仿宋_GB2312" w:cs="Times New Roman"/>
                <w:color w:val="000000"/>
                <w:highlight w:val="none"/>
              </w:rPr>
            </w:pPr>
          </w:p>
        </w:tc>
      </w:tr>
      <w:tr w14:paraId="0C07D893">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247DE">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2B5CED27">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0CEB0F29">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2A35EBCE">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4B543417">
            <w:pPr>
              <w:spacing w:line="240" w:lineRule="auto"/>
              <w:ind w:firstLine="480"/>
              <w:jc w:val="center"/>
              <w:rPr>
                <w:rFonts w:eastAsia="仿宋_GB2312" w:cs="Times New Roman"/>
                <w:color w:val="000000"/>
                <w:highlight w:val="none"/>
              </w:rPr>
            </w:pPr>
          </w:p>
        </w:tc>
      </w:tr>
      <w:tr w14:paraId="514CC213">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AE5DC">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35BFAE69">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2B638A76">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6A92BCCF">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25392006">
            <w:pPr>
              <w:spacing w:line="240" w:lineRule="auto"/>
              <w:ind w:firstLine="480"/>
              <w:jc w:val="center"/>
              <w:rPr>
                <w:rFonts w:eastAsia="仿宋_GB2312" w:cs="Times New Roman"/>
                <w:color w:val="000000"/>
                <w:highlight w:val="none"/>
              </w:rPr>
            </w:pPr>
          </w:p>
        </w:tc>
      </w:tr>
      <w:tr w14:paraId="717C917A">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72FC0">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nil"/>
              <w:right w:val="single" w:color="000000" w:sz="4" w:space="0"/>
            </w:tcBorders>
            <w:shd w:val="clear" w:color="auto" w:fill="auto"/>
            <w:vAlign w:val="center"/>
          </w:tcPr>
          <w:p w14:paraId="331360A7">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nil"/>
              <w:right w:val="single" w:color="000000" w:sz="4" w:space="0"/>
            </w:tcBorders>
            <w:shd w:val="clear" w:color="auto" w:fill="auto"/>
            <w:noWrap/>
            <w:vAlign w:val="center"/>
          </w:tcPr>
          <w:p w14:paraId="1850394E">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nil"/>
              <w:right w:val="single" w:color="000000" w:sz="4" w:space="0"/>
            </w:tcBorders>
            <w:shd w:val="clear" w:color="auto" w:fill="auto"/>
            <w:vAlign w:val="center"/>
          </w:tcPr>
          <w:p w14:paraId="7A55A933">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nil"/>
              <w:right w:val="single" w:color="000000" w:sz="4" w:space="0"/>
            </w:tcBorders>
            <w:shd w:val="clear" w:color="auto" w:fill="auto"/>
            <w:vAlign w:val="center"/>
          </w:tcPr>
          <w:p w14:paraId="79B06B4C">
            <w:pPr>
              <w:spacing w:line="240" w:lineRule="auto"/>
              <w:ind w:firstLine="480"/>
              <w:jc w:val="center"/>
              <w:rPr>
                <w:rFonts w:eastAsia="仿宋_GB2312" w:cs="Times New Roman"/>
                <w:color w:val="000000"/>
                <w:highlight w:val="none"/>
              </w:rPr>
            </w:pPr>
          </w:p>
        </w:tc>
      </w:tr>
      <w:tr w14:paraId="03721D80">
        <w:tblPrEx>
          <w:tblCellMar>
            <w:top w:w="0" w:type="dxa"/>
            <w:left w:w="108" w:type="dxa"/>
            <w:bottom w:w="0" w:type="dxa"/>
            <w:right w:w="108" w:type="dxa"/>
          </w:tblCellMar>
        </w:tblPrEx>
        <w:trPr>
          <w:trHeight w:val="312" w:hRule="atLeast"/>
          <w:jc w:val="center"/>
        </w:trPr>
        <w:tc>
          <w:tcPr>
            <w:tcW w:w="7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5C7CF">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4</w:t>
            </w:r>
          </w:p>
        </w:tc>
        <w:tc>
          <w:tcPr>
            <w:tcW w:w="17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FDB9B5">
            <w:pPr>
              <w:spacing w:line="240" w:lineRule="auto"/>
              <w:ind w:firstLine="0" w:firstLineChars="0"/>
              <w:textAlignment w:val="center"/>
              <w:rPr>
                <w:rFonts w:hint="eastAsia" w:eastAsia="仿宋_GB2312" w:cs="Times New Roman"/>
                <w:b/>
                <w:bCs/>
                <w:color w:val="000000"/>
                <w:sz w:val="28"/>
                <w:szCs w:val="28"/>
                <w:highlight w:val="none"/>
                <w:lang w:eastAsia="zh-CN"/>
              </w:rPr>
            </w:pPr>
            <w:r>
              <w:rPr>
                <w:rFonts w:hint="eastAsia" w:eastAsia="仿宋_GB2312" w:cs="Times New Roman"/>
                <w:b/>
                <w:bCs/>
                <w:color w:val="000000"/>
                <w:sz w:val="28"/>
                <w:szCs w:val="28"/>
                <w:highlight w:val="none"/>
                <w:lang w:eastAsia="zh-CN" w:bidi="ar"/>
              </w:rPr>
              <w:t>中部太平河流域城镇人居环境提升区</w:t>
            </w:r>
          </w:p>
        </w:tc>
        <w:tc>
          <w:tcPr>
            <w:tcW w:w="14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3F338B">
            <w:pPr>
              <w:spacing w:line="240" w:lineRule="auto"/>
              <w:ind w:firstLine="0" w:firstLineChars="0"/>
              <w:jc w:val="center"/>
              <w:textAlignment w:val="center"/>
              <w:rPr>
                <w:rFonts w:eastAsia="仿宋_GB2312" w:cs="Times New Roman"/>
                <w:color w:val="000000"/>
                <w:highlight w:val="none"/>
              </w:rPr>
            </w:pPr>
            <w:r>
              <w:rPr>
                <w:rFonts w:eastAsia="仿宋_GB2312" w:cs="Times New Roman"/>
                <w:color w:val="000000"/>
                <w:highlight w:val="none"/>
                <w:lang w:bidi="ar"/>
              </w:rPr>
              <w:t>129.89</w:t>
            </w:r>
          </w:p>
        </w:tc>
        <w:tc>
          <w:tcPr>
            <w:tcW w:w="56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725F25">
            <w:pPr>
              <w:spacing w:line="240" w:lineRule="auto"/>
              <w:ind w:firstLine="482"/>
              <w:jc w:val="left"/>
              <w:textAlignment w:val="center"/>
              <w:rPr>
                <w:rFonts w:eastAsia="仿宋_GB2312" w:cs="Times New Roman"/>
                <w:b/>
                <w:bCs/>
                <w:color w:val="000000"/>
                <w:highlight w:val="none"/>
              </w:rPr>
            </w:pPr>
            <w:r>
              <w:rPr>
                <w:rFonts w:eastAsia="仿宋_GB2312" w:cs="Times New Roman"/>
                <w:b/>
                <w:bCs/>
                <w:color w:val="000000"/>
                <w:highlight w:val="none"/>
                <w:lang w:bidi="ar"/>
              </w:rPr>
              <w:t>获鹿镇：</w:t>
            </w:r>
            <w:r>
              <w:rPr>
                <w:rFonts w:eastAsia="仿宋_GB2312" w:cs="Times New Roman"/>
                <w:color w:val="000000"/>
                <w:highlight w:val="none"/>
                <w:lang w:bidi="ar"/>
              </w:rPr>
              <w:t>八街、北海山、北新城、曹庄、大毕村、大李庄、东马庄、东辛庄、杜家庄、二街、高庄、贺庄、获鹿镇直、六街、南海山、七街、三街、石柏村、四街、五街、西马庄、小毕村、杨庄、一街、张家庄、郑家庄；</w:t>
            </w:r>
            <w:r>
              <w:rPr>
                <w:rFonts w:eastAsia="仿宋_GB2312" w:cs="Times New Roman"/>
                <w:b/>
                <w:bCs/>
                <w:color w:val="000000"/>
                <w:highlight w:val="none"/>
                <w:lang w:bidi="ar"/>
              </w:rPr>
              <w:t>开发区：</w:t>
            </w:r>
            <w:r>
              <w:rPr>
                <w:rFonts w:eastAsia="仿宋_GB2312" w:cs="Times New Roman"/>
                <w:color w:val="000000"/>
                <w:highlight w:val="none"/>
                <w:lang w:bidi="ar"/>
              </w:rPr>
              <w:t>方台、符家庄、横山、南新城、申后；</w:t>
            </w:r>
            <w:r>
              <w:rPr>
                <w:rFonts w:eastAsia="仿宋_GB2312" w:cs="Times New Roman"/>
                <w:b/>
                <w:bCs/>
                <w:color w:val="000000"/>
                <w:highlight w:val="none"/>
                <w:lang w:bidi="ar"/>
              </w:rPr>
              <w:t>大河镇：</w:t>
            </w:r>
            <w:r>
              <w:rPr>
                <w:rFonts w:eastAsia="仿宋_GB2312" w:cs="Times New Roman"/>
                <w:color w:val="000000"/>
                <w:highlight w:val="none"/>
                <w:lang w:bidi="ar"/>
              </w:rPr>
              <w:t>北高庄、北故城、北落陵、城东桥东队、城东桥西队、大河、东邵营、杜童、霍寨、贾村、孟同、南故城、南落陵、曲寨、邵营、双合、双庙、小河、小马村、新庄头、徐家庄、纸房头、中落陵；</w:t>
            </w:r>
            <w:r>
              <w:rPr>
                <w:rFonts w:eastAsia="仿宋_GB2312" w:cs="Times New Roman"/>
                <w:b/>
                <w:bCs/>
                <w:color w:val="000000"/>
                <w:highlight w:val="none"/>
                <w:lang w:bidi="ar"/>
              </w:rPr>
              <w:t>上庄镇：</w:t>
            </w:r>
            <w:r>
              <w:rPr>
                <w:rFonts w:eastAsia="仿宋_GB2312" w:cs="Times New Roman"/>
                <w:color w:val="000000"/>
                <w:highlight w:val="none"/>
                <w:lang w:bidi="ar"/>
              </w:rPr>
              <w:t>大王庙、陆军学院、南辛庄、上庄</w:t>
            </w:r>
          </w:p>
        </w:tc>
        <w:tc>
          <w:tcPr>
            <w:tcW w:w="4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96B1B0">
            <w:pPr>
              <w:spacing w:line="240" w:lineRule="auto"/>
              <w:ind w:firstLine="480"/>
              <w:jc w:val="center"/>
              <w:textAlignment w:val="center"/>
              <w:rPr>
                <w:rFonts w:eastAsia="仿宋_GB2312" w:cs="Times New Roman"/>
                <w:color w:val="000000"/>
                <w:highlight w:val="none"/>
              </w:rPr>
            </w:pPr>
            <w:r>
              <w:rPr>
                <w:rFonts w:eastAsia="仿宋_GB2312" w:cs="Times New Roman"/>
                <w:color w:val="000000"/>
                <w:highlight w:val="none"/>
                <w:lang w:bidi="ar"/>
              </w:rPr>
              <w:t>开展小流域治理，统筹实施水系连通、河道清障、岸坡整治、水源涵养和水土保持、桥梁改建、景观人文等工程建设，改善城镇人居生态环境，减少城市热岛效应，提高城市韧性</w:t>
            </w:r>
          </w:p>
        </w:tc>
      </w:tr>
      <w:tr w14:paraId="4C53CBFC">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1A5C3">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B81519">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C59C49">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56E66">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62E89">
            <w:pPr>
              <w:spacing w:line="240" w:lineRule="auto"/>
              <w:ind w:firstLine="480"/>
              <w:jc w:val="center"/>
              <w:rPr>
                <w:rFonts w:eastAsia="仿宋_GB2312" w:cs="Times New Roman"/>
                <w:color w:val="000000"/>
                <w:highlight w:val="none"/>
              </w:rPr>
            </w:pPr>
          </w:p>
        </w:tc>
      </w:tr>
      <w:tr w14:paraId="791CA315">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66EA2">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5AB12">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5CDBB8">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33CE99">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9E16EA">
            <w:pPr>
              <w:spacing w:line="240" w:lineRule="auto"/>
              <w:ind w:firstLine="480"/>
              <w:jc w:val="center"/>
              <w:rPr>
                <w:rFonts w:eastAsia="仿宋_GB2312" w:cs="Times New Roman"/>
                <w:color w:val="000000"/>
                <w:highlight w:val="none"/>
              </w:rPr>
            </w:pPr>
          </w:p>
        </w:tc>
      </w:tr>
      <w:tr w14:paraId="6D376545">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694D1">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5D9C8">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37049B">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0F40CA">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CBD65">
            <w:pPr>
              <w:spacing w:line="240" w:lineRule="auto"/>
              <w:ind w:firstLine="480"/>
              <w:jc w:val="center"/>
              <w:rPr>
                <w:rFonts w:eastAsia="仿宋_GB2312" w:cs="Times New Roman"/>
                <w:color w:val="000000"/>
                <w:highlight w:val="none"/>
              </w:rPr>
            </w:pPr>
          </w:p>
        </w:tc>
      </w:tr>
      <w:tr w14:paraId="09114122">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29960">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E32675">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0FF22">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976346">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F7CEA">
            <w:pPr>
              <w:spacing w:line="240" w:lineRule="auto"/>
              <w:ind w:firstLine="480"/>
              <w:jc w:val="center"/>
              <w:rPr>
                <w:rFonts w:eastAsia="仿宋_GB2312" w:cs="Times New Roman"/>
                <w:color w:val="000000"/>
                <w:highlight w:val="none"/>
              </w:rPr>
            </w:pPr>
          </w:p>
        </w:tc>
      </w:tr>
      <w:tr w14:paraId="0ACBCDC8">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E37B3">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FB458C">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CA65F">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ECCB3">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8BB8E7">
            <w:pPr>
              <w:spacing w:line="240" w:lineRule="auto"/>
              <w:ind w:firstLine="480"/>
              <w:jc w:val="center"/>
              <w:rPr>
                <w:rFonts w:eastAsia="仿宋_GB2312" w:cs="Times New Roman"/>
                <w:color w:val="000000"/>
                <w:highlight w:val="none"/>
              </w:rPr>
            </w:pPr>
          </w:p>
        </w:tc>
      </w:tr>
      <w:tr w14:paraId="1EC7BE3C">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3FCC2">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D4340">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209E74">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41CEC">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D4D1D2">
            <w:pPr>
              <w:spacing w:line="240" w:lineRule="auto"/>
              <w:ind w:firstLine="480"/>
              <w:jc w:val="center"/>
              <w:rPr>
                <w:rFonts w:eastAsia="仿宋_GB2312" w:cs="Times New Roman"/>
                <w:color w:val="000000"/>
                <w:highlight w:val="none"/>
              </w:rPr>
            </w:pPr>
          </w:p>
        </w:tc>
      </w:tr>
      <w:tr w14:paraId="2CD2BA5E">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CA98D">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76216C">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653C78">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76C438">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11EC2E">
            <w:pPr>
              <w:spacing w:line="240" w:lineRule="auto"/>
              <w:ind w:firstLine="480"/>
              <w:jc w:val="center"/>
              <w:rPr>
                <w:rFonts w:eastAsia="仿宋_GB2312" w:cs="Times New Roman"/>
                <w:color w:val="000000"/>
                <w:highlight w:val="none"/>
              </w:rPr>
            </w:pPr>
          </w:p>
        </w:tc>
      </w:tr>
      <w:tr w14:paraId="3248D0AF">
        <w:tblPrEx>
          <w:tblCellMar>
            <w:top w:w="0" w:type="dxa"/>
            <w:left w:w="108" w:type="dxa"/>
            <w:bottom w:w="0" w:type="dxa"/>
            <w:right w:w="108" w:type="dxa"/>
          </w:tblCellMar>
        </w:tblPrEx>
        <w:trPr>
          <w:trHeight w:val="312" w:hRule="atLeast"/>
          <w:jc w:val="center"/>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21D9A">
            <w:pPr>
              <w:spacing w:line="240" w:lineRule="auto"/>
              <w:ind w:firstLine="480"/>
              <w:jc w:val="center"/>
              <w:rPr>
                <w:rFonts w:eastAsia="仿宋_GB2312" w:cs="Times New Roman"/>
                <w:color w:val="000000"/>
                <w:highlight w:val="none"/>
              </w:rPr>
            </w:pPr>
          </w:p>
        </w:tc>
        <w:tc>
          <w:tcPr>
            <w:tcW w:w="17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EA2F32">
            <w:pPr>
              <w:spacing w:line="240" w:lineRule="auto"/>
              <w:ind w:firstLine="562"/>
              <w:jc w:val="center"/>
              <w:rPr>
                <w:rFonts w:eastAsia="仿宋_GB2312" w:cs="Times New Roman"/>
                <w:b/>
                <w:bCs/>
                <w:color w:val="000000"/>
                <w:sz w:val="28"/>
                <w:szCs w:val="28"/>
                <w:highlight w:val="none"/>
              </w:rPr>
            </w:pPr>
          </w:p>
        </w:tc>
        <w:tc>
          <w:tcPr>
            <w:tcW w:w="1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19CE0E">
            <w:pPr>
              <w:spacing w:line="240" w:lineRule="auto"/>
              <w:ind w:firstLine="480"/>
              <w:jc w:val="center"/>
              <w:rPr>
                <w:rFonts w:eastAsia="仿宋_GB2312" w:cs="Times New Roman"/>
                <w:color w:val="000000"/>
                <w:highlight w:val="none"/>
              </w:rPr>
            </w:pPr>
          </w:p>
        </w:tc>
        <w:tc>
          <w:tcPr>
            <w:tcW w:w="5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CEB914">
            <w:pPr>
              <w:spacing w:line="240" w:lineRule="auto"/>
              <w:ind w:firstLine="482"/>
              <w:jc w:val="center"/>
              <w:rPr>
                <w:rFonts w:eastAsia="仿宋_GB2312" w:cs="Times New Roman"/>
                <w:b/>
                <w:bCs/>
                <w:color w:val="000000"/>
                <w:highlight w:val="none"/>
              </w:rPr>
            </w:pPr>
          </w:p>
        </w:tc>
        <w:tc>
          <w:tcPr>
            <w:tcW w:w="4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12267F">
            <w:pPr>
              <w:spacing w:line="240" w:lineRule="auto"/>
              <w:ind w:firstLine="480"/>
              <w:jc w:val="center"/>
              <w:rPr>
                <w:rFonts w:eastAsia="仿宋_GB2312" w:cs="Times New Roman"/>
                <w:color w:val="000000"/>
                <w:highlight w:val="none"/>
              </w:rPr>
            </w:pPr>
          </w:p>
        </w:tc>
      </w:tr>
    </w:tbl>
    <w:p w14:paraId="175B4E51">
      <w:pPr>
        <w:spacing w:line="240" w:lineRule="auto"/>
        <w:ind w:firstLine="560"/>
        <w:jc w:val="right"/>
        <w:rPr>
          <w:rFonts w:eastAsia="仿宋_GB2312" w:cs="Times New Roman"/>
          <w:sz w:val="28"/>
          <w:szCs w:val="28"/>
          <w:highlight w:val="none"/>
        </w:rPr>
      </w:pPr>
    </w:p>
    <w:p w14:paraId="00E3E64B">
      <w:pPr>
        <w:ind w:firstLine="560"/>
        <w:rPr>
          <w:rFonts w:eastAsia="仿宋_GB2312" w:cs="Times New Roman"/>
          <w:sz w:val="28"/>
          <w:szCs w:val="28"/>
          <w:highlight w:val="none"/>
        </w:rPr>
      </w:pPr>
      <w:r>
        <w:rPr>
          <w:rFonts w:eastAsia="仿宋_GB2312" w:cs="Times New Roman"/>
          <w:sz w:val="28"/>
          <w:szCs w:val="28"/>
          <w:highlight w:val="none"/>
        </w:rPr>
        <w:br w:type="page"/>
      </w:r>
    </w:p>
    <w:p w14:paraId="77252473">
      <w:pPr>
        <w:keepNext/>
        <w:keepLines/>
        <w:spacing w:line="240" w:lineRule="auto"/>
        <w:ind w:firstLine="0" w:firstLineChars="0"/>
        <w:jc w:val="center"/>
        <w:rPr>
          <w:rFonts w:eastAsia="仿宋_GB2312" w:cs="Times New Roman"/>
          <w:b/>
          <w:bCs/>
          <w:color w:val="000000" w:themeColor="text1"/>
          <w:sz w:val="32"/>
          <w:szCs w:val="32"/>
          <w:highlight w:val="none"/>
          <w14:textFill>
            <w14:solidFill>
              <w14:schemeClr w14:val="tx1"/>
            </w14:solidFill>
          </w14:textFill>
        </w:rPr>
      </w:pPr>
      <w:r>
        <w:rPr>
          <w:rFonts w:eastAsia="仿宋_GB2312" w:cs="Times New Roman"/>
          <w:b/>
          <w:bCs/>
          <w:color w:val="000000" w:themeColor="text1"/>
          <w:sz w:val="32"/>
          <w:szCs w:val="32"/>
          <w:highlight w:val="none"/>
          <w14:textFill>
            <w14:solidFill>
              <w14:schemeClr w14:val="tx1"/>
            </w14:solidFill>
          </w14:textFill>
        </w:rPr>
        <w:t>石家庄市鹿泉区国土空间生态修复工程项目（储备）库</w:t>
      </w:r>
    </w:p>
    <w:tbl>
      <w:tblPr>
        <w:tblStyle w:val="8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80"/>
        <w:gridCol w:w="463"/>
        <w:gridCol w:w="643"/>
        <w:gridCol w:w="2110"/>
        <w:gridCol w:w="3917"/>
        <w:gridCol w:w="2530"/>
        <w:gridCol w:w="1155"/>
        <w:gridCol w:w="2740"/>
      </w:tblGrid>
      <w:tr w14:paraId="069D4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blHeader/>
        </w:trPr>
        <w:tc>
          <w:tcPr>
            <w:tcW w:w="173" w:type="pct"/>
            <w:shd w:val="clear" w:color="auto" w:fill="D9E1F4"/>
            <w:vAlign w:val="center"/>
          </w:tcPr>
          <w:p w14:paraId="0CBD8EAE">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序号</w:t>
            </w:r>
          </w:p>
        </w:tc>
        <w:tc>
          <w:tcPr>
            <w:tcW w:w="239" w:type="pct"/>
            <w:shd w:val="clear" w:color="auto" w:fill="D9E1F4"/>
            <w:vAlign w:val="center"/>
          </w:tcPr>
          <w:p w14:paraId="62CF75E1">
            <w:pPr>
              <w:spacing w:line="240" w:lineRule="auto"/>
              <w:ind w:firstLine="0" w:firstLineChars="0"/>
              <w:jc w:val="center"/>
              <w:textAlignment w:val="center"/>
              <w:rPr>
                <w:rFonts w:eastAsia="仿宋_GB2312" w:cs="Times New Roman"/>
                <w:b/>
                <w:bCs/>
                <w:color w:val="000000"/>
                <w:sz w:val="21"/>
                <w:szCs w:val="21"/>
                <w:highlight w:val="none"/>
                <w:lang w:bidi="ar"/>
              </w:rPr>
            </w:pPr>
            <w:r>
              <w:rPr>
                <w:rFonts w:eastAsia="仿宋_GB2312" w:cs="Times New Roman"/>
                <w:b/>
                <w:bCs/>
                <w:color w:val="000000"/>
                <w:sz w:val="21"/>
                <w:szCs w:val="21"/>
                <w:highlight w:val="none"/>
                <w:lang w:bidi="ar"/>
              </w:rPr>
              <w:t>重点</w:t>
            </w:r>
          </w:p>
          <w:p w14:paraId="71E0F5FD">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工程</w:t>
            </w:r>
          </w:p>
        </w:tc>
        <w:tc>
          <w:tcPr>
            <w:tcW w:w="276" w:type="pct"/>
            <w:shd w:val="clear" w:color="auto" w:fill="D9E1F4"/>
            <w:noWrap/>
            <w:vAlign w:val="center"/>
          </w:tcPr>
          <w:p w14:paraId="6CA5CB20">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子工程</w:t>
            </w:r>
          </w:p>
        </w:tc>
        <w:tc>
          <w:tcPr>
            <w:tcW w:w="661" w:type="pct"/>
            <w:shd w:val="clear" w:color="auto" w:fill="D9E1F4"/>
            <w:noWrap/>
            <w:vAlign w:val="center"/>
          </w:tcPr>
          <w:p w14:paraId="765DDC09">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重点项目</w:t>
            </w:r>
          </w:p>
        </w:tc>
        <w:tc>
          <w:tcPr>
            <w:tcW w:w="1496" w:type="pct"/>
            <w:shd w:val="clear" w:color="auto" w:fill="D9E1F4"/>
            <w:noWrap/>
            <w:vAlign w:val="center"/>
          </w:tcPr>
          <w:p w14:paraId="2513DE21">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建设内容/修复任务</w:t>
            </w:r>
          </w:p>
        </w:tc>
        <w:tc>
          <w:tcPr>
            <w:tcW w:w="691" w:type="pct"/>
            <w:shd w:val="clear" w:color="auto" w:fill="D9E1F4"/>
            <w:noWrap/>
            <w:vAlign w:val="center"/>
          </w:tcPr>
          <w:p w14:paraId="7264B0F5">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实施范围</w:t>
            </w:r>
          </w:p>
        </w:tc>
        <w:tc>
          <w:tcPr>
            <w:tcW w:w="424" w:type="pct"/>
            <w:shd w:val="clear" w:color="auto" w:fill="D9E1F4"/>
            <w:noWrap/>
            <w:vAlign w:val="center"/>
          </w:tcPr>
          <w:p w14:paraId="2B05F4F2">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时序安排</w:t>
            </w:r>
          </w:p>
        </w:tc>
        <w:tc>
          <w:tcPr>
            <w:tcW w:w="1037" w:type="pct"/>
            <w:shd w:val="clear" w:color="auto" w:fill="D9E1F4"/>
            <w:noWrap/>
            <w:vAlign w:val="center"/>
          </w:tcPr>
          <w:p w14:paraId="4AD4E5B1">
            <w:pPr>
              <w:spacing w:line="240" w:lineRule="auto"/>
              <w:ind w:firstLine="0" w:firstLineChars="0"/>
              <w:jc w:val="center"/>
              <w:textAlignment w:val="center"/>
              <w:rPr>
                <w:rFonts w:eastAsia="仿宋_GB2312" w:cs="Times New Roman"/>
                <w:b/>
                <w:bCs/>
                <w:color w:val="000000"/>
                <w:sz w:val="21"/>
                <w:szCs w:val="21"/>
                <w:highlight w:val="none"/>
              </w:rPr>
            </w:pPr>
            <w:r>
              <w:rPr>
                <w:rFonts w:eastAsia="仿宋_GB2312" w:cs="Times New Roman"/>
                <w:b/>
                <w:bCs/>
                <w:color w:val="000000"/>
                <w:sz w:val="21"/>
                <w:szCs w:val="21"/>
                <w:highlight w:val="none"/>
                <w:lang w:bidi="ar"/>
              </w:rPr>
              <w:t>工程来源</w:t>
            </w:r>
          </w:p>
        </w:tc>
      </w:tr>
      <w:tr w14:paraId="5EDB4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30E1AA3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1</w:t>
            </w:r>
          </w:p>
        </w:tc>
        <w:tc>
          <w:tcPr>
            <w:tcW w:w="239" w:type="pct"/>
            <w:vMerge w:val="restart"/>
            <w:shd w:val="clear" w:color="auto" w:fill="auto"/>
            <w:vAlign w:val="center"/>
          </w:tcPr>
          <w:p w14:paraId="5E6CB23A">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北部滹沱河水源涵养区</w:t>
            </w:r>
          </w:p>
        </w:tc>
        <w:tc>
          <w:tcPr>
            <w:tcW w:w="276" w:type="pct"/>
            <w:vMerge w:val="restart"/>
            <w:shd w:val="clear" w:color="auto" w:fill="auto"/>
            <w:vAlign w:val="center"/>
          </w:tcPr>
          <w:p w14:paraId="01ED45C9">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hint="eastAsia" w:eastAsia="仿宋_GB2312" w:cs="Times New Roman"/>
                <w:color w:val="000000"/>
                <w:sz w:val="21"/>
                <w:szCs w:val="21"/>
                <w:highlight w:val="none"/>
                <w:lang w:eastAsia="zh-CN" w:bidi="ar"/>
              </w:rPr>
              <w:t>山水林田湖草沙一体化保护修复</w:t>
            </w:r>
          </w:p>
        </w:tc>
        <w:tc>
          <w:tcPr>
            <w:tcW w:w="661" w:type="pct"/>
            <w:shd w:val="clear" w:color="auto" w:fill="auto"/>
            <w:vAlign w:val="center"/>
          </w:tcPr>
          <w:p w14:paraId="44CC99D3">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滹沱河上游河湖湿地生态修复工程</w:t>
            </w:r>
          </w:p>
        </w:tc>
        <w:tc>
          <w:tcPr>
            <w:tcW w:w="1496" w:type="pct"/>
            <w:shd w:val="clear" w:color="auto" w:fill="auto"/>
            <w:vAlign w:val="center"/>
          </w:tcPr>
          <w:p w14:paraId="5F773671">
            <w:pPr>
              <w:spacing w:line="240" w:lineRule="auto"/>
              <w:ind w:firstLine="42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建立长效引水机制，科学调度黄壁庄水库向滹沱河实施生态补水，保障枯水期生态基流；在滹沱河干流两岸15米，支流两岸10米范围内划定生态缓冲带，按照</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守、退、补</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原则严格管控。强化水源地生态治理，全面提升水环境。在水库开阔水域和岸带坑塘构建微小</w:t>
            </w:r>
            <w:r>
              <w:rPr>
                <w:rFonts w:hint="eastAsia" w:eastAsia="仿宋_GB2312" w:cs="Times New Roman"/>
                <w:color w:val="000000"/>
                <w:sz w:val="21"/>
                <w:szCs w:val="21"/>
                <w:highlight w:val="none"/>
                <w:lang w:eastAsia="zh-CN" w:bidi="ar"/>
              </w:rPr>
              <w:t>环</w:t>
            </w:r>
            <w:r>
              <w:rPr>
                <w:rFonts w:eastAsia="仿宋_GB2312" w:cs="Times New Roman"/>
                <w:color w:val="000000"/>
                <w:sz w:val="21"/>
                <w:szCs w:val="21"/>
                <w:highlight w:val="none"/>
                <w:lang w:bidi="ar"/>
              </w:rPr>
              <w:t>境，为鹭类、雁鸭类等水鸟提供栖息空间；修复自然河道，对适宜河岸开展生态驳岸构建，满足鱼类</w:t>
            </w:r>
            <w:r>
              <w:rPr>
                <w:rFonts w:hint="eastAsia" w:eastAsia="仿宋_GB2312" w:cs="Times New Roman"/>
                <w:color w:val="000000"/>
                <w:sz w:val="21"/>
                <w:szCs w:val="21"/>
                <w:highlight w:val="none"/>
                <w:lang w:eastAsia="zh-CN" w:bidi="ar"/>
              </w:rPr>
              <w:t>环</w:t>
            </w:r>
            <w:r>
              <w:rPr>
                <w:rFonts w:eastAsia="仿宋_GB2312" w:cs="Times New Roman"/>
                <w:color w:val="000000"/>
                <w:sz w:val="21"/>
                <w:szCs w:val="21"/>
                <w:highlight w:val="none"/>
                <w:lang w:bidi="ar"/>
              </w:rPr>
              <w:t>境需求</w:t>
            </w:r>
          </w:p>
        </w:tc>
        <w:tc>
          <w:tcPr>
            <w:tcW w:w="691" w:type="pct"/>
            <w:shd w:val="clear" w:color="auto" w:fill="auto"/>
            <w:vAlign w:val="center"/>
          </w:tcPr>
          <w:p w14:paraId="131D74DA">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黄壁庄镇、大河镇、李村镇</w:t>
            </w:r>
          </w:p>
        </w:tc>
        <w:tc>
          <w:tcPr>
            <w:tcW w:w="424" w:type="pct"/>
            <w:shd w:val="clear" w:color="auto" w:fill="auto"/>
            <w:noWrap/>
            <w:vAlign w:val="center"/>
          </w:tcPr>
          <w:p w14:paraId="0E64219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3CB7241A">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石家庄滹沱河经济带产业发展规划（2022-2035年）</w:t>
            </w:r>
          </w:p>
        </w:tc>
      </w:tr>
      <w:tr w14:paraId="0130B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49FA507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w:t>
            </w:r>
          </w:p>
        </w:tc>
        <w:tc>
          <w:tcPr>
            <w:tcW w:w="239" w:type="pct"/>
            <w:vMerge w:val="continue"/>
            <w:shd w:val="clear" w:color="auto" w:fill="auto"/>
            <w:vAlign w:val="center"/>
          </w:tcPr>
          <w:p w14:paraId="146BF3DF">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6D200A22">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55D244D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河北省石家庄市鹿泉区水系连通及农村水系综合整治试点（古运河）</w:t>
            </w:r>
          </w:p>
        </w:tc>
        <w:tc>
          <w:tcPr>
            <w:tcW w:w="1496" w:type="pct"/>
            <w:shd w:val="clear" w:color="auto" w:fill="auto"/>
            <w:vAlign w:val="center"/>
          </w:tcPr>
          <w:p w14:paraId="6FFB521F">
            <w:pPr>
              <w:spacing w:line="240" w:lineRule="auto"/>
              <w:ind w:firstLine="42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河道清淤疏浚、生态护坡、水系连通、桥梁拆除重建、景观节点建设。实现古运河水域、岸线及沿岸文化、生态、景观等资源有机结合和高效匹配，构建主轴带动整体、多点联动的农村水系治理格局，实现河道全线有水，恢复河道功能、河流形态，建设水美乡村</w:t>
            </w:r>
          </w:p>
        </w:tc>
        <w:tc>
          <w:tcPr>
            <w:tcW w:w="691" w:type="pct"/>
            <w:shd w:val="clear" w:color="auto" w:fill="auto"/>
            <w:vAlign w:val="center"/>
          </w:tcPr>
          <w:p w14:paraId="3FF89E7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李村镇、大河镇、黄壁庄镇</w:t>
            </w:r>
          </w:p>
        </w:tc>
        <w:tc>
          <w:tcPr>
            <w:tcW w:w="424" w:type="pct"/>
            <w:shd w:val="clear" w:color="auto" w:fill="auto"/>
            <w:noWrap/>
            <w:vAlign w:val="center"/>
          </w:tcPr>
          <w:p w14:paraId="5EA330B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2021-2025</w:t>
            </w:r>
          </w:p>
        </w:tc>
        <w:tc>
          <w:tcPr>
            <w:tcW w:w="1037" w:type="pct"/>
            <w:shd w:val="clear" w:color="auto" w:fill="auto"/>
            <w:vAlign w:val="center"/>
          </w:tcPr>
          <w:p w14:paraId="005C9024">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区水利局</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十四五</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河道规划</w:t>
            </w:r>
          </w:p>
        </w:tc>
      </w:tr>
      <w:tr w14:paraId="4A9E8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118E0D2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3</w:t>
            </w:r>
          </w:p>
        </w:tc>
        <w:tc>
          <w:tcPr>
            <w:tcW w:w="239" w:type="pct"/>
            <w:vMerge w:val="continue"/>
            <w:shd w:val="clear" w:color="auto" w:fill="auto"/>
            <w:vAlign w:val="center"/>
          </w:tcPr>
          <w:p w14:paraId="3DCD2641">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1A27272C">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1A0C878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石家庄市鹿泉区</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古运河河畔、秀美水乡</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古运河沿线水美乡村项目</w:t>
            </w:r>
          </w:p>
        </w:tc>
        <w:tc>
          <w:tcPr>
            <w:tcW w:w="1496" w:type="pct"/>
            <w:shd w:val="clear" w:color="auto" w:fill="auto"/>
            <w:vAlign w:val="center"/>
          </w:tcPr>
          <w:p w14:paraId="29E283F0">
            <w:pPr>
              <w:spacing w:line="240" w:lineRule="auto"/>
              <w:ind w:firstLine="42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治理范围涉及邵营、东邵营、霍寨、城东桥西队，改善沿河村庄农村人居环境，再现</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看得见山，望得见水，记得住乡愁</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的自然风光，带动沿河产业发展，实现治水美村、生态富民、乡村振兴</w:t>
            </w:r>
          </w:p>
        </w:tc>
        <w:tc>
          <w:tcPr>
            <w:tcW w:w="691" w:type="pct"/>
            <w:shd w:val="clear" w:color="auto" w:fill="auto"/>
            <w:vAlign w:val="center"/>
          </w:tcPr>
          <w:p w14:paraId="1EF1ED6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黄壁庄镇、李村镇、大河镇</w:t>
            </w:r>
          </w:p>
        </w:tc>
        <w:tc>
          <w:tcPr>
            <w:tcW w:w="424" w:type="pct"/>
            <w:shd w:val="clear" w:color="auto" w:fill="auto"/>
            <w:noWrap/>
            <w:vAlign w:val="center"/>
          </w:tcPr>
          <w:p w14:paraId="06A23D7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1E4E573C">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区水利局</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十四五</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河道规划</w:t>
            </w:r>
          </w:p>
        </w:tc>
      </w:tr>
      <w:tr w14:paraId="191B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32EA293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4</w:t>
            </w:r>
          </w:p>
        </w:tc>
        <w:tc>
          <w:tcPr>
            <w:tcW w:w="239" w:type="pct"/>
            <w:vMerge w:val="continue"/>
            <w:shd w:val="clear" w:color="auto" w:fill="auto"/>
            <w:vAlign w:val="center"/>
          </w:tcPr>
          <w:p w14:paraId="768B7D2B">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77D4D0F0">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7D1A577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国土绿化营造林工程</w:t>
            </w:r>
          </w:p>
        </w:tc>
        <w:tc>
          <w:tcPr>
            <w:tcW w:w="1496" w:type="pct"/>
            <w:shd w:val="clear" w:color="auto" w:fill="auto"/>
            <w:vAlign w:val="center"/>
          </w:tcPr>
          <w:p w14:paraId="488EEF78">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继续推进太行山造林绿化，调整优化林分结构，加强森林抚育，提高森林质量和水源涵养能力</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59FBCE8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大河镇、黄壁庄镇、李村镇、宜安镇</w:t>
            </w:r>
          </w:p>
        </w:tc>
        <w:tc>
          <w:tcPr>
            <w:tcW w:w="424" w:type="pct"/>
            <w:shd w:val="clear" w:color="auto" w:fill="auto"/>
            <w:noWrap/>
            <w:vAlign w:val="center"/>
          </w:tcPr>
          <w:p w14:paraId="731A514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75FED323">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结合区国土空间规划，本规划提出</w:t>
            </w:r>
          </w:p>
        </w:tc>
      </w:tr>
      <w:tr w14:paraId="23E89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6DBAE183">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5</w:t>
            </w:r>
          </w:p>
        </w:tc>
        <w:tc>
          <w:tcPr>
            <w:tcW w:w="239" w:type="pct"/>
            <w:vMerge w:val="continue"/>
            <w:shd w:val="clear" w:color="auto" w:fill="auto"/>
            <w:vAlign w:val="center"/>
          </w:tcPr>
          <w:p w14:paraId="3A0965AF">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042C9633">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2044AF2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历史遗留矿山生态治理工程</w:t>
            </w:r>
          </w:p>
        </w:tc>
        <w:tc>
          <w:tcPr>
            <w:tcW w:w="1496" w:type="pct"/>
            <w:shd w:val="clear" w:color="auto" w:fill="auto"/>
            <w:vAlign w:val="center"/>
          </w:tcPr>
          <w:p w14:paraId="7C37945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对矿区及周边更大范围进行综合治理和系统修复，采取自然恢复和人工辅助修复策略，治理矿山边坡，消除地质灾害隐患，促进植被恢复，改良基层土壤，恢复废弃地的微生物群落，推进绿色发展。</w:t>
            </w:r>
          </w:p>
        </w:tc>
        <w:tc>
          <w:tcPr>
            <w:tcW w:w="691" w:type="pct"/>
            <w:shd w:val="clear" w:color="auto" w:fill="auto"/>
            <w:vAlign w:val="center"/>
          </w:tcPr>
          <w:p w14:paraId="3CBC9E0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宜安镇西鲍庄村</w:t>
            </w:r>
          </w:p>
        </w:tc>
        <w:tc>
          <w:tcPr>
            <w:tcW w:w="424" w:type="pct"/>
            <w:shd w:val="clear" w:color="auto" w:fill="auto"/>
            <w:noWrap/>
            <w:vAlign w:val="center"/>
          </w:tcPr>
          <w:p w14:paraId="4DDC606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2021-2025</w:t>
            </w:r>
          </w:p>
        </w:tc>
        <w:tc>
          <w:tcPr>
            <w:tcW w:w="1037" w:type="pct"/>
            <w:shd w:val="clear" w:color="auto" w:fill="auto"/>
            <w:vAlign w:val="center"/>
          </w:tcPr>
          <w:p w14:paraId="40619BBE">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区国土空间总体规划</w:t>
            </w:r>
          </w:p>
        </w:tc>
      </w:tr>
      <w:tr w14:paraId="3AE00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148EDB6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6</w:t>
            </w:r>
          </w:p>
        </w:tc>
        <w:tc>
          <w:tcPr>
            <w:tcW w:w="239" w:type="pct"/>
            <w:vMerge w:val="continue"/>
            <w:shd w:val="clear" w:color="auto" w:fill="auto"/>
            <w:vAlign w:val="center"/>
          </w:tcPr>
          <w:p w14:paraId="2CAAAF0A">
            <w:pPr>
              <w:spacing w:line="240" w:lineRule="auto"/>
              <w:ind w:firstLine="420"/>
              <w:jc w:val="center"/>
              <w:rPr>
                <w:rFonts w:eastAsia="仿宋_GB2312" w:cs="Times New Roman"/>
                <w:color w:val="000000"/>
                <w:sz w:val="21"/>
                <w:szCs w:val="21"/>
                <w:highlight w:val="none"/>
              </w:rPr>
            </w:pPr>
          </w:p>
        </w:tc>
        <w:tc>
          <w:tcPr>
            <w:tcW w:w="276" w:type="pct"/>
            <w:vMerge w:val="restart"/>
            <w:shd w:val="clear" w:color="auto" w:fill="auto"/>
            <w:vAlign w:val="center"/>
          </w:tcPr>
          <w:p w14:paraId="5297E3AE">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国土综合整治</w:t>
            </w:r>
          </w:p>
        </w:tc>
        <w:tc>
          <w:tcPr>
            <w:tcW w:w="661" w:type="pct"/>
            <w:vMerge w:val="restart"/>
            <w:shd w:val="clear" w:color="auto" w:fill="auto"/>
            <w:vAlign w:val="center"/>
          </w:tcPr>
          <w:p w14:paraId="1C819E4C">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高标准农田建设</w:t>
            </w:r>
          </w:p>
        </w:tc>
        <w:tc>
          <w:tcPr>
            <w:tcW w:w="1496" w:type="pct"/>
            <w:shd w:val="clear" w:color="auto" w:fill="auto"/>
            <w:vAlign w:val="center"/>
          </w:tcPr>
          <w:p w14:paraId="20F36AFF">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完善农田基础设施，建成适宜耕作、旱涝保收、高产稳产的现代化良田</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2FCEDE7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黄壁庄镇、李村镇、宜安镇</w:t>
            </w:r>
          </w:p>
        </w:tc>
        <w:tc>
          <w:tcPr>
            <w:tcW w:w="424" w:type="pct"/>
            <w:shd w:val="clear" w:color="auto" w:fill="auto"/>
            <w:noWrap/>
            <w:vAlign w:val="center"/>
          </w:tcPr>
          <w:p w14:paraId="686FEC0C">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628EBD7F">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区国土空间总体规划</w:t>
            </w:r>
          </w:p>
        </w:tc>
      </w:tr>
      <w:tr w14:paraId="62340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3868F2A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7</w:t>
            </w:r>
          </w:p>
        </w:tc>
        <w:tc>
          <w:tcPr>
            <w:tcW w:w="239" w:type="pct"/>
            <w:vMerge w:val="continue"/>
            <w:shd w:val="clear" w:color="auto" w:fill="auto"/>
            <w:vAlign w:val="center"/>
          </w:tcPr>
          <w:p w14:paraId="6C1F945A">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0D66BF34">
            <w:pPr>
              <w:spacing w:line="240" w:lineRule="auto"/>
              <w:ind w:firstLine="420"/>
              <w:jc w:val="center"/>
              <w:rPr>
                <w:rFonts w:eastAsia="仿宋_GB2312" w:cs="Times New Roman"/>
                <w:color w:val="000000"/>
                <w:sz w:val="21"/>
                <w:szCs w:val="21"/>
                <w:highlight w:val="none"/>
              </w:rPr>
            </w:pPr>
          </w:p>
        </w:tc>
        <w:tc>
          <w:tcPr>
            <w:tcW w:w="661" w:type="pct"/>
            <w:vMerge w:val="continue"/>
            <w:shd w:val="clear" w:color="auto" w:fill="auto"/>
            <w:vAlign w:val="center"/>
          </w:tcPr>
          <w:p w14:paraId="7D8B36A1">
            <w:pPr>
              <w:spacing w:line="240" w:lineRule="auto"/>
              <w:ind w:firstLine="420"/>
              <w:jc w:val="center"/>
              <w:rPr>
                <w:rFonts w:eastAsia="仿宋_GB2312" w:cs="Times New Roman"/>
                <w:color w:val="000000"/>
                <w:sz w:val="21"/>
                <w:szCs w:val="21"/>
                <w:highlight w:val="none"/>
              </w:rPr>
            </w:pPr>
          </w:p>
        </w:tc>
        <w:tc>
          <w:tcPr>
            <w:tcW w:w="1496" w:type="pct"/>
            <w:shd w:val="clear" w:color="auto" w:fill="auto"/>
            <w:vAlign w:val="center"/>
          </w:tcPr>
          <w:p w14:paraId="2DBAB2A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石家庄市鹿泉区2022年宜安镇片高标准农田建设及提升耕地质量项目</w:t>
            </w:r>
          </w:p>
        </w:tc>
        <w:tc>
          <w:tcPr>
            <w:tcW w:w="691" w:type="pct"/>
            <w:shd w:val="clear" w:color="auto" w:fill="auto"/>
            <w:vAlign w:val="center"/>
          </w:tcPr>
          <w:p w14:paraId="1DF7303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宜安镇、李村镇、大河镇、上庄镇、寺家庄镇</w:t>
            </w:r>
          </w:p>
        </w:tc>
        <w:tc>
          <w:tcPr>
            <w:tcW w:w="424" w:type="pct"/>
            <w:shd w:val="clear" w:color="auto" w:fill="auto"/>
            <w:noWrap/>
            <w:vAlign w:val="center"/>
          </w:tcPr>
          <w:p w14:paraId="08854CD7">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2021-2025</w:t>
            </w:r>
          </w:p>
        </w:tc>
        <w:tc>
          <w:tcPr>
            <w:tcW w:w="1037" w:type="pct"/>
            <w:shd w:val="clear" w:color="auto" w:fill="auto"/>
            <w:vAlign w:val="center"/>
          </w:tcPr>
          <w:p w14:paraId="12701AC8">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结合区农业农村局项目建设计划，区国土空间总体规划，本规划提出</w:t>
            </w:r>
          </w:p>
        </w:tc>
      </w:tr>
      <w:tr w14:paraId="69C6C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156EF2A7">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8</w:t>
            </w:r>
          </w:p>
        </w:tc>
        <w:tc>
          <w:tcPr>
            <w:tcW w:w="239" w:type="pct"/>
            <w:vMerge w:val="continue"/>
            <w:shd w:val="clear" w:color="auto" w:fill="auto"/>
            <w:vAlign w:val="center"/>
          </w:tcPr>
          <w:p w14:paraId="174E0C89">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6CBA63FB">
            <w:pPr>
              <w:spacing w:line="240" w:lineRule="auto"/>
              <w:ind w:firstLine="420"/>
              <w:jc w:val="center"/>
              <w:rPr>
                <w:rFonts w:eastAsia="仿宋_GB2312" w:cs="Times New Roman"/>
                <w:color w:val="000000"/>
                <w:sz w:val="21"/>
                <w:szCs w:val="21"/>
                <w:highlight w:val="none"/>
              </w:rPr>
            </w:pPr>
          </w:p>
        </w:tc>
        <w:tc>
          <w:tcPr>
            <w:tcW w:w="661" w:type="pct"/>
            <w:vMerge w:val="continue"/>
            <w:shd w:val="clear" w:color="auto" w:fill="auto"/>
            <w:vAlign w:val="center"/>
          </w:tcPr>
          <w:p w14:paraId="44CB388E">
            <w:pPr>
              <w:spacing w:line="240" w:lineRule="auto"/>
              <w:ind w:firstLine="420"/>
              <w:jc w:val="center"/>
              <w:rPr>
                <w:rFonts w:eastAsia="仿宋_GB2312" w:cs="Times New Roman"/>
                <w:color w:val="000000"/>
                <w:sz w:val="21"/>
                <w:szCs w:val="21"/>
                <w:highlight w:val="none"/>
              </w:rPr>
            </w:pPr>
          </w:p>
        </w:tc>
        <w:tc>
          <w:tcPr>
            <w:tcW w:w="1496" w:type="pct"/>
            <w:shd w:val="clear" w:color="auto" w:fill="auto"/>
            <w:vAlign w:val="center"/>
          </w:tcPr>
          <w:p w14:paraId="7BA64EA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石家庄市鹿泉区2022年李村镇片高标准农田建设及提升耕地质量项目</w:t>
            </w:r>
          </w:p>
        </w:tc>
        <w:tc>
          <w:tcPr>
            <w:tcW w:w="691" w:type="pct"/>
            <w:shd w:val="clear" w:color="auto" w:fill="auto"/>
            <w:vAlign w:val="center"/>
          </w:tcPr>
          <w:p w14:paraId="47D75E3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李村镇、大河镇</w:t>
            </w:r>
          </w:p>
        </w:tc>
        <w:tc>
          <w:tcPr>
            <w:tcW w:w="424" w:type="pct"/>
            <w:shd w:val="clear" w:color="auto" w:fill="auto"/>
            <w:noWrap/>
            <w:vAlign w:val="center"/>
          </w:tcPr>
          <w:p w14:paraId="2B481AC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2021-2025</w:t>
            </w:r>
          </w:p>
        </w:tc>
        <w:tc>
          <w:tcPr>
            <w:tcW w:w="1037" w:type="pct"/>
            <w:shd w:val="clear" w:color="auto" w:fill="auto"/>
            <w:vAlign w:val="center"/>
          </w:tcPr>
          <w:p w14:paraId="1DEA37B6">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结合区农业农村局项目建设计划，本规划提出</w:t>
            </w:r>
          </w:p>
        </w:tc>
      </w:tr>
      <w:tr w14:paraId="6F00D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3F88543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9</w:t>
            </w:r>
          </w:p>
        </w:tc>
        <w:tc>
          <w:tcPr>
            <w:tcW w:w="239" w:type="pct"/>
            <w:vMerge w:val="continue"/>
            <w:shd w:val="clear" w:color="auto" w:fill="auto"/>
            <w:vAlign w:val="center"/>
          </w:tcPr>
          <w:p w14:paraId="5FCB9B8D">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3B3E915B">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278F5257">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土地综合整治</w:t>
            </w:r>
          </w:p>
        </w:tc>
        <w:tc>
          <w:tcPr>
            <w:tcW w:w="1496" w:type="pct"/>
            <w:shd w:val="clear" w:color="auto" w:fill="auto"/>
            <w:vAlign w:val="center"/>
          </w:tcPr>
          <w:p w14:paraId="2D8B00CD">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坚持统筹协调，拓宽补充耕地途</w:t>
            </w:r>
            <w:r>
              <w:rPr>
                <w:rFonts w:hint="eastAsia" w:eastAsia="仿宋_GB2312" w:cs="Times New Roman"/>
                <w:color w:val="000000"/>
                <w:sz w:val="21"/>
                <w:szCs w:val="21"/>
                <w:highlight w:val="none"/>
                <w:lang w:eastAsia="zh-CN" w:bidi="ar"/>
              </w:rPr>
              <w:t>径。</w:t>
            </w:r>
          </w:p>
        </w:tc>
        <w:tc>
          <w:tcPr>
            <w:tcW w:w="691" w:type="pct"/>
            <w:shd w:val="clear" w:color="auto" w:fill="auto"/>
            <w:vAlign w:val="center"/>
          </w:tcPr>
          <w:p w14:paraId="057B935C">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黄壁庄镇、李村镇、大河镇、宜安镇</w:t>
            </w:r>
          </w:p>
        </w:tc>
        <w:tc>
          <w:tcPr>
            <w:tcW w:w="424" w:type="pct"/>
            <w:shd w:val="clear" w:color="auto" w:fill="auto"/>
            <w:noWrap/>
            <w:vAlign w:val="center"/>
          </w:tcPr>
          <w:p w14:paraId="4352444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6745D580">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本规划提出</w:t>
            </w:r>
          </w:p>
        </w:tc>
      </w:tr>
      <w:tr w14:paraId="0F123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16CB5C4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10</w:t>
            </w:r>
          </w:p>
        </w:tc>
        <w:tc>
          <w:tcPr>
            <w:tcW w:w="239" w:type="pct"/>
            <w:vMerge w:val="continue"/>
            <w:shd w:val="clear" w:color="auto" w:fill="auto"/>
            <w:vAlign w:val="center"/>
          </w:tcPr>
          <w:p w14:paraId="1315701D">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0B4E8D90">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09D26AD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村庄建设用地整治</w:t>
            </w:r>
          </w:p>
        </w:tc>
        <w:tc>
          <w:tcPr>
            <w:tcW w:w="1496" w:type="pct"/>
            <w:shd w:val="clear" w:color="auto" w:fill="auto"/>
            <w:vAlign w:val="center"/>
          </w:tcPr>
          <w:p w14:paraId="66EDAC83">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不具备明显发展优势与特色的村庄，进行搬迁撤并，村庄个数2个，腾退农村住宅</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2944BBD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黄壁庄镇北庄、东升</w:t>
            </w:r>
          </w:p>
        </w:tc>
        <w:tc>
          <w:tcPr>
            <w:tcW w:w="424" w:type="pct"/>
            <w:shd w:val="clear" w:color="auto" w:fill="auto"/>
            <w:noWrap/>
            <w:vAlign w:val="center"/>
          </w:tcPr>
          <w:p w14:paraId="0412FB39">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265C09A7">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本规划提出</w:t>
            </w:r>
          </w:p>
        </w:tc>
      </w:tr>
      <w:tr w14:paraId="613C7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423FBB70">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11</w:t>
            </w:r>
          </w:p>
        </w:tc>
        <w:tc>
          <w:tcPr>
            <w:tcW w:w="239" w:type="pct"/>
            <w:vMerge w:val="restart"/>
            <w:shd w:val="clear" w:color="auto" w:fill="auto"/>
            <w:vAlign w:val="center"/>
          </w:tcPr>
          <w:p w14:paraId="3F3B8511">
            <w:pPr>
              <w:spacing w:line="240" w:lineRule="auto"/>
              <w:ind w:left="0" w:leftChars="0" w:firstLine="0" w:firstLineChars="0"/>
              <w:jc w:val="center"/>
              <w:textAlignment w:val="center"/>
              <w:rPr>
                <w:rFonts w:hint="eastAsia" w:eastAsia="仿宋_GB2312" w:cs="Times New Roman"/>
                <w:color w:val="000000"/>
                <w:sz w:val="21"/>
                <w:szCs w:val="21"/>
                <w:highlight w:val="none"/>
                <w:lang w:eastAsia="zh-CN"/>
              </w:rPr>
            </w:pPr>
            <w:r>
              <w:rPr>
                <w:rFonts w:hint="eastAsia" w:eastAsia="仿宋_GB2312" w:cs="Times New Roman"/>
                <w:color w:val="000000"/>
                <w:sz w:val="21"/>
                <w:szCs w:val="21"/>
                <w:highlight w:val="none"/>
                <w:lang w:eastAsia="zh-CN" w:bidi="ar"/>
              </w:rPr>
              <w:t>西部太行山水土保持与矿山生态修复区</w:t>
            </w:r>
          </w:p>
        </w:tc>
        <w:tc>
          <w:tcPr>
            <w:tcW w:w="276" w:type="pct"/>
            <w:vMerge w:val="restart"/>
            <w:shd w:val="clear" w:color="auto" w:fill="auto"/>
            <w:vAlign w:val="center"/>
          </w:tcPr>
          <w:p w14:paraId="24749164">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hint="eastAsia" w:eastAsia="仿宋_GB2312" w:cs="Times New Roman"/>
                <w:color w:val="000000"/>
                <w:sz w:val="21"/>
                <w:szCs w:val="21"/>
                <w:highlight w:val="none"/>
                <w:lang w:eastAsia="zh-CN" w:bidi="ar"/>
              </w:rPr>
              <w:t>山水林田湖草沙一体化保护修复</w:t>
            </w:r>
          </w:p>
        </w:tc>
        <w:tc>
          <w:tcPr>
            <w:tcW w:w="661" w:type="pct"/>
            <w:shd w:val="clear" w:color="auto" w:fill="auto"/>
            <w:vAlign w:val="center"/>
          </w:tcPr>
          <w:p w14:paraId="16B2B4A3">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鹿泉区洨河支流-金河（二期）水环境综合治理与可持续发展试点工程</w:t>
            </w:r>
          </w:p>
        </w:tc>
        <w:tc>
          <w:tcPr>
            <w:tcW w:w="1496" w:type="pct"/>
            <w:shd w:val="clear" w:color="auto" w:fill="auto"/>
            <w:vAlign w:val="center"/>
          </w:tcPr>
          <w:p w14:paraId="66B46FD9">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主要建设内容为河道底泥清理、生态护岸、桥梁拆除重建、周边垃圾清运、建设生态隔离带</w:t>
            </w:r>
          </w:p>
        </w:tc>
        <w:tc>
          <w:tcPr>
            <w:tcW w:w="691" w:type="pct"/>
            <w:shd w:val="clear" w:color="auto" w:fill="auto"/>
            <w:noWrap/>
            <w:vAlign w:val="center"/>
          </w:tcPr>
          <w:p w14:paraId="3D20BF5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白鹿泉乡、铜冶镇</w:t>
            </w:r>
          </w:p>
        </w:tc>
        <w:tc>
          <w:tcPr>
            <w:tcW w:w="424" w:type="pct"/>
            <w:shd w:val="clear" w:color="auto" w:fill="auto"/>
            <w:noWrap/>
            <w:vAlign w:val="center"/>
          </w:tcPr>
          <w:p w14:paraId="7E1672BE">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07715C7F">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区水利局</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十四五</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河道规划</w:t>
            </w:r>
          </w:p>
        </w:tc>
      </w:tr>
      <w:tr w14:paraId="615D5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414123C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12</w:t>
            </w:r>
          </w:p>
        </w:tc>
        <w:tc>
          <w:tcPr>
            <w:tcW w:w="239" w:type="pct"/>
            <w:vMerge w:val="continue"/>
            <w:shd w:val="clear" w:color="auto" w:fill="auto"/>
            <w:vAlign w:val="center"/>
          </w:tcPr>
          <w:p w14:paraId="140F24AE">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0ADAAF29">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3CE0B01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国土绿化营造林工程</w:t>
            </w:r>
          </w:p>
        </w:tc>
        <w:tc>
          <w:tcPr>
            <w:tcW w:w="1496" w:type="pct"/>
            <w:shd w:val="clear" w:color="auto" w:fill="auto"/>
            <w:vAlign w:val="center"/>
          </w:tcPr>
          <w:p w14:paraId="03365574">
            <w:pPr>
              <w:spacing w:line="240" w:lineRule="auto"/>
              <w:ind w:firstLine="42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在太行山区流域上游大力营造水源涵养林和水土保持林，在低山丘陵区和山前平原区，结合农业结构调整大力发展经济林。调整优化林分结构，加强森林抚育，提高森林质量和水源涵养能力</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29CE4FE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白鹿泉乡、山尹村镇、上寨乡、石井乡、铜冶镇、宜安镇</w:t>
            </w:r>
          </w:p>
        </w:tc>
        <w:tc>
          <w:tcPr>
            <w:tcW w:w="424" w:type="pct"/>
            <w:shd w:val="clear" w:color="auto" w:fill="auto"/>
            <w:noWrap/>
            <w:vAlign w:val="center"/>
          </w:tcPr>
          <w:p w14:paraId="26F9BF0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4C206B9B">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结合区国空，本规划提出</w:t>
            </w:r>
          </w:p>
        </w:tc>
      </w:tr>
      <w:tr w14:paraId="53829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7085F0C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13</w:t>
            </w:r>
          </w:p>
        </w:tc>
        <w:tc>
          <w:tcPr>
            <w:tcW w:w="239" w:type="pct"/>
            <w:vMerge w:val="continue"/>
            <w:shd w:val="clear" w:color="auto" w:fill="auto"/>
            <w:vAlign w:val="center"/>
          </w:tcPr>
          <w:p w14:paraId="73A230A6">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71E0C1E8">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7C70C3DE">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历史遗留矿山生态治理工程</w:t>
            </w:r>
          </w:p>
        </w:tc>
        <w:tc>
          <w:tcPr>
            <w:tcW w:w="1496" w:type="pct"/>
            <w:shd w:val="clear" w:color="auto" w:fill="auto"/>
            <w:vAlign w:val="center"/>
          </w:tcPr>
          <w:p w14:paraId="3DFE6781">
            <w:pPr>
              <w:spacing w:line="240" w:lineRule="auto"/>
              <w:ind w:firstLine="42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对矿区及周边更大范围进行综合治理和系统修复，采取自然恢复和人工辅助修复策略，治理矿山边坡，促进植被恢复，改良基层土壤，恢复废弃地的微生物群落，推进绿色发展。</w:t>
            </w:r>
          </w:p>
        </w:tc>
        <w:tc>
          <w:tcPr>
            <w:tcW w:w="691" w:type="pct"/>
            <w:shd w:val="clear" w:color="auto" w:fill="auto"/>
            <w:vAlign w:val="center"/>
          </w:tcPr>
          <w:p w14:paraId="46121A9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宜安镇、石井乡、白鹿泉乡、铜冶镇</w:t>
            </w:r>
          </w:p>
        </w:tc>
        <w:tc>
          <w:tcPr>
            <w:tcW w:w="424" w:type="pct"/>
            <w:shd w:val="clear" w:color="auto" w:fill="auto"/>
            <w:noWrap/>
            <w:vAlign w:val="center"/>
          </w:tcPr>
          <w:p w14:paraId="3124B3DC">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2021-2025</w:t>
            </w:r>
          </w:p>
        </w:tc>
        <w:tc>
          <w:tcPr>
            <w:tcW w:w="1037" w:type="pct"/>
            <w:shd w:val="clear" w:color="auto" w:fill="auto"/>
            <w:vAlign w:val="center"/>
          </w:tcPr>
          <w:p w14:paraId="422949BE">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区国土空间总体规划</w:t>
            </w:r>
          </w:p>
        </w:tc>
      </w:tr>
      <w:tr w14:paraId="428E0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561993B5">
            <w:pPr>
              <w:spacing w:line="240" w:lineRule="auto"/>
              <w:ind w:firstLine="0" w:firstLineChars="0"/>
              <w:jc w:val="center"/>
              <w:textAlignment w:val="center"/>
              <w:rPr>
                <w:rFonts w:hint="default" w:eastAsia="仿宋_GB2312" w:cs="Times New Roman"/>
                <w:color w:val="000000"/>
                <w:sz w:val="21"/>
                <w:szCs w:val="21"/>
                <w:highlight w:val="none"/>
                <w:lang w:val="en-US" w:eastAsia="zh-CN" w:bidi="ar"/>
              </w:rPr>
            </w:pPr>
            <w:r>
              <w:rPr>
                <w:rFonts w:hint="eastAsia" w:eastAsia="仿宋_GB2312" w:cs="Times New Roman"/>
                <w:color w:val="000000"/>
                <w:sz w:val="21"/>
                <w:szCs w:val="21"/>
                <w:highlight w:val="none"/>
                <w:lang w:val="en-US" w:eastAsia="zh-CN" w:bidi="ar"/>
              </w:rPr>
              <w:t>14</w:t>
            </w:r>
          </w:p>
        </w:tc>
        <w:tc>
          <w:tcPr>
            <w:tcW w:w="239" w:type="pct"/>
            <w:vMerge w:val="continue"/>
            <w:shd w:val="clear" w:color="auto" w:fill="auto"/>
            <w:vAlign w:val="center"/>
          </w:tcPr>
          <w:p w14:paraId="2D71FCA9">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068DC065">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598ECD48">
            <w:pPr>
              <w:spacing w:line="240" w:lineRule="auto"/>
              <w:ind w:firstLine="0" w:firstLineChars="0"/>
              <w:jc w:val="center"/>
              <w:textAlignment w:val="center"/>
              <w:rPr>
                <w:rFonts w:hint="default" w:eastAsia="仿宋_GB2312" w:cs="Times New Roman"/>
                <w:color w:val="000000"/>
                <w:sz w:val="21"/>
                <w:szCs w:val="21"/>
                <w:highlight w:val="none"/>
                <w:lang w:val="en-US" w:eastAsia="zh-CN" w:bidi="ar"/>
              </w:rPr>
            </w:pPr>
            <w:r>
              <w:rPr>
                <w:rFonts w:hint="eastAsia" w:eastAsia="仿宋_GB2312" w:cs="Times New Roman"/>
                <w:color w:val="000000"/>
                <w:sz w:val="21"/>
                <w:szCs w:val="21"/>
                <w:highlight w:val="none"/>
                <w:lang w:val="en-US" w:eastAsia="zh-CN" w:bidi="ar"/>
              </w:rPr>
              <w:t>九里山生态修复项目</w:t>
            </w:r>
          </w:p>
        </w:tc>
        <w:tc>
          <w:tcPr>
            <w:tcW w:w="1496" w:type="pct"/>
            <w:shd w:val="clear" w:color="auto" w:fill="auto"/>
            <w:vAlign w:val="center"/>
          </w:tcPr>
          <w:p w14:paraId="18AEB367">
            <w:pPr>
              <w:spacing w:line="240" w:lineRule="auto"/>
              <w:ind w:firstLine="420"/>
              <w:jc w:val="center"/>
              <w:textAlignment w:val="center"/>
              <w:rPr>
                <w:rFonts w:hint="default" w:eastAsia="仿宋_GB2312" w:cs="Times New Roman"/>
                <w:color w:val="000000"/>
                <w:sz w:val="21"/>
                <w:szCs w:val="21"/>
                <w:highlight w:val="none"/>
                <w:lang w:val="en-US" w:eastAsia="zh-CN" w:bidi="ar"/>
              </w:rPr>
            </w:pPr>
            <w:r>
              <w:rPr>
                <w:rFonts w:hint="eastAsia" w:eastAsia="仿宋_GB2312" w:cs="Times New Roman"/>
                <w:color w:val="000000"/>
                <w:sz w:val="21"/>
                <w:szCs w:val="21"/>
                <w:highlight w:val="none"/>
                <w:lang w:val="en-US" w:eastAsia="zh-CN" w:bidi="ar"/>
              </w:rPr>
              <w:t>在九里山区域范围内开展矿山生态修复、林草质量提升、水土流失和地质灾害点治理，加强生态补水，提升人居环境，完善基础设施。</w:t>
            </w:r>
          </w:p>
        </w:tc>
        <w:tc>
          <w:tcPr>
            <w:tcW w:w="691" w:type="pct"/>
            <w:shd w:val="clear" w:color="auto" w:fill="auto"/>
            <w:vAlign w:val="center"/>
          </w:tcPr>
          <w:p w14:paraId="47575577">
            <w:pPr>
              <w:spacing w:line="240" w:lineRule="auto"/>
              <w:ind w:firstLine="0" w:firstLineChars="0"/>
              <w:jc w:val="center"/>
              <w:textAlignment w:val="center"/>
              <w:rPr>
                <w:rFonts w:hint="default" w:eastAsia="仿宋_GB2312" w:cs="Times New Roman"/>
                <w:color w:val="000000"/>
                <w:sz w:val="21"/>
                <w:szCs w:val="21"/>
                <w:highlight w:val="none"/>
                <w:lang w:val="en-US" w:eastAsia="zh-CN" w:bidi="ar"/>
              </w:rPr>
            </w:pPr>
            <w:r>
              <w:rPr>
                <w:rFonts w:hint="eastAsia" w:eastAsia="仿宋_GB2312" w:cs="Times New Roman"/>
                <w:color w:val="000000"/>
                <w:sz w:val="21"/>
                <w:szCs w:val="21"/>
                <w:highlight w:val="none"/>
                <w:lang w:val="en-US" w:eastAsia="zh-CN" w:bidi="ar"/>
              </w:rPr>
              <w:t>石井乡、获鹿镇、大河镇、宜安镇、李村镇</w:t>
            </w:r>
          </w:p>
        </w:tc>
        <w:tc>
          <w:tcPr>
            <w:tcW w:w="424" w:type="pct"/>
            <w:shd w:val="clear" w:color="auto" w:fill="auto"/>
            <w:noWrap/>
            <w:vAlign w:val="center"/>
          </w:tcPr>
          <w:p w14:paraId="0E63EBF8">
            <w:pPr>
              <w:spacing w:line="240" w:lineRule="auto"/>
              <w:ind w:firstLine="0" w:firstLineChars="0"/>
              <w:jc w:val="center"/>
              <w:textAlignment w:val="center"/>
              <w:rPr>
                <w:rFonts w:hint="default" w:eastAsia="仿宋_GB2312" w:cs="Times New Roman"/>
                <w:color w:val="000000"/>
                <w:sz w:val="21"/>
                <w:szCs w:val="21"/>
                <w:highlight w:val="none"/>
                <w:lang w:val="en-US" w:eastAsia="zh-CN" w:bidi="ar"/>
              </w:rPr>
            </w:pPr>
            <w:r>
              <w:rPr>
                <w:rFonts w:hint="eastAsia" w:eastAsia="仿宋_GB2312" w:cs="Times New Roman"/>
                <w:color w:val="000000"/>
                <w:sz w:val="21"/>
                <w:szCs w:val="21"/>
                <w:highlight w:val="none"/>
                <w:lang w:val="en-US" w:eastAsia="zh-CN" w:bidi="ar"/>
              </w:rPr>
              <w:t>2021-2025</w:t>
            </w:r>
          </w:p>
        </w:tc>
        <w:tc>
          <w:tcPr>
            <w:tcW w:w="1037" w:type="pct"/>
            <w:shd w:val="clear" w:color="auto" w:fill="auto"/>
            <w:vAlign w:val="center"/>
          </w:tcPr>
          <w:p w14:paraId="236F43F9">
            <w:pPr>
              <w:spacing w:line="240" w:lineRule="auto"/>
              <w:ind w:left="0" w:leftChars="0" w:firstLine="0" w:firstLineChars="0"/>
              <w:jc w:val="center"/>
              <w:textAlignment w:val="center"/>
              <w:rPr>
                <w:rFonts w:eastAsia="仿宋_GB2312" w:cs="Times New Roman"/>
                <w:color w:val="000000"/>
                <w:sz w:val="21"/>
                <w:szCs w:val="21"/>
                <w:highlight w:val="none"/>
                <w:lang w:bidi="ar"/>
              </w:rPr>
            </w:pPr>
          </w:p>
        </w:tc>
      </w:tr>
      <w:tr w14:paraId="50A75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5062B938">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1</w:t>
            </w:r>
            <w:r>
              <w:rPr>
                <w:rFonts w:hint="eastAsia" w:eastAsia="仿宋_GB2312" w:cs="Times New Roman"/>
                <w:color w:val="000000"/>
                <w:sz w:val="21"/>
                <w:szCs w:val="21"/>
                <w:highlight w:val="none"/>
                <w:lang w:val="en-US" w:eastAsia="zh-CN" w:bidi="ar"/>
              </w:rPr>
              <w:t>5</w:t>
            </w:r>
          </w:p>
        </w:tc>
        <w:tc>
          <w:tcPr>
            <w:tcW w:w="239" w:type="pct"/>
            <w:vMerge w:val="continue"/>
            <w:shd w:val="clear" w:color="auto" w:fill="auto"/>
            <w:vAlign w:val="center"/>
          </w:tcPr>
          <w:p w14:paraId="14346D77">
            <w:pPr>
              <w:spacing w:line="240" w:lineRule="auto"/>
              <w:ind w:firstLine="420"/>
              <w:jc w:val="center"/>
              <w:rPr>
                <w:rFonts w:eastAsia="仿宋_GB2312" w:cs="Times New Roman"/>
                <w:color w:val="000000"/>
                <w:sz w:val="21"/>
                <w:szCs w:val="21"/>
                <w:highlight w:val="none"/>
              </w:rPr>
            </w:pPr>
          </w:p>
        </w:tc>
        <w:tc>
          <w:tcPr>
            <w:tcW w:w="276" w:type="pct"/>
            <w:vMerge w:val="restart"/>
            <w:shd w:val="clear" w:color="auto" w:fill="auto"/>
            <w:vAlign w:val="center"/>
          </w:tcPr>
          <w:p w14:paraId="1BC0F02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国土综合整治</w:t>
            </w:r>
          </w:p>
        </w:tc>
        <w:tc>
          <w:tcPr>
            <w:tcW w:w="661" w:type="pct"/>
            <w:shd w:val="clear" w:color="auto" w:fill="auto"/>
            <w:noWrap/>
            <w:vAlign w:val="center"/>
          </w:tcPr>
          <w:p w14:paraId="5337E83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高标准农田建设</w:t>
            </w:r>
          </w:p>
        </w:tc>
        <w:tc>
          <w:tcPr>
            <w:tcW w:w="1496" w:type="pct"/>
            <w:shd w:val="clear" w:color="auto" w:fill="auto"/>
            <w:vAlign w:val="center"/>
          </w:tcPr>
          <w:p w14:paraId="58CA78EE">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完善农田基础设施，建成适宜耕作、旱涝保收、高产稳产的现代化良田</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7652BCA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白鹿泉乡、大河镇、获鹿镇、山尹村镇、上寨乡、石井乡、铜冶镇、宜安镇</w:t>
            </w:r>
          </w:p>
        </w:tc>
        <w:tc>
          <w:tcPr>
            <w:tcW w:w="424" w:type="pct"/>
            <w:shd w:val="clear" w:color="auto" w:fill="auto"/>
            <w:noWrap/>
            <w:vAlign w:val="center"/>
          </w:tcPr>
          <w:p w14:paraId="3232F7C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55B421C2">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结合区农业农村局项目建设计划，本规划提出</w:t>
            </w:r>
          </w:p>
        </w:tc>
      </w:tr>
      <w:tr w14:paraId="06353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69" w:hRule="atLeast"/>
        </w:trPr>
        <w:tc>
          <w:tcPr>
            <w:tcW w:w="173" w:type="pct"/>
            <w:shd w:val="clear" w:color="auto" w:fill="auto"/>
            <w:noWrap/>
            <w:vAlign w:val="center"/>
          </w:tcPr>
          <w:p w14:paraId="51DBFDD3">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1</w:t>
            </w:r>
            <w:r>
              <w:rPr>
                <w:rFonts w:hint="eastAsia" w:eastAsia="仿宋_GB2312" w:cs="Times New Roman"/>
                <w:color w:val="000000"/>
                <w:sz w:val="21"/>
                <w:szCs w:val="21"/>
                <w:highlight w:val="none"/>
                <w:lang w:val="en-US" w:eastAsia="zh-CN" w:bidi="ar"/>
              </w:rPr>
              <w:t>6</w:t>
            </w:r>
          </w:p>
        </w:tc>
        <w:tc>
          <w:tcPr>
            <w:tcW w:w="239" w:type="pct"/>
            <w:vMerge w:val="continue"/>
            <w:shd w:val="clear" w:color="auto" w:fill="auto"/>
            <w:vAlign w:val="center"/>
          </w:tcPr>
          <w:p w14:paraId="1C1714D3">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22DE57BD">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693B05E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土地综合整治</w:t>
            </w:r>
          </w:p>
        </w:tc>
        <w:tc>
          <w:tcPr>
            <w:tcW w:w="1496" w:type="pct"/>
            <w:shd w:val="clear" w:color="auto" w:fill="auto"/>
            <w:vAlign w:val="center"/>
          </w:tcPr>
          <w:p w14:paraId="65FB17B6">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坚持统筹协调，拓宽补充耕地途</w:t>
            </w:r>
            <w:r>
              <w:rPr>
                <w:rFonts w:hint="eastAsia" w:eastAsia="仿宋_GB2312" w:cs="Times New Roman"/>
                <w:color w:val="000000"/>
                <w:sz w:val="21"/>
                <w:szCs w:val="21"/>
                <w:highlight w:val="none"/>
                <w:lang w:eastAsia="zh-CN" w:bidi="ar"/>
              </w:rPr>
              <w:t>径。</w:t>
            </w:r>
          </w:p>
        </w:tc>
        <w:tc>
          <w:tcPr>
            <w:tcW w:w="691" w:type="pct"/>
            <w:shd w:val="clear" w:color="auto" w:fill="auto"/>
            <w:vAlign w:val="center"/>
          </w:tcPr>
          <w:p w14:paraId="47F9BD9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白鹿泉乡、大河镇、山尹村镇、上寨乡、上庄镇、石井乡、铜冶镇、宜安镇</w:t>
            </w:r>
          </w:p>
        </w:tc>
        <w:tc>
          <w:tcPr>
            <w:tcW w:w="424" w:type="pct"/>
            <w:shd w:val="clear" w:color="auto" w:fill="auto"/>
            <w:noWrap/>
            <w:vAlign w:val="center"/>
          </w:tcPr>
          <w:p w14:paraId="4CFE1DA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56393BA4">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本规划提出</w:t>
            </w:r>
          </w:p>
        </w:tc>
      </w:tr>
      <w:tr w14:paraId="450F4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2DDC033A">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1</w:t>
            </w:r>
            <w:r>
              <w:rPr>
                <w:rFonts w:hint="eastAsia" w:eastAsia="仿宋_GB2312" w:cs="Times New Roman"/>
                <w:color w:val="000000"/>
                <w:sz w:val="21"/>
                <w:szCs w:val="21"/>
                <w:highlight w:val="none"/>
                <w:lang w:val="en-US" w:eastAsia="zh-CN" w:bidi="ar"/>
              </w:rPr>
              <w:t>7</w:t>
            </w:r>
          </w:p>
        </w:tc>
        <w:tc>
          <w:tcPr>
            <w:tcW w:w="239" w:type="pct"/>
            <w:vMerge w:val="continue"/>
            <w:shd w:val="clear" w:color="auto" w:fill="auto"/>
            <w:vAlign w:val="center"/>
          </w:tcPr>
          <w:p w14:paraId="414C20C5">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60FF0044">
            <w:pPr>
              <w:spacing w:line="240" w:lineRule="auto"/>
              <w:ind w:firstLine="420"/>
              <w:jc w:val="center"/>
              <w:rPr>
                <w:rFonts w:eastAsia="仿宋_GB2312" w:cs="Times New Roman"/>
                <w:color w:val="000000"/>
                <w:sz w:val="21"/>
                <w:szCs w:val="21"/>
                <w:highlight w:val="none"/>
              </w:rPr>
            </w:pPr>
          </w:p>
        </w:tc>
        <w:tc>
          <w:tcPr>
            <w:tcW w:w="661" w:type="pct"/>
            <w:shd w:val="clear" w:color="auto" w:fill="auto"/>
            <w:noWrap/>
            <w:vAlign w:val="center"/>
          </w:tcPr>
          <w:p w14:paraId="652F79B7">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村庄建设用地整治</w:t>
            </w:r>
          </w:p>
        </w:tc>
        <w:tc>
          <w:tcPr>
            <w:tcW w:w="1496" w:type="pct"/>
            <w:shd w:val="clear" w:color="auto" w:fill="auto"/>
            <w:vAlign w:val="center"/>
          </w:tcPr>
          <w:p w14:paraId="38C79926">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不具备明显发展优势与特色的村庄，进行搬迁撤并，村庄个数3个，腾退农村住宅</w:t>
            </w:r>
            <w:r>
              <w:rPr>
                <w:rFonts w:hint="eastAsia" w:eastAsia="仿宋_GB2312" w:cs="Times New Roman"/>
                <w:color w:val="000000"/>
                <w:sz w:val="21"/>
                <w:szCs w:val="21"/>
                <w:highlight w:val="none"/>
                <w:lang w:eastAsia="zh-CN" w:bidi="ar"/>
              </w:rPr>
              <w:t>。</w:t>
            </w:r>
          </w:p>
        </w:tc>
        <w:tc>
          <w:tcPr>
            <w:tcW w:w="691" w:type="pct"/>
            <w:shd w:val="clear" w:color="auto" w:fill="auto"/>
            <w:noWrap/>
            <w:vAlign w:val="center"/>
          </w:tcPr>
          <w:p w14:paraId="0641A85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宜安镇高家台、岭口、于庄</w:t>
            </w:r>
          </w:p>
        </w:tc>
        <w:tc>
          <w:tcPr>
            <w:tcW w:w="424" w:type="pct"/>
            <w:shd w:val="clear" w:color="auto" w:fill="auto"/>
            <w:noWrap/>
            <w:vAlign w:val="center"/>
          </w:tcPr>
          <w:p w14:paraId="5D697FD3">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526D472E">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本规划提出</w:t>
            </w:r>
          </w:p>
        </w:tc>
      </w:tr>
      <w:tr w14:paraId="301AD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6E33FD40">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1</w:t>
            </w:r>
            <w:r>
              <w:rPr>
                <w:rFonts w:hint="eastAsia" w:eastAsia="仿宋_GB2312" w:cs="Times New Roman"/>
                <w:color w:val="000000"/>
                <w:sz w:val="21"/>
                <w:szCs w:val="21"/>
                <w:highlight w:val="none"/>
                <w:lang w:val="en-US" w:eastAsia="zh-CN" w:bidi="ar"/>
              </w:rPr>
              <w:t>8</w:t>
            </w:r>
          </w:p>
        </w:tc>
        <w:tc>
          <w:tcPr>
            <w:tcW w:w="239" w:type="pct"/>
            <w:vMerge w:val="restart"/>
            <w:shd w:val="clear" w:color="auto" w:fill="auto"/>
            <w:vAlign w:val="center"/>
          </w:tcPr>
          <w:p w14:paraId="4398E03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南部平原乡村环境提升区</w:t>
            </w:r>
          </w:p>
        </w:tc>
        <w:tc>
          <w:tcPr>
            <w:tcW w:w="276" w:type="pct"/>
            <w:vMerge w:val="restart"/>
            <w:shd w:val="clear" w:color="auto" w:fill="auto"/>
            <w:vAlign w:val="center"/>
          </w:tcPr>
          <w:p w14:paraId="003FC4DA">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hint="eastAsia" w:eastAsia="仿宋_GB2312" w:cs="Times New Roman"/>
                <w:color w:val="000000"/>
                <w:sz w:val="21"/>
                <w:szCs w:val="21"/>
                <w:highlight w:val="none"/>
                <w:lang w:eastAsia="zh-CN" w:bidi="ar"/>
              </w:rPr>
              <w:t>山水林田湖草沙一体化保护修复</w:t>
            </w:r>
          </w:p>
        </w:tc>
        <w:tc>
          <w:tcPr>
            <w:tcW w:w="661" w:type="pct"/>
            <w:shd w:val="clear" w:color="auto" w:fill="auto"/>
            <w:vAlign w:val="center"/>
          </w:tcPr>
          <w:p w14:paraId="4C5A9B5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石家庄市鹿泉区洨河支流—金河（一期）水环境综合治理与可持续发展试点工程</w:t>
            </w:r>
          </w:p>
        </w:tc>
        <w:tc>
          <w:tcPr>
            <w:tcW w:w="1496" w:type="pct"/>
            <w:shd w:val="clear" w:color="auto" w:fill="auto"/>
            <w:vAlign w:val="center"/>
          </w:tcPr>
          <w:p w14:paraId="312B8E52">
            <w:pPr>
              <w:spacing w:line="240" w:lineRule="auto"/>
              <w:ind w:firstLine="42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开展水质提升、水环境综合治理，加强生态补水，促进水系连通，改善洨河整体水环境质量</w:t>
            </w:r>
            <w:r>
              <w:rPr>
                <w:rFonts w:hint="eastAsia" w:eastAsia="仿宋_GB2312" w:cs="Times New Roman"/>
                <w:color w:val="000000"/>
                <w:sz w:val="21"/>
                <w:szCs w:val="21"/>
                <w:highlight w:val="none"/>
                <w:lang w:eastAsia="zh-CN" w:bidi="ar"/>
              </w:rPr>
              <w:t>。</w:t>
            </w:r>
          </w:p>
        </w:tc>
        <w:tc>
          <w:tcPr>
            <w:tcW w:w="691" w:type="pct"/>
            <w:shd w:val="clear" w:color="auto" w:fill="auto"/>
            <w:noWrap/>
            <w:vAlign w:val="center"/>
          </w:tcPr>
          <w:p w14:paraId="40554E70">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铜冶镇</w:t>
            </w:r>
          </w:p>
        </w:tc>
        <w:tc>
          <w:tcPr>
            <w:tcW w:w="424" w:type="pct"/>
            <w:shd w:val="clear" w:color="auto" w:fill="auto"/>
            <w:noWrap/>
            <w:vAlign w:val="center"/>
          </w:tcPr>
          <w:p w14:paraId="533DB1D9">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2021-2025</w:t>
            </w:r>
          </w:p>
        </w:tc>
        <w:tc>
          <w:tcPr>
            <w:tcW w:w="1037" w:type="pct"/>
            <w:shd w:val="clear" w:color="auto" w:fill="auto"/>
            <w:vAlign w:val="center"/>
          </w:tcPr>
          <w:p w14:paraId="05ED4890">
            <w:pPr>
              <w:spacing w:line="240" w:lineRule="auto"/>
              <w:ind w:left="0" w:leftChars="0"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区水利局</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十四五</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河道规划</w:t>
            </w:r>
          </w:p>
        </w:tc>
      </w:tr>
      <w:tr w14:paraId="66E93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7AE7EBA6">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1</w:t>
            </w:r>
            <w:r>
              <w:rPr>
                <w:rFonts w:hint="eastAsia" w:eastAsia="仿宋_GB2312" w:cs="Times New Roman"/>
                <w:color w:val="000000"/>
                <w:sz w:val="21"/>
                <w:szCs w:val="21"/>
                <w:highlight w:val="none"/>
                <w:lang w:val="en-US" w:eastAsia="zh-CN" w:bidi="ar"/>
              </w:rPr>
              <w:t>9</w:t>
            </w:r>
          </w:p>
        </w:tc>
        <w:tc>
          <w:tcPr>
            <w:tcW w:w="239" w:type="pct"/>
            <w:vMerge w:val="continue"/>
            <w:shd w:val="clear" w:color="auto" w:fill="auto"/>
            <w:vAlign w:val="center"/>
          </w:tcPr>
          <w:p w14:paraId="15608540">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724A7ED2">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6D11B2B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石家庄城市水系及水系空间项目五支渠—洨河排洪畅通工程</w:t>
            </w:r>
          </w:p>
        </w:tc>
        <w:tc>
          <w:tcPr>
            <w:tcW w:w="1496" w:type="pct"/>
            <w:shd w:val="clear" w:color="auto" w:fill="auto"/>
            <w:vAlign w:val="center"/>
          </w:tcPr>
          <w:p w14:paraId="45037A4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通过河道疏浚、拓宽、防护工程，治理河道长度6.0千米</w:t>
            </w:r>
          </w:p>
        </w:tc>
        <w:tc>
          <w:tcPr>
            <w:tcW w:w="691" w:type="pct"/>
            <w:shd w:val="clear" w:color="auto" w:fill="auto"/>
            <w:vAlign w:val="center"/>
          </w:tcPr>
          <w:p w14:paraId="698181E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开发区、上庄镇、铜冶镇、寺家庄镇</w:t>
            </w:r>
          </w:p>
        </w:tc>
        <w:tc>
          <w:tcPr>
            <w:tcW w:w="424" w:type="pct"/>
            <w:shd w:val="clear" w:color="auto" w:fill="auto"/>
            <w:noWrap/>
            <w:vAlign w:val="center"/>
          </w:tcPr>
          <w:p w14:paraId="78607A1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2021-2025</w:t>
            </w:r>
          </w:p>
        </w:tc>
        <w:tc>
          <w:tcPr>
            <w:tcW w:w="1037" w:type="pct"/>
            <w:shd w:val="clear" w:color="auto" w:fill="auto"/>
            <w:noWrap/>
            <w:vAlign w:val="center"/>
          </w:tcPr>
          <w:p w14:paraId="41A87D7A">
            <w:pPr>
              <w:spacing w:line="240" w:lineRule="auto"/>
              <w:jc w:val="center"/>
              <w:textAlignment w:val="center"/>
              <w:rPr>
                <w:rFonts w:eastAsia="仿宋_GB2312" w:cs="Times New Roman"/>
                <w:color w:val="000000"/>
                <w:sz w:val="21"/>
                <w:szCs w:val="21"/>
                <w:highlight w:val="none"/>
              </w:rPr>
            </w:pPr>
          </w:p>
        </w:tc>
      </w:tr>
      <w:tr w14:paraId="7F55A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17A3250B">
            <w:pPr>
              <w:spacing w:line="240" w:lineRule="auto"/>
              <w:ind w:firstLine="0" w:firstLineChars="0"/>
              <w:jc w:val="center"/>
              <w:textAlignment w:val="center"/>
              <w:rPr>
                <w:rFonts w:hint="default" w:eastAsia="仿宋_GB2312" w:cs="Times New Roman"/>
                <w:color w:val="000000"/>
                <w:sz w:val="21"/>
                <w:szCs w:val="21"/>
                <w:highlight w:val="none"/>
                <w:lang w:val="en-US" w:eastAsia="zh-CN"/>
              </w:rPr>
            </w:pPr>
            <w:r>
              <w:rPr>
                <w:rFonts w:hint="eastAsia" w:eastAsia="仿宋_GB2312" w:cs="Times New Roman"/>
                <w:color w:val="000000"/>
                <w:sz w:val="21"/>
                <w:szCs w:val="21"/>
                <w:highlight w:val="none"/>
                <w:lang w:val="en-US" w:eastAsia="zh-CN" w:bidi="ar"/>
              </w:rPr>
              <w:t>20</w:t>
            </w:r>
          </w:p>
        </w:tc>
        <w:tc>
          <w:tcPr>
            <w:tcW w:w="239" w:type="pct"/>
            <w:vMerge w:val="continue"/>
            <w:shd w:val="clear" w:color="auto" w:fill="auto"/>
            <w:vAlign w:val="center"/>
          </w:tcPr>
          <w:p w14:paraId="76C2E7F3">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3D72A5B0">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002D33DC">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国土绿化营造林工程</w:t>
            </w:r>
          </w:p>
        </w:tc>
        <w:tc>
          <w:tcPr>
            <w:tcW w:w="1496" w:type="pct"/>
            <w:shd w:val="clear" w:color="auto" w:fill="auto"/>
            <w:vAlign w:val="center"/>
          </w:tcPr>
          <w:p w14:paraId="7A83452E">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继续推进太行山造林绿化，调整优化林分结构，加强森林抚育，提高森林质量和水源涵养能力</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1C160D0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山尹村镇、上庄镇、寺家庄镇、铜冶镇</w:t>
            </w:r>
          </w:p>
        </w:tc>
        <w:tc>
          <w:tcPr>
            <w:tcW w:w="424" w:type="pct"/>
            <w:shd w:val="clear" w:color="auto" w:fill="auto"/>
            <w:noWrap/>
            <w:vAlign w:val="center"/>
          </w:tcPr>
          <w:p w14:paraId="3E99AFDA">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48DC5B2C">
            <w:pPr>
              <w:spacing w:line="240" w:lineRule="auto"/>
              <w:ind w:firstLine="420"/>
              <w:jc w:val="center"/>
              <w:rPr>
                <w:rFonts w:eastAsia="仿宋_GB2312" w:cs="Times New Roman"/>
                <w:color w:val="000000"/>
                <w:sz w:val="21"/>
                <w:szCs w:val="21"/>
                <w:highlight w:val="none"/>
              </w:rPr>
            </w:pPr>
          </w:p>
        </w:tc>
      </w:tr>
      <w:tr w14:paraId="03D8E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79676821">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1</w:t>
            </w:r>
          </w:p>
        </w:tc>
        <w:tc>
          <w:tcPr>
            <w:tcW w:w="239" w:type="pct"/>
            <w:vMerge w:val="continue"/>
            <w:shd w:val="clear" w:color="auto" w:fill="auto"/>
            <w:vAlign w:val="center"/>
          </w:tcPr>
          <w:p w14:paraId="72A38A28">
            <w:pPr>
              <w:spacing w:line="240" w:lineRule="auto"/>
              <w:ind w:firstLine="420"/>
              <w:jc w:val="center"/>
              <w:rPr>
                <w:rFonts w:eastAsia="仿宋_GB2312" w:cs="Times New Roman"/>
                <w:color w:val="000000"/>
                <w:sz w:val="21"/>
                <w:szCs w:val="21"/>
                <w:highlight w:val="none"/>
              </w:rPr>
            </w:pPr>
          </w:p>
        </w:tc>
        <w:tc>
          <w:tcPr>
            <w:tcW w:w="276" w:type="pct"/>
            <w:vMerge w:val="restart"/>
            <w:shd w:val="clear" w:color="auto" w:fill="auto"/>
            <w:vAlign w:val="center"/>
          </w:tcPr>
          <w:p w14:paraId="20D8F52E">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国土综合整治</w:t>
            </w:r>
          </w:p>
        </w:tc>
        <w:tc>
          <w:tcPr>
            <w:tcW w:w="661" w:type="pct"/>
            <w:shd w:val="clear" w:color="auto" w:fill="auto"/>
            <w:noWrap/>
            <w:vAlign w:val="center"/>
          </w:tcPr>
          <w:p w14:paraId="1FD4AE2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高标准农田建设</w:t>
            </w:r>
          </w:p>
        </w:tc>
        <w:tc>
          <w:tcPr>
            <w:tcW w:w="1496" w:type="pct"/>
            <w:shd w:val="clear" w:color="auto" w:fill="auto"/>
            <w:vAlign w:val="center"/>
          </w:tcPr>
          <w:p w14:paraId="4D48E825">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完善农田基础设施，建成适宜耕作、旱涝保收、高产稳产的现代化良田</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41667ABE">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山尹村镇、上庄镇、寺家庄镇、铜冶镇</w:t>
            </w:r>
          </w:p>
        </w:tc>
        <w:tc>
          <w:tcPr>
            <w:tcW w:w="424" w:type="pct"/>
            <w:shd w:val="clear" w:color="auto" w:fill="auto"/>
            <w:noWrap/>
            <w:vAlign w:val="center"/>
          </w:tcPr>
          <w:p w14:paraId="6CD81FA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3C0B8D0A">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区国土空间总体规划</w:t>
            </w:r>
          </w:p>
        </w:tc>
      </w:tr>
      <w:tr w14:paraId="0EB1B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20599E1E">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2</w:t>
            </w:r>
          </w:p>
        </w:tc>
        <w:tc>
          <w:tcPr>
            <w:tcW w:w="239" w:type="pct"/>
            <w:vMerge w:val="continue"/>
            <w:shd w:val="clear" w:color="auto" w:fill="auto"/>
            <w:vAlign w:val="center"/>
          </w:tcPr>
          <w:p w14:paraId="06823FAC">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398F7F52">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757F9B3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土地综合整治</w:t>
            </w:r>
          </w:p>
        </w:tc>
        <w:tc>
          <w:tcPr>
            <w:tcW w:w="1496" w:type="pct"/>
            <w:shd w:val="clear" w:color="auto" w:fill="auto"/>
            <w:vAlign w:val="center"/>
          </w:tcPr>
          <w:p w14:paraId="56F8FA60">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坚持统筹协调，拓宽补充耕地途</w:t>
            </w:r>
            <w:r>
              <w:rPr>
                <w:rFonts w:hint="eastAsia" w:eastAsia="仿宋_GB2312" w:cs="Times New Roman"/>
                <w:color w:val="000000"/>
                <w:sz w:val="21"/>
                <w:szCs w:val="21"/>
                <w:highlight w:val="none"/>
                <w:lang w:eastAsia="zh-CN" w:bidi="ar"/>
              </w:rPr>
              <w:t>径。</w:t>
            </w:r>
          </w:p>
        </w:tc>
        <w:tc>
          <w:tcPr>
            <w:tcW w:w="691" w:type="pct"/>
            <w:shd w:val="clear" w:color="auto" w:fill="auto"/>
            <w:vAlign w:val="center"/>
          </w:tcPr>
          <w:p w14:paraId="1F462CBC">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山尹村镇、上庄镇、铜冶镇</w:t>
            </w:r>
          </w:p>
        </w:tc>
        <w:tc>
          <w:tcPr>
            <w:tcW w:w="424" w:type="pct"/>
            <w:shd w:val="clear" w:color="auto" w:fill="auto"/>
            <w:noWrap/>
            <w:vAlign w:val="center"/>
          </w:tcPr>
          <w:p w14:paraId="297256D7">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7E2E1CC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本规划提出</w:t>
            </w:r>
          </w:p>
        </w:tc>
      </w:tr>
      <w:tr w14:paraId="4F5A4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58C4BE1A">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3</w:t>
            </w:r>
          </w:p>
        </w:tc>
        <w:tc>
          <w:tcPr>
            <w:tcW w:w="239" w:type="pct"/>
            <w:vMerge w:val="continue"/>
            <w:shd w:val="clear" w:color="auto" w:fill="auto"/>
            <w:vAlign w:val="center"/>
          </w:tcPr>
          <w:p w14:paraId="47EE1431">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7D3280E4">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1BEB49B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村庄建设用地整治</w:t>
            </w:r>
          </w:p>
        </w:tc>
        <w:tc>
          <w:tcPr>
            <w:tcW w:w="1496" w:type="pct"/>
            <w:shd w:val="clear" w:color="auto" w:fill="auto"/>
            <w:vAlign w:val="center"/>
          </w:tcPr>
          <w:p w14:paraId="201E9ABC">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位于南泄洪区行洪控制区内，进行搬迁撤并，村庄个数2个，搬迁撤并后的村庄原址，因地制宜复垦、复绿，增加乡村生产生态空间，腾退农村住宅</w:t>
            </w:r>
            <w:r>
              <w:rPr>
                <w:rFonts w:hint="eastAsia" w:eastAsia="仿宋_GB2312" w:cs="Times New Roman"/>
                <w:color w:val="000000"/>
                <w:sz w:val="21"/>
                <w:szCs w:val="21"/>
                <w:highlight w:val="none"/>
                <w:lang w:eastAsia="zh-CN" w:bidi="ar"/>
              </w:rPr>
              <w:t>。</w:t>
            </w:r>
          </w:p>
        </w:tc>
        <w:tc>
          <w:tcPr>
            <w:tcW w:w="691" w:type="pct"/>
            <w:shd w:val="clear" w:color="auto" w:fill="auto"/>
            <w:noWrap/>
            <w:vAlign w:val="center"/>
          </w:tcPr>
          <w:p w14:paraId="1886C56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铜冶镇南杜村、小张庄</w:t>
            </w:r>
          </w:p>
        </w:tc>
        <w:tc>
          <w:tcPr>
            <w:tcW w:w="424" w:type="pct"/>
            <w:shd w:val="clear" w:color="auto" w:fill="auto"/>
            <w:noWrap/>
            <w:vAlign w:val="center"/>
          </w:tcPr>
          <w:p w14:paraId="006BBE3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37A90A2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本规划提出</w:t>
            </w:r>
          </w:p>
        </w:tc>
      </w:tr>
      <w:tr w14:paraId="0140B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5680239A">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4</w:t>
            </w:r>
          </w:p>
        </w:tc>
        <w:tc>
          <w:tcPr>
            <w:tcW w:w="239" w:type="pct"/>
            <w:vMerge w:val="restart"/>
            <w:shd w:val="clear" w:color="auto" w:fill="auto"/>
            <w:vAlign w:val="center"/>
          </w:tcPr>
          <w:p w14:paraId="3DA84333">
            <w:pPr>
              <w:spacing w:line="240" w:lineRule="auto"/>
              <w:ind w:left="0" w:leftChars="0" w:firstLine="0" w:firstLineChars="0"/>
              <w:jc w:val="center"/>
              <w:textAlignment w:val="center"/>
              <w:rPr>
                <w:rFonts w:eastAsia="仿宋_GB2312" w:cs="Times New Roman"/>
                <w:color w:val="000000"/>
                <w:sz w:val="21"/>
                <w:szCs w:val="21"/>
                <w:highlight w:val="none"/>
              </w:rPr>
            </w:pPr>
            <w:r>
              <w:rPr>
                <w:rFonts w:hint="eastAsia" w:eastAsia="仿宋_GB2312" w:cs="Times New Roman"/>
                <w:color w:val="000000"/>
                <w:sz w:val="21"/>
                <w:szCs w:val="21"/>
                <w:highlight w:val="none"/>
                <w:lang w:eastAsia="zh-CN" w:bidi="ar"/>
              </w:rPr>
              <w:t>中部太平河流域城镇人居环境提升区</w:t>
            </w:r>
          </w:p>
        </w:tc>
        <w:tc>
          <w:tcPr>
            <w:tcW w:w="276" w:type="pct"/>
            <w:vMerge w:val="restart"/>
            <w:shd w:val="clear" w:color="auto" w:fill="auto"/>
            <w:vAlign w:val="center"/>
          </w:tcPr>
          <w:p w14:paraId="6739FECE">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hint="eastAsia" w:eastAsia="仿宋_GB2312" w:cs="Times New Roman"/>
                <w:color w:val="000000"/>
                <w:sz w:val="21"/>
                <w:szCs w:val="21"/>
                <w:highlight w:val="none"/>
                <w:lang w:eastAsia="zh-CN" w:bidi="ar"/>
              </w:rPr>
              <w:t>山水林田湖草沙一体化保护修复</w:t>
            </w:r>
          </w:p>
        </w:tc>
        <w:tc>
          <w:tcPr>
            <w:tcW w:w="661" w:type="pct"/>
            <w:shd w:val="clear" w:color="auto" w:fill="auto"/>
            <w:vAlign w:val="center"/>
          </w:tcPr>
          <w:p w14:paraId="40524029">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鹿泉区石井南沟治理工程</w:t>
            </w:r>
          </w:p>
        </w:tc>
        <w:tc>
          <w:tcPr>
            <w:tcW w:w="1496" w:type="pct"/>
            <w:shd w:val="clear" w:color="auto" w:fill="auto"/>
            <w:vAlign w:val="center"/>
          </w:tcPr>
          <w:p w14:paraId="310C48B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石井南沟河槽疏浚、取直、扩挖和新建，引岗渠与河道交叉处新建引岗渠渡槽一座，对石井南沟汇入口及以下60米范围的太平河北支进行断面防护，北太平河进行清淤疏浚并对局部浆砌石挡墙进行修复</w:t>
            </w:r>
          </w:p>
        </w:tc>
        <w:tc>
          <w:tcPr>
            <w:tcW w:w="691" w:type="pct"/>
            <w:shd w:val="clear" w:color="auto" w:fill="auto"/>
            <w:vAlign w:val="center"/>
          </w:tcPr>
          <w:p w14:paraId="1E78782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石井乡</w:t>
            </w:r>
          </w:p>
        </w:tc>
        <w:tc>
          <w:tcPr>
            <w:tcW w:w="424" w:type="pct"/>
            <w:shd w:val="clear" w:color="auto" w:fill="auto"/>
            <w:noWrap/>
            <w:vAlign w:val="center"/>
          </w:tcPr>
          <w:p w14:paraId="092E09B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509EF1A3">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区水利局</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十四五</w:t>
            </w:r>
            <w:r>
              <w:rPr>
                <w:rFonts w:hint="eastAsia" w:eastAsia="仿宋_GB2312" w:cs="Times New Roman"/>
                <w:color w:val="000000"/>
                <w:sz w:val="21"/>
                <w:szCs w:val="21"/>
                <w:highlight w:val="none"/>
                <w:lang w:bidi="ar"/>
              </w:rPr>
              <w:t>”</w:t>
            </w:r>
            <w:r>
              <w:rPr>
                <w:rFonts w:eastAsia="仿宋_GB2312" w:cs="Times New Roman"/>
                <w:color w:val="000000"/>
                <w:sz w:val="21"/>
                <w:szCs w:val="21"/>
                <w:highlight w:val="none"/>
                <w:lang w:bidi="ar"/>
              </w:rPr>
              <w:t>河道规划</w:t>
            </w:r>
          </w:p>
        </w:tc>
      </w:tr>
      <w:tr w14:paraId="212AF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5D894321">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5</w:t>
            </w:r>
          </w:p>
        </w:tc>
        <w:tc>
          <w:tcPr>
            <w:tcW w:w="239" w:type="pct"/>
            <w:vMerge w:val="continue"/>
            <w:shd w:val="clear" w:color="auto" w:fill="auto"/>
            <w:vAlign w:val="center"/>
          </w:tcPr>
          <w:p w14:paraId="28D998AB">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2659E57B">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045AF49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国土绿化营造林工程</w:t>
            </w:r>
          </w:p>
        </w:tc>
        <w:tc>
          <w:tcPr>
            <w:tcW w:w="1496" w:type="pct"/>
            <w:shd w:val="clear" w:color="auto" w:fill="auto"/>
            <w:vAlign w:val="center"/>
          </w:tcPr>
          <w:p w14:paraId="7C90A54C">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继续推进太行山造林绿化，调整优化林分结构，加强森林抚育，提高森林质量和水源涵养能力</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029B4F42">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白鹿泉乡、获鹿镇</w:t>
            </w:r>
          </w:p>
        </w:tc>
        <w:tc>
          <w:tcPr>
            <w:tcW w:w="424" w:type="pct"/>
            <w:shd w:val="clear" w:color="auto" w:fill="auto"/>
            <w:noWrap/>
            <w:vAlign w:val="center"/>
          </w:tcPr>
          <w:p w14:paraId="639C9FDE">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4A3BAD91">
            <w:pPr>
              <w:spacing w:line="240" w:lineRule="auto"/>
              <w:ind w:firstLine="420"/>
              <w:jc w:val="center"/>
              <w:rPr>
                <w:rFonts w:eastAsia="仿宋_GB2312" w:cs="Times New Roman"/>
                <w:color w:val="000000"/>
                <w:sz w:val="21"/>
                <w:szCs w:val="21"/>
                <w:highlight w:val="none"/>
              </w:rPr>
            </w:pPr>
          </w:p>
        </w:tc>
      </w:tr>
      <w:tr w14:paraId="71CA4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161DEDED">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6</w:t>
            </w:r>
          </w:p>
        </w:tc>
        <w:tc>
          <w:tcPr>
            <w:tcW w:w="239" w:type="pct"/>
            <w:vMerge w:val="continue"/>
            <w:shd w:val="clear" w:color="auto" w:fill="auto"/>
            <w:vAlign w:val="center"/>
          </w:tcPr>
          <w:p w14:paraId="771C75DA">
            <w:pPr>
              <w:spacing w:line="240" w:lineRule="auto"/>
              <w:ind w:firstLine="420"/>
              <w:jc w:val="center"/>
              <w:rPr>
                <w:rFonts w:eastAsia="仿宋_GB2312" w:cs="Times New Roman"/>
                <w:color w:val="000000"/>
                <w:sz w:val="21"/>
                <w:szCs w:val="21"/>
                <w:highlight w:val="none"/>
              </w:rPr>
            </w:pPr>
          </w:p>
        </w:tc>
        <w:tc>
          <w:tcPr>
            <w:tcW w:w="276" w:type="pct"/>
            <w:vMerge w:val="restart"/>
            <w:shd w:val="clear" w:color="auto" w:fill="auto"/>
            <w:vAlign w:val="center"/>
          </w:tcPr>
          <w:p w14:paraId="0B5C77C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国土综合整治</w:t>
            </w:r>
          </w:p>
        </w:tc>
        <w:tc>
          <w:tcPr>
            <w:tcW w:w="661" w:type="pct"/>
            <w:shd w:val="clear" w:color="auto" w:fill="auto"/>
            <w:noWrap/>
            <w:vAlign w:val="center"/>
          </w:tcPr>
          <w:p w14:paraId="149B9547">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高标准农田建设</w:t>
            </w:r>
          </w:p>
        </w:tc>
        <w:tc>
          <w:tcPr>
            <w:tcW w:w="1496" w:type="pct"/>
            <w:shd w:val="clear" w:color="auto" w:fill="auto"/>
            <w:vAlign w:val="center"/>
          </w:tcPr>
          <w:p w14:paraId="4899200E">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完善农田基础设施，建成适宜耕作、旱涝保收、高产稳产的现代化良田</w:t>
            </w:r>
            <w:r>
              <w:rPr>
                <w:rFonts w:hint="eastAsia" w:eastAsia="仿宋_GB2312" w:cs="Times New Roman"/>
                <w:color w:val="000000"/>
                <w:sz w:val="21"/>
                <w:szCs w:val="21"/>
                <w:highlight w:val="none"/>
                <w:lang w:eastAsia="zh-CN" w:bidi="ar"/>
              </w:rPr>
              <w:t>。</w:t>
            </w:r>
          </w:p>
        </w:tc>
        <w:tc>
          <w:tcPr>
            <w:tcW w:w="691" w:type="pct"/>
            <w:shd w:val="clear" w:color="auto" w:fill="auto"/>
            <w:vAlign w:val="center"/>
          </w:tcPr>
          <w:p w14:paraId="621381A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大河镇、获鹿镇、开发区、上庄镇</w:t>
            </w:r>
          </w:p>
        </w:tc>
        <w:tc>
          <w:tcPr>
            <w:tcW w:w="424" w:type="pct"/>
            <w:shd w:val="clear" w:color="auto" w:fill="auto"/>
            <w:noWrap/>
            <w:vAlign w:val="center"/>
          </w:tcPr>
          <w:p w14:paraId="2E0423C9">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7C94F085">
            <w:pPr>
              <w:spacing w:line="240" w:lineRule="auto"/>
              <w:ind w:firstLine="420"/>
              <w:jc w:val="center"/>
              <w:rPr>
                <w:rFonts w:eastAsia="仿宋_GB2312" w:cs="Times New Roman"/>
                <w:color w:val="000000"/>
                <w:sz w:val="21"/>
                <w:szCs w:val="21"/>
                <w:highlight w:val="none"/>
              </w:rPr>
            </w:pPr>
          </w:p>
        </w:tc>
      </w:tr>
      <w:tr w14:paraId="46EE9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601C6C0A">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7</w:t>
            </w:r>
          </w:p>
        </w:tc>
        <w:tc>
          <w:tcPr>
            <w:tcW w:w="239" w:type="pct"/>
            <w:vMerge w:val="continue"/>
            <w:shd w:val="clear" w:color="auto" w:fill="auto"/>
            <w:vAlign w:val="center"/>
          </w:tcPr>
          <w:p w14:paraId="455CBB7D">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54020A9E">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4E6C7E2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土地综合整治</w:t>
            </w:r>
          </w:p>
        </w:tc>
        <w:tc>
          <w:tcPr>
            <w:tcW w:w="1496" w:type="pct"/>
            <w:shd w:val="clear" w:color="auto" w:fill="auto"/>
            <w:vAlign w:val="center"/>
          </w:tcPr>
          <w:p w14:paraId="479B3F26">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坚持统筹协调，拓宽补充耕地途</w:t>
            </w:r>
            <w:r>
              <w:rPr>
                <w:rFonts w:hint="eastAsia" w:eastAsia="仿宋_GB2312" w:cs="Times New Roman"/>
                <w:color w:val="000000"/>
                <w:sz w:val="21"/>
                <w:szCs w:val="21"/>
                <w:highlight w:val="none"/>
                <w:lang w:eastAsia="zh-CN" w:bidi="ar"/>
              </w:rPr>
              <w:t>径。</w:t>
            </w:r>
          </w:p>
        </w:tc>
        <w:tc>
          <w:tcPr>
            <w:tcW w:w="691" w:type="pct"/>
            <w:shd w:val="clear" w:color="auto" w:fill="auto"/>
            <w:vAlign w:val="center"/>
          </w:tcPr>
          <w:p w14:paraId="357892A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获鹿镇、开发区、白鹿泉乡</w:t>
            </w:r>
          </w:p>
        </w:tc>
        <w:tc>
          <w:tcPr>
            <w:tcW w:w="424" w:type="pct"/>
            <w:shd w:val="clear" w:color="auto" w:fill="auto"/>
            <w:noWrap/>
            <w:vAlign w:val="center"/>
          </w:tcPr>
          <w:p w14:paraId="46FF8B1C">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7F53E98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本规划提出</w:t>
            </w:r>
          </w:p>
        </w:tc>
      </w:tr>
      <w:tr w14:paraId="4E964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64F3236F">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8</w:t>
            </w:r>
          </w:p>
        </w:tc>
        <w:tc>
          <w:tcPr>
            <w:tcW w:w="239" w:type="pct"/>
            <w:vMerge w:val="restart"/>
            <w:shd w:val="clear" w:color="auto" w:fill="auto"/>
            <w:vAlign w:val="center"/>
          </w:tcPr>
          <w:p w14:paraId="0260F17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重要生态廊道和生态网络构建</w:t>
            </w:r>
          </w:p>
        </w:tc>
        <w:tc>
          <w:tcPr>
            <w:tcW w:w="276" w:type="pct"/>
            <w:vMerge w:val="restart"/>
            <w:shd w:val="clear" w:color="auto" w:fill="auto"/>
            <w:vAlign w:val="center"/>
          </w:tcPr>
          <w:p w14:paraId="2E5A8A70">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生态廊道建设</w:t>
            </w:r>
          </w:p>
        </w:tc>
        <w:tc>
          <w:tcPr>
            <w:tcW w:w="661" w:type="pct"/>
            <w:shd w:val="clear" w:color="auto" w:fill="auto"/>
            <w:vAlign w:val="center"/>
          </w:tcPr>
          <w:p w14:paraId="10588EC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封龙山风景名胜区自然保护地体系建设工程</w:t>
            </w:r>
          </w:p>
        </w:tc>
        <w:tc>
          <w:tcPr>
            <w:tcW w:w="1496" w:type="pct"/>
            <w:shd w:val="clear" w:color="auto" w:fill="auto"/>
            <w:vAlign w:val="center"/>
          </w:tcPr>
          <w:p w14:paraId="6529555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开展受损自然生态系统修复，以自然修复为主、人工修复为辅，开展重要栖息地</w:t>
            </w:r>
            <w:r>
              <w:rPr>
                <w:rFonts w:hint="eastAsia" w:eastAsia="仿宋_GB2312" w:cs="Times New Roman"/>
                <w:color w:val="000000"/>
                <w:sz w:val="21"/>
                <w:szCs w:val="21"/>
                <w:highlight w:val="none"/>
                <w:lang w:eastAsia="zh-CN" w:bidi="ar"/>
              </w:rPr>
              <w:t>环</w:t>
            </w:r>
            <w:r>
              <w:rPr>
                <w:rFonts w:eastAsia="仿宋_GB2312" w:cs="Times New Roman"/>
                <w:color w:val="000000"/>
                <w:sz w:val="21"/>
                <w:szCs w:val="21"/>
                <w:highlight w:val="none"/>
                <w:lang w:bidi="ar"/>
              </w:rPr>
              <w:t>境恢复和廊道节点生态修复，增强生态系统的完整性和连通度</w:t>
            </w:r>
          </w:p>
        </w:tc>
        <w:tc>
          <w:tcPr>
            <w:tcW w:w="691" w:type="pct"/>
            <w:shd w:val="clear" w:color="auto" w:fill="auto"/>
            <w:vAlign w:val="center"/>
          </w:tcPr>
          <w:p w14:paraId="6A740BBD">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上寨乡、铜冶镇、山尹村镇</w:t>
            </w:r>
          </w:p>
        </w:tc>
        <w:tc>
          <w:tcPr>
            <w:tcW w:w="424" w:type="pct"/>
            <w:shd w:val="clear" w:color="auto" w:fill="auto"/>
            <w:noWrap/>
            <w:vAlign w:val="center"/>
          </w:tcPr>
          <w:p w14:paraId="135945E7">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5E2067D7">
            <w:pPr>
              <w:spacing w:line="240" w:lineRule="auto"/>
              <w:ind w:left="0" w:leftChars="0" w:firstLine="0" w:firstLineChars="0"/>
              <w:jc w:val="center"/>
              <w:textAlignment w:val="center"/>
              <w:rPr>
                <w:rFonts w:eastAsia="仿宋_GB2312" w:cs="Times New Roman"/>
                <w:color w:val="000000"/>
                <w:sz w:val="21"/>
                <w:szCs w:val="21"/>
                <w:highlight w:val="none"/>
              </w:rPr>
            </w:pPr>
            <w:r>
              <w:rPr>
                <w:rFonts w:hint="eastAsia" w:eastAsia="仿宋_GB2312" w:cs="Times New Roman"/>
                <w:color w:val="000000"/>
                <w:sz w:val="21"/>
                <w:szCs w:val="21"/>
                <w:highlight w:val="none"/>
                <w:lang w:bidi="ar"/>
              </w:rPr>
              <w:t>河北省国土空间生态修复规划</w:t>
            </w:r>
          </w:p>
        </w:tc>
      </w:tr>
      <w:tr w14:paraId="772A1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6D95CEAF">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2</w:t>
            </w:r>
            <w:r>
              <w:rPr>
                <w:rFonts w:hint="eastAsia" w:eastAsia="仿宋_GB2312" w:cs="Times New Roman"/>
                <w:color w:val="000000"/>
                <w:sz w:val="21"/>
                <w:szCs w:val="21"/>
                <w:highlight w:val="none"/>
                <w:lang w:val="en-US" w:eastAsia="zh-CN" w:bidi="ar"/>
              </w:rPr>
              <w:t>9</w:t>
            </w:r>
          </w:p>
        </w:tc>
        <w:tc>
          <w:tcPr>
            <w:tcW w:w="239" w:type="pct"/>
            <w:vMerge w:val="continue"/>
            <w:shd w:val="clear" w:color="auto" w:fill="auto"/>
            <w:vAlign w:val="center"/>
          </w:tcPr>
          <w:p w14:paraId="4CEE9921">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50A893E5">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101E40B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高速公路道路生态廊道建设</w:t>
            </w:r>
          </w:p>
        </w:tc>
        <w:tc>
          <w:tcPr>
            <w:tcW w:w="1496" w:type="pct"/>
            <w:shd w:val="clear" w:color="auto" w:fill="auto"/>
            <w:vAlign w:val="center"/>
          </w:tcPr>
          <w:p w14:paraId="0F0DFE6E">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高速沿线构建绿量适宜、结构合理的绿化带，对现有林带进行管护和补植补造，以栽培本土植物为主</w:t>
            </w:r>
          </w:p>
        </w:tc>
        <w:tc>
          <w:tcPr>
            <w:tcW w:w="691" w:type="pct"/>
            <w:shd w:val="clear" w:color="auto" w:fill="auto"/>
            <w:vAlign w:val="center"/>
          </w:tcPr>
          <w:p w14:paraId="4FE7DC5B">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西柏坡高速、京昆高速、青银高速、石太高速</w:t>
            </w:r>
          </w:p>
        </w:tc>
        <w:tc>
          <w:tcPr>
            <w:tcW w:w="424" w:type="pct"/>
            <w:shd w:val="clear" w:color="auto" w:fill="auto"/>
            <w:noWrap/>
            <w:vAlign w:val="center"/>
          </w:tcPr>
          <w:p w14:paraId="557E566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vAlign w:val="center"/>
          </w:tcPr>
          <w:p w14:paraId="3A1D5126">
            <w:pPr>
              <w:spacing w:line="240" w:lineRule="auto"/>
              <w:ind w:firstLine="420"/>
              <w:jc w:val="center"/>
              <w:rPr>
                <w:rFonts w:eastAsia="仿宋_GB2312" w:cs="Times New Roman"/>
                <w:color w:val="000000"/>
                <w:sz w:val="21"/>
                <w:szCs w:val="21"/>
                <w:highlight w:val="none"/>
              </w:rPr>
            </w:pPr>
          </w:p>
        </w:tc>
      </w:tr>
      <w:tr w14:paraId="3C111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5785D4D0">
            <w:pPr>
              <w:spacing w:line="240" w:lineRule="auto"/>
              <w:ind w:firstLine="0" w:firstLineChars="0"/>
              <w:jc w:val="center"/>
              <w:textAlignment w:val="center"/>
              <w:rPr>
                <w:rFonts w:hint="default" w:eastAsia="仿宋_GB2312" w:cs="Times New Roman"/>
                <w:color w:val="000000"/>
                <w:sz w:val="21"/>
                <w:szCs w:val="21"/>
                <w:highlight w:val="none"/>
                <w:lang w:val="en-US" w:eastAsia="zh-CN"/>
              </w:rPr>
            </w:pPr>
            <w:r>
              <w:rPr>
                <w:rFonts w:hint="eastAsia" w:eastAsia="仿宋_GB2312" w:cs="Times New Roman"/>
                <w:color w:val="000000"/>
                <w:sz w:val="21"/>
                <w:szCs w:val="21"/>
                <w:highlight w:val="none"/>
                <w:lang w:val="en-US" w:eastAsia="zh-CN" w:bidi="ar"/>
              </w:rPr>
              <w:t>30</w:t>
            </w:r>
          </w:p>
        </w:tc>
        <w:tc>
          <w:tcPr>
            <w:tcW w:w="239" w:type="pct"/>
            <w:vMerge w:val="continue"/>
            <w:shd w:val="clear" w:color="auto" w:fill="auto"/>
            <w:vAlign w:val="center"/>
          </w:tcPr>
          <w:p w14:paraId="7415BC8C">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1D184E08">
            <w:pPr>
              <w:spacing w:line="240" w:lineRule="auto"/>
              <w:ind w:firstLine="420"/>
              <w:jc w:val="center"/>
              <w:rPr>
                <w:rFonts w:eastAsia="仿宋_GB2312" w:cs="Times New Roman"/>
                <w:color w:val="000000"/>
                <w:sz w:val="21"/>
                <w:szCs w:val="21"/>
                <w:highlight w:val="none"/>
              </w:rPr>
            </w:pPr>
          </w:p>
        </w:tc>
        <w:tc>
          <w:tcPr>
            <w:tcW w:w="661" w:type="pct"/>
            <w:shd w:val="clear" w:color="auto" w:fill="auto"/>
            <w:vAlign w:val="center"/>
          </w:tcPr>
          <w:p w14:paraId="1E9BCFF9">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鸟类迁徙通道</w:t>
            </w:r>
          </w:p>
        </w:tc>
        <w:tc>
          <w:tcPr>
            <w:tcW w:w="1496" w:type="pct"/>
            <w:shd w:val="clear" w:color="auto" w:fill="auto"/>
            <w:vAlign w:val="center"/>
          </w:tcPr>
          <w:p w14:paraId="5AADC683">
            <w:pPr>
              <w:spacing w:line="240" w:lineRule="auto"/>
              <w:ind w:firstLine="42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对滹沱河沿岸防护林带和小壁林场保护区进行植树绿化，建立生物繁衍生息廊道</w:t>
            </w:r>
          </w:p>
        </w:tc>
        <w:tc>
          <w:tcPr>
            <w:tcW w:w="691" w:type="pct"/>
            <w:shd w:val="clear" w:color="auto" w:fill="auto"/>
            <w:vAlign w:val="center"/>
          </w:tcPr>
          <w:p w14:paraId="3276225F">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黄壁庄镇</w:t>
            </w:r>
          </w:p>
        </w:tc>
        <w:tc>
          <w:tcPr>
            <w:tcW w:w="424" w:type="pct"/>
            <w:shd w:val="clear" w:color="auto" w:fill="auto"/>
            <w:noWrap/>
            <w:vAlign w:val="center"/>
          </w:tcPr>
          <w:p w14:paraId="7F39AE3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0F15A361">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区生物多样性规划</w:t>
            </w:r>
          </w:p>
        </w:tc>
      </w:tr>
      <w:tr w14:paraId="22408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722C7D65">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3</w:t>
            </w:r>
            <w:r>
              <w:rPr>
                <w:rFonts w:hint="eastAsia" w:eastAsia="仿宋_GB2312" w:cs="Times New Roman"/>
                <w:color w:val="000000"/>
                <w:sz w:val="21"/>
                <w:szCs w:val="21"/>
                <w:highlight w:val="none"/>
                <w:lang w:val="en-US" w:eastAsia="zh-CN" w:bidi="ar"/>
              </w:rPr>
              <w:t>1</w:t>
            </w:r>
          </w:p>
        </w:tc>
        <w:tc>
          <w:tcPr>
            <w:tcW w:w="239" w:type="pct"/>
            <w:vMerge w:val="continue"/>
            <w:shd w:val="clear" w:color="auto" w:fill="auto"/>
            <w:vAlign w:val="center"/>
          </w:tcPr>
          <w:p w14:paraId="16DE0092">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01E8CFFC">
            <w:pPr>
              <w:spacing w:line="240" w:lineRule="auto"/>
              <w:ind w:firstLine="420"/>
              <w:jc w:val="center"/>
              <w:rPr>
                <w:rFonts w:eastAsia="仿宋_GB2312" w:cs="Times New Roman"/>
                <w:color w:val="000000"/>
                <w:sz w:val="21"/>
                <w:szCs w:val="21"/>
                <w:highlight w:val="none"/>
              </w:rPr>
            </w:pPr>
          </w:p>
        </w:tc>
        <w:tc>
          <w:tcPr>
            <w:tcW w:w="661" w:type="pct"/>
            <w:vMerge w:val="restart"/>
            <w:shd w:val="clear" w:color="auto" w:fill="auto"/>
            <w:noWrap/>
            <w:vAlign w:val="center"/>
          </w:tcPr>
          <w:p w14:paraId="4322ABB3">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城市通风廊道建设工程</w:t>
            </w:r>
          </w:p>
        </w:tc>
        <w:tc>
          <w:tcPr>
            <w:tcW w:w="1496" w:type="pct"/>
            <w:shd w:val="clear" w:color="auto" w:fill="auto"/>
            <w:noWrap/>
            <w:vAlign w:val="center"/>
          </w:tcPr>
          <w:p w14:paraId="6F6D24FC">
            <w:pPr>
              <w:spacing w:line="240" w:lineRule="auto"/>
              <w:ind w:firstLine="42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一级通风廊道</w:t>
            </w:r>
          </w:p>
        </w:tc>
        <w:tc>
          <w:tcPr>
            <w:tcW w:w="691" w:type="pct"/>
            <w:shd w:val="clear" w:color="auto" w:fill="auto"/>
            <w:noWrap/>
            <w:vAlign w:val="center"/>
          </w:tcPr>
          <w:p w14:paraId="38E80848">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植物园-西三环路-洨河</w:t>
            </w:r>
          </w:p>
        </w:tc>
        <w:tc>
          <w:tcPr>
            <w:tcW w:w="424" w:type="pct"/>
            <w:shd w:val="clear" w:color="auto" w:fill="auto"/>
            <w:noWrap/>
            <w:vAlign w:val="center"/>
          </w:tcPr>
          <w:p w14:paraId="35C604A9">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06804B66">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区国土空间总体规划</w:t>
            </w:r>
          </w:p>
        </w:tc>
      </w:tr>
      <w:tr w14:paraId="203B1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173" w:type="pct"/>
            <w:shd w:val="clear" w:color="auto" w:fill="auto"/>
            <w:noWrap/>
            <w:vAlign w:val="center"/>
          </w:tcPr>
          <w:p w14:paraId="32D8CDDB">
            <w:pPr>
              <w:spacing w:line="240" w:lineRule="auto"/>
              <w:ind w:firstLine="0" w:firstLineChars="0"/>
              <w:jc w:val="center"/>
              <w:textAlignment w:val="center"/>
              <w:rPr>
                <w:rFonts w:hint="eastAsia" w:eastAsia="仿宋_GB2312" w:cs="Times New Roman"/>
                <w:color w:val="000000"/>
                <w:sz w:val="21"/>
                <w:szCs w:val="21"/>
                <w:highlight w:val="none"/>
                <w:lang w:eastAsia="zh-CN"/>
              </w:rPr>
            </w:pPr>
            <w:r>
              <w:rPr>
                <w:rFonts w:eastAsia="仿宋_GB2312" w:cs="Times New Roman"/>
                <w:color w:val="000000"/>
                <w:sz w:val="21"/>
                <w:szCs w:val="21"/>
                <w:highlight w:val="none"/>
                <w:lang w:bidi="ar"/>
              </w:rPr>
              <w:t>3</w:t>
            </w:r>
            <w:r>
              <w:rPr>
                <w:rFonts w:hint="eastAsia" w:eastAsia="仿宋_GB2312" w:cs="Times New Roman"/>
                <w:color w:val="000000"/>
                <w:sz w:val="21"/>
                <w:szCs w:val="21"/>
                <w:highlight w:val="none"/>
                <w:lang w:val="en-US" w:eastAsia="zh-CN" w:bidi="ar"/>
              </w:rPr>
              <w:t>2</w:t>
            </w:r>
          </w:p>
        </w:tc>
        <w:tc>
          <w:tcPr>
            <w:tcW w:w="239" w:type="pct"/>
            <w:vMerge w:val="continue"/>
            <w:shd w:val="clear" w:color="auto" w:fill="auto"/>
            <w:vAlign w:val="center"/>
          </w:tcPr>
          <w:p w14:paraId="13C4AD3A">
            <w:pPr>
              <w:spacing w:line="240" w:lineRule="auto"/>
              <w:ind w:firstLine="420"/>
              <w:jc w:val="center"/>
              <w:rPr>
                <w:rFonts w:eastAsia="仿宋_GB2312" w:cs="Times New Roman"/>
                <w:color w:val="000000"/>
                <w:sz w:val="21"/>
                <w:szCs w:val="21"/>
                <w:highlight w:val="none"/>
              </w:rPr>
            </w:pPr>
          </w:p>
        </w:tc>
        <w:tc>
          <w:tcPr>
            <w:tcW w:w="276" w:type="pct"/>
            <w:vMerge w:val="continue"/>
            <w:shd w:val="clear" w:color="auto" w:fill="auto"/>
            <w:vAlign w:val="center"/>
          </w:tcPr>
          <w:p w14:paraId="747F4D0A">
            <w:pPr>
              <w:spacing w:line="240" w:lineRule="auto"/>
              <w:ind w:firstLine="420"/>
              <w:jc w:val="center"/>
              <w:rPr>
                <w:rFonts w:eastAsia="仿宋_GB2312" w:cs="Times New Roman"/>
                <w:color w:val="000000"/>
                <w:sz w:val="21"/>
                <w:szCs w:val="21"/>
                <w:highlight w:val="none"/>
              </w:rPr>
            </w:pPr>
          </w:p>
        </w:tc>
        <w:tc>
          <w:tcPr>
            <w:tcW w:w="661" w:type="pct"/>
            <w:vMerge w:val="continue"/>
            <w:shd w:val="clear" w:color="auto" w:fill="auto"/>
            <w:noWrap/>
            <w:vAlign w:val="center"/>
          </w:tcPr>
          <w:p w14:paraId="2A6D8E6D">
            <w:pPr>
              <w:spacing w:line="240" w:lineRule="auto"/>
              <w:ind w:firstLine="420"/>
              <w:jc w:val="center"/>
              <w:rPr>
                <w:rFonts w:eastAsia="仿宋_GB2312" w:cs="Times New Roman"/>
                <w:color w:val="000000"/>
                <w:sz w:val="21"/>
                <w:szCs w:val="21"/>
                <w:highlight w:val="none"/>
              </w:rPr>
            </w:pPr>
          </w:p>
        </w:tc>
        <w:tc>
          <w:tcPr>
            <w:tcW w:w="1496" w:type="pct"/>
            <w:shd w:val="clear" w:color="auto" w:fill="auto"/>
            <w:noWrap/>
            <w:vAlign w:val="center"/>
          </w:tcPr>
          <w:p w14:paraId="06C9350D">
            <w:pPr>
              <w:spacing w:line="240" w:lineRule="auto"/>
              <w:ind w:firstLine="42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二级通风廊道</w:t>
            </w:r>
          </w:p>
        </w:tc>
        <w:tc>
          <w:tcPr>
            <w:tcW w:w="691" w:type="pct"/>
            <w:shd w:val="clear" w:color="auto" w:fill="auto"/>
            <w:vAlign w:val="center"/>
          </w:tcPr>
          <w:p w14:paraId="09021364">
            <w:pPr>
              <w:spacing w:line="240" w:lineRule="auto"/>
              <w:ind w:firstLine="420"/>
              <w:jc w:val="center"/>
              <w:textAlignment w:val="center"/>
              <w:rPr>
                <w:rFonts w:eastAsia="仿宋_GB2312" w:cs="Times New Roman"/>
                <w:color w:val="000000"/>
                <w:sz w:val="21"/>
                <w:szCs w:val="21"/>
                <w:highlight w:val="none"/>
              </w:rPr>
            </w:pPr>
            <w:r>
              <w:rPr>
                <w:rFonts w:hint="eastAsia" w:ascii="宋体" w:hAnsi="宋体" w:eastAsia="宋体"/>
                <w:color w:val="000000"/>
                <w:sz w:val="21"/>
                <w:szCs w:val="21"/>
                <w:highlight w:val="none"/>
                <w:lang w:bidi="ar"/>
              </w:rPr>
              <w:t>①</w:t>
            </w:r>
            <w:r>
              <w:rPr>
                <w:rFonts w:eastAsia="仿宋_GB2312" w:cs="Times New Roman"/>
                <w:color w:val="000000"/>
                <w:sz w:val="21"/>
                <w:szCs w:val="21"/>
                <w:highlight w:val="none"/>
                <w:lang w:bidi="ar"/>
              </w:rPr>
              <w:t>西柏坡高速一绕城高速—西三环—南水北调工程；②山前大道—太平河—胜利大街；③植物园—太平河—滹沱河；④和平路—石津西路；⑤槐安路；⑥西山森林公园—龙泉湖—玉泉路—南二环—信工路；⑦石太客运专线—南三环</w:t>
            </w:r>
          </w:p>
        </w:tc>
        <w:tc>
          <w:tcPr>
            <w:tcW w:w="424" w:type="pct"/>
            <w:shd w:val="clear" w:color="auto" w:fill="auto"/>
            <w:noWrap/>
            <w:vAlign w:val="center"/>
          </w:tcPr>
          <w:p w14:paraId="3E766624">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2021-2035</w:t>
            </w:r>
          </w:p>
        </w:tc>
        <w:tc>
          <w:tcPr>
            <w:tcW w:w="1037" w:type="pct"/>
            <w:shd w:val="clear" w:color="auto" w:fill="auto"/>
            <w:noWrap/>
            <w:vAlign w:val="center"/>
          </w:tcPr>
          <w:p w14:paraId="4E2A37A5">
            <w:pPr>
              <w:spacing w:line="240" w:lineRule="auto"/>
              <w:ind w:firstLine="0" w:firstLineChars="0"/>
              <w:jc w:val="center"/>
              <w:textAlignment w:val="center"/>
              <w:rPr>
                <w:rFonts w:eastAsia="仿宋_GB2312" w:cs="Times New Roman"/>
                <w:color w:val="000000"/>
                <w:sz w:val="21"/>
                <w:szCs w:val="21"/>
                <w:highlight w:val="none"/>
              </w:rPr>
            </w:pPr>
            <w:r>
              <w:rPr>
                <w:rFonts w:eastAsia="仿宋_GB2312" w:cs="Times New Roman"/>
                <w:color w:val="000000"/>
                <w:sz w:val="21"/>
                <w:szCs w:val="21"/>
                <w:highlight w:val="none"/>
                <w:lang w:bidi="ar"/>
              </w:rPr>
              <w:t>区国土空间总体规划</w:t>
            </w:r>
          </w:p>
        </w:tc>
      </w:tr>
    </w:tbl>
    <w:p w14:paraId="02D27451">
      <w:pPr>
        <w:keepNext/>
        <w:keepLines/>
        <w:spacing w:line="240" w:lineRule="auto"/>
        <w:ind w:firstLine="0" w:firstLineChars="0"/>
        <w:jc w:val="center"/>
        <w:rPr>
          <w:rFonts w:eastAsia="仿宋_GB2312" w:cs="Times New Roman"/>
          <w:b/>
          <w:bCs/>
          <w:color w:val="000000" w:themeColor="text1"/>
          <w:sz w:val="32"/>
          <w:szCs w:val="32"/>
          <w:highlight w:val="none"/>
          <w14:textFill>
            <w14:solidFill>
              <w14:schemeClr w14:val="tx1"/>
            </w14:solidFill>
          </w14:textFill>
        </w:rPr>
      </w:pPr>
    </w:p>
    <w:p w14:paraId="7197B38B">
      <w:pPr>
        <w:spacing w:line="240" w:lineRule="auto"/>
        <w:ind w:firstLine="560"/>
        <w:jc w:val="right"/>
        <w:rPr>
          <w:rFonts w:eastAsia="仿宋_GB2312" w:cs="Times New Roman"/>
          <w:sz w:val="28"/>
          <w:szCs w:val="28"/>
          <w:highlight w:val="none"/>
        </w:rPr>
      </w:pPr>
    </w:p>
    <w:sectPr>
      <w:pgSz w:w="16838" w:h="11906" w:orient="landscape"/>
      <w:pgMar w:top="1587" w:right="1587" w:bottom="1417" w:left="141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等线 Light">
    <w:altName w:val="汉仪中宋简"/>
    <w:panose1 w:val="02010600030101010101"/>
    <w:charset w:val="86"/>
    <w:family w:val="auto"/>
    <w:pitch w:val="default"/>
    <w:sig w:usb0="00000000" w:usb1="00000000" w:usb2="00000016" w:usb3="00000000" w:csb0="0004000F" w:csb1="0000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Noto Sans CJK JP Bold">
    <w:panose1 w:val="020B08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1E0A9">
    <w:pPr>
      <w:pStyle w:val="5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64BD2">
    <w:pPr>
      <w:pStyle w:val="5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8B0D9">
    <w:pPr>
      <w:pStyle w:val="56"/>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BB34C">
    <w:pPr>
      <w:pStyle w:val="56"/>
      <w:ind w:firstLine="360"/>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9C0AA4">
                          <w:pPr>
                            <w:pStyle w:val="56"/>
                            <w:ind w:firstLine="36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679C0AA4">
                    <w:pPr>
                      <w:pStyle w:val="56"/>
                      <w:ind w:firstLine="360"/>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B21779">
    <w:pPr>
      <w:pStyle w:val="56"/>
      <w:ind w:firstLine="360"/>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A0A96C">
                          <w:pPr>
                            <w:pStyle w:val="56"/>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51A0A96C">
                    <w:pPr>
                      <w:pStyle w:val="56"/>
                      <w:ind w:firstLine="360"/>
                    </w:pPr>
                    <w:r>
                      <w:fldChar w:fldCharType="begin"/>
                    </w:r>
                    <w:r>
                      <w:instrText xml:space="preserve"> PAGE  \* MERGEFORMAT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B70BC9">
                          <w:pPr>
                            <w:pStyle w:val="56"/>
                            <w:ind w:firstLine="36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AB70BC9">
                    <w:pPr>
                      <w:pStyle w:val="56"/>
                      <w:ind w:firstLine="360"/>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7595F">
    <w:pPr>
      <w:pStyle w:val="56"/>
      <w:ind w:firstLine="360"/>
      <w:jc w:val="both"/>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0ECBBC">
                          <w:pPr>
                            <w:pStyle w:val="5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D0ECBBC">
                    <w:pPr>
                      <w:pStyle w:val="56"/>
                    </w:pPr>
                    <w:r>
                      <w:fldChar w:fldCharType="begin"/>
                    </w:r>
                    <w:r>
                      <w:instrText xml:space="preserve"> PAGE  \* MERGEFORMAT </w:instrText>
                    </w:r>
                    <w:r>
                      <w:fldChar w:fldCharType="separate"/>
                    </w:r>
                    <w:r>
                      <w:t>3</w:t>
                    </w:r>
                    <w:r>
                      <w:fldChar w:fldCharType="end"/>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0BB503">
                          <w:pPr>
                            <w:pStyle w:val="56"/>
                            <w:ind w:firstLine="36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130BB503">
                    <w:pPr>
                      <w:pStyle w:val="56"/>
                      <w:ind w:firstLine="360"/>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5891BB">
                          <w:pPr>
                            <w:pStyle w:val="56"/>
                            <w:ind w:firstLine="36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0uKUt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q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u0uKUtAgAAVwQAAA4AAAAAAAAAAQAgAAAAHwEAAGRycy9lMm9Eb2MueG1sUEsFBgAAAAAG&#10;AAYAWQEAAL4FAAAAAA==&#10;">
              <v:fill on="f" focussize="0,0"/>
              <v:stroke on="f" weight="0.5pt"/>
              <v:imagedata o:title=""/>
              <o:lock v:ext="edit" aspectratio="f"/>
              <v:textbox inset="0mm,0mm,0mm,0mm" style="mso-fit-shape-to-text:t;">
                <w:txbxContent>
                  <w:p w14:paraId="085891BB">
                    <w:pPr>
                      <w:pStyle w:val="56"/>
                      <w:ind w:firstLine="360"/>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F1CBC">
    <w:pPr>
      <w:ind w:firstLine="48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983FE">
    <w:pPr>
      <w:pStyle w:val="5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CF6AB">
    <w:pPr>
      <w:pStyle w:val="5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0F2FBB"/>
    <w:multiLevelType w:val="singleLevel"/>
    <w:tmpl w:val="D00F2FBB"/>
    <w:lvl w:ilvl="0" w:tentative="0">
      <w:start w:val="2"/>
      <w:numFmt w:val="chineseCounting"/>
      <w:suff w:val="nothing"/>
      <w:lvlText w:val="（%1）"/>
      <w:lvlJc w:val="left"/>
      <w:rPr>
        <w:rFonts w:hint="eastAsia"/>
      </w:rPr>
    </w:lvl>
  </w:abstractNum>
  <w:abstractNum w:abstractNumId="1">
    <w:nsid w:val="FFFFFF7C"/>
    <w:multiLevelType w:val="singleLevel"/>
    <w:tmpl w:val="FFFFFF7C"/>
    <w:lvl w:ilvl="0" w:tentative="0">
      <w:start w:val="1"/>
      <w:numFmt w:val="decimal"/>
      <w:pStyle w:val="47"/>
      <w:lvlText w:val="%1."/>
      <w:lvlJc w:val="left"/>
      <w:pPr>
        <w:tabs>
          <w:tab w:val="left" w:pos="2040"/>
        </w:tabs>
        <w:ind w:left="2040" w:hanging="360"/>
      </w:pPr>
    </w:lvl>
  </w:abstractNum>
  <w:abstractNum w:abstractNumId="2">
    <w:nsid w:val="FFFFFF7E"/>
    <w:multiLevelType w:val="singleLevel"/>
    <w:tmpl w:val="FFFFFF7E"/>
    <w:lvl w:ilvl="0" w:tentative="0">
      <w:start w:val="1"/>
      <w:numFmt w:val="decimal"/>
      <w:pStyle w:val="48"/>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41"/>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35"/>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16"/>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22"/>
      <w:lvlText w:val=""/>
      <w:lvlJc w:val="left"/>
      <w:pPr>
        <w:tabs>
          <w:tab w:val="left" w:pos="1200"/>
        </w:tabs>
        <w:ind w:left="1200" w:hanging="360"/>
      </w:pPr>
      <w:rPr>
        <w:rFonts w:hint="default" w:ascii="Wingdings" w:hAnsi="Wingdings"/>
      </w:rPr>
    </w:lvl>
  </w:abstractNum>
  <w:abstractNum w:abstractNumId="7">
    <w:nsid w:val="FFFFFF89"/>
    <w:multiLevelType w:val="singleLevel"/>
    <w:tmpl w:val="FFFFFF89"/>
    <w:lvl w:ilvl="0" w:tentative="0">
      <w:start w:val="1"/>
      <w:numFmt w:val="bullet"/>
      <w:pStyle w:val="37"/>
      <w:lvlText w:val=""/>
      <w:lvlJc w:val="left"/>
      <w:pPr>
        <w:tabs>
          <w:tab w:val="left" w:pos="360"/>
        </w:tabs>
        <w:ind w:left="360" w:hanging="360"/>
      </w:pPr>
      <w:rPr>
        <w:rFonts w:hint="default" w:ascii="Wingdings" w:hAnsi="Wingdings"/>
      </w:rPr>
    </w:lvl>
  </w:abstractNum>
  <w:abstractNum w:abstractNumId="8">
    <w:nsid w:val="083E5C9A"/>
    <w:multiLevelType w:val="multilevel"/>
    <w:tmpl w:val="083E5C9A"/>
    <w:lvl w:ilvl="0" w:tentative="0">
      <w:start w:val="1"/>
      <w:numFmt w:val="decimal"/>
      <w:pStyle w:val="5"/>
      <w:lvlText w:val="%1 "/>
      <w:lvlJc w:val="left"/>
      <w:pPr>
        <w:ind w:left="420" w:hanging="420"/>
      </w:pPr>
      <w:rPr>
        <w:rFonts w:hint="eastAsia"/>
      </w:rPr>
    </w:lvl>
    <w:lvl w:ilvl="1" w:tentative="0">
      <w:start w:val="1"/>
      <w:numFmt w:val="decimal"/>
      <w:lvlText w:val="%1.%2 "/>
      <w:lvlJc w:val="left"/>
      <w:pPr>
        <w:ind w:left="576" w:hanging="576"/>
      </w:pPr>
      <w:rPr>
        <w:rFonts w:hint="eastAsia"/>
      </w:rPr>
    </w:lvl>
    <w:lvl w:ilvl="2" w:tentative="0">
      <w:start w:val="1"/>
      <w:numFmt w:val="decimal"/>
      <w:lvlText w:val="%1.%2.%3"/>
      <w:lvlJc w:val="left"/>
      <w:pPr>
        <w:ind w:left="3556" w:hanging="720"/>
      </w:pPr>
      <w:rPr>
        <w:rFonts w:hint="eastAsia"/>
      </w:rPr>
    </w:lvl>
    <w:lvl w:ilvl="3" w:tentative="0">
      <w:start w:val="1"/>
      <w:numFmt w:val="decimal"/>
      <w:pStyle w:val="8"/>
      <w:lvlText w:val="%1.%2.%3.%4"/>
      <w:lvlJc w:val="left"/>
      <w:pPr>
        <w:ind w:left="3133" w:hanging="864"/>
      </w:pPr>
      <w:rPr>
        <w:rFonts w:hint="eastAsia"/>
      </w:rPr>
    </w:lvl>
    <w:lvl w:ilvl="4" w:tentative="0">
      <w:start w:val="1"/>
      <w:numFmt w:val="decimal"/>
      <w:pStyle w:val="9"/>
      <w:lvlText w:val="%1.%2.%3.%4.%5"/>
      <w:lvlJc w:val="left"/>
      <w:pPr>
        <w:ind w:left="1008" w:hanging="1008"/>
      </w:pPr>
      <w:rPr>
        <w:rFonts w:hint="eastAsia"/>
      </w:rPr>
    </w:lvl>
    <w:lvl w:ilvl="5" w:tentative="0">
      <w:start w:val="1"/>
      <w:numFmt w:val="decimal"/>
      <w:pStyle w:val="10"/>
      <w:lvlText w:val="%1.%2.%3.%4.%5.%6"/>
      <w:lvlJc w:val="left"/>
      <w:pPr>
        <w:ind w:left="1152" w:hanging="1152"/>
      </w:pPr>
      <w:rPr>
        <w:rFonts w:hint="eastAsia"/>
      </w:rPr>
    </w:lvl>
    <w:lvl w:ilvl="6" w:tentative="0">
      <w:start w:val="1"/>
      <w:numFmt w:val="decimal"/>
      <w:pStyle w:val="11"/>
      <w:lvlText w:val="%1.%2.%3.%4.%5.%6.%7"/>
      <w:lvlJc w:val="left"/>
      <w:pPr>
        <w:ind w:left="1296" w:hanging="1296"/>
      </w:pPr>
      <w:rPr>
        <w:rFonts w:hint="eastAsia"/>
      </w:rPr>
    </w:lvl>
    <w:lvl w:ilvl="7" w:tentative="0">
      <w:start w:val="1"/>
      <w:numFmt w:val="decimal"/>
      <w:pStyle w:val="12"/>
      <w:lvlText w:val="%1.%2.%3.%4.%5.%6.%7.%8"/>
      <w:lvlJc w:val="left"/>
      <w:pPr>
        <w:ind w:left="1440" w:hanging="1440"/>
      </w:pPr>
      <w:rPr>
        <w:rFonts w:hint="eastAsia"/>
      </w:rPr>
    </w:lvl>
    <w:lvl w:ilvl="8" w:tentative="0">
      <w:start w:val="1"/>
      <w:numFmt w:val="decimal"/>
      <w:pStyle w:val="13"/>
      <w:lvlText w:val="%1.%2.%3.%4.%5.%6.%7.%8.%9"/>
      <w:lvlJc w:val="left"/>
      <w:pPr>
        <w:ind w:left="1584" w:hanging="1584"/>
      </w:pPr>
      <w:rPr>
        <w:rFonts w:hint="eastAsia"/>
      </w:rPr>
    </w:lvl>
  </w:abstractNum>
  <w:abstractNum w:abstractNumId="9">
    <w:nsid w:val="22DF078A"/>
    <w:multiLevelType w:val="multilevel"/>
    <w:tmpl w:val="22DF078A"/>
    <w:lvl w:ilvl="0" w:tentative="0">
      <w:start w:val="1"/>
      <w:numFmt w:val="decimalEnclosedCircle"/>
      <w:pStyle w:val="26"/>
      <w:lvlText w:val="%1"/>
      <w:lvlJc w:val="left"/>
      <w:pPr>
        <w:ind w:left="360" w:hanging="360"/>
      </w:pPr>
      <w:rPr>
        <w:rFonts w:hint="default" w:ascii="宋体" w:hAnsi="宋体" w:eastAsia="宋体" w:cs="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785F09AC"/>
    <w:multiLevelType w:val="singleLevel"/>
    <w:tmpl w:val="785F09AC"/>
    <w:lvl w:ilvl="0" w:tentative="0">
      <w:start w:val="2"/>
      <w:numFmt w:val="chineseCounting"/>
      <w:suff w:val="space"/>
      <w:lvlText w:val="第%1节"/>
      <w:lvlJc w:val="left"/>
      <w:rPr>
        <w:rFonts w:hint="eastAsia"/>
      </w:rPr>
    </w:lvl>
  </w:abstractNum>
  <w:abstractNum w:abstractNumId="11">
    <w:nsid w:val="7FD01EF7"/>
    <w:multiLevelType w:val="multilevel"/>
    <w:tmpl w:val="7FD01EF7"/>
    <w:lvl w:ilvl="0" w:tentative="0">
      <w:start w:val="1"/>
      <w:numFmt w:val="decimal"/>
      <w:pStyle w:val="19"/>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8"/>
  </w:num>
  <w:num w:numId="2">
    <w:abstractNumId w:val="5"/>
  </w:num>
  <w:num w:numId="3">
    <w:abstractNumId w:val="11"/>
  </w:num>
  <w:num w:numId="4">
    <w:abstractNumId w:val="6"/>
  </w:num>
  <w:num w:numId="5">
    <w:abstractNumId w:val="9"/>
  </w:num>
  <w:num w:numId="6">
    <w:abstractNumId w:val="4"/>
  </w:num>
  <w:num w:numId="7">
    <w:abstractNumId w:val="7"/>
  </w:num>
  <w:num w:numId="8">
    <w:abstractNumId w:val="3"/>
  </w:num>
  <w:num w:numId="9">
    <w:abstractNumId w:val="1"/>
  </w:num>
  <w:num w:numId="10">
    <w:abstractNumId w:val="2"/>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hideSpellingErrors/>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k1MTE0MTI2YzQxOTI3YjhjOGJlYjdmY2ZmMjZiNDYifQ=="/>
  </w:docVars>
  <w:rsids>
    <w:rsidRoot w:val="007C4476"/>
    <w:rsid w:val="00000988"/>
    <w:rsid w:val="00001715"/>
    <w:rsid w:val="00005184"/>
    <w:rsid w:val="00007C9F"/>
    <w:rsid w:val="00011D7C"/>
    <w:rsid w:val="00014CB1"/>
    <w:rsid w:val="00014E61"/>
    <w:rsid w:val="000153AF"/>
    <w:rsid w:val="00015FDA"/>
    <w:rsid w:val="00021080"/>
    <w:rsid w:val="0002142E"/>
    <w:rsid w:val="00022A17"/>
    <w:rsid w:val="00023260"/>
    <w:rsid w:val="00026AF2"/>
    <w:rsid w:val="00027795"/>
    <w:rsid w:val="00031408"/>
    <w:rsid w:val="0003187E"/>
    <w:rsid w:val="00032FAC"/>
    <w:rsid w:val="0003373A"/>
    <w:rsid w:val="00033B98"/>
    <w:rsid w:val="000346CD"/>
    <w:rsid w:val="00035C24"/>
    <w:rsid w:val="00036106"/>
    <w:rsid w:val="00041B11"/>
    <w:rsid w:val="000421DD"/>
    <w:rsid w:val="00042F58"/>
    <w:rsid w:val="00043807"/>
    <w:rsid w:val="00044585"/>
    <w:rsid w:val="000470F3"/>
    <w:rsid w:val="0004750B"/>
    <w:rsid w:val="000478F9"/>
    <w:rsid w:val="000503A1"/>
    <w:rsid w:val="00051CBE"/>
    <w:rsid w:val="0005351E"/>
    <w:rsid w:val="00055267"/>
    <w:rsid w:val="00055F0A"/>
    <w:rsid w:val="000569E0"/>
    <w:rsid w:val="000576AD"/>
    <w:rsid w:val="00060CD1"/>
    <w:rsid w:val="000623C9"/>
    <w:rsid w:val="00062C75"/>
    <w:rsid w:val="00063E90"/>
    <w:rsid w:val="0006424E"/>
    <w:rsid w:val="00066E1C"/>
    <w:rsid w:val="00066FA8"/>
    <w:rsid w:val="00070925"/>
    <w:rsid w:val="00071042"/>
    <w:rsid w:val="0007179D"/>
    <w:rsid w:val="0007186D"/>
    <w:rsid w:val="000746E1"/>
    <w:rsid w:val="00075670"/>
    <w:rsid w:val="00076480"/>
    <w:rsid w:val="00080CD1"/>
    <w:rsid w:val="00080D5D"/>
    <w:rsid w:val="00081427"/>
    <w:rsid w:val="000863BD"/>
    <w:rsid w:val="000877DF"/>
    <w:rsid w:val="00090535"/>
    <w:rsid w:val="00090B4E"/>
    <w:rsid w:val="000913A8"/>
    <w:rsid w:val="00092161"/>
    <w:rsid w:val="00093423"/>
    <w:rsid w:val="00093D07"/>
    <w:rsid w:val="00093E4B"/>
    <w:rsid w:val="00096449"/>
    <w:rsid w:val="000A1D4D"/>
    <w:rsid w:val="000A22D2"/>
    <w:rsid w:val="000A2405"/>
    <w:rsid w:val="000A602B"/>
    <w:rsid w:val="000A65DF"/>
    <w:rsid w:val="000A6C7A"/>
    <w:rsid w:val="000A6FF7"/>
    <w:rsid w:val="000A7C51"/>
    <w:rsid w:val="000B1B02"/>
    <w:rsid w:val="000B1CFC"/>
    <w:rsid w:val="000B2827"/>
    <w:rsid w:val="000B5256"/>
    <w:rsid w:val="000B6802"/>
    <w:rsid w:val="000C2767"/>
    <w:rsid w:val="000C385A"/>
    <w:rsid w:val="000C497E"/>
    <w:rsid w:val="000C5259"/>
    <w:rsid w:val="000C77D6"/>
    <w:rsid w:val="000D18AD"/>
    <w:rsid w:val="000D1E70"/>
    <w:rsid w:val="000D283A"/>
    <w:rsid w:val="000D2890"/>
    <w:rsid w:val="000D31B2"/>
    <w:rsid w:val="000D6468"/>
    <w:rsid w:val="000D6CD1"/>
    <w:rsid w:val="000E02E3"/>
    <w:rsid w:val="000E24B8"/>
    <w:rsid w:val="000E53C2"/>
    <w:rsid w:val="000F3A59"/>
    <w:rsid w:val="000F3C0D"/>
    <w:rsid w:val="000F432B"/>
    <w:rsid w:val="000F4465"/>
    <w:rsid w:val="000F4D70"/>
    <w:rsid w:val="000F5B70"/>
    <w:rsid w:val="000F6331"/>
    <w:rsid w:val="000F70B6"/>
    <w:rsid w:val="00100E55"/>
    <w:rsid w:val="00104843"/>
    <w:rsid w:val="0010565E"/>
    <w:rsid w:val="00111513"/>
    <w:rsid w:val="00112202"/>
    <w:rsid w:val="00112AA5"/>
    <w:rsid w:val="00113439"/>
    <w:rsid w:val="0011538E"/>
    <w:rsid w:val="00115B2B"/>
    <w:rsid w:val="001164A2"/>
    <w:rsid w:val="00120B7A"/>
    <w:rsid w:val="001219D1"/>
    <w:rsid w:val="00121B04"/>
    <w:rsid w:val="0012226A"/>
    <w:rsid w:val="001228DC"/>
    <w:rsid w:val="00123C91"/>
    <w:rsid w:val="00124EF6"/>
    <w:rsid w:val="00125512"/>
    <w:rsid w:val="001259C3"/>
    <w:rsid w:val="00125C33"/>
    <w:rsid w:val="0012647C"/>
    <w:rsid w:val="001266DF"/>
    <w:rsid w:val="001273CF"/>
    <w:rsid w:val="001324A5"/>
    <w:rsid w:val="00132569"/>
    <w:rsid w:val="00132A0A"/>
    <w:rsid w:val="00132C02"/>
    <w:rsid w:val="001331C2"/>
    <w:rsid w:val="0013446D"/>
    <w:rsid w:val="001352C7"/>
    <w:rsid w:val="00135EA3"/>
    <w:rsid w:val="00136F3B"/>
    <w:rsid w:val="001370E2"/>
    <w:rsid w:val="0013755B"/>
    <w:rsid w:val="00140417"/>
    <w:rsid w:val="00140E91"/>
    <w:rsid w:val="0014139B"/>
    <w:rsid w:val="001423F2"/>
    <w:rsid w:val="00142E13"/>
    <w:rsid w:val="00144027"/>
    <w:rsid w:val="001446B2"/>
    <w:rsid w:val="0014653B"/>
    <w:rsid w:val="00147F55"/>
    <w:rsid w:val="00152AF3"/>
    <w:rsid w:val="0015402B"/>
    <w:rsid w:val="0015606D"/>
    <w:rsid w:val="001567AD"/>
    <w:rsid w:val="00156969"/>
    <w:rsid w:val="001570B8"/>
    <w:rsid w:val="001600E7"/>
    <w:rsid w:val="00161ACE"/>
    <w:rsid w:val="00163AE9"/>
    <w:rsid w:val="001642B9"/>
    <w:rsid w:val="001664A5"/>
    <w:rsid w:val="001704B6"/>
    <w:rsid w:val="00171394"/>
    <w:rsid w:val="001714CB"/>
    <w:rsid w:val="00172033"/>
    <w:rsid w:val="00174343"/>
    <w:rsid w:val="00174755"/>
    <w:rsid w:val="00175404"/>
    <w:rsid w:val="001755A4"/>
    <w:rsid w:val="00180BE1"/>
    <w:rsid w:val="00181325"/>
    <w:rsid w:val="001817E2"/>
    <w:rsid w:val="001819BA"/>
    <w:rsid w:val="00182DA4"/>
    <w:rsid w:val="00183E05"/>
    <w:rsid w:val="0018474F"/>
    <w:rsid w:val="00184F7E"/>
    <w:rsid w:val="0018535A"/>
    <w:rsid w:val="001872A4"/>
    <w:rsid w:val="001911E2"/>
    <w:rsid w:val="00192260"/>
    <w:rsid w:val="0019367E"/>
    <w:rsid w:val="00196858"/>
    <w:rsid w:val="001971B4"/>
    <w:rsid w:val="00197BD7"/>
    <w:rsid w:val="00197F9E"/>
    <w:rsid w:val="001A02EC"/>
    <w:rsid w:val="001A2DBD"/>
    <w:rsid w:val="001A3D53"/>
    <w:rsid w:val="001A5A05"/>
    <w:rsid w:val="001A69C2"/>
    <w:rsid w:val="001A6CA5"/>
    <w:rsid w:val="001B0A65"/>
    <w:rsid w:val="001B140A"/>
    <w:rsid w:val="001B46DB"/>
    <w:rsid w:val="001B4FE9"/>
    <w:rsid w:val="001B50A4"/>
    <w:rsid w:val="001B5F67"/>
    <w:rsid w:val="001B7C11"/>
    <w:rsid w:val="001C0D7C"/>
    <w:rsid w:val="001C2944"/>
    <w:rsid w:val="001C2D07"/>
    <w:rsid w:val="001C4668"/>
    <w:rsid w:val="001C4F90"/>
    <w:rsid w:val="001C51F1"/>
    <w:rsid w:val="001C5863"/>
    <w:rsid w:val="001C66A2"/>
    <w:rsid w:val="001C77E2"/>
    <w:rsid w:val="001D0390"/>
    <w:rsid w:val="001D32A1"/>
    <w:rsid w:val="001D4F34"/>
    <w:rsid w:val="001D67BF"/>
    <w:rsid w:val="001E0E98"/>
    <w:rsid w:val="001E1D00"/>
    <w:rsid w:val="001E4013"/>
    <w:rsid w:val="001E4024"/>
    <w:rsid w:val="001E48AA"/>
    <w:rsid w:val="001E49EA"/>
    <w:rsid w:val="001E4DBB"/>
    <w:rsid w:val="001E5001"/>
    <w:rsid w:val="001E57E5"/>
    <w:rsid w:val="001E5857"/>
    <w:rsid w:val="001E5DCB"/>
    <w:rsid w:val="001F18A5"/>
    <w:rsid w:val="001F19AE"/>
    <w:rsid w:val="001F232C"/>
    <w:rsid w:val="001F248A"/>
    <w:rsid w:val="001F2DDD"/>
    <w:rsid w:val="001F3DD0"/>
    <w:rsid w:val="001F4802"/>
    <w:rsid w:val="001F4A68"/>
    <w:rsid w:val="001F4E01"/>
    <w:rsid w:val="001F5C47"/>
    <w:rsid w:val="002004FF"/>
    <w:rsid w:val="00201086"/>
    <w:rsid w:val="00203B2C"/>
    <w:rsid w:val="00203D07"/>
    <w:rsid w:val="0020471D"/>
    <w:rsid w:val="00206B7A"/>
    <w:rsid w:val="00207061"/>
    <w:rsid w:val="00211516"/>
    <w:rsid w:val="00211C74"/>
    <w:rsid w:val="00212290"/>
    <w:rsid w:val="002135B2"/>
    <w:rsid w:val="00214087"/>
    <w:rsid w:val="00214E59"/>
    <w:rsid w:val="00217F71"/>
    <w:rsid w:val="0022147E"/>
    <w:rsid w:val="00222119"/>
    <w:rsid w:val="00222EFA"/>
    <w:rsid w:val="00224A72"/>
    <w:rsid w:val="00225F1C"/>
    <w:rsid w:val="002272B6"/>
    <w:rsid w:val="00227D5B"/>
    <w:rsid w:val="00231651"/>
    <w:rsid w:val="0023351F"/>
    <w:rsid w:val="0023358C"/>
    <w:rsid w:val="00235B6B"/>
    <w:rsid w:val="00235DB6"/>
    <w:rsid w:val="0023668E"/>
    <w:rsid w:val="00237315"/>
    <w:rsid w:val="00237CA7"/>
    <w:rsid w:val="00237E93"/>
    <w:rsid w:val="00242518"/>
    <w:rsid w:val="002442B8"/>
    <w:rsid w:val="00244F4D"/>
    <w:rsid w:val="00245A21"/>
    <w:rsid w:val="0024647F"/>
    <w:rsid w:val="0024722A"/>
    <w:rsid w:val="00250426"/>
    <w:rsid w:val="0025087F"/>
    <w:rsid w:val="002544EB"/>
    <w:rsid w:val="00254A51"/>
    <w:rsid w:val="00256A61"/>
    <w:rsid w:val="00257BB3"/>
    <w:rsid w:val="00260545"/>
    <w:rsid w:val="00262DED"/>
    <w:rsid w:val="00264D12"/>
    <w:rsid w:val="00264ECD"/>
    <w:rsid w:val="00264FFC"/>
    <w:rsid w:val="0026595B"/>
    <w:rsid w:val="00265BBC"/>
    <w:rsid w:val="002701DF"/>
    <w:rsid w:val="002705D5"/>
    <w:rsid w:val="002719CF"/>
    <w:rsid w:val="002734A8"/>
    <w:rsid w:val="00273A13"/>
    <w:rsid w:val="00274033"/>
    <w:rsid w:val="002751FD"/>
    <w:rsid w:val="002760B1"/>
    <w:rsid w:val="00276B9F"/>
    <w:rsid w:val="00280311"/>
    <w:rsid w:val="002813D6"/>
    <w:rsid w:val="00281E56"/>
    <w:rsid w:val="0028247E"/>
    <w:rsid w:val="00284994"/>
    <w:rsid w:val="002849BD"/>
    <w:rsid w:val="00284EEF"/>
    <w:rsid w:val="002905A0"/>
    <w:rsid w:val="0029191F"/>
    <w:rsid w:val="00291D1E"/>
    <w:rsid w:val="002933A3"/>
    <w:rsid w:val="002A0A63"/>
    <w:rsid w:val="002A0BC9"/>
    <w:rsid w:val="002A1669"/>
    <w:rsid w:val="002A172A"/>
    <w:rsid w:val="002A5AAA"/>
    <w:rsid w:val="002A5DDB"/>
    <w:rsid w:val="002A5FBC"/>
    <w:rsid w:val="002A74E9"/>
    <w:rsid w:val="002A76EF"/>
    <w:rsid w:val="002B0E76"/>
    <w:rsid w:val="002B1E0E"/>
    <w:rsid w:val="002B2699"/>
    <w:rsid w:val="002B4A59"/>
    <w:rsid w:val="002B5CD5"/>
    <w:rsid w:val="002B5D0A"/>
    <w:rsid w:val="002C131E"/>
    <w:rsid w:val="002C1B4C"/>
    <w:rsid w:val="002C2981"/>
    <w:rsid w:val="002C35A0"/>
    <w:rsid w:val="002C3C88"/>
    <w:rsid w:val="002C420E"/>
    <w:rsid w:val="002C4F45"/>
    <w:rsid w:val="002C50CA"/>
    <w:rsid w:val="002C709B"/>
    <w:rsid w:val="002C7161"/>
    <w:rsid w:val="002D1575"/>
    <w:rsid w:val="002D1BBD"/>
    <w:rsid w:val="002D1D34"/>
    <w:rsid w:val="002D1D58"/>
    <w:rsid w:val="002D2315"/>
    <w:rsid w:val="002D411E"/>
    <w:rsid w:val="002D4A57"/>
    <w:rsid w:val="002D6B9E"/>
    <w:rsid w:val="002D6E8A"/>
    <w:rsid w:val="002D7330"/>
    <w:rsid w:val="002D74E0"/>
    <w:rsid w:val="002E2E41"/>
    <w:rsid w:val="002E316E"/>
    <w:rsid w:val="002E4802"/>
    <w:rsid w:val="002E514E"/>
    <w:rsid w:val="002E60F8"/>
    <w:rsid w:val="002E764E"/>
    <w:rsid w:val="002E7D15"/>
    <w:rsid w:val="002E7F5E"/>
    <w:rsid w:val="002F0C6C"/>
    <w:rsid w:val="002F1A5D"/>
    <w:rsid w:val="002F2AFA"/>
    <w:rsid w:val="002F5063"/>
    <w:rsid w:val="002F6883"/>
    <w:rsid w:val="002F70F2"/>
    <w:rsid w:val="002F73AA"/>
    <w:rsid w:val="002F7F2F"/>
    <w:rsid w:val="0030139C"/>
    <w:rsid w:val="00301F88"/>
    <w:rsid w:val="00302E1C"/>
    <w:rsid w:val="00303014"/>
    <w:rsid w:val="003033C1"/>
    <w:rsid w:val="003033DD"/>
    <w:rsid w:val="00303CB9"/>
    <w:rsid w:val="0030404F"/>
    <w:rsid w:val="003047A6"/>
    <w:rsid w:val="00305324"/>
    <w:rsid w:val="00310613"/>
    <w:rsid w:val="0031079C"/>
    <w:rsid w:val="003144A8"/>
    <w:rsid w:val="00315015"/>
    <w:rsid w:val="003155B7"/>
    <w:rsid w:val="0031586B"/>
    <w:rsid w:val="00316B9A"/>
    <w:rsid w:val="00320D9A"/>
    <w:rsid w:val="00321A8F"/>
    <w:rsid w:val="00321BF9"/>
    <w:rsid w:val="00322FAE"/>
    <w:rsid w:val="003235FA"/>
    <w:rsid w:val="00323B4D"/>
    <w:rsid w:val="00324D04"/>
    <w:rsid w:val="00326405"/>
    <w:rsid w:val="0032662C"/>
    <w:rsid w:val="0033171D"/>
    <w:rsid w:val="003367C5"/>
    <w:rsid w:val="00337952"/>
    <w:rsid w:val="00341DAE"/>
    <w:rsid w:val="003423EC"/>
    <w:rsid w:val="00342A93"/>
    <w:rsid w:val="00343B3F"/>
    <w:rsid w:val="003442D3"/>
    <w:rsid w:val="00344D21"/>
    <w:rsid w:val="00345F07"/>
    <w:rsid w:val="00346315"/>
    <w:rsid w:val="0034789C"/>
    <w:rsid w:val="00352F35"/>
    <w:rsid w:val="0035333F"/>
    <w:rsid w:val="003536D7"/>
    <w:rsid w:val="00353FD8"/>
    <w:rsid w:val="00360D9E"/>
    <w:rsid w:val="003613A3"/>
    <w:rsid w:val="003620BF"/>
    <w:rsid w:val="00363E78"/>
    <w:rsid w:val="00364C26"/>
    <w:rsid w:val="00364C27"/>
    <w:rsid w:val="00365DB1"/>
    <w:rsid w:val="00374924"/>
    <w:rsid w:val="003753F7"/>
    <w:rsid w:val="00375B74"/>
    <w:rsid w:val="00375E5E"/>
    <w:rsid w:val="0037669C"/>
    <w:rsid w:val="00377FB3"/>
    <w:rsid w:val="00380DA6"/>
    <w:rsid w:val="003817C1"/>
    <w:rsid w:val="00381F2B"/>
    <w:rsid w:val="00381F8E"/>
    <w:rsid w:val="003829B7"/>
    <w:rsid w:val="00382A08"/>
    <w:rsid w:val="00383433"/>
    <w:rsid w:val="00383648"/>
    <w:rsid w:val="00384F1B"/>
    <w:rsid w:val="00385F89"/>
    <w:rsid w:val="003868FC"/>
    <w:rsid w:val="00390480"/>
    <w:rsid w:val="0039216D"/>
    <w:rsid w:val="003924F4"/>
    <w:rsid w:val="00393E51"/>
    <w:rsid w:val="00394E24"/>
    <w:rsid w:val="00396DCC"/>
    <w:rsid w:val="003A17C6"/>
    <w:rsid w:val="003A2068"/>
    <w:rsid w:val="003A21D5"/>
    <w:rsid w:val="003A2475"/>
    <w:rsid w:val="003A3065"/>
    <w:rsid w:val="003A58C3"/>
    <w:rsid w:val="003A5BB2"/>
    <w:rsid w:val="003A604E"/>
    <w:rsid w:val="003A6630"/>
    <w:rsid w:val="003A754B"/>
    <w:rsid w:val="003A7ED1"/>
    <w:rsid w:val="003B532E"/>
    <w:rsid w:val="003C0225"/>
    <w:rsid w:val="003C0704"/>
    <w:rsid w:val="003C10DE"/>
    <w:rsid w:val="003C309D"/>
    <w:rsid w:val="003C3391"/>
    <w:rsid w:val="003C3806"/>
    <w:rsid w:val="003C3A4D"/>
    <w:rsid w:val="003C6A50"/>
    <w:rsid w:val="003C7B3E"/>
    <w:rsid w:val="003C7E7D"/>
    <w:rsid w:val="003D01CB"/>
    <w:rsid w:val="003D026C"/>
    <w:rsid w:val="003D0569"/>
    <w:rsid w:val="003D0D40"/>
    <w:rsid w:val="003D267B"/>
    <w:rsid w:val="003D2B59"/>
    <w:rsid w:val="003D3AF5"/>
    <w:rsid w:val="003D4E9E"/>
    <w:rsid w:val="003D4F5C"/>
    <w:rsid w:val="003D5C98"/>
    <w:rsid w:val="003D62B8"/>
    <w:rsid w:val="003D67CF"/>
    <w:rsid w:val="003D7EB5"/>
    <w:rsid w:val="003E0145"/>
    <w:rsid w:val="003E2E41"/>
    <w:rsid w:val="003E468E"/>
    <w:rsid w:val="003E63B7"/>
    <w:rsid w:val="003E74A3"/>
    <w:rsid w:val="003F03E9"/>
    <w:rsid w:val="003F0989"/>
    <w:rsid w:val="003F2564"/>
    <w:rsid w:val="003F2AE4"/>
    <w:rsid w:val="003F3571"/>
    <w:rsid w:val="003F3A0B"/>
    <w:rsid w:val="003F3A87"/>
    <w:rsid w:val="003F6455"/>
    <w:rsid w:val="003F6908"/>
    <w:rsid w:val="003F7ED1"/>
    <w:rsid w:val="00400022"/>
    <w:rsid w:val="00402B5A"/>
    <w:rsid w:val="004040FE"/>
    <w:rsid w:val="004076F9"/>
    <w:rsid w:val="0041026A"/>
    <w:rsid w:val="00412C54"/>
    <w:rsid w:val="00424110"/>
    <w:rsid w:val="00425545"/>
    <w:rsid w:val="00425EE1"/>
    <w:rsid w:val="004264B8"/>
    <w:rsid w:val="004328F1"/>
    <w:rsid w:val="00432F52"/>
    <w:rsid w:val="00434DEE"/>
    <w:rsid w:val="004352E2"/>
    <w:rsid w:val="00435F1E"/>
    <w:rsid w:val="00436E33"/>
    <w:rsid w:val="004370C0"/>
    <w:rsid w:val="0044018C"/>
    <w:rsid w:val="00440301"/>
    <w:rsid w:val="004415BB"/>
    <w:rsid w:val="00441C68"/>
    <w:rsid w:val="00442BD3"/>
    <w:rsid w:val="00443672"/>
    <w:rsid w:val="0044418B"/>
    <w:rsid w:val="00444F97"/>
    <w:rsid w:val="0044571F"/>
    <w:rsid w:val="00450BBE"/>
    <w:rsid w:val="004518C0"/>
    <w:rsid w:val="004520C2"/>
    <w:rsid w:val="00453088"/>
    <w:rsid w:val="00456659"/>
    <w:rsid w:val="004574AD"/>
    <w:rsid w:val="0046035E"/>
    <w:rsid w:val="00462FAE"/>
    <w:rsid w:val="0046423A"/>
    <w:rsid w:val="00467B22"/>
    <w:rsid w:val="00470496"/>
    <w:rsid w:val="004704AD"/>
    <w:rsid w:val="00472932"/>
    <w:rsid w:val="004733E0"/>
    <w:rsid w:val="00474C53"/>
    <w:rsid w:val="00476101"/>
    <w:rsid w:val="00476A89"/>
    <w:rsid w:val="00481BB5"/>
    <w:rsid w:val="0048254B"/>
    <w:rsid w:val="00483502"/>
    <w:rsid w:val="004837AE"/>
    <w:rsid w:val="0048557E"/>
    <w:rsid w:val="00485D21"/>
    <w:rsid w:val="00486161"/>
    <w:rsid w:val="0048652E"/>
    <w:rsid w:val="004873F1"/>
    <w:rsid w:val="0049068F"/>
    <w:rsid w:val="00491080"/>
    <w:rsid w:val="004915B6"/>
    <w:rsid w:val="00491BBE"/>
    <w:rsid w:val="00491DBF"/>
    <w:rsid w:val="004926FB"/>
    <w:rsid w:val="004946F4"/>
    <w:rsid w:val="00495AE9"/>
    <w:rsid w:val="00495EB2"/>
    <w:rsid w:val="00496853"/>
    <w:rsid w:val="004969AB"/>
    <w:rsid w:val="004969F0"/>
    <w:rsid w:val="00496D00"/>
    <w:rsid w:val="00497F57"/>
    <w:rsid w:val="004A0084"/>
    <w:rsid w:val="004A23CA"/>
    <w:rsid w:val="004A2C6A"/>
    <w:rsid w:val="004A474A"/>
    <w:rsid w:val="004A4864"/>
    <w:rsid w:val="004A4AF9"/>
    <w:rsid w:val="004A4F45"/>
    <w:rsid w:val="004A73F3"/>
    <w:rsid w:val="004B09E9"/>
    <w:rsid w:val="004B2340"/>
    <w:rsid w:val="004B2BB9"/>
    <w:rsid w:val="004B4135"/>
    <w:rsid w:val="004B4692"/>
    <w:rsid w:val="004B54F7"/>
    <w:rsid w:val="004B604D"/>
    <w:rsid w:val="004B655E"/>
    <w:rsid w:val="004B6A3A"/>
    <w:rsid w:val="004B6B1D"/>
    <w:rsid w:val="004C0AA9"/>
    <w:rsid w:val="004C2588"/>
    <w:rsid w:val="004C26B5"/>
    <w:rsid w:val="004C4755"/>
    <w:rsid w:val="004C571B"/>
    <w:rsid w:val="004C5C47"/>
    <w:rsid w:val="004C5CEA"/>
    <w:rsid w:val="004C749B"/>
    <w:rsid w:val="004D1656"/>
    <w:rsid w:val="004D3692"/>
    <w:rsid w:val="004D4A92"/>
    <w:rsid w:val="004D4F21"/>
    <w:rsid w:val="004D5450"/>
    <w:rsid w:val="004D61FF"/>
    <w:rsid w:val="004D68A9"/>
    <w:rsid w:val="004E0197"/>
    <w:rsid w:val="004E14E4"/>
    <w:rsid w:val="004E25E7"/>
    <w:rsid w:val="004E26C6"/>
    <w:rsid w:val="004E3933"/>
    <w:rsid w:val="004E3DA4"/>
    <w:rsid w:val="004E4916"/>
    <w:rsid w:val="004E5E5C"/>
    <w:rsid w:val="004E6BF1"/>
    <w:rsid w:val="004E7639"/>
    <w:rsid w:val="004E7655"/>
    <w:rsid w:val="004F0AA0"/>
    <w:rsid w:val="004F10C4"/>
    <w:rsid w:val="004F46E0"/>
    <w:rsid w:val="004F4FF5"/>
    <w:rsid w:val="004F6592"/>
    <w:rsid w:val="004F7208"/>
    <w:rsid w:val="00500BE4"/>
    <w:rsid w:val="00501954"/>
    <w:rsid w:val="005044C4"/>
    <w:rsid w:val="00505831"/>
    <w:rsid w:val="005067F1"/>
    <w:rsid w:val="005102BA"/>
    <w:rsid w:val="0051032E"/>
    <w:rsid w:val="005104AB"/>
    <w:rsid w:val="005131F0"/>
    <w:rsid w:val="00513898"/>
    <w:rsid w:val="005144F7"/>
    <w:rsid w:val="00515BC7"/>
    <w:rsid w:val="00515ED2"/>
    <w:rsid w:val="005172F8"/>
    <w:rsid w:val="005204E1"/>
    <w:rsid w:val="00520A37"/>
    <w:rsid w:val="00521CB5"/>
    <w:rsid w:val="00523FD4"/>
    <w:rsid w:val="00524E3A"/>
    <w:rsid w:val="00524EE5"/>
    <w:rsid w:val="005254F6"/>
    <w:rsid w:val="0052665F"/>
    <w:rsid w:val="00526DD4"/>
    <w:rsid w:val="00526E9E"/>
    <w:rsid w:val="00530A88"/>
    <w:rsid w:val="00531F4C"/>
    <w:rsid w:val="00532802"/>
    <w:rsid w:val="00532DE9"/>
    <w:rsid w:val="00533D61"/>
    <w:rsid w:val="005368E5"/>
    <w:rsid w:val="00536F18"/>
    <w:rsid w:val="005370F5"/>
    <w:rsid w:val="00540634"/>
    <w:rsid w:val="0054144F"/>
    <w:rsid w:val="00541693"/>
    <w:rsid w:val="0054289F"/>
    <w:rsid w:val="005437A4"/>
    <w:rsid w:val="00543C75"/>
    <w:rsid w:val="00544304"/>
    <w:rsid w:val="0054652D"/>
    <w:rsid w:val="00547EAD"/>
    <w:rsid w:val="00547F7A"/>
    <w:rsid w:val="0055065C"/>
    <w:rsid w:val="00550832"/>
    <w:rsid w:val="00550AD9"/>
    <w:rsid w:val="00551527"/>
    <w:rsid w:val="0055191F"/>
    <w:rsid w:val="0055374D"/>
    <w:rsid w:val="0055391F"/>
    <w:rsid w:val="00553CB4"/>
    <w:rsid w:val="00555029"/>
    <w:rsid w:val="0055726D"/>
    <w:rsid w:val="00557C32"/>
    <w:rsid w:val="005619F0"/>
    <w:rsid w:val="005642CE"/>
    <w:rsid w:val="00566078"/>
    <w:rsid w:val="0056615A"/>
    <w:rsid w:val="005663BB"/>
    <w:rsid w:val="00566CB5"/>
    <w:rsid w:val="00567D2D"/>
    <w:rsid w:val="00571FD5"/>
    <w:rsid w:val="005722DA"/>
    <w:rsid w:val="005731A5"/>
    <w:rsid w:val="00573806"/>
    <w:rsid w:val="00573BC8"/>
    <w:rsid w:val="00574D38"/>
    <w:rsid w:val="00576207"/>
    <w:rsid w:val="00576842"/>
    <w:rsid w:val="0057684D"/>
    <w:rsid w:val="005802E8"/>
    <w:rsid w:val="005810CA"/>
    <w:rsid w:val="00581317"/>
    <w:rsid w:val="00583BEA"/>
    <w:rsid w:val="005852CB"/>
    <w:rsid w:val="00586BBC"/>
    <w:rsid w:val="00586ECF"/>
    <w:rsid w:val="0058730A"/>
    <w:rsid w:val="005911CD"/>
    <w:rsid w:val="00591A8B"/>
    <w:rsid w:val="00591DDE"/>
    <w:rsid w:val="00593467"/>
    <w:rsid w:val="00593609"/>
    <w:rsid w:val="00594523"/>
    <w:rsid w:val="005956AD"/>
    <w:rsid w:val="005967C8"/>
    <w:rsid w:val="005A15BA"/>
    <w:rsid w:val="005A2E9F"/>
    <w:rsid w:val="005A2EA3"/>
    <w:rsid w:val="005A325C"/>
    <w:rsid w:val="005A3DC3"/>
    <w:rsid w:val="005A4130"/>
    <w:rsid w:val="005A58A0"/>
    <w:rsid w:val="005A7243"/>
    <w:rsid w:val="005B0156"/>
    <w:rsid w:val="005B03B0"/>
    <w:rsid w:val="005B27DF"/>
    <w:rsid w:val="005B379E"/>
    <w:rsid w:val="005B4205"/>
    <w:rsid w:val="005B48C6"/>
    <w:rsid w:val="005B54C8"/>
    <w:rsid w:val="005B6685"/>
    <w:rsid w:val="005B6954"/>
    <w:rsid w:val="005B6C58"/>
    <w:rsid w:val="005C37C3"/>
    <w:rsid w:val="005C5E21"/>
    <w:rsid w:val="005C7FB0"/>
    <w:rsid w:val="005D120D"/>
    <w:rsid w:val="005D1420"/>
    <w:rsid w:val="005D192A"/>
    <w:rsid w:val="005D2E12"/>
    <w:rsid w:val="005D2F53"/>
    <w:rsid w:val="005D4304"/>
    <w:rsid w:val="005D44A6"/>
    <w:rsid w:val="005D4898"/>
    <w:rsid w:val="005D6B95"/>
    <w:rsid w:val="005D7C5B"/>
    <w:rsid w:val="005E02C1"/>
    <w:rsid w:val="005E12E8"/>
    <w:rsid w:val="005E1584"/>
    <w:rsid w:val="005E29AE"/>
    <w:rsid w:val="005E358C"/>
    <w:rsid w:val="005E35FB"/>
    <w:rsid w:val="005E3FD8"/>
    <w:rsid w:val="005E6C33"/>
    <w:rsid w:val="005E77AB"/>
    <w:rsid w:val="005F0318"/>
    <w:rsid w:val="005F05AB"/>
    <w:rsid w:val="005F21AE"/>
    <w:rsid w:val="005F370A"/>
    <w:rsid w:val="005F3AC8"/>
    <w:rsid w:val="005F7CBC"/>
    <w:rsid w:val="00600D23"/>
    <w:rsid w:val="00601118"/>
    <w:rsid w:val="00602659"/>
    <w:rsid w:val="0060402C"/>
    <w:rsid w:val="00605352"/>
    <w:rsid w:val="00605BC5"/>
    <w:rsid w:val="006061D3"/>
    <w:rsid w:val="00606216"/>
    <w:rsid w:val="00606D24"/>
    <w:rsid w:val="00607C25"/>
    <w:rsid w:val="00607E53"/>
    <w:rsid w:val="00611354"/>
    <w:rsid w:val="00611814"/>
    <w:rsid w:val="00611F1B"/>
    <w:rsid w:val="006120B9"/>
    <w:rsid w:val="006157FE"/>
    <w:rsid w:val="00617E19"/>
    <w:rsid w:val="00617F3E"/>
    <w:rsid w:val="00621439"/>
    <w:rsid w:val="00621ADF"/>
    <w:rsid w:val="00621E2C"/>
    <w:rsid w:val="0062203C"/>
    <w:rsid w:val="00622650"/>
    <w:rsid w:val="00623F52"/>
    <w:rsid w:val="00624BA7"/>
    <w:rsid w:val="00627675"/>
    <w:rsid w:val="0062771A"/>
    <w:rsid w:val="00630164"/>
    <w:rsid w:val="0063032B"/>
    <w:rsid w:val="0063163F"/>
    <w:rsid w:val="006337DA"/>
    <w:rsid w:val="00633B5E"/>
    <w:rsid w:val="0063452F"/>
    <w:rsid w:val="00635129"/>
    <w:rsid w:val="0063708A"/>
    <w:rsid w:val="00637990"/>
    <w:rsid w:val="00637C83"/>
    <w:rsid w:val="0064121B"/>
    <w:rsid w:val="006445BF"/>
    <w:rsid w:val="00644B9D"/>
    <w:rsid w:val="00644F0F"/>
    <w:rsid w:val="00647689"/>
    <w:rsid w:val="006505CF"/>
    <w:rsid w:val="00650D2C"/>
    <w:rsid w:val="00652561"/>
    <w:rsid w:val="00653B05"/>
    <w:rsid w:val="00656044"/>
    <w:rsid w:val="006602B1"/>
    <w:rsid w:val="00661988"/>
    <w:rsid w:val="00662BCC"/>
    <w:rsid w:val="00663C0B"/>
    <w:rsid w:val="006649E7"/>
    <w:rsid w:val="00665F85"/>
    <w:rsid w:val="006706BD"/>
    <w:rsid w:val="00671E86"/>
    <w:rsid w:val="00672ADE"/>
    <w:rsid w:val="00674AF2"/>
    <w:rsid w:val="00674B88"/>
    <w:rsid w:val="00675531"/>
    <w:rsid w:val="00675D24"/>
    <w:rsid w:val="006760C7"/>
    <w:rsid w:val="00676433"/>
    <w:rsid w:val="006765FF"/>
    <w:rsid w:val="00677C34"/>
    <w:rsid w:val="006808A1"/>
    <w:rsid w:val="0068113A"/>
    <w:rsid w:val="0068193C"/>
    <w:rsid w:val="00682DC8"/>
    <w:rsid w:val="006830F1"/>
    <w:rsid w:val="006831FB"/>
    <w:rsid w:val="00684A2B"/>
    <w:rsid w:val="00687850"/>
    <w:rsid w:val="00687E05"/>
    <w:rsid w:val="00692A3A"/>
    <w:rsid w:val="00692F9D"/>
    <w:rsid w:val="00693323"/>
    <w:rsid w:val="00693C18"/>
    <w:rsid w:val="00695AF1"/>
    <w:rsid w:val="00695C6F"/>
    <w:rsid w:val="006967AD"/>
    <w:rsid w:val="006A0B71"/>
    <w:rsid w:val="006A0FA9"/>
    <w:rsid w:val="006A0FBF"/>
    <w:rsid w:val="006A23ED"/>
    <w:rsid w:val="006A37AC"/>
    <w:rsid w:val="006A4334"/>
    <w:rsid w:val="006A459E"/>
    <w:rsid w:val="006A5D6B"/>
    <w:rsid w:val="006A69A1"/>
    <w:rsid w:val="006A79D9"/>
    <w:rsid w:val="006B0BCC"/>
    <w:rsid w:val="006B1305"/>
    <w:rsid w:val="006B1606"/>
    <w:rsid w:val="006B3CCD"/>
    <w:rsid w:val="006B4D65"/>
    <w:rsid w:val="006B506C"/>
    <w:rsid w:val="006B76C6"/>
    <w:rsid w:val="006B76EF"/>
    <w:rsid w:val="006B7C55"/>
    <w:rsid w:val="006C0CF9"/>
    <w:rsid w:val="006C0D02"/>
    <w:rsid w:val="006C123E"/>
    <w:rsid w:val="006C346D"/>
    <w:rsid w:val="006C3CC6"/>
    <w:rsid w:val="006C4ADC"/>
    <w:rsid w:val="006C4D1F"/>
    <w:rsid w:val="006C67CC"/>
    <w:rsid w:val="006C7276"/>
    <w:rsid w:val="006D0050"/>
    <w:rsid w:val="006D06FA"/>
    <w:rsid w:val="006D0FE0"/>
    <w:rsid w:val="006D1870"/>
    <w:rsid w:val="006D2C8C"/>
    <w:rsid w:val="006D649B"/>
    <w:rsid w:val="006E134A"/>
    <w:rsid w:val="006E17D2"/>
    <w:rsid w:val="006E1C3A"/>
    <w:rsid w:val="006E216C"/>
    <w:rsid w:val="006E2262"/>
    <w:rsid w:val="006E3446"/>
    <w:rsid w:val="006E36C1"/>
    <w:rsid w:val="006E5116"/>
    <w:rsid w:val="006E5CCF"/>
    <w:rsid w:val="006E7638"/>
    <w:rsid w:val="006F04BC"/>
    <w:rsid w:val="006F0830"/>
    <w:rsid w:val="006F241D"/>
    <w:rsid w:val="006F2629"/>
    <w:rsid w:val="006F2734"/>
    <w:rsid w:val="006F2922"/>
    <w:rsid w:val="006F3847"/>
    <w:rsid w:val="006F576E"/>
    <w:rsid w:val="006F62FD"/>
    <w:rsid w:val="007012F0"/>
    <w:rsid w:val="007016B9"/>
    <w:rsid w:val="00701BEA"/>
    <w:rsid w:val="0070201B"/>
    <w:rsid w:val="00703BD6"/>
    <w:rsid w:val="00704AB0"/>
    <w:rsid w:val="007059A6"/>
    <w:rsid w:val="00711005"/>
    <w:rsid w:val="00711080"/>
    <w:rsid w:val="0071402E"/>
    <w:rsid w:val="00716F16"/>
    <w:rsid w:val="0072318A"/>
    <w:rsid w:val="00723D08"/>
    <w:rsid w:val="007262AB"/>
    <w:rsid w:val="00726C48"/>
    <w:rsid w:val="00730527"/>
    <w:rsid w:val="0073053A"/>
    <w:rsid w:val="007315EC"/>
    <w:rsid w:val="00734743"/>
    <w:rsid w:val="007348C6"/>
    <w:rsid w:val="00735220"/>
    <w:rsid w:val="007358EA"/>
    <w:rsid w:val="00736FDE"/>
    <w:rsid w:val="007372AC"/>
    <w:rsid w:val="00740423"/>
    <w:rsid w:val="00740547"/>
    <w:rsid w:val="007434C0"/>
    <w:rsid w:val="007441DD"/>
    <w:rsid w:val="007454D9"/>
    <w:rsid w:val="00745A34"/>
    <w:rsid w:val="007477EB"/>
    <w:rsid w:val="007503B7"/>
    <w:rsid w:val="0075080B"/>
    <w:rsid w:val="007519EC"/>
    <w:rsid w:val="00753C4A"/>
    <w:rsid w:val="00754989"/>
    <w:rsid w:val="007608C6"/>
    <w:rsid w:val="0076143A"/>
    <w:rsid w:val="007618D1"/>
    <w:rsid w:val="00764A65"/>
    <w:rsid w:val="007703FC"/>
    <w:rsid w:val="00770E7D"/>
    <w:rsid w:val="0077361D"/>
    <w:rsid w:val="007743B3"/>
    <w:rsid w:val="00775F75"/>
    <w:rsid w:val="00776383"/>
    <w:rsid w:val="00777771"/>
    <w:rsid w:val="00780948"/>
    <w:rsid w:val="00780AAF"/>
    <w:rsid w:val="007817F0"/>
    <w:rsid w:val="0078192A"/>
    <w:rsid w:val="00782BC7"/>
    <w:rsid w:val="007830F1"/>
    <w:rsid w:val="00784F55"/>
    <w:rsid w:val="007859F7"/>
    <w:rsid w:val="00787582"/>
    <w:rsid w:val="00787695"/>
    <w:rsid w:val="007877C8"/>
    <w:rsid w:val="00790540"/>
    <w:rsid w:val="0079068D"/>
    <w:rsid w:val="007907C6"/>
    <w:rsid w:val="00791273"/>
    <w:rsid w:val="007915A5"/>
    <w:rsid w:val="00791DAE"/>
    <w:rsid w:val="00792C23"/>
    <w:rsid w:val="00792F2C"/>
    <w:rsid w:val="00793769"/>
    <w:rsid w:val="00794573"/>
    <w:rsid w:val="007955B4"/>
    <w:rsid w:val="00796BC2"/>
    <w:rsid w:val="00796D9F"/>
    <w:rsid w:val="007978E7"/>
    <w:rsid w:val="007A264D"/>
    <w:rsid w:val="007A4600"/>
    <w:rsid w:val="007A57C4"/>
    <w:rsid w:val="007A65AB"/>
    <w:rsid w:val="007A6865"/>
    <w:rsid w:val="007A68A4"/>
    <w:rsid w:val="007A716F"/>
    <w:rsid w:val="007B0AF1"/>
    <w:rsid w:val="007B2B8B"/>
    <w:rsid w:val="007B33B8"/>
    <w:rsid w:val="007B3CAE"/>
    <w:rsid w:val="007B5464"/>
    <w:rsid w:val="007B5567"/>
    <w:rsid w:val="007B5EE3"/>
    <w:rsid w:val="007B5F56"/>
    <w:rsid w:val="007B6CA0"/>
    <w:rsid w:val="007B70F7"/>
    <w:rsid w:val="007B799C"/>
    <w:rsid w:val="007C20FA"/>
    <w:rsid w:val="007C238E"/>
    <w:rsid w:val="007C418A"/>
    <w:rsid w:val="007C4476"/>
    <w:rsid w:val="007C4E34"/>
    <w:rsid w:val="007C512D"/>
    <w:rsid w:val="007C68C0"/>
    <w:rsid w:val="007D1835"/>
    <w:rsid w:val="007D1E48"/>
    <w:rsid w:val="007D4560"/>
    <w:rsid w:val="007D489B"/>
    <w:rsid w:val="007D7041"/>
    <w:rsid w:val="007D72C9"/>
    <w:rsid w:val="007E2355"/>
    <w:rsid w:val="007E2EC1"/>
    <w:rsid w:val="007E7BD6"/>
    <w:rsid w:val="007F06C9"/>
    <w:rsid w:val="007F088D"/>
    <w:rsid w:val="007F0EA2"/>
    <w:rsid w:val="007F23BF"/>
    <w:rsid w:val="007F32F1"/>
    <w:rsid w:val="007F3A2B"/>
    <w:rsid w:val="007F4805"/>
    <w:rsid w:val="007F4C48"/>
    <w:rsid w:val="007F7790"/>
    <w:rsid w:val="0080047D"/>
    <w:rsid w:val="00801BD9"/>
    <w:rsid w:val="00802125"/>
    <w:rsid w:val="00803066"/>
    <w:rsid w:val="008031FD"/>
    <w:rsid w:val="00803EA5"/>
    <w:rsid w:val="00804D0B"/>
    <w:rsid w:val="008050F2"/>
    <w:rsid w:val="00805B26"/>
    <w:rsid w:val="00805FC8"/>
    <w:rsid w:val="00806165"/>
    <w:rsid w:val="008071DA"/>
    <w:rsid w:val="0081075D"/>
    <w:rsid w:val="008133F8"/>
    <w:rsid w:val="0081563F"/>
    <w:rsid w:val="00816DA9"/>
    <w:rsid w:val="00820361"/>
    <w:rsid w:val="008207D8"/>
    <w:rsid w:val="00820B5C"/>
    <w:rsid w:val="00821A96"/>
    <w:rsid w:val="00821E0F"/>
    <w:rsid w:val="00822207"/>
    <w:rsid w:val="00823C9A"/>
    <w:rsid w:val="0082423E"/>
    <w:rsid w:val="008248BE"/>
    <w:rsid w:val="00825D0C"/>
    <w:rsid w:val="00826556"/>
    <w:rsid w:val="0082657F"/>
    <w:rsid w:val="008313F6"/>
    <w:rsid w:val="00832986"/>
    <w:rsid w:val="00832A0E"/>
    <w:rsid w:val="00832A8A"/>
    <w:rsid w:val="00833307"/>
    <w:rsid w:val="0083350B"/>
    <w:rsid w:val="00835547"/>
    <w:rsid w:val="008363F9"/>
    <w:rsid w:val="0083655D"/>
    <w:rsid w:val="00836623"/>
    <w:rsid w:val="00837E5C"/>
    <w:rsid w:val="00840AF5"/>
    <w:rsid w:val="00840BF2"/>
    <w:rsid w:val="00840F82"/>
    <w:rsid w:val="00840FF4"/>
    <w:rsid w:val="0084182E"/>
    <w:rsid w:val="008423E8"/>
    <w:rsid w:val="00843E17"/>
    <w:rsid w:val="00845B12"/>
    <w:rsid w:val="00846876"/>
    <w:rsid w:val="00847F22"/>
    <w:rsid w:val="008553FA"/>
    <w:rsid w:val="00855B32"/>
    <w:rsid w:val="00855CB6"/>
    <w:rsid w:val="00855EE5"/>
    <w:rsid w:val="00856068"/>
    <w:rsid w:val="0085639C"/>
    <w:rsid w:val="00857005"/>
    <w:rsid w:val="0086265E"/>
    <w:rsid w:val="008631C4"/>
    <w:rsid w:val="0086475B"/>
    <w:rsid w:val="008652B3"/>
    <w:rsid w:val="00865403"/>
    <w:rsid w:val="00865898"/>
    <w:rsid w:val="008658BB"/>
    <w:rsid w:val="00865A7B"/>
    <w:rsid w:val="008672B3"/>
    <w:rsid w:val="00873534"/>
    <w:rsid w:val="00873680"/>
    <w:rsid w:val="00873941"/>
    <w:rsid w:val="00873BDC"/>
    <w:rsid w:val="0088376C"/>
    <w:rsid w:val="008838C8"/>
    <w:rsid w:val="00884D90"/>
    <w:rsid w:val="0089011B"/>
    <w:rsid w:val="00891A9D"/>
    <w:rsid w:val="00891DC4"/>
    <w:rsid w:val="00896FBD"/>
    <w:rsid w:val="008979CC"/>
    <w:rsid w:val="008979D3"/>
    <w:rsid w:val="008A206A"/>
    <w:rsid w:val="008A24CD"/>
    <w:rsid w:val="008A5512"/>
    <w:rsid w:val="008A659E"/>
    <w:rsid w:val="008B07D6"/>
    <w:rsid w:val="008B2284"/>
    <w:rsid w:val="008B3D29"/>
    <w:rsid w:val="008C1A72"/>
    <w:rsid w:val="008C5CCD"/>
    <w:rsid w:val="008C6CB4"/>
    <w:rsid w:val="008C704E"/>
    <w:rsid w:val="008C7598"/>
    <w:rsid w:val="008D0589"/>
    <w:rsid w:val="008D2835"/>
    <w:rsid w:val="008D28F5"/>
    <w:rsid w:val="008D2B6B"/>
    <w:rsid w:val="008D3140"/>
    <w:rsid w:val="008D3827"/>
    <w:rsid w:val="008D4CBB"/>
    <w:rsid w:val="008D60A5"/>
    <w:rsid w:val="008D6142"/>
    <w:rsid w:val="008D6C5E"/>
    <w:rsid w:val="008D7C04"/>
    <w:rsid w:val="008E1095"/>
    <w:rsid w:val="008E11A1"/>
    <w:rsid w:val="008E2B5A"/>
    <w:rsid w:val="008E7549"/>
    <w:rsid w:val="008E7ED1"/>
    <w:rsid w:val="008F1EC9"/>
    <w:rsid w:val="008F2677"/>
    <w:rsid w:val="008F5292"/>
    <w:rsid w:val="008F570A"/>
    <w:rsid w:val="008F6DBF"/>
    <w:rsid w:val="008F7644"/>
    <w:rsid w:val="00901C8D"/>
    <w:rsid w:val="00901DE4"/>
    <w:rsid w:val="0090555D"/>
    <w:rsid w:val="009057AE"/>
    <w:rsid w:val="00905B40"/>
    <w:rsid w:val="00907CE5"/>
    <w:rsid w:val="0091073F"/>
    <w:rsid w:val="009136F8"/>
    <w:rsid w:val="00913B93"/>
    <w:rsid w:val="00913CB1"/>
    <w:rsid w:val="00914715"/>
    <w:rsid w:val="009175AC"/>
    <w:rsid w:val="00917DE0"/>
    <w:rsid w:val="009205B4"/>
    <w:rsid w:val="00920FF9"/>
    <w:rsid w:val="009211AF"/>
    <w:rsid w:val="00921D4E"/>
    <w:rsid w:val="0092380E"/>
    <w:rsid w:val="00923CA2"/>
    <w:rsid w:val="0092483B"/>
    <w:rsid w:val="00925522"/>
    <w:rsid w:val="009259B6"/>
    <w:rsid w:val="00926312"/>
    <w:rsid w:val="0092665B"/>
    <w:rsid w:val="00926EC1"/>
    <w:rsid w:val="00927439"/>
    <w:rsid w:val="0092787B"/>
    <w:rsid w:val="00930763"/>
    <w:rsid w:val="0093099C"/>
    <w:rsid w:val="00930DE6"/>
    <w:rsid w:val="00936108"/>
    <w:rsid w:val="009361F3"/>
    <w:rsid w:val="009410DB"/>
    <w:rsid w:val="00941C90"/>
    <w:rsid w:val="00943945"/>
    <w:rsid w:val="00943D28"/>
    <w:rsid w:val="00945020"/>
    <w:rsid w:val="00946873"/>
    <w:rsid w:val="00950CC8"/>
    <w:rsid w:val="00951447"/>
    <w:rsid w:val="00951824"/>
    <w:rsid w:val="00952502"/>
    <w:rsid w:val="00952FDF"/>
    <w:rsid w:val="00954C10"/>
    <w:rsid w:val="00956FC5"/>
    <w:rsid w:val="0096126B"/>
    <w:rsid w:val="009615E8"/>
    <w:rsid w:val="0096412A"/>
    <w:rsid w:val="0096586F"/>
    <w:rsid w:val="00966E49"/>
    <w:rsid w:val="00967190"/>
    <w:rsid w:val="00967B7A"/>
    <w:rsid w:val="00972ED1"/>
    <w:rsid w:val="009733AB"/>
    <w:rsid w:val="00974EFA"/>
    <w:rsid w:val="009750A1"/>
    <w:rsid w:val="00976EA0"/>
    <w:rsid w:val="0097700A"/>
    <w:rsid w:val="00977BEA"/>
    <w:rsid w:val="009807E3"/>
    <w:rsid w:val="0098141E"/>
    <w:rsid w:val="0098149C"/>
    <w:rsid w:val="00981E1D"/>
    <w:rsid w:val="00981EC0"/>
    <w:rsid w:val="00983EC0"/>
    <w:rsid w:val="00983F5E"/>
    <w:rsid w:val="0098539F"/>
    <w:rsid w:val="00985605"/>
    <w:rsid w:val="00986180"/>
    <w:rsid w:val="00986372"/>
    <w:rsid w:val="009875E0"/>
    <w:rsid w:val="009915AA"/>
    <w:rsid w:val="00992B97"/>
    <w:rsid w:val="00992FFF"/>
    <w:rsid w:val="00995769"/>
    <w:rsid w:val="0099749F"/>
    <w:rsid w:val="00997B0C"/>
    <w:rsid w:val="009A0FC7"/>
    <w:rsid w:val="009A462F"/>
    <w:rsid w:val="009A7421"/>
    <w:rsid w:val="009A776B"/>
    <w:rsid w:val="009B0222"/>
    <w:rsid w:val="009B0495"/>
    <w:rsid w:val="009B0B91"/>
    <w:rsid w:val="009B20B5"/>
    <w:rsid w:val="009B3E94"/>
    <w:rsid w:val="009B527A"/>
    <w:rsid w:val="009B655B"/>
    <w:rsid w:val="009B6BF1"/>
    <w:rsid w:val="009B7357"/>
    <w:rsid w:val="009B74C4"/>
    <w:rsid w:val="009C0058"/>
    <w:rsid w:val="009C3337"/>
    <w:rsid w:val="009C47B4"/>
    <w:rsid w:val="009C65C3"/>
    <w:rsid w:val="009C6A1A"/>
    <w:rsid w:val="009C6F38"/>
    <w:rsid w:val="009D1B00"/>
    <w:rsid w:val="009D20D1"/>
    <w:rsid w:val="009D2FF8"/>
    <w:rsid w:val="009D3BA5"/>
    <w:rsid w:val="009D4B05"/>
    <w:rsid w:val="009D6487"/>
    <w:rsid w:val="009D6DE0"/>
    <w:rsid w:val="009E0550"/>
    <w:rsid w:val="009E0D40"/>
    <w:rsid w:val="009E2A81"/>
    <w:rsid w:val="009E2E1E"/>
    <w:rsid w:val="009E3AEC"/>
    <w:rsid w:val="009E5D35"/>
    <w:rsid w:val="009E6373"/>
    <w:rsid w:val="009F22F6"/>
    <w:rsid w:val="009F3D55"/>
    <w:rsid w:val="009F3DD3"/>
    <w:rsid w:val="009F5273"/>
    <w:rsid w:val="009F69DA"/>
    <w:rsid w:val="009F757D"/>
    <w:rsid w:val="00A00786"/>
    <w:rsid w:val="00A010C1"/>
    <w:rsid w:val="00A013BC"/>
    <w:rsid w:val="00A02124"/>
    <w:rsid w:val="00A03591"/>
    <w:rsid w:val="00A05333"/>
    <w:rsid w:val="00A07090"/>
    <w:rsid w:val="00A079E7"/>
    <w:rsid w:val="00A07D41"/>
    <w:rsid w:val="00A100E8"/>
    <w:rsid w:val="00A1048B"/>
    <w:rsid w:val="00A10D67"/>
    <w:rsid w:val="00A11B51"/>
    <w:rsid w:val="00A125D6"/>
    <w:rsid w:val="00A13D00"/>
    <w:rsid w:val="00A13DC4"/>
    <w:rsid w:val="00A140CB"/>
    <w:rsid w:val="00A1434A"/>
    <w:rsid w:val="00A155F9"/>
    <w:rsid w:val="00A15AE2"/>
    <w:rsid w:val="00A15FFD"/>
    <w:rsid w:val="00A16319"/>
    <w:rsid w:val="00A17B32"/>
    <w:rsid w:val="00A21ABC"/>
    <w:rsid w:val="00A22A2B"/>
    <w:rsid w:val="00A25396"/>
    <w:rsid w:val="00A259B5"/>
    <w:rsid w:val="00A25E94"/>
    <w:rsid w:val="00A2705C"/>
    <w:rsid w:val="00A27100"/>
    <w:rsid w:val="00A3471C"/>
    <w:rsid w:val="00A40B1E"/>
    <w:rsid w:val="00A40C3D"/>
    <w:rsid w:val="00A41BF7"/>
    <w:rsid w:val="00A428E4"/>
    <w:rsid w:val="00A42E62"/>
    <w:rsid w:val="00A4302C"/>
    <w:rsid w:val="00A4464B"/>
    <w:rsid w:val="00A45119"/>
    <w:rsid w:val="00A470A9"/>
    <w:rsid w:val="00A47B3C"/>
    <w:rsid w:val="00A47F79"/>
    <w:rsid w:val="00A53FC5"/>
    <w:rsid w:val="00A540B7"/>
    <w:rsid w:val="00A54608"/>
    <w:rsid w:val="00A54FF1"/>
    <w:rsid w:val="00A551B8"/>
    <w:rsid w:val="00A55A38"/>
    <w:rsid w:val="00A55E1F"/>
    <w:rsid w:val="00A55ED2"/>
    <w:rsid w:val="00A5621F"/>
    <w:rsid w:val="00A57144"/>
    <w:rsid w:val="00A574BF"/>
    <w:rsid w:val="00A575DC"/>
    <w:rsid w:val="00A578F5"/>
    <w:rsid w:val="00A57FB2"/>
    <w:rsid w:val="00A60AA0"/>
    <w:rsid w:val="00A6169C"/>
    <w:rsid w:val="00A6189A"/>
    <w:rsid w:val="00A61B1D"/>
    <w:rsid w:val="00A62723"/>
    <w:rsid w:val="00A62C2D"/>
    <w:rsid w:val="00A67D5E"/>
    <w:rsid w:val="00A728DE"/>
    <w:rsid w:val="00A7323F"/>
    <w:rsid w:val="00A74101"/>
    <w:rsid w:val="00A8078B"/>
    <w:rsid w:val="00A826DF"/>
    <w:rsid w:val="00A82E95"/>
    <w:rsid w:val="00A835A4"/>
    <w:rsid w:val="00A83F2C"/>
    <w:rsid w:val="00A9693C"/>
    <w:rsid w:val="00AA0585"/>
    <w:rsid w:val="00AA0681"/>
    <w:rsid w:val="00AA173A"/>
    <w:rsid w:val="00AA2C7A"/>
    <w:rsid w:val="00AA7467"/>
    <w:rsid w:val="00AA7850"/>
    <w:rsid w:val="00AB080C"/>
    <w:rsid w:val="00AB0DB5"/>
    <w:rsid w:val="00AB1A01"/>
    <w:rsid w:val="00AB24FE"/>
    <w:rsid w:val="00AB2793"/>
    <w:rsid w:val="00AB6B00"/>
    <w:rsid w:val="00AB6CE4"/>
    <w:rsid w:val="00AB7313"/>
    <w:rsid w:val="00AC015D"/>
    <w:rsid w:val="00AC239F"/>
    <w:rsid w:val="00AC2980"/>
    <w:rsid w:val="00AC396A"/>
    <w:rsid w:val="00AC444E"/>
    <w:rsid w:val="00AC6100"/>
    <w:rsid w:val="00AD2C02"/>
    <w:rsid w:val="00AD64A8"/>
    <w:rsid w:val="00AD6EA0"/>
    <w:rsid w:val="00AD750D"/>
    <w:rsid w:val="00AE0778"/>
    <w:rsid w:val="00AE4FFD"/>
    <w:rsid w:val="00AE5D44"/>
    <w:rsid w:val="00AE63BE"/>
    <w:rsid w:val="00AE6709"/>
    <w:rsid w:val="00AF064C"/>
    <w:rsid w:val="00AF1552"/>
    <w:rsid w:val="00AF1A19"/>
    <w:rsid w:val="00AF2B6E"/>
    <w:rsid w:val="00AF2D81"/>
    <w:rsid w:val="00AF33C3"/>
    <w:rsid w:val="00AF4099"/>
    <w:rsid w:val="00AF43A3"/>
    <w:rsid w:val="00AF56D8"/>
    <w:rsid w:val="00AF6042"/>
    <w:rsid w:val="00AF701D"/>
    <w:rsid w:val="00AF7B18"/>
    <w:rsid w:val="00AF7C48"/>
    <w:rsid w:val="00AF7EE2"/>
    <w:rsid w:val="00B022EB"/>
    <w:rsid w:val="00B03D8B"/>
    <w:rsid w:val="00B046AF"/>
    <w:rsid w:val="00B0516B"/>
    <w:rsid w:val="00B07101"/>
    <w:rsid w:val="00B11A77"/>
    <w:rsid w:val="00B13798"/>
    <w:rsid w:val="00B145CE"/>
    <w:rsid w:val="00B1483E"/>
    <w:rsid w:val="00B148DD"/>
    <w:rsid w:val="00B1510D"/>
    <w:rsid w:val="00B15A67"/>
    <w:rsid w:val="00B16F23"/>
    <w:rsid w:val="00B2061E"/>
    <w:rsid w:val="00B20AF8"/>
    <w:rsid w:val="00B22E85"/>
    <w:rsid w:val="00B24956"/>
    <w:rsid w:val="00B25FA8"/>
    <w:rsid w:val="00B26194"/>
    <w:rsid w:val="00B269F7"/>
    <w:rsid w:val="00B26C66"/>
    <w:rsid w:val="00B2794D"/>
    <w:rsid w:val="00B27CDF"/>
    <w:rsid w:val="00B3081E"/>
    <w:rsid w:val="00B32662"/>
    <w:rsid w:val="00B3419D"/>
    <w:rsid w:val="00B35786"/>
    <w:rsid w:val="00B368F6"/>
    <w:rsid w:val="00B37334"/>
    <w:rsid w:val="00B414ED"/>
    <w:rsid w:val="00B42944"/>
    <w:rsid w:val="00B431C5"/>
    <w:rsid w:val="00B43875"/>
    <w:rsid w:val="00B47B9B"/>
    <w:rsid w:val="00B505BA"/>
    <w:rsid w:val="00B50B45"/>
    <w:rsid w:val="00B511B0"/>
    <w:rsid w:val="00B5143A"/>
    <w:rsid w:val="00B52FFD"/>
    <w:rsid w:val="00B53611"/>
    <w:rsid w:val="00B53B84"/>
    <w:rsid w:val="00B54DA2"/>
    <w:rsid w:val="00B5655D"/>
    <w:rsid w:val="00B56B67"/>
    <w:rsid w:val="00B56E13"/>
    <w:rsid w:val="00B57279"/>
    <w:rsid w:val="00B57BAD"/>
    <w:rsid w:val="00B60C44"/>
    <w:rsid w:val="00B61CC3"/>
    <w:rsid w:val="00B6231F"/>
    <w:rsid w:val="00B63617"/>
    <w:rsid w:val="00B642FA"/>
    <w:rsid w:val="00B64810"/>
    <w:rsid w:val="00B669EA"/>
    <w:rsid w:val="00B671C5"/>
    <w:rsid w:val="00B675FD"/>
    <w:rsid w:val="00B7011B"/>
    <w:rsid w:val="00B704F4"/>
    <w:rsid w:val="00B723F2"/>
    <w:rsid w:val="00B7398B"/>
    <w:rsid w:val="00B74FCF"/>
    <w:rsid w:val="00B7571C"/>
    <w:rsid w:val="00B757AD"/>
    <w:rsid w:val="00B761F8"/>
    <w:rsid w:val="00B763B0"/>
    <w:rsid w:val="00B7743B"/>
    <w:rsid w:val="00B77D14"/>
    <w:rsid w:val="00B81562"/>
    <w:rsid w:val="00B8287C"/>
    <w:rsid w:val="00B84C5F"/>
    <w:rsid w:val="00B84EA5"/>
    <w:rsid w:val="00B85383"/>
    <w:rsid w:val="00B86300"/>
    <w:rsid w:val="00B87052"/>
    <w:rsid w:val="00B87DEF"/>
    <w:rsid w:val="00B908A9"/>
    <w:rsid w:val="00B913EC"/>
    <w:rsid w:val="00B92447"/>
    <w:rsid w:val="00B93B26"/>
    <w:rsid w:val="00B940E1"/>
    <w:rsid w:val="00B94301"/>
    <w:rsid w:val="00B94AA3"/>
    <w:rsid w:val="00B94D95"/>
    <w:rsid w:val="00B95A04"/>
    <w:rsid w:val="00B9770A"/>
    <w:rsid w:val="00BA0469"/>
    <w:rsid w:val="00BA2348"/>
    <w:rsid w:val="00BA270E"/>
    <w:rsid w:val="00BA31EB"/>
    <w:rsid w:val="00BA3AA7"/>
    <w:rsid w:val="00BA6354"/>
    <w:rsid w:val="00BA6C02"/>
    <w:rsid w:val="00BB115A"/>
    <w:rsid w:val="00BB12F7"/>
    <w:rsid w:val="00BB1BE1"/>
    <w:rsid w:val="00BB1E60"/>
    <w:rsid w:val="00BB5A27"/>
    <w:rsid w:val="00BB5F28"/>
    <w:rsid w:val="00BC09A6"/>
    <w:rsid w:val="00BC1F74"/>
    <w:rsid w:val="00BC2B58"/>
    <w:rsid w:val="00BC2E0D"/>
    <w:rsid w:val="00BC4C09"/>
    <w:rsid w:val="00BC52B8"/>
    <w:rsid w:val="00BC5449"/>
    <w:rsid w:val="00BC5A75"/>
    <w:rsid w:val="00BC5BEC"/>
    <w:rsid w:val="00BC5E76"/>
    <w:rsid w:val="00BC6528"/>
    <w:rsid w:val="00BC6B9D"/>
    <w:rsid w:val="00BC7882"/>
    <w:rsid w:val="00BD5761"/>
    <w:rsid w:val="00BD743E"/>
    <w:rsid w:val="00BD7D57"/>
    <w:rsid w:val="00BE0046"/>
    <w:rsid w:val="00BE123A"/>
    <w:rsid w:val="00BE202D"/>
    <w:rsid w:val="00BE509B"/>
    <w:rsid w:val="00BE52C9"/>
    <w:rsid w:val="00BE5B28"/>
    <w:rsid w:val="00BE5CD5"/>
    <w:rsid w:val="00BE68EF"/>
    <w:rsid w:val="00BE6B55"/>
    <w:rsid w:val="00BE7E9C"/>
    <w:rsid w:val="00BF0314"/>
    <w:rsid w:val="00BF0ABA"/>
    <w:rsid w:val="00BF18C7"/>
    <w:rsid w:val="00BF1CF4"/>
    <w:rsid w:val="00BF4C4A"/>
    <w:rsid w:val="00BF581D"/>
    <w:rsid w:val="00BF6382"/>
    <w:rsid w:val="00C043DB"/>
    <w:rsid w:val="00C04C96"/>
    <w:rsid w:val="00C0598C"/>
    <w:rsid w:val="00C0630C"/>
    <w:rsid w:val="00C0654E"/>
    <w:rsid w:val="00C10558"/>
    <w:rsid w:val="00C1197C"/>
    <w:rsid w:val="00C143D6"/>
    <w:rsid w:val="00C1637A"/>
    <w:rsid w:val="00C174DB"/>
    <w:rsid w:val="00C178E3"/>
    <w:rsid w:val="00C20A53"/>
    <w:rsid w:val="00C21477"/>
    <w:rsid w:val="00C217B7"/>
    <w:rsid w:val="00C23192"/>
    <w:rsid w:val="00C24A54"/>
    <w:rsid w:val="00C25363"/>
    <w:rsid w:val="00C2732B"/>
    <w:rsid w:val="00C31C0C"/>
    <w:rsid w:val="00C3260F"/>
    <w:rsid w:val="00C3263B"/>
    <w:rsid w:val="00C32803"/>
    <w:rsid w:val="00C334E3"/>
    <w:rsid w:val="00C33A9A"/>
    <w:rsid w:val="00C36D2F"/>
    <w:rsid w:val="00C37A63"/>
    <w:rsid w:val="00C40E16"/>
    <w:rsid w:val="00C416A7"/>
    <w:rsid w:val="00C45143"/>
    <w:rsid w:val="00C452F7"/>
    <w:rsid w:val="00C45547"/>
    <w:rsid w:val="00C468A4"/>
    <w:rsid w:val="00C47212"/>
    <w:rsid w:val="00C47CD6"/>
    <w:rsid w:val="00C5058F"/>
    <w:rsid w:val="00C50654"/>
    <w:rsid w:val="00C506C0"/>
    <w:rsid w:val="00C5244C"/>
    <w:rsid w:val="00C524EC"/>
    <w:rsid w:val="00C52E84"/>
    <w:rsid w:val="00C539F5"/>
    <w:rsid w:val="00C54257"/>
    <w:rsid w:val="00C55A24"/>
    <w:rsid w:val="00C56071"/>
    <w:rsid w:val="00C56467"/>
    <w:rsid w:val="00C56A15"/>
    <w:rsid w:val="00C574A3"/>
    <w:rsid w:val="00C61913"/>
    <w:rsid w:val="00C63989"/>
    <w:rsid w:val="00C646BB"/>
    <w:rsid w:val="00C662CB"/>
    <w:rsid w:val="00C70794"/>
    <w:rsid w:val="00C730CB"/>
    <w:rsid w:val="00C75236"/>
    <w:rsid w:val="00C752BA"/>
    <w:rsid w:val="00C81F2A"/>
    <w:rsid w:val="00C829E9"/>
    <w:rsid w:val="00C82A20"/>
    <w:rsid w:val="00C842E5"/>
    <w:rsid w:val="00C84B01"/>
    <w:rsid w:val="00C87A8C"/>
    <w:rsid w:val="00C87E43"/>
    <w:rsid w:val="00C90523"/>
    <w:rsid w:val="00C90B77"/>
    <w:rsid w:val="00C90B92"/>
    <w:rsid w:val="00C95388"/>
    <w:rsid w:val="00C96A17"/>
    <w:rsid w:val="00CA0004"/>
    <w:rsid w:val="00CA0286"/>
    <w:rsid w:val="00CA3654"/>
    <w:rsid w:val="00CA4744"/>
    <w:rsid w:val="00CA4F86"/>
    <w:rsid w:val="00CA6AF1"/>
    <w:rsid w:val="00CB1E5F"/>
    <w:rsid w:val="00CB2C36"/>
    <w:rsid w:val="00CB2E56"/>
    <w:rsid w:val="00CB35CF"/>
    <w:rsid w:val="00CB3FAE"/>
    <w:rsid w:val="00CB5EB9"/>
    <w:rsid w:val="00CB7230"/>
    <w:rsid w:val="00CC0330"/>
    <w:rsid w:val="00CC1DE0"/>
    <w:rsid w:val="00CC3C1B"/>
    <w:rsid w:val="00CC40C2"/>
    <w:rsid w:val="00CC5E01"/>
    <w:rsid w:val="00CC757C"/>
    <w:rsid w:val="00CC7E82"/>
    <w:rsid w:val="00CD02B2"/>
    <w:rsid w:val="00CD0C2F"/>
    <w:rsid w:val="00CD0C8D"/>
    <w:rsid w:val="00CD0D9F"/>
    <w:rsid w:val="00CD2062"/>
    <w:rsid w:val="00CD2FFA"/>
    <w:rsid w:val="00CD364C"/>
    <w:rsid w:val="00CD3920"/>
    <w:rsid w:val="00CD3A26"/>
    <w:rsid w:val="00CD40D6"/>
    <w:rsid w:val="00CD6F25"/>
    <w:rsid w:val="00CE0AA9"/>
    <w:rsid w:val="00CE2840"/>
    <w:rsid w:val="00CE4864"/>
    <w:rsid w:val="00CE5D3F"/>
    <w:rsid w:val="00CE5DEC"/>
    <w:rsid w:val="00CE7DA2"/>
    <w:rsid w:val="00CF040D"/>
    <w:rsid w:val="00CF0576"/>
    <w:rsid w:val="00CF5893"/>
    <w:rsid w:val="00D00B5B"/>
    <w:rsid w:val="00D036CF"/>
    <w:rsid w:val="00D03802"/>
    <w:rsid w:val="00D0627B"/>
    <w:rsid w:val="00D0695B"/>
    <w:rsid w:val="00D07B1A"/>
    <w:rsid w:val="00D104BC"/>
    <w:rsid w:val="00D11EF0"/>
    <w:rsid w:val="00D126C8"/>
    <w:rsid w:val="00D13384"/>
    <w:rsid w:val="00D2026A"/>
    <w:rsid w:val="00D22C13"/>
    <w:rsid w:val="00D22D1D"/>
    <w:rsid w:val="00D22D74"/>
    <w:rsid w:val="00D239C0"/>
    <w:rsid w:val="00D23B39"/>
    <w:rsid w:val="00D242FC"/>
    <w:rsid w:val="00D243C0"/>
    <w:rsid w:val="00D24F72"/>
    <w:rsid w:val="00D251BF"/>
    <w:rsid w:val="00D259BD"/>
    <w:rsid w:val="00D26DE5"/>
    <w:rsid w:val="00D26EF5"/>
    <w:rsid w:val="00D27ADB"/>
    <w:rsid w:val="00D306A1"/>
    <w:rsid w:val="00D30BDA"/>
    <w:rsid w:val="00D30F54"/>
    <w:rsid w:val="00D32DAD"/>
    <w:rsid w:val="00D34284"/>
    <w:rsid w:val="00D342A2"/>
    <w:rsid w:val="00D347E8"/>
    <w:rsid w:val="00D3522B"/>
    <w:rsid w:val="00D360E3"/>
    <w:rsid w:val="00D36259"/>
    <w:rsid w:val="00D36422"/>
    <w:rsid w:val="00D368D9"/>
    <w:rsid w:val="00D37B03"/>
    <w:rsid w:val="00D42AEB"/>
    <w:rsid w:val="00D43149"/>
    <w:rsid w:val="00D43E06"/>
    <w:rsid w:val="00D44E05"/>
    <w:rsid w:val="00D45011"/>
    <w:rsid w:val="00D501C3"/>
    <w:rsid w:val="00D506EF"/>
    <w:rsid w:val="00D52AD0"/>
    <w:rsid w:val="00D53544"/>
    <w:rsid w:val="00D53985"/>
    <w:rsid w:val="00D53B05"/>
    <w:rsid w:val="00D53F41"/>
    <w:rsid w:val="00D5459B"/>
    <w:rsid w:val="00D547EE"/>
    <w:rsid w:val="00D549F2"/>
    <w:rsid w:val="00D55956"/>
    <w:rsid w:val="00D56207"/>
    <w:rsid w:val="00D56421"/>
    <w:rsid w:val="00D57574"/>
    <w:rsid w:val="00D57B82"/>
    <w:rsid w:val="00D57BA1"/>
    <w:rsid w:val="00D60242"/>
    <w:rsid w:val="00D619B7"/>
    <w:rsid w:val="00D625B8"/>
    <w:rsid w:val="00D65D62"/>
    <w:rsid w:val="00D65F13"/>
    <w:rsid w:val="00D669A7"/>
    <w:rsid w:val="00D673A4"/>
    <w:rsid w:val="00D679C1"/>
    <w:rsid w:val="00D713D2"/>
    <w:rsid w:val="00D7204C"/>
    <w:rsid w:val="00D73135"/>
    <w:rsid w:val="00D74350"/>
    <w:rsid w:val="00D75A11"/>
    <w:rsid w:val="00D76A1E"/>
    <w:rsid w:val="00D76D47"/>
    <w:rsid w:val="00D800C9"/>
    <w:rsid w:val="00D81C99"/>
    <w:rsid w:val="00D83235"/>
    <w:rsid w:val="00D833B4"/>
    <w:rsid w:val="00D8448B"/>
    <w:rsid w:val="00D8475F"/>
    <w:rsid w:val="00D863EA"/>
    <w:rsid w:val="00D91647"/>
    <w:rsid w:val="00D916C6"/>
    <w:rsid w:val="00D9200C"/>
    <w:rsid w:val="00D9259B"/>
    <w:rsid w:val="00D936B4"/>
    <w:rsid w:val="00D94CC1"/>
    <w:rsid w:val="00D95A41"/>
    <w:rsid w:val="00D96A32"/>
    <w:rsid w:val="00D96ED0"/>
    <w:rsid w:val="00D97674"/>
    <w:rsid w:val="00DA1D08"/>
    <w:rsid w:val="00DA40AE"/>
    <w:rsid w:val="00DA6C8F"/>
    <w:rsid w:val="00DA6F30"/>
    <w:rsid w:val="00DA76C8"/>
    <w:rsid w:val="00DB00A5"/>
    <w:rsid w:val="00DB1D35"/>
    <w:rsid w:val="00DB25CC"/>
    <w:rsid w:val="00DB3216"/>
    <w:rsid w:val="00DB39A4"/>
    <w:rsid w:val="00DB6689"/>
    <w:rsid w:val="00DB6FAB"/>
    <w:rsid w:val="00DB7480"/>
    <w:rsid w:val="00DC291A"/>
    <w:rsid w:val="00DC31CC"/>
    <w:rsid w:val="00DC357F"/>
    <w:rsid w:val="00DC6BEC"/>
    <w:rsid w:val="00DD034E"/>
    <w:rsid w:val="00DD3767"/>
    <w:rsid w:val="00DD6605"/>
    <w:rsid w:val="00DE47A0"/>
    <w:rsid w:val="00DE5932"/>
    <w:rsid w:val="00DF0088"/>
    <w:rsid w:val="00DF1BEC"/>
    <w:rsid w:val="00DF1D2A"/>
    <w:rsid w:val="00DF447C"/>
    <w:rsid w:val="00DF4E84"/>
    <w:rsid w:val="00DF52CC"/>
    <w:rsid w:val="00DF63A5"/>
    <w:rsid w:val="00DF70EF"/>
    <w:rsid w:val="00DF72E3"/>
    <w:rsid w:val="00DF77C7"/>
    <w:rsid w:val="00E00F59"/>
    <w:rsid w:val="00E04366"/>
    <w:rsid w:val="00E05288"/>
    <w:rsid w:val="00E05B77"/>
    <w:rsid w:val="00E07310"/>
    <w:rsid w:val="00E07331"/>
    <w:rsid w:val="00E1012A"/>
    <w:rsid w:val="00E1074F"/>
    <w:rsid w:val="00E128E5"/>
    <w:rsid w:val="00E129BF"/>
    <w:rsid w:val="00E155EE"/>
    <w:rsid w:val="00E172EF"/>
    <w:rsid w:val="00E17477"/>
    <w:rsid w:val="00E17613"/>
    <w:rsid w:val="00E23DED"/>
    <w:rsid w:val="00E252FA"/>
    <w:rsid w:val="00E267A5"/>
    <w:rsid w:val="00E2693F"/>
    <w:rsid w:val="00E31A76"/>
    <w:rsid w:val="00E323BB"/>
    <w:rsid w:val="00E349DA"/>
    <w:rsid w:val="00E35354"/>
    <w:rsid w:val="00E35BA2"/>
    <w:rsid w:val="00E36DB5"/>
    <w:rsid w:val="00E370F4"/>
    <w:rsid w:val="00E4172B"/>
    <w:rsid w:val="00E440DA"/>
    <w:rsid w:val="00E44B27"/>
    <w:rsid w:val="00E452AB"/>
    <w:rsid w:val="00E46AD9"/>
    <w:rsid w:val="00E50925"/>
    <w:rsid w:val="00E51480"/>
    <w:rsid w:val="00E516E2"/>
    <w:rsid w:val="00E54DC1"/>
    <w:rsid w:val="00E55C39"/>
    <w:rsid w:val="00E564E2"/>
    <w:rsid w:val="00E56CBB"/>
    <w:rsid w:val="00E57263"/>
    <w:rsid w:val="00E61093"/>
    <w:rsid w:val="00E62631"/>
    <w:rsid w:val="00E64B2E"/>
    <w:rsid w:val="00E65247"/>
    <w:rsid w:val="00E65287"/>
    <w:rsid w:val="00E65C89"/>
    <w:rsid w:val="00E6604E"/>
    <w:rsid w:val="00E7325E"/>
    <w:rsid w:val="00E73BBB"/>
    <w:rsid w:val="00E73BE8"/>
    <w:rsid w:val="00E74E1A"/>
    <w:rsid w:val="00E752DE"/>
    <w:rsid w:val="00E75542"/>
    <w:rsid w:val="00E76DD4"/>
    <w:rsid w:val="00E77966"/>
    <w:rsid w:val="00E801FE"/>
    <w:rsid w:val="00E8276A"/>
    <w:rsid w:val="00E8332F"/>
    <w:rsid w:val="00E8486B"/>
    <w:rsid w:val="00E87C68"/>
    <w:rsid w:val="00E90801"/>
    <w:rsid w:val="00E92F6B"/>
    <w:rsid w:val="00E93BBA"/>
    <w:rsid w:val="00E976C2"/>
    <w:rsid w:val="00E97FEA"/>
    <w:rsid w:val="00EA0B9A"/>
    <w:rsid w:val="00EA17B2"/>
    <w:rsid w:val="00EA2A67"/>
    <w:rsid w:val="00EA2B5F"/>
    <w:rsid w:val="00EA2C4D"/>
    <w:rsid w:val="00EA4520"/>
    <w:rsid w:val="00EB1B90"/>
    <w:rsid w:val="00EB2D1C"/>
    <w:rsid w:val="00EB35FB"/>
    <w:rsid w:val="00EB4088"/>
    <w:rsid w:val="00EB4721"/>
    <w:rsid w:val="00EB55FB"/>
    <w:rsid w:val="00EB5686"/>
    <w:rsid w:val="00EC086D"/>
    <w:rsid w:val="00EC2518"/>
    <w:rsid w:val="00EC2B4A"/>
    <w:rsid w:val="00EC6381"/>
    <w:rsid w:val="00EC6AD3"/>
    <w:rsid w:val="00EC736B"/>
    <w:rsid w:val="00EC76EB"/>
    <w:rsid w:val="00ED02C4"/>
    <w:rsid w:val="00ED1BBF"/>
    <w:rsid w:val="00ED495B"/>
    <w:rsid w:val="00ED61B7"/>
    <w:rsid w:val="00ED6837"/>
    <w:rsid w:val="00ED7EE8"/>
    <w:rsid w:val="00EE19E1"/>
    <w:rsid w:val="00EE3179"/>
    <w:rsid w:val="00EE4A25"/>
    <w:rsid w:val="00EE5586"/>
    <w:rsid w:val="00EF277D"/>
    <w:rsid w:val="00EF2D6D"/>
    <w:rsid w:val="00EF357F"/>
    <w:rsid w:val="00EF5A2A"/>
    <w:rsid w:val="00EF71FC"/>
    <w:rsid w:val="00EF7F92"/>
    <w:rsid w:val="00F00A1F"/>
    <w:rsid w:val="00F01230"/>
    <w:rsid w:val="00F04EC4"/>
    <w:rsid w:val="00F06AE7"/>
    <w:rsid w:val="00F10C06"/>
    <w:rsid w:val="00F11CC4"/>
    <w:rsid w:val="00F12389"/>
    <w:rsid w:val="00F1373B"/>
    <w:rsid w:val="00F143D1"/>
    <w:rsid w:val="00F1532E"/>
    <w:rsid w:val="00F155EE"/>
    <w:rsid w:val="00F15C7F"/>
    <w:rsid w:val="00F16DCA"/>
    <w:rsid w:val="00F17868"/>
    <w:rsid w:val="00F2204B"/>
    <w:rsid w:val="00F22E41"/>
    <w:rsid w:val="00F23D05"/>
    <w:rsid w:val="00F24825"/>
    <w:rsid w:val="00F25C58"/>
    <w:rsid w:val="00F2629F"/>
    <w:rsid w:val="00F264ED"/>
    <w:rsid w:val="00F30862"/>
    <w:rsid w:val="00F310F6"/>
    <w:rsid w:val="00F329EA"/>
    <w:rsid w:val="00F332A8"/>
    <w:rsid w:val="00F33732"/>
    <w:rsid w:val="00F33825"/>
    <w:rsid w:val="00F3553E"/>
    <w:rsid w:val="00F357E6"/>
    <w:rsid w:val="00F3585E"/>
    <w:rsid w:val="00F3735D"/>
    <w:rsid w:val="00F37AD2"/>
    <w:rsid w:val="00F37B71"/>
    <w:rsid w:val="00F37EBB"/>
    <w:rsid w:val="00F40513"/>
    <w:rsid w:val="00F40BFE"/>
    <w:rsid w:val="00F41ADE"/>
    <w:rsid w:val="00F41CB4"/>
    <w:rsid w:val="00F4598A"/>
    <w:rsid w:val="00F50627"/>
    <w:rsid w:val="00F51A8B"/>
    <w:rsid w:val="00F51D26"/>
    <w:rsid w:val="00F522A1"/>
    <w:rsid w:val="00F52E11"/>
    <w:rsid w:val="00F53214"/>
    <w:rsid w:val="00F5400A"/>
    <w:rsid w:val="00F54079"/>
    <w:rsid w:val="00F54B57"/>
    <w:rsid w:val="00F550FF"/>
    <w:rsid w:val="00F55A0C"/>
    <w:rsid w:val="00F56252"/>
    <w:rsid w:val="00F5691A"/>
    <w:rsid w:val="00F57FA3"/>
    <w:rsid w:val="00F61E33"/>
    <w:rsid w:val="00F6272C"/>
    <w:rsid w:val="00F63164"/>
    <w:rsid w:val="00F6474B"/>
    <w:rsid w:val="00F65A2A"/>
    <w:rsid w:val="00F66FCC"/>
    <w:rsid w:val="00F70CA3"/>
    <w:rsid w:val="00F723B0"/>
    <w:rsid w:val="00F72B57"/>
    <w:rsid w:val="00F72E8E"/>
    <w:rsid w:val="00F73087"/>
    <w:rsid w:val="00F759B2"/>
    <w:rsid w:val="00F7629C"/>
    <w:rsid w:val="00F81C6E"/>
    <w:rsid w:val="00F82BA9"/>
    <w:rsid w:val="00F82DA1"/>
    <w:rsid w:val="00F84500"/>
    <w:rsid w:val="00F846E7"/>
    <w:rsid w:val="00F85DDD"/>
    <w:rsid w:val="00F86497"/>
    <w:rsid w:val="00F86E05"/>
    <w:rsid w:val="00F8794A"/>
    <w:rsid w:val="00F907BE"/>
    <w:rsid w:val="00F92844"/>
    <w:rsid w:val="00F95397"/>
    <w:rsid w:val="00F955F7"/>
    <w:rsid w:val="00FA06F5"/>
    <w:rsid w:val="00FA1475"/>
    <w:rsid w:val="00FA15A7"/>
    <w:rsid w:val="00FA2B7C"/>
    <w:rsid w:val="00FA3318"/>
    <w:rsid w:val="00FA5085"/>
    <w:rsid w:val="00FA7CFC"/>
    <w:rsid w:val="00FB17EE"/>
    <w:rsid w:val="00FB1F82"/>
    <w:rsid w:val="00FB37C4"/>
    <w:rsid w:val="00FB6F1B"/>
    <w:rsid w:val="00FC10C9"/>
    <w:rsid w:val="00FC11C7"/>
    <w:rsid w:val="00FC189F"/>
    <w:rsid w:val="00FC2690"/>
    <w:rsid w:val="00FC27A2"/>
    <w:rsid w:val="00FC4959"/>
    <w:rsid w:val="00FC6CBA"/>
    <w:rsid w:val="00FC6DAB"/>
    <w:rsid w:val="00FC761A"/>
    <w:rsid w:val="00FD0067"/>
    <w:rsid w:val="00FD154E"/>
    <w:rsid w:val="00FD1C19"/>
    <w:rsid w:val="00FD23BC"/>
    <w:rsid w:val="00FD406A"/>
    <w:rsid w:val="00FE072C"/>
    <w:rsid w:val="00FE3D04"/>
    <w:rsid w:val="00FE3E3A"/>
    <w:rsid w:val="00FE3E8B"/>
    <w:rsid w:val="00FE4CC3"/>
    <w:rsid w:val="00FE4E71"/>
    <w:rsid w:val="00FE62CC"/>
    <w:rsid w:val="00FE70BF"/>
    <w:rsid w:val="00FE7CF7"/>
    <w:rsid w:val="00FE7DE4"/>
    <w:rsid w:val="00FF2FB0"/>
    <w:rsid w:val="00FF3D24"/>
    <w:rsid w:val="012D6436"/>
    <w:rsid w:val="014C58B5"/>
    <w:rsid w:val="021C5695"/>
    <w:rsid w:val="02A97FD3"/>
    <w:rsid w:val="030E7E36"/>
    <w:rsid w:val="03BB387C"/>
    <w:rsid w:val="045126D0"/>
    <w:rsid w:val="045314B7"/>
    <w:rsid w:val="0571204D"/>
    <w:rsid w:val="05B9677F"/>
    <w:rsid w:val="05EC08CD"/>
    <w:rsid w:val="07D8184F"/>
    <w:rsid w:val="0803554B"/>
    <w:rsid w:val="08103959"/>
    <w:rsid w:val="08360AB5"/>
    <w:rsid w:val="085B32C4"/>
    <w:rsid w:val="09023F99"/>
    <w:rsid w:val="09A54891"/>
    <w:rsid w:val="09E2331F"/>
    <w:rsid w:val="0AC35D27"/>
    <w:rsid w:val="0AE47E6C"/>
    <w:rsid w:val="0AFA1529"/>
    <w:rsid w:val="0B1624D6"/>
    <w:rsid w:val="0B29001D"/>
    <w:rsid w:val="0BE9376E"/>
    <w:rsid w:val="0C8353F1"/>
    <w:rsid w:val="0DCF4C87"/>
    <w:rsid w:val="0DFC545B"/>
    <w:rsid w:val="0FDF6DE2"/>
    <w:rsid w:val="10436B11"/>
    <w:rsid w:val="10524B2B"/>
    <w:rsid w:val="108A1EDB"/>
    <w:rsid w:val="108D4A90"/>
    <w:rsid w:val="110935DE"/>
    <w:rsid w:val="129C720C"/>
    <w:rsid w:val="134A0A16"/>
    <w:rsid w:val="138C049E"/>
    <w:rsid w:val="139B74C4"/>
    <w:rsid w:val="146B69BE"/>
    <w:rsid w:val="151412DC"/>
    <w:rsid w:val="1573694A"/>
    <w:rsid w:val="15774525"/>
    <w:rsid w:val="164630D6"/>
    <w:rsid w:val="16880D0E"/>
    <w:rsid w:val="17011A16"/>
    <w:rsid w:val="1870571C"/>
    <w:rsid w:val="18A312F5"/>
    <w:rsid w:val="19193365"/>
    <w:rsid w:val="1AB91016"/>
    <w:rsid w:val="1AF06AD8"/>
    <w:rsid w:val="1B7B0307"/>
    <w:rsid w:val="1BA535D6"/>
    <w:rsid w:val="1BC05F4E"/>
    <w:rsid w:val="1BE111D0"/>
    <w:rsid w:val="1C3B5CE8"/>
    <w:rsid w:val="1C6041E8"/>
    <w:rsid w:val="1C686977"/>
    <w:rsid w:val="1CBF06C7"/>
    <w:rsid w:val="1D5E3A3C"/>
    <w:rsid w:val="1D7B31AC"/>
    <w:rsid w:val="1DC26DD5"/>
    <w:rsid w:val="1DDF56EF"/>
    <w:rsid w:val="1E1E4F79"/>
    <w:rsid w:val="1EBC3110"/>
    <w:rsid w:val="205B0CB0"/>
    <w:rsid w:val="20FD17BE"/>
    <w:rsid w:val="21621621"/>
    <w:rsid w:val="21B26104"/>
    <w:rsid w:val="22297BC6"/>
    <w:rsid w:val="2237485C"/>
    <w:rsid w:val="227B299A"/>
    <w:rsid w:val="22B107C8"/>
    <w:rsid w:val="22FB207E"/>
    <w:rsid w:val="23056F63"/>
    <w:rsid w:val="230E3CCA"/>
    <w:rsid w:val="23E7368B"/>
    <w:rsid w:val="2513335E"/>
    <w:rsid w:val="25854AE0"/>
    <w:rsid w:val="2656755F"/>
    <w:rsid w:val="27097897"/>
    <w:rsid w:val="27A9477F"/>
    <w:rsid w:val="289A78F2"/>
    <w:rsid w:val="292B5012"/>
    <w:rsid w:val="29C02C6A"/>
    <w:rsid w:val="29C433D9"/>
    <w:rsid w:val="29FA2DA4"/>
    <w:rsid w:val="2C167BD8"/>
    <w:rsid w:val="2C6721E1"/>
    <w:rsid w:val="2CEB4BC0"/>
    <w:rsid w:val="2D3C3A3C"/>
    <w:rsid w:val="2D576A6E"/>
    <w:rsid w:val="2E0979F4"/>
    <w:rsid w:val="2E5A7CED"/>
    <w:rsid w:val="312328AA"/>
    <w:rsid w:val="32960BE1"/>
    <w:rsid w:val="32D91073"/>
    <w:rsid w:val="337E5285"/>
    <w:rsid w:val="35082477"/>
    <w:rsid w:val="355D23D3"/>
    <w:rsid w:val="3588697A"/>
    <w:rsid w:val="35FA2226"/>
    <w:rsid w:val="36173AC3"/>
    <w:rsid w:val="36197B5F"/>
    <w:rsid w:val="36C344B8"/>
    <w:rsid w:val="36E83C36"/>
    <w:rsid w:val="36FE0A3B"/>
    <w:rsid w:val="375749EC"/>
    <w:rsid w:val="37A8196E"/>
    <w:rsid w:val="37F963E3"/>
    <w:rsid w:val="386D0B7F"/>
    <w:rsid w:val="38E50096"/>
    <w:rsid w:val="393425E2"/>
    <w:rsid w:val="397734C3"/>
    <w:rsid w:val="39AB076F"/>
    <w:rsid w:val="39E33F02"/>
    <w:rsid w:val="3A127C9F"/>
    <w:rsid w:val="3A1B07CE"/>
    <w:rsid w:val="3A91262F"/>
    <w:rsid w:val="3B0A49C1"/>
    <w:rsid w:val="3B18719D"/>
    <w:rsid w:val="3B607147"/>
    <w:rsid w:val="3B684034"/>
    <w:rsid w:val="3C4D69CD"/>
    <w:rsid w:val="3D655158"/>
    <w:rsid w:val="3DCE200B"/>
    <w:rsid w:val="3E6F4BF4"/>
    <w:rsid w:val="3EAD1CD6"/>
    <w:rsid w:val="40640C20"/>
    <w:rsid w:val="409C0254"/>
    <w:rsid w:val="4144534F"/>
    <w:rsid w:val="41D63C39"/>
    <w:rsid w:val="4278084D"/>
    <w:rsid w:val="42DC7A74"/>
    <w:rsid w:val="43173B8D"/>
    <w:rsid w:val="43CC7365"/>
    <w:rsid w:val="455909D5"/>
    <w:rsid w:val="45D73CB5"/>
    <w:rsid w:val="45FF1C64"/>
    <w:rsid w:val="47266AC9"/>
    <w:rsid w:val="477D64E7"/>
    <w:rsid w:val="47A64E15"/>
    <w:rsid w:val="48C52E12"/>
    <w:rsid w:val="49493CCA"/>
    <w:rsid w:val="495F187B"/>
    <w:rsid w:val="499F2B63"/>
    <w:rsid w:val="4B293981"/>
    <w:rsid w:val="4C196BFC"/>
    <w:rsid w:val="4C1B2975"/>
    <w:rsid w:val="4C1E2197"/>
    <w:rsid w:val="4C2B6930"/>
    <w:rsid w:val="4CAD5F7E"/>
    <w:rsid w:val="4CE80D18"/>
    <w:rsid w:val="4D9DA40B"/>
    <w:rsid w:val="4DD0778F"/>
    <w:rsid w:val="4E575589"/>
    <w:rsid w:val="4E86432B"/>
    <w:rsid w:val="4EAB33B6"/>
    <w:rsid w:val="4F5B3266"/>
    <w:rsid w:val="4F900206"/>
    <w:rsid w:val="505A32A9"/>
    <w:rsid w:val="523F4EE3"/>
    <w:rsid w:val="527C1C93"/>
    <w:rsid w:val="53735423"/>
    <w:rsid w:val="53A55802"/>
    <w:rsid w:val="540B1521"/>
    <w:rsid w:val="54285107"/>
    <w:rsid w:val="542D4C84"/>
    <w:rsid w:val="54FE58EB"/>
    <w:rsid w:val="54FE72D7"/>
    <w:rsid w:val="55144405"/>
    <w:rsid w:val="5529197E"/>
    <w:rsid w:val="5555040B"/>
    <w:rsid w:val="555765CB"/>
    <w:rsid w:val="55BF723A"/>
    <w:rsid w:val="56A812A9"/>
    <w:rsid w:val="56CB1BE1"/>
    <w:rsid w:val="56E57898"/>
    <w:rsid w:val="57AF48B9"/>
    <w:rsid w:val="57FD5624"/>
    <w:rsid w:val="589D11EE"/>
    <w:rsid w:val="595458C4"/>
    <w:rsid w:val="599B3347"/>
    <w:rsid w:val="59BA2737"/>
    <w:rsid w:val="5AA73D1B"/>
    <w:rsid w:val="5AB13274"/>
    <w:rsid w:val="5B8F4FC4"/>
    <w:rsid w:val="5C38085E"/>
    <w:rsid w:val="5C581B0A"/>
    <w:rsid w:val="5C8852FD"/>
    <w:rsid w:val="5CBA7F88"/>
    <w:rsid w:val="5D981714"/>
    <w:rsid w:val="5E602469"/>
    <w:rsid w:val="5E8F0339"/>
    <w:rsid w:val="5FB76A00"/>
    <w:rsid w:val="5FC94540"/>
    <w:rsid w:val="5FE53755"/>
    <w:rsid w:val="5FFE462F"/>
    <w:rsid w:val="6008529F"/>
    <w:rsid w:val="605B3EE6"/>
    <w:rsid w:val="60940303"/>
    <w:rsid w:val="60CE5F07"/>
    <w:rsid w:val="61824AA7"/>
    <w:rsid w:val="61DB440C"/>
    <w:rsid w:val="63B778DB"/>
    <w:rsid w:val="63DC0F5F"/>
    <w:rsid w:val="64104931"/>
    <w:rsid w:val="644F0FB6"/>
    <w:rsid w:val="64557E1E"/>
    <w:rsid w:val="648245C9"/>
    <w:rsid w:val="652C75BB"/>
    <w:rsid w:val="659A12B7"/>
    <w:rsid w:val="65ED0229"/>
    <w:rsid w:val="67CB129B"/>
    <w:rsid w:val="67F8646C"/>
    <w:rsid w:val="68012F0F"/>
    <w:rsid w:val="68106CAE"/>
    <w:rsid w:val="68C33E26"/>
    <w:rsid w:val="69A449DB"/>
    <w:rsid w:val="6A1A77C4"/>
    <w:rsid w:val="6AAB6026"/>
    <w:rsid w:val="6BDC3406"/>
    <w:rsid w:val="6BF66D6A"/>
    <w:rsid w:val="6CE435B7"/>
    <w:rsid w:val="6E26435E"/>
    <w:rsid w:val="6FB9CAA3"/>
    <w:rsid w:val="703AFAAF"/>
    <w:rsid w:val="70C34935"/>
    <w:rsid w:val="714315ED"/>
    <w:rsid w:val="71EF6066"/>
    <w:rsid w:val="729579A8"/>
    <w:rsid w:val="73FB0B84"/>
    <w:rsid w:val="74DA7E6E"/>
    <w:rsid w:val="74DD668D"/>
    <w:rsid w:val="75357D54"/>
    <w:rsid w:val="76560080"/>
    <w:rsid w:val="77DF009F"/>
    <w:rsid w:val="78B11FD2"/>
    <w:rsid w:val="79093B1D"/>
    <w:rsid w:val="794C38BE"/>
    <w:rsid w:val="7AFD1314"/>
    <w:rsid w:val="7B5B428C"/>
    <w:rsid w:val="7C635AEE"/>
    <w:rsid w:val="7C8C0083"/>
    <w:rsid w:val="7CB3A003"/>
    <w:rsid w:val="7CB65C1E"/>
    <w:rsid w:val="7CC85951"/>
    <w:rsid w:val="7D651081"/>
    <w:rsid w:val="7DF87ECD"/>
    <w:rsid w:val="7EC54E61"/>
    <w:rsid w:val="7F7AC36A"/>
    <w:rsid w:val="7F802513"/>
    <w:rsid w:val="7F95726A"/>
    <w:rsid w:val="8ECCA53D"/>
    <w:rsid w:val="EBE5F8A4"/>
    <w:rsid w:val="F7DDC7D9"/>
    <w:rsid w:val="FFF9BD68"/>
    <w:rsid w:val="FFFEE5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qFormat="1" w:uiPriority="99" w:semiHidden="0" w:name="index 1"/>
    <w:lsdException w:qFormat="1" w:uiPriority="99" w:semiHidden="0" w:name="index 2"/>
    <w:lsdException w:qFormat="1" w:uiPriority="99" w:semiHidden="0" w:name="index 3"/>
    <w:lsdException w:qFormat="1" w:uiPriority="99" w:semiHidden="0" w:name="index 4"/>
    <w:lsdException w:qFormat="1" w:uiPriority="99" w:semiHidden="0" w:name="index 5"/>
    <w:lsdException w:qFormat="1" w:uiPriority="99" w:semiHidden="0" w:name="index 6"/>
    <w:lsdException w:qFormat="1" w:uiPriority="99" w:semiHidden="0" w:name="index 7"/>
    <w:lsdException w:qFormat="1" w:uiPriority="99" w:semiHidden="0" w:name="index 8"/>
    <w:lsdException w:qFormat="1" w:uiPriority="99" w:semiHidden="0"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99" w:semiHidden="0" w:name="Normal Indent"/>
    <w:lsdException w:qFormat="1" w:uiPriority="99" w:semiHidden="0" w:name="footnote text"/>
    <w:lsdException w:qFormat="1" w:uiPriority="0" w:name="annotation text"/>
    <w:lsdException w:qFormat="1" w:uiPriority="0" w:semiHidden="0" w:name="header"/>
    <w:lsdException w:qFormat="1" w:uiPriority="99" w:semiHidden="0" w:name="footer"/>
    <w:lsdException w:qFormat="1" w:uiPriority="99" w:semiHidden="0" w:name="index heading"/>
    <w:lsdException w:qFormat="1" w:unhideWhenUsed="0" w:uiPriority="35" w:semiHidden="0" w:name="caption"/>
    <w:lsdException w:qFormat="1" w:uiPriority="99" w:semiHidden="0" w:name="table of figures"/>
    <w:lsdException w:qFormat="1" w:uiPriority="99" w:semiHidden="0" w:name="envelope address"/>
    <w:lsdException w:qFormat="1" w:uiPriority="99" w:semiHidden="0" w:name="envelope return"/>
    <w:lsdException w:qFormat="1" w:unhideWhenUsed="0" w:uiPriority="0" w:semiHidden="0" w:name="footnote reference"/>
    <w:lsdException w:qFormat="1" w:uiPriority="0" w:name="annotation reference"/>
    <w:lsdException w:uiPriority="99" w:name="line number"/>
    <w:lsdException w:qFormat="1" w:unhideWhenUsed="0" w:uiPriority="99" w:semiHidden="0" w:name="page number"/>
    <w:lsdException w:uiPriority="99" w:name="endnote reference"/>
    <w:lsdException w:qFormat="1" w:uiPriority="99" w:semiHidden="0" w:name="endnote text"/>
    <w:lsdException w:qFormat="1" w:uiPriority="99" w:semiHidden="0" w:name="table of authorities"/>
    <w:lsdException w:qFormat="1" w:uiPriority="99" w:semiHidden="0" w:name="macro"/>
    <w:lsdException w:qFormat="1" w:uiPriority="99" w:semiHidden="0" w:name="toa heading"/>
    <w:lsdException w:qFormat="1" w:uiPriority="99" w:semiHidden="0" w:name="List"/>
    <w:lsdException w:qFormat="1" w:uiPriority="99" w:semiHidden="0" w:name="List Bullet"/>
    <w:lsdException w:qFormat="1" w:uiPriority="99" w:semiHidden="0" w:name="List Number"/>
    <w:lsdException w:qFormat="1" w:uiPriority="99" w:semiHidden="0" w:name="List 2"/>
    <w:lsdException w:qFormat="1" w:uiPriority="99" w:semiHidden="0" w:name="List 3"/>
    <w:lsdException w:qFormat="1" w:uiPriority="99" w:semiHidden="0" w:name="List 4"/>
    <w:lsdException w:qFormat="1" w:unhideWhenUsed="0" w:uiPriority="0" w:semiHidden="0" w:name="List 5"/>
    <w:lsdException w:qFormat="1" w:uiPriority="99" w:semiHidden="0" w:name="List Bullet 2"/>
    <w:lsdException w:qFormat="1" w:uiPriority="99" w:semiHidden="0" w:name="List Bullet 3"/>
    <w:lsdException w:qFormat="1" w:uiPriority="99" w:semiHidden="0" w:name="List Bullet 4"/>
    <w:lsdException w:qFormat="1" w:uiPriority="99" w:semiHidden="0" w:name="List Bullet 5"/>
    <w:lsdException w:qFormat="1" w:uiPriority="99" w:semiHidden="0" w:name="List Number 2"/>
    <w:lsdException w:qFormat="1" w:uiPriority="99" w:semiHidden="0" w:name="List Number 3"/>
    <w:lsdException w:qFormat="1" w:uiPriority="99" w:semiHidden="0" w:name="List Number 4"/>
    <w:lsdException w:qFormat="1" w:uiPriority="99" w:semiHidden="0" w:name="List Number 5"/>
    <w:lsdException w:qFormat="1" w:unhideWhenUsed="0" w:uiPriority="10" w:semiHidden="0" w:name="Title"/>
    <w:lsdException w:qFormat="1" w:uiPriority="99" w:semiHidden="0" w:name="Closing"/>
    <w:lsdException w:qFormat="1" w:uiPriority="99" w:semiHidden="0" w:name="Signature"/>
    <w:lsdException w:qFormat="1" w:uiPriority="1" w:name="Default Paragraph Font"/>
    <w:lsdException w:qFormat="1" w:uiPriority="99" w:semiHidden="0" w:name="Body Text"/>
    <w:lsdException w:qFormat="1" w:unhideWhenUsed="0" w:uiPriority="0" w:semiHidden="0" w:name="Body Text Indent"/>
    <w:lsdException w:qFormat="1" w:uiPriority="99" w:semiHidden="0" w:name="List Continue"/>
    <w:lsdException w:qFormat="1" w:uiPriority="99" w:semiHidden="0" w:name="List Continue 2"/>
    <w:lsdException w:qFormat="1" w:uiPriority="99" w:semiHidden="0" w:name="List Continue 3"/>
    <w:lsdException w:qFormat="1" w:uiPriority="99" w:semiHidden="0" w:name="List Continue 4"/>
    <w:lsdException w:qFormat="1" w:uiPriority="99" w:semiHidden="0" w:name="List Continue 5"/>
    <w:lsdException w:qFormat="1" w:uiPriority="99" w:semiHidden="0" w:name="Message Header"/>
    <w:lsdException w:qFormat="1" w:unhideWhenUsed="0" w:uiPriority="11" w:semiHidden="0" w:name="Subtitle"/>
    <w:lsdException w:qFormat="1" w:uiPriority="99" w:semiHidden="0" w:name="Salutation"/>
    <w:lsdException w:qFormat="1" w:uiPriority="99" w:semiHidden="0" w:name="Date"/>
    <w:lsdException w:qFormat="1" w:uiPriority="99" w:semiHidden="0" w:name="Body Text First Indent"/>
    <w:lsdException w:qFormat="1" w:uiPriority="99" w:semiHidden="0" w:name="Body Text First Indent 2"/>
    <w:lsdException w:qFormat="1" w:uiPriority="99" w:semiHidden="0" w:name="Note Heading"/>
    <w:lsdException w:qFormat="1" w:uiPriority="99" w:semiHidden="0" w:name="Body Text 2"/>
    <w:lsdException w:qFormat="1" w:uiPriority="99" w:semiHidden="0" w:name="Body Text 3"/>
    <w:lsdException w:qFormat="1" w:uiPriority="99" w:semiHidden="0" w:name="Body Text Indent 2"/>
    <w:lsdException w:qFormat="1" w:uiPriority="99" w:semiHidden="0" w:name="Body Text Indent 3"/>
    <w:lsdException w:qFormat="1" w:uiPriority="99" w:semiHidden="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iPriority="0" w:name="Document Map"/>
    <w:lsdException w:qFormat="1" w:uiPriority="99" w:semiHidden="0" w:name="Plain Text"/>
    <w:lsdException w:qFormat="1" w:uiPriority="99" w:semiHidden="0" w:name="E-mail Signature"/>
    <w:lsdException w:qFormat="1" w:uiPriority="99" w:semiHidden="0" w:name="Normal (Web)"/>
    <w:lsdException w:uiPriority="99" w:name="HTML Acronym"/>
    <w:lsdException w:qFormat="1" w:uiPriority="99" w:semiHidden="0"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9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spacing w:line="360" w:lineRule="auto"/>
      <w:ind w:firstLine="200" w:firstLineChars="200"/>
      <w:jc w:val="both"/>
    </w:pPr>
    <w:rPr>
      <w:rFonts w:ascii="Times New Roman" w:hAnsi="Times New Roman" w:eastAsia="仿宋" w:cs="宋体"/>
      <w:sz w:val="24"/>
      <w:szCs w:val="24"/>
      <w:lang w:val="en-US" w:eastAsia="zh-CN" w:bidi="ar-SA"/>
    </w:rPr>
  </w:style>
  <w:style w:type="paragraph" w:styleId="5">
    <w:name w:val="heading 1"/>
    <w:basedOn w:val="1"/>
    <w:next w:val="1"/>
    <w:link w:val="103"/>
    <w:autoRedefine/>
    <w:qFormat/>
    <w:uiPriority w:val="0"/>
    <w:pPr>
      <w:keepNext/>
      <w:keepLines/>
      <w:numPr>
        <w:ilvl w:val="0"/>
        <w:numId w:val="1"/>
      </w:numPr>
      <w:ind w:left="0" w:firstLine="0" w:firstLineChars="0"/>
      <w:jc w:val="left"/>
      <w:outlineLvl w:val="0"/>
    </w:pPr>
    <w:rPr>
      <w:rFonts w:eastAsia="黑体"/>
      <w:b/>
      <w:bCs/>
      <w:kern w:val="44"/>
      <w:sz w:val="32"/>
      <w:szCs w:val="44"/>
    </w:rPr>
  </w:style>
  <w:style w:type="paragraph" w:styleId="6">
    <w:name w:val="heading 2"/>
    <w:basedOn w:val="5"/>
    <w:next w:val="7"/>
    <w:link w:val="106"/>
    <w:autoRedefine/>
    <w:unhideWhenUsed/>
    <w:qFormat/>
    <w:uiPriority w:val="0"/>
    <w:pPr>
      <w:numPr>
        <w:ilvl w:val="1"/>
        <w:numId w:val="0"/>
      </w:numPr>
      <w:jc w:val="center"/>
      <w:outlineLvl w:val="1"/>
    </w:pPr>
    <w:rPr>
      <w:rFonts w:eastAsia="仿宋_GB2312" w:cs="Times New Roman"/>
      <w:bCs w:val="0"/>
      <w:color w:val="FF0000"/>
      <w:szCs w:val="32"/>
    </w:rPr>
  </w:style>
  <w:style w:type="paragraph" w:styleId="7">
    <w:name w:val="heading 3"/>
    <w:basedOn w:val="6"/>
    <w:next w:val="1"/>
    <w:link w:val="107"/>
    <w:autoRedefine/>
    <w:unhideWhenUsed/>
    <w:qFormat/>
    <w:uiPriority w:val="9"/>
    <w:pPr>
      <w:numPr>
        <w:ilvl w:val="2"/>
      </w:numPr>
      <w:outlineLvl w:val="2"/>
    </w:pPr>
    <w:rPr>
      <w:bCs/>
      <w:sz w:val="28"/>
    </w:rPr>
  </w:style>
  <w:style w:type="paragraph" w:styleId="8">
    <w:name w:val="heading 4"/>
    <w:basedOn w:val="1"/>
    <w:next w:val="1"/>
    <w:link w:val="108"/>
    <w:autoRedefine/>
    <w:unhideWhenUsed/>
    <w:qFormat/>
    <w:uiPriority w:val="9"/>
    <w:pPr>
      <w:keepNext/>
      <w:keepLines/>
      <w:numPr>
        <w:ilvl w:val="3"/>
        <w:numId w:val="1"/>
      </w:numPr>
      <w:ind w:left="0" w:firstLine="0" w:firstLineChars="0"/>
      <w:outlineLvl w:val="3"/>
    </w:pPr>
    <w:rPr>
      <w:rFonts w:eastAsia="黑体" w:cstheme="majorBidi"/>
      <w:b/>
      <w:bCs/>
      <w:szCs w:val="28"/>
    </w:rPr>
  </w:style>
  <w:style w:type="paragraph" w:styleId="9">
    <w:name w:val="heading 5"/>
    <w:basedOn w:val="1"/>
    <w:next w:val="1"/>
    <w:link w:val="109"/>
    <w:autoRedefine/>
    <w:unhideWhenUsed/>
    <w:qFormat/>
    <w:uiPriority w:val="9"/>
    <w:pPr>
      <w:keepNext/>
      <w:keepLines/>
      <w:numPr>
        <w:ilvl w:val="4"/>
        <w:numId w:val="1"/>
      </w:numPr>
      <w:spacing w:before="280" w:after="290" w:line="376" w:lineRule="auto"/>
      <w:ind w:firstLine="0" w:firstLineChars="0"/>
      <w:outlineLvl w:val="4"/>
    </w:pPr>
    <w:rPr>
      <w:b/>
      <w:bCs/>
      <w:szCs w:val="28"/>
    </w:rPr>
  </w:style>
  <w:style w:type="paragraph" w:styleId="10">
    <w:name w:val="heading 6"/>
    <w:basedOn w:val="1"/>
    <w:next w:val="1"/>
    <w:link w:val="110"/>
    <w:autoRedefine/>
    <w:unhideWhenUsed/>
    <w:qFormat/>
    <w:uiPriority w:val="9"/>
    <w:pPr>
      <w:keepNext/>
      <w:keepLines/>
      <w:numPr>
        <w:ilvl w:val="5"/>
        <w:numId w:val="1"/>
      </w:numPr>
      <w:spacing w:before="240" w:after="64" w:line="320" w:lineRule="auto"/>
      <w:ind w:firstLine="0" w:firstLineChars="0"/>
      <w:outlineLvl w:val="5"/>
    </w:pPr>
    <w:rPr>
      <w:rFonts w:asciiTheme="majorHAnsi" w:hAnsiTheme="majorHAnsi" w:eastAsiaTheme="majorEastAsia" w:cstheme="majorBidi"/>
      <w:b/>
      <w:bCs/>
    </w:rPr>
  </w:style>
  <w:style w:type="paragraph" w:styleId="11">
    <w:name w:val="heading 7"/>
    <w:basedOn w:val="1"/>
    <w:next w:val="1"/>
    <w:link w:val="111"/>
    <w:autoRedefine/>
    <w:unhideWhenUsed/>
    <w:qFormat/>
    <w:uiPriority w:val="9"/>
    <w:pPr>
      <w:keepNext/>
      <w:keepLines/>
      <w:numPr>
        <w:ilvl w:val="6"/>
        <w:numId w:val="1"/>
      </w:numPr>
      <w:spacing w:before="240" w:after="64" w:line="320" w:lineRule="auto"/>
      <w:ind w:firstLine="0" w:firstLineChars="0"/>
      <w:outlineLvl w:val="6"/>
    </w:pPr>
    <w:rPr>
      <w:b/>
      <w:bCs/>
    </w:rPr>
  </w:style>
  <w:style w:type="paragraph" w:styleId="12">
    <w:name w:val="heading 8"/>
    <w:basedOn w:val="1"/>
    <w:next w:val="1"/>
    <w:link w:val="112"/>
    <w:autoRedefine/>
    <w:unhideWhenUsed/>
    <w:qFormat/>
    <w:uiPriority w:val="9"/>
    <w:pPr>
      <w:keepNext/>
      <w:keepLines/>
      <w:numPr>
        <w:ilvl w:val="7"/>
        <w:numId w:val="1"/>
      </w:numPr>
      <w:spacing w:before="240" w:after="64" w:line="320" w:lineRule="auto"/>
      <w:ind w:firstLine="0" w:firstLineChars="0"/>
      <w:outlineLvl w:val="7"/>
    </w:pPr>
    <w:rPr>
      <w:rFonts w:asciiTheme="majorHAnsi" w:hAnsiTheme="majorHAnsi" w:eastAsiaTheme="majorEastAsia" w:cstheme="majorBidi"/>
    </w:rPr>
  </w:style>
  <w:style w:type="paragraph" w:styleId="13">
    <w:name w:val="heading 9"/>
    <w:basedOn w:val="1"/>
    <w:next w:val="1"/>
    <w:link w:val="113"/>
    <w:autoRedefine/>
    <w:unhideWhenUsed/>
    <w:qFormat/>
    <w:uiPriority w:val="9"/>
    <w:pPr>
      <w:keepNext/>
      <w:keepLines/>
      <w:numPr>
        <w:ilvl w:val="8"/>
        <w:numId w:val="1"/>
      </w:numPr>
      <w:spacing w:before="240" w:after="64" w:line="320" w:lineRule="auto"/>
      <w:ind w:firstLine="0" w:firstLineChars="0"/>
      <w:outlineLvl w:val="8"/>
    </w:pPr>
    <w:rPr>
      <w:rFonts w:asciiTheme="majorHAnsi" w:hAnsiTheme="majorHAnsi" w:eastAsiaTheme="majorEastAsia" w:cstheme="majorBidi"/>
      <w:sz w:val="21"/>
      <w:szCs w:val="21"/>
    </w:rPr>
  </w:style>
  <w:style w:type="character" w:default="1" w:styleId="90">
    <w:name w:val="Default Paragraph Font"/>
    <w:semiHidden/>
    <w:unhideWhenUsed/>
    <w:qFormat/>
    <w:uiPriority w:val="1"/>
  </w:style>
  <w:style w:type="table" w:default="1" w:styleId="8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206"/>
    <w:autoRedefine/>
    <w:unhideWhenUsed/>
    <w:qFormat/>
    <w:uiPriority w:val="99"/>
    <w:pPr>
      <w:spacing w:after="120"/>
      <w:ind w:left="420" w:leftChars="200" w:right="0" w:firstLine="420" w:firstLineChars="200"/>
    </w:pPr>
    <w:rPr>
      <w:rFonts w:ascii="Calibri" w:hAnsi="Calibri" w:eastAsia="仿宋_GB2312"/>
      <w:color w:val="auto"/>
      <w:sz w:val="24"/>
      <w:szCs w:val="22"/>
    </w:rPr>
  </w:style>
  <w:style w:type="paragraph" w:styleId="3">
    <w:name w:val="Body Text Indent"/>
    <w:basedOn w:val="1"/>
    <w:link w:val="126"/>
    <w:autoRedefine/>
    <w:qFormat/>
    <w:uiPriority w:val="0"/>
    <w:pPr>
      <w:widowControl w:val="0"/>
      <w:ind w:right="45" w:firstLine="280" w:firstLineChars="100"/>
    </w:pPr>
    <w:rPr>
      <w:rFonts w:ascii="宋体" w:hAnsi="宋体" w:eastAsia="宋体" w:cs="Times New Roman"/>
      <w:color w:val="FF0000"/>
      <w:kern w:val="2"/>
      <w:sz w:val="28"/>
      <w:szCs w:val="20"/>
    </w:rPr>
  </w:style>
  <w:style w:type="paragraph" w:styleId="4">
    <w:name w:val="macro"/>
    <w:link w:val="184"/>
    <w:autoRedefine/>
    <w:unhideWhenUsed/>
    <w:qFormat/>
    <w:uiPriority w:val="99"/>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4">
    <w:name w:val="List 3"/>
    <w:basedOn w:val="1"/>
    <w:autoRedefine/>
    <w:unhideWhenUsed/>
    <w:qFormat/>
    <w:uiPriority w:val="99"/>
    <w:pPr>
      <w:widowControl w:val="0"/>
      <w:ind w:left="100" w:leftChars="400" w:hanging="200" w:hangingChars="200"/>
      <w:contextualSpacing/>
    </w:pPr>
    <w:rPr>
      <w:rFonts w:ascii="Calibri" w:hAnsi="Calibri" w:eastAsia="仿宋_GB2312" w:cs="Times New Roman"/>
      <w:kern w:val="2"/>
      <w:szCs w:val="22"/>
    </w:rPr>
  </w:style>
  <w:style w:type="paragraph" w:styleId="15">
    <w:name w:val="toc 7"/>
    <w:basedOn w:val="1"/>
    <w:next w:val="1"/>
    <w:autoRedefine/>
    <w:unhideWhenUsed/>
    <w:qFormat/>
    <w:uiPriority w:val="39"/>
    <w:pPr>
      <w:ind w:left="1440"/>
      <w:jc w:val="left"/>
    </w:pPr>
    <w:rPr>
      <w:rFonts w:asciiTheme="minorHAnsi" w:hAnsiTheme="minorHAnsi"/>
      <w:sz w:val="20"/>
      <w:szCs w:val="20"/>
    </w:rPr>
  </w:style>
  <w:style w:type="paragraph" w:styleId="16">
    <w:name w:val="List Number 2"/>
    <w:basedOn w:val="1"/>
    <w:autoRedefine/>
    <w:unhideWhenUsed/>
    <w:qFormat/>
    <w:uiPriority w:val="99"/>
    <w:pPr>
      <w:widowControl w:val="0"/>
      <w:numPr>
        <w:ilvl w:val="0"/>
        <w:numId w:val="2"/>
      </w:numPr>
      <w:tabs>
        <w:tab w:val="left" w:pos="780"/>
      </w:tabs>
      <w:ind w:firstLine="0" w:firstLineChars="0"/>
      <w:contextualSpacing/>
    </w:pPr>
    <w:rPr>
      <w:rFonts w:ascii="Calibri" w:hAnsi="Calibri" w:eastAsia="仿宋_GB2312" w:cs="Times New Roman"/>
      <w:kern w:val="2"/>
      <w:szCs w:val="22"/>
    </w:rPr>
  </w:style>
  <w:style w:type="paragraph" w:styleId="17">
    <w:name w:val="table of authorities"/>
    <w:basedOn w:val="1"/>
    <w:next w:val="1"/>
    <w:autoRedefine/>
    <w:unhideWhenUsed/>
    <w:qFormat/>
    <w:uiPriority w:val="99"/>
    <w:pPr>
      <w:widowControl w:val="0"/>
      <w:ind w:left="420" w:leftChars="200" w:firstLine="0" w:firstLineChars="0"/>
    </w:pPr>
    <w:rPr>
      <w:rFonts w:ascii="Calibri" w:hAnsi="Calibri" w:eastAsia="仿宋_GB2312" w:cs="Times New Roman"/>
      <w:kern w:val="2"/>
      <w:szCs w:val="22"/>
    </w:rPr>
  </w:style>
  <w:style w:type="paragraph" w:styleId="18">
    <w:name w:val="Note Heading"/>
    <w:basedOn w:val="1"/>
    <w:next w:val="1"/>
    <w:link w:val="194"/>
    <w:autoRedefine/>
    <w:unhideWhenUsed/>
    <w:qFormat/>
    <w:uiPriority w:val="99"/>
    <w:pPr>
      <w:widowControl w:val="0"/>
      <w:ind w:firstLine="0" w:firstLineChars="0"/>
      <w:jc w:val="center"/>
    </w:pPr>
    <w:rPr>
      <w:rFonts w:ascii="Calibri" w:hAnsi="Calibri" w:eastAsia="仿宋_GB2312" w:cs="Times New Roman"/>
      <w:kern w:val="2"/>
      <w:szCs w:val="22"/>
    </w:rPr>
  </w:style>
  <w:style w:type="paragraph" w:styleId="19">
    <w:name w:val="List Bullet 4"/>
    <w:basedOn w:val="1"/>
    <w:autoRedefine/>
    <w:unhideWhenUsed/>
    <w:qFormat/>
    <w:uiPriority w:val="99"/>
    <w:pPr>
      <w:widowControl w:val="0"/>
      <w:numPr>
        <w:ilvl w:val="0"/>
        <w:numId w:val="3"/>
      </w:numPr>
      <w:tabs>
        <w:tab w:val="left" w:pos="1620"/>
      </w:tabs>
      <w:ind w:firstLine="0" w:firstLineChars="0"/>
      <w:contextualSpacing/>
    </w:pPr>
    <w:rPr>
      <w:rFonts w:ascii="Calibri" w:hAnsi="Calibri" w:eastAsia="仿宋_GB2312" w:cs="Times New Roman"/>
      <w:kern w:val="2"/>
      <w:szCs w:val="22"/>
    </w:rPr>
  </w:style>
  <w:style w:type="paragraph" w:styleId="20">
    <w:name w:val="index 8"/>
    <w:basedOn w:val="1"/>
    <w:next w:val="1"/>
    <w:autoRedefine/>
    <w:unhideWhenUsed/>
    <w:qFormat/>
    <w:uiPriority w:val="99"/>
    <w:pPr>
      <w:widowControl w:val="0"/>
      <w:ind w:left="1400" w:leftChars="1400" w:firstLine="0" w:firstLineChars="0"/>
    </w:pPr>
    <w:rPr>
      <w:rFonts w:ascii="Calibri" w:hAnsi="Calibri" w:eastAsia="仿宋_GB2312" w:cs="Times New Roman"/>
      <w:kern w:val="2"/>
      <w:szCs w:val="22"/>
    </w:rPr>
  </w:style>
  <w:style w:type="paragraph" w:styleId="21">
    <w:name w:val="E-mail Signature"/>
    <w:basedOn w:val="1"/>
    <w:link w:val="179"/>
    <w:autoRedefine/>
    <w:unhideWhenUsed/>
    <w:qFormat/>
    <w:uiPriority w:val="99"/>
    <w:pPr>
      <w:widowControl w:val="0"/>
      <w:ind w:firstLine="0" w:firstLineChars="0"/>
    </w:pPr>
    <w:rPr>
      <w:rFonts w:ascii="Calibri" w:hAnsi="Calibri" w:eastAsia="仿宋_GB2312" w:cs="Times New Roman"/>
      <w:kern w:val="2"/>
      <w:szCs w:val="22"/>
    </w:rPr>
  </w:style>
  <w:style w:type="paragraph" w:styleId="22">
    <w:name w:val="List Number"/>
    <w:basedOn w:val="1"/>
    <w:autoRedefine/>
    <w:unhideWhenUsed/>
    <w:qFormat/>
    <w:uiPriority w:val="99"/>
    <w:pPr>
      <w:widowControl w:val="0"/>
      <w:numPr>
        <w:ilvl w:val="0"/>
        <w:numId w:val="4"/>
      </w:numPr>
      <w:tabs>
        <w:tab w:val="left" w:pos="360"/>
      </w:tabs>
      <w:ind w:firstLine="0" w:firstLineChars="0"/>
      <w:contextualSpacing/>
    </w:pPr>
    <w:rPr>
      <w:rFonts w:ascii="Calibri" w:hAnsi="Calibri" w:eastAsia="仿宋_GB2312" w:cs="Times New Roman"/>
      <w:kern w:val="2"/>
      <w:szCs w:val="22"/>
    </w:rPr>
  </w:style>
  <w:style w:type="paragraph" w:styleId="23">
    <w:name w:val="Normal Indent"/>
    <w:basedOn w:val="1"/>
    <w:link w:val="253"/>
    <w:autoRedefine/>
    <w:unhideWhenUsed/>
    <w:qFormat/>
    <w:uiPriority w:val="99"/>
    <w:pPr>
      <w:widowControl w:val="0"/>
      <w:ind w:firstLine="420"/>
    </w:pPr>
    <w:rPr>
      <w:rFonts w:ascii="Calibri" w:hAnsi="Calibri" w:eastAsia="仿宋_GB2312" w:cs="Times New Roman"/>
      <w:kern w:val="2"/>
      <w:szCs w:val="22"/>
    </w:rPr>
  </w:style>
  <w:style w:type="paragraph" w:styleId="24">
    <w:name w:val="caption"/>
    <w:basedOn w:val="1"/>
    <w:next w:val="1"/>
    <w:autoRedefine/>
    <w:qFormat/>
    <w:uiPriority w:val="35"/>
    <w:pPr>
      <w:widowControl w:val="0"/>
      <w:ind w:firstLine="0" w:firstLineChars="0"/>
    </w:pPr>
    <w:rPr>
      <w:rFonts w:ascii="等线 Light" w:hAnsi="等线 Light" w:eastAsia="黑体" w:cs="Times New Roman"/>
      <w:kern w:val="2"/>
      <w:sz w:val="20"/>
      <w:szCs w:val="20"/>
    </w:rPr>
  </w:style>
  <w:style w:type="paragraph" w:styleId="25">
    <w:name w:val="index 5"/>
    <w:basedOn w:val="1"/>
    <w:next w:val="1"/>
    <w:autoRedefine/>
    <w:unhideWhenUsed/>
    <w:qFormat/>
    <w:uiPriority w:val="99"/>
    <w:pPr>
      <w:widowControl w:val="0"/>
      <w:ind w:left="800" w:leftChars="800" w:firstLine="0" w:firstLineChars="0"/>
    </w:pPr>
    <w:rPr>
      <w:rFonts w:ascii="Calibri" w:hAnsi="Calibri" w:eastAsia="仿宋_GB2312" w:cs="Times New Roman"/>
      <w:kern w:val="2"/>
      <w:szCs w:val="22"/>
    </w:rPr>
  </w:style>
  <w:style w:type="paragraph" w:styleId="26">
    <w:name w:val="List Bullet"/>
    <w:basedOn w:val="1"/>
    <w:autoRedefine/>
    <w:unhideWhenUsed/>
    <w:qFormat/>
    <w:uiPriority w:val="99"/>
    <w:pPr>
      <w:widowControl w:val="0"/>
      <w:numPr>
        <w:ilvl w:val="0"/>
        <w:numId w:val="5"/>
      </w:numPr>
      <w:tabs>
        <w:tab w:val="left" w:pos="360"/>
      </w:tabs>
      <w:ind w:firstLine="0" w:firstLineChars="0"/>
      <w:contextualSpacing/>
    </w:pPr>
    <w:rPr>
      <w:rFonts w:ascii="Calibri" w:hAnsi="Calibri" w:eastAsia="仿宋_GB2312" w:cs="Times New Roman"/>
      <w:kern w:val="2"/>
      <w:szCs w:val="22"/>
    </w:rPr>
  </w:style>
  <w:style w:type="paragraph" w:styleId="27">
    <w:name w:val="envelope address"/>
    <w:basedOn w:val="1"/>
    <w:autoRedefine/>
    <w:unhideWhenUsed/>
    <w:qFormat/>
    <w:uiPriority w:val="99"/>
    <w:pPr>
      <w:framePr w:w="7920" w:h="1980" w:hRule="exact" w:hSpace="180" w:wrap="around" w:vAnchor="margin" w:hAnchor="page" w:xAlign="center" w:yAlign="bottom"/>
      <w:widowControl w:val="0"/>
      <w:snapToGrid w:val="0"/>
      <w:ind w:left="100" w:leftChars="1400" w:firstLine="0" w:firstLineChars="0"/>
    </w:pPr>
    <w:rPr>
      <w:rFonts w:ascii="等线 Light" w:hAnsi="等线 Light" w:eastAsia="等线 Light" w:cs="Times New Roman"/>
      <w:kern w:val="2"/>
    </w:rPr>
  </w:style>
  <w:style w:type="paragraph" w:styleId="28">
    <w:name w:val="Document Map"/>
    <w:basedOn w:val="1"/>
    <w:link w:val="124"/>
    <w:autoRedefine/>
    <w:semiHidden/>
    <w:unhideWhenUsed/>
    <w:qFormat/>
    <w:uiPriority w:val="0"/>
    <w:pPr>
      <w:widowControl w:val="0"/>
      <w:spacing w:line="240" w:lineRule="auto"/>
      <w:ind w:firstLine="0" w:firstLineChars="0"/>
    </w:pPr>
    <w:rPr>
      <w:rFonts w:ascii="宋体" w:eastAsia="宋体" w:cs="Times New Roman"/>
      <w:kern w:val="2"/>
      <w:sz w:val="18"/>
      <w:szCs w:val="18"/>
    </w:rPr>
  </w:style>
  <w:style w:type="paragraph" w:styleId="29">
    <w:name w:val="toa heading"/>
    <w:basedOn w:val="1"/>
    <w:next w:val="1"/>
    <w:autoRedefine/>
    <w:unhideWhenUsed/>
    <w:qFormat/>
    <w:uiPriority w:val="99"/>
    <w:pPr>
      <w:widowControl w:val="0"/>
      <w:spacing w:before="120"/>
      <w:ind w:firstLine="0" w:firstLineChars="0"/>
    </w:pPr>
    <w:rPr>
      <w:rFonts w:ascii="等线 Light" w:hAnsi="等线 Light" w:eastAsia="宋体" w:cs="Times New Roman"/>
      <w:kern w:val="2"/>
    </w:rPr>
  </w:style>
  <w:style w:type="paragraph" w:styleId="30">
    <w:name w:val="annotation text"/>
    <w:basedOn w:val="1"/>
    <w:link w:val="168"/>
    <w:autoRedefine/>
    <w:semiHidden/>
    <w:unhideWhenUsed/>
    <w:qFormat/>
    <w:uiPriority w:val="0"/>
    <w:pPr>
      <w:jc w:val="left"/>
    </w:pPr>
  </w:style>
  <w:style w:type="paragraph" w:styleId="31">
    <w:name w:val="index 6"/>
    <w:basedOn w:val="1"/>
    <w:next w:val="1"/>
    <w:autoRedefine/>
    <w:unhideWhenUsed/>
    <w:qFormat/>
    <w:uiPriority w:val="99"/>
    <w:pPr>
      <w:widowControl w:val="0"/>
      <w:ind w:left="1000" w:leftChars="1000" w:firstLine="0" w:firstLineChars="0"/>
    </w:pPr>
    <w:rPr>
      <w:rFonts w:ascii="Calibri" w:hAnsi="Calibri" w:eastAsia="仿宋_GB2312" w:cs="Times New Roman"/>
      <w:kern w:val="2"/>
      <w:szCs w:val="22"/>
    </w:rPr>
  </w:style>
  <w:style w:type="paragraph" w:styleId="32">
    <w:name w:val="Salutation"/>
    <w:basedOn w:val="1"/>
    <w:next w:val="1"/>
    <w:link w:val="199"/>
    <w:autoRedefine/>
    <w:unhideWhenUsed/>
    <w:qFormat/>
    <w:uiPriority w:val="99"/>
    <w:pPr>
      <w:widowControl w:val="0"/>
      <w:ind w:firstLine="0" w:firstLineChars="0"/>
    </w:pPr>
    <w:rPr>
      <w:rFonts w:ascii="Calibri" w:hAnsi="Calibri" w:eastAsia="仿宋_GB2312" w:cs="Times New Roman"/>
      <w:kern w:val="2"/>
      <w:szCs w:val="22"/>
    </w:rPr>
  </w:style>
  <w:style w:type="paragraph" w:styleId="33">
    <w:name w:val="Body Text 3"/>
    <w:basedOn w:val="1"/>
    <w:link w:val="177"/>
    <w:autoRedefine/>
    <w:unhideWhenUsed/>
    <w:qFormat/>
    <w:uiPriority w:val="99"/>
    <w:pPr>
      <w:widowControl w:val="0"/>
      <w:spacing w:after="120"/>
      <w:ind w:firstLine="0" w:firstLineChars="0"/>
    </w:pPr>
    <w:rPr>
      <w:rFonts w:ascii="Calibri" w:hAnsi="Calibri" w:eastAsia="仿宋_GB2312" w:cs="Times New Roman"/>
      <w:kern w:val="2"/>
      <w:sz w:val="16"/>
      <w:szCs w:val="16"/>
    </w:rPr>
  </w:style>
  <w:style w:type="paragraph" w:styleId="34">
    <w:name w:val="Closing"/>
    <w:basedOn w:val="1"/>
    <w:link w:val="172"/>
    <w:autoRedefine/>
    <w:unhideWhenUsed/>
    <w:qFormat/>
    <w:uiPriority w:val="99"/>
    <w:pPr>
      <w:widowControl w:val="0"/>
      <w:ind w:left="100" w:leftChars="2100" w:firstLine="0" w:firstLineChars="0"/>
    </w:pPr>
    <w:rPr>
      <w:rFonts w:ascii="Calibri" w:hAnsi="Calibri" w:eastAsia="仿宋_GB2312" w:cs="Times New Roman"/>
      <w:kern w:val="2"/>
      <w:szCs w:val="22"/>
    </w:rPr>
  </w:style>
  <w:style w:type="paragraph" w:styleId="35">
    <w:name w:val="List Bullet 3"/>
    <w:basedOn w:val="1"/>
    <w:autoRedefine/>
    <w:unhideWhenUsed/>
    <w:qFormat/>
    <w:uiPriority w:val="99"/>
    <w:pPr>
      <w:widowControl w:val="0"/>
      <w:numPr>
        <w:ilvl w:val="0"/>
        <w:numId w:val="6"/>
      </w:numPr>
      <w:tabs>
        <w:tab w:val="left" w:pos="1200"/>
      </w:tabs>
      <w:ind w:firstLine="0" w:firstLineChars="0"/>
      <w:contextualSpacing/>
    </w:pPr>
    <w:rPr>
      <w:rFonts w:ascii="Calibri" w:hAnsi="Calibri" w:eastAsia="仿宋_GB2312" w:cs="Times New Roman"/>
      <w:kern w:val="2"/>
      <w:szCs w:val="22"/>
    </w:rPr>
  </w:style>
  <w:style w:type="paragraph" w:styleId="36">
    <w:name w:val="Body Text"/>
    <w:basedOn w:val="1"/>
    <w:link w:val="125"/>
    <w:autoRedefine/>
    <w:unhideWhenUsed/>
    <w:qFormat/>
    <w:uiPriority w:val="99"/>
    <w:pPr>
      <w:widowControl w:val="0"/>
      <w:spacing w:after="120" w:line="240" w:lineRule="auto"/>
      <w:ind w:firstLine="0" w:firstLineChars="0"/>
    </w:pPr>
    <w:rPr>
      <w:rFonts w:eastAsia="宋体" w:cs="Times New Roman"/>
      <w:kern w:val="2"/>
      <w:sz w:val="21"/>
    </w:rPr>
  </w:style>
  <w:style w:type="paragraph" w:styleId="37">
    <w:name w:val="List Number 3"/>
    <w:basedOn w:val="1"/>
    <w:autoRedefine/>
    <w:unhideWhenUsed/>
    <w:qFormat/>
    <w:uiPriority w:val="99"/>
    <w:pPr>
      <w:widowControl w:val="0"/>
      <w:numPr>
        <w:ilvl w:val="0"/>
        <w:numId w:val="7"/>
      </w:numPr>
      <w:tabs>
        <w:tab w:val="left" w:pos="1200"/>
      </w:tabs>
      <w:ind w:firstLine="0" w:firstLineChars="0"/>
      <w:contextualSpacing/>
    </w:pPr>
    <w:rPr>
      <w:rFonts w:ascii="Calibri" w:hAnsi="Calibri" w:eastAsia="仿宋_GB2312" w:cs="Times New Roman"/>
      <w:kern w:val="2"/>
      <w:szCs w:val="22"/>
    </w:rPr>
  </w:style>
  <w:style w:type="paragraph" w:styleId="38">
    <w:name w:val="List 2"/>
    <w:basedOn w:val="1"/>
    <w:autoRedefine/>
    <w:unhideWhenUsed/>
    <w:qFormat/>
    <w:uiPriority w:val="99"/>
    <w:pPr>
      <w:widowControl w:val="0"/>
      <w:ind w:left="100" w:leftChars="200" w:hanging="200" w:hangingChars="200"/>
      <w:contextualSpacing/>
    </w:pPr>
    <w:rPr>
      <w:rFonts w:ascii="Calibri" w:hAnsi="Calibri" w:eastAsia="仿宋_GB2312" w:cs="Times New Roman"/>
      <w:kern w:val="2"/>
      <w:szCs w:val="22"/>
    </w:rPr>
  </w:style>
  <w:style w:type="paragraph" w:styleId="39">
    <w:name w:val="List Continue"/>
    <w:basedOn w:val="1"/>
    <w:autoRedefine/>
    <w:unhideWhenUsed/>
    <w:qFormat/>
    <w:uiPriority w:val="99"/>
    <w:pPr>
      <w:widowControl w:val="0"/>
      <w:spacing w:after="120"/>
      <w:ind w:left="420" w:leftChars="200" w:firstLine="0" w:firstLineChars="0"/>
      <w:contextualSpacing/>
    </w:pPr>
    <w:rPr>
      <w:rFonts w:ascii="Calibri" w:hAnsi="Calibri" w:eastAsia="仿宋_GB2312" w:cs="Times New Roman"/>
      <w:kern w:val="2"/>
      <w:szCs w:val="22"/>
    </w:rPr>
  </w:style>
  <w:style w:type="paragraph" w:styleId="40">
    <w:name w:val="Block Text"/>
    <w:basedOn w:val="1"/>
    <w:autoRedefine/>
    <w:unhideWhenUsed/>
    <w:qFormat/>
    <w:uiPriority w:val="99"/>
    <w:pPr>
      <w:widowControl w:val="0"/>
      <w:spacing w:after="120"/>
      <w:ind w:left="1440" w:leftChars="700" w:right="1440" w:rightChars="700" w:firstLine="0" w:firstLineChars="0"/>
    </w:pPr>
    <w:rPr>
      <w:rFonts w:ascii="Calibri" w:hAnsi="Calibri" w:eastAsia="仿宋_GB2312" w:cs="Times New Roman"/>
      <w:kern w:val="2"/>
      <w:szCs w:val="22"/>
    </w:rPr>
  </w:style>
  <w:style w:type="paragraph" w:styleId="41">
    <w:name w:val="List Bullet 2"/>
    <w:basedOn w:val="1"/>
    <w:autoRedefine/>
    <w:unhideWhenUsed/>
    <w:qFormat/>
    <w:uiPriority w:val="99"/>
    <w:pPr>
      <w:widowControl w:val="0"/>
      <w:numPr>
        <w:ilvl w:val="0"/>
        <w:numId w:val="8"/>
      </w:numPr>
      <w:ind w:firstLine="0" w:firstLineChars="0"/>
      <w:contextualSpacing/>
    </w:pPr>
    <w:rPr>
      <w:rFonts w:ascii="Calibri" w:hAnsi="Calibri" w:eastAsia="仿宋_GB2312" w:cs="Times New Roman"/>
      <w:kern w:val="2"/>
      <w:szCs w:val="22"/>
    </w:rPr>
  </w:style>
  <w:style w:type="paragraph" w:styleId="42">
    <w:name w:val="HTML Address"/>
    <w:basedOn w:val="1"/>
    <w:link w:val="181"/>
    <w:autoRedefine/>
    <w:unhideWhenUsed/>
    <w:qFormat/>
    <w:uiPriority w:val="99"/>
    <w:pPr>
      <w:widowControl w:val="0"/>
      <w:ind w:firstLine="0" w:firstLineChars="0"/>
    </w:pPr>
    <w:rPr>
      <w:rFonts w:ascii="Calibri" w:hAnsi="Calibri" w:eastAsia="仿宋_GB2312" w:cs="Times New Roman"/>
      <w:i/>
      <w:iCs/>
      <w:kern w:val="2"/>
      <w:szCs w:val="22"/>
    </w:rPr>
  </w:style>
  <w:style w:type="paragraph" w:styleId="43">
    <w:name w:val="index 4"/>
    <w:basedOn w:val="1"/>
    <w:next w:val="1"/>
    <w:autoRedefine/>
    <w:unhideWhenUsed/>
    <w:qFormat/>
    <w:uiPriority w:val="99"/>
    <w:pPr>
      <w:widowControl w:val="0"/>
      <w:ind w:left="600" w:leftChars="600" w:firstLine="0" w:firstLineChars="0"/>
    </w:pPr>
    <w:rPr>
      <w:rFonts w:ascii="Calibri" w:hAnsi="Calibri" w:eastAsia="仿宋_GB2312" w:cs="Times New Roman"/>
      <w:kern w:val="2"/>
      <w:szCs w:val="22"/>
    </w:rPr>
  </w:style>
  <w:style w:type="paragraph" w:styleId="44">
    <w:name w:val="toc 5"/>
    <w:basedOn w:val="1"/>
    <w:next w:val="1"/>
    <w:autoRedefine/>
    <w:unhideWhenUsed/>
    <w:qFormat/>
    <w:uiPriority w:val="39"/>
    <w:pPr>
      <w:ind w:left="960"/>
      <w:jc w:val="left"/>
    </w:pPr>
    <w:rPr>
      <w:rFonts w:asciiTheme="minorHAnsi" w:hAnsiTheme="minorHAnsi"/>
      <w:sz w:val="20"/>
      <w:szCs w:val="20"/>
    </w:rPr>
  </w:style>
  <w:style w:type="paragraph" w:styleId="45">
    <w:name w:val="toc 3"/>
    <w:basedOn w:val="1"/>
    <w:next w:val="1"/>
    <w:autoRedefine/>
    <w:unhideWhenUsed/>
    <w:qFormat/>
    <w:uiPriority w:val="39"/>
    <w:pPr>
      <w:ind w:left="480"/>
      <w:jc w:val="left"/>
    </w:pPr>
    <w:rPr>
      <w:rFonts w:asciiTheme="minorHAnsi" w:hAnsiTheme="minorHAnsi"/>
      <w:sz w:val="20"/>
      <w:szCs w:val="20"/>
    </w:rPr>
  </w:style>
  <w:style w:type="paragraph" w:styleId="46">
    <w:name w:val="Plain Text"/>
    <w:basedOn w:val="1"/>
    <w:link w:val="232"/>
    <w:autoRedefine/>
    <w:unhideWhenUsed/>
    <w:qFormat/>
    <w:uiPriority w:val="99"/>
    <w:pPr>
      <w:widowControl w:val="0"/>
      <w:spacing w:line="240" w:lineRule="auto"/>
      <w:ind w:firstLine="0" w:firstLineChars="0"/>
    </w:pPr>
    <w:rPr>
      <w:rFonts w:ascii="宋体" w:hAnsi="Courier New" w:eastAsia="宋体" w:cs="Times New Roman"/>
      <w:sz w:val="20"/>
      <w:szCs w:val="20"/>
    </w:rPr>
  </w:style>
  <w:style w:type="paragraph" w:styleId="47">
    <w:name w:val="List Bullet 5"/>
    <w:basedOn w:val="1"/>
    <w:autoRedefine/>
    <w:unhideWhenUsed/>
    <w:qFormat/>
    <w:uiPriority w:val="99"/>
    <w:pPr>
      <w:widowControl w:val="0"/>
      <w:numPr>
        <w:ilvl w:val="0"/>
        <w:numId w:val="9"/>
      </w:numPr>
      <w:ind w:firstLine="0" w:firstLineChars="0"/>
      <w:contextualSpacing/>
    </w:pPr>
    <w:rPr>
      <w:rFonts w:ascii="Calibri" w:hAnsi="Calibri" w:eastAsia="仿宋_GB2312" w:cs="Times New Roman"/>
      <w:kern w:val="2"/>
      <w:szCs w:val="22"/>
    </w:rPr>
  </w:style>
  <w:style w:type="paragraph" w:styleId="48">
    <w:name w:val="List Number 4"/>
    <w:basedOn w:val="1"/>
    <w:autoRedefine/>
    <w:unhideWhenUsed/>
    <w:qFormat/>
    <w:uiPriority w:val="99"/>
    <w:pPr>
      <w:widowControl w:val="0"/>
      <w:numPr>
        <w:ilvl w:val="0"/>
        <w:numId w:val="10"/>
      </w:numPr>
      <w:tabs>
        <w:tab w:val="left" w:pos="1620"/>
      </w:tabs>
      <w:ind w:firstLine="0" w:firstLineChars="0"/>
      <w:contextualSpacing/>
    </w:pPr>
    <w:rPr>
      <w:rFonts w:ascii="Calibri" w:hAnsi="Calibri" w:eastAsia="仿宋_GB2312" w:cs="Times New Roman"/>
      <w:kern w:val="2"/>
      <w:szCs w:val="22"/>
    </w:rPr>
  </w:style>
  <w:style w:type="paragraph" w:styleId="49">
    <w:name w:val="toc 8"/>
    <w:basedOn w:val="1"/>
    <w:next w:val="1"/>
    <w:autoRedefine/>
    <w:unhideWhenUsed/>
    <w:qFormat/>
    <w:uiPriority w:val="39"/>
    <w:pPr>
      <w:ind w:left="1680"/>
      <w:jc w:val="left"/>
    </w:pPr>
    <w:rPr>
      <w:rFonts w:asciiTheme="minorHAnsi" w:hAnsiTheme="minorHAnsi"/>
      <w:sz w:val="20"/>
      <w:szCs w:val="20"/>
    </w:rPr>
  </w:style>
  <w:style w:type="paragraph" w:styleId="50">
    <w:name w:val="index 3"/>
    <w:basedOn w:val="1"/>
    <w:next w:val="1"/>
    <w:autoRedefine/>
    <w:unhideWhenUsed/>
    <w:qFormat/>
    <w:uiPriority w:val="99"/>
    <w:pPr>
      <w:widowControl w:val="0"/>
      <w:ind w:left="400" w:leftChars="400" w:firstLine="0" w:firstLineChars="0"/>
    </w:pPr>
    <w:rPr>
      <w:rFonts w:ascii="Calibri" w:hAnsi="Calibri" w:eastAsia="仿宋_GB2312" w:cs="Times New Roman"/>
      <w:kern w:val="2"/>
      <w:szCs w:val="22"/>
    </w:rPr>
  </w:style>
  <w:style w:type="paragraph" w:styleId="51">
    <w:name w:val="Date"/>
    <w:basedOn w:val="1"/>
    <w:next w:val="1"/>
    <w:link w:val="196"/>
    <w:autoRedefine/>
    <w:unhideWhenUsed/>
    <w:qFormat/>
    <w:uiPriority w:val="99"/>
    <w:pPr>
      <w:widowControl w:val="0"/>
      <w:ind w:left="100" w:leftChars="2500" w:firstLine="0" w:firstLineChars="0"/>
    </w:pPr>
    <w:rPr>
      <w:rFonts w:ascii="Calibri" w:hAnsi="Calibri" w:eastAsia="仿宋_GB2312" w:cs="Times New Roman"/>
      <w:kern w:val="2"/>
      <w:szCs w:val="22"/>
    </w:rPr>
  </w:style>
  <w:style w:type="paragraph" w:styleId="52">
    <w:name w:val="Body Text Indent 2"/>
    <w:basedOn w:val="1"/>
    <w:link w:val="173"/>
    <w:autoRedefine/>
    <w:unhideWhenUsed/>
    <w:qFormat/>
    <w:uiPriority w:val="99"/>
    <w:pPr>
      <w:widowControl w:val="0"/>
      <w:spacing w:after="120" w:line="480" w:lineRule="auto"/>
      <w:ind w:left="420" w:leftChars="200" w:firstLine="0" w:firstLineChars="0"/>
    </w:pPr>
    <w:rPr>
      <w:rFonts w:ascii="Calibri" w:hAnsi="Calibri" w:eastAsia="仿宋_GB2312" w:cs="Times New Roman"/>
      <w:kern w:val="2"/>
      <w:szCs w:val="22"/>
    </w:rPr>
  </w:style>
  <w:style w:type="paragraph" w:styleId="53">
    <w:name w:val="endnote text"/>
    <w:basedOn w:val="1"/>
    <w:link w:val="198"/>
    <w:autoRedefine/>
    <w:unhideWhenUsed/>
    <w:qFormat/>
    <w:uiPriority w:val="99"/>
    <w:pPr>
      <w:widowControl w:val="0"/>
      <w:snapToGrid w:val="0"/>
      <w:ind w:firstLine="0" w:firstLineChars="0"/>
      <w:jc w:val="left"/>
    </w:pPr>
    <w:rPr>
      <w:rFonts w:ascii="Calibri" w:hAnsi="Calibri" w:eastAsia="仿宋_GB2312" w:cs="Times New Roman"/>
      <w:kern w:val="2"/>
      <w:szCs w:val="22"/>
    </w:rPr>
  </w:style>
  <w:style w:type="paragraph" w:styleId="54">
    <w:name w:val="List Continue 5"/>
    <w:basedOn w:val="1"/>
    <w:autoRedefine/>
    <w:unhideWhenUsed/>
    <w:qFormat/>
    <w:uiPriority w:val="99"/>
    <w:pPr>
      <w:widowControl w:val="0"/>
      <w:spacing w:after="120"/>
      <w:ind w:left="2100" w:leftChars="1000" w:firstLine="0" w:firstLineChars="0"/>
      <w:contextualSpacing/>
    </w:pPr>
    <w:rPr>
      <w:rFonts w:ascii="Calibri" w:hAnsi="Calibri" w:eastAsia="仿宋_GB2312" w:cs="Times New Roman"/>
      <w:kern w:val="2"/>
      <w:szCs w:val="22"/>
    </w:rPr>
  </w:style>
  <w:style w:type="paragraph" w:styleId="55">
    <w:name w:val="Balloon Text"/>
    <w:basedOn w:val="1"/>
    <w:link w:val="123"/>
    <w:autoRedefine/>
    <w:semiHidden/>
    <w:unhideWhenUsed/>
    <w:qFormat/>
    <w:uiPriority w:val="0"/>
    <w:pPr>
      <w:spacing w:line="240" w:lineRule="auto"/>
    </w:pPr>
    <w:rPr>
      <w:sz w:val="18"/>
      <w:szCs w:val="18"/>
    </w:rPr>
  </w:style>
  <w:style w:type="paragraph" w:styleId="56">
    <w:name w:val="footer"/>
    <w:basedOn w:val="1"/>
    <w:link w:val="114"/>
    <w:autoRedefine/>
    <w:unhideWhenUsed/>
    <w:qFormat/>
    <w:uiPriority w:val="99"/>
    <w:pPr>
      <w:tabs>
        <w:tab w:val="center" w:pos="4153"/>
        <w:tab w:val="right" w:pos="8306"/>
      </w:tabs>
      <w:snapToGrid w:val="0"/>
      <w:jc w:val="left"/>
    </w:pPr>
    <w:rPr>
      <w:sz w:val="18"/>
      <w:szCs w:val="18"/>
    </w:rPr>
  </w:style>
  <w:style w:type="paragraph" w:styleId="57">
    <w:name w:val="envelope return"/>
    <w:basedOn w:val="1"/>
    <w:autoRedefine/>
    <w:unhideWhenUsed/>
    <w:qFormat/>
    <w:uiPriority w:val="99"/>
    <w:pPr>
      <w:widowControl w:val="0"/>
      <w:snapToGrid w:val="0"/>
      <w:ind w:firstLine="0" w:firstLineChars="0"/>
    </w:pPr>
    <w:rPr>
      <w:rFonts w:ascii="等线 Light" w:hAnsi="等线 Light" w:eastAsia="等线 Light" w:cs="Times New Roman"/>
      <w:kern w:val="2"/>
      <w:szCs w:val="22"/>
    </w:rPr>
  </w:style>
  <w:style w:type="paragraph" w:styleId="58">
    <w:name w:val="header"/>
    <w:basedOn w:val="1"/>
    <w:link w:val="115"/>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59">
    <w:name w:val="Signature"/>
    <w:basedOn w:val="1"/>
    <w:link w:val="205"/>
    <w:autoRedefine/>
    <w:unhideWhenUsed/>
    <w:qFormat/>
    <w:uiPriority w:val="99"/>
    <w:pPr>
      <w:widowControl w:val="0"/>
      <w:ind w:left="100" w:leftChars="2100" w:firstLine="0" w:firstLineChars="0"/>
    </w:pPr>
    <w:rPr>
      <w:rFonts w:ascii="Calibri" w:hAnsi="Calibri" w:eastAsia="仿宋_GB2312" w:cs="Times New Roman"/>
      <w:kern w:val="2"/>
      <w:szCs w:val="22"/>
    </w:rPr>
  </w:style>
  <w:style w:type="paragraph" w:styleId="60">
    <w:name w:val="toc 1"/>
    <w:basedOn w:val="1"/>
    <w:next w:val="1"/>
    <w:autoRedefine/>
    <w:unhideWhenUsed/>
    <w:qFormat/>
    <w:uiPriority w:val="39"/>
    <w:pPr>
      <w:tabs>
        <w:tab w:val="left" w:pos="960"/>
        <w:tab w:val="right" w:leader="dot" w:pos="8296"/>
      </w:tabs>
      <w:spacing w:before="120" w:line="400" w:lineRule="exact"/>
      <w:ind w:firstLine="0" w:firstLineChars="0"/>
      <w:jc w:val="center"/>
    </w:pPr>
    <w:rPr>
      <w:rFonts w:ascii="宋体" w:hAnsi="宋体" w:eastAsia="宋体"/>
      <w:b/>
      <w:bCs/>
      <w:sz w:val="32"/>
      <w:szCs w:val="32"/>
    </w:rPr>
  </w:style>
  <w:style w:type="paragraph" w:styleId="61">
    <w:name w:val="List Continue 4"/>
    <w:basedOn w:val="1"/>
    <w:autoRedefine/>
    <w:unhideWhenUsed/>
    <w:qFormat/>
    <w:uiPriority w:val="99"/>
    <w:pPr>
      <w:widowControl w:val="0"/>
      <w:spacing w:after="120"/>
      <w:ind w:left="1680" w:leftChars="800" w:firstLine="0" w:firstLineChars="0"/>
      <w:contextualSpacing/>
    </w:pPr>
    <w:rPr>
      <w:rFonts w:ascii="Calibri" w:hAnsi="Calibri" w:eastAsia="仿宋_GB2312" w:cs="Times New Roman"/>
      <w:kern w:val="2"/>
      <w:szCs w:val="22"/>
    </w:rPr>
  </w:style>
  <w:style w:type="paragraph" w:styleId="62">
    <w:name w:val="toc 4"/>
    <w:basedOn w:val="1"/>
    <w:next w:val="1"/>
    <w:autoRedefine/>
    <w:unhideWhenUsed/>
    <w:qFormat/>
    <w:uiPriority w:val="39"/>
    <w:pPr>
      <w:ind w:left="720"/>
      <w:jc w:val="left"/>
    </w:pPr>
    <w:rPr>
      <w:rFonts w:asciiTheme="minorHAnsi" w:hAnsiTheme="minorHAnsi"/>
      <w:sz w:val="20"/>
      <w:szCs w:val="20"/>
    </w:rPr>
  </w:style>
  <w:style w:type="paragraph" w:styleId="63">
    <w:name w:val="index heading"/>
    <w:basedOn w:val="1"/>
    <w:next w:val="64"/>
    <w:autoRedefine/>
    <w:unhideWhenUsed/>
    <w:qFormat/>
    <w:uiPriority w:val="99"/>
    <w:pPr>
      <w:widowControl w:val="0"/>
      <w:ind w:firstLine="0" w:firstLineChars="0"/>
    </w:pPr>
    <w:rPr>
      <w:rFonts w:ascii="等线 Light" w:hAnsi="等线 Light" w:eastAsia="等线 Light" w:cs="Times New Roman"/>
      <w:b/>
      <w:bCs/>
      <w:kern w:val="2"/>
      <w:szCs w:val="22"/>
    </w:rPr>
  </w:style>
  <w:style w:type="paragraph" w:styleId="64">
    <w:name w:val="index 1"/>
    <w:basedOn w:val="1"/>
    <w:next w:val="1"/>
    <w:autoRedefine/>
    <w:unhideWhenUsed/>
    <w:qFormat/>
    <w:uiPriority w:val="99"/>
    <w:pPr>
      <w:widowControl w:val="0"/>
      <w:ind w:firstLine="0" w:firstLineChars="0"/>
    </w:pPr>
    <w:rPr>
      <w:rFonts w:ascii="Calibri" w:hAnsi="Calibri" w:eastAsia="仿宋_GB2312" w:cs="Times New Roman"/>
      <w:kern w:val="2"/>
      <w:szCs w:val="22"/>
    </w:rPr>
  </w:style>
  <w:style w:type="paragraph" w:styleId="65">
    <w:name w:val="Subtitle"/>
    <w:basedOn w:val="1"/>
    <w:next w:val="1"/>
    <w:link w:val="197"/>
    <w:autoRedefine/>
    <w:qFormat/>
    <w:uiPriority w:val="11"/>
    <w:pPr>
      <w:widowControl w:val="0"/>
      <w:spacing w:before="240" w:after="60" w:line="312" w:lineRule="auto"/>
      <w:ind w:firstLine="0" w:firstLineChars="0"/>
      <w:jc w:val="center"/>
      <w:outlineLvl w:val="1"/>
    </w:pPr>
    <w:rPr>
      <w:rFonts w:ascii="等线 Light" w:hAnsi="等线 Light" w:eastAsia="宋体" w:cs="Times New Roman"/>
      <w:b/>
      <w:bCs/>
      <w:kern w:val="28"/>
      <w:sz w:val="32"/>
      <w:szCs w:val="32"/>
    </w:rPr>
  </w:style>
  <w:style w:type="paragraph" w:styleId="66">
    <w:name w:val="List Number 5"/>
    <w:basedOn w:val="1"/>
    <w:autoRedefine/>
    <w:unhideWhenUsed/>
    <w:qFormat/>
    <w:uiPriority w:val="99"/>
    <w:pPr>
      <w:widowControl w:val="0"/>
      <w:tabs>
        <w:tab w:val="left" w:pos="2040"/>
      </w:tabs>
      <w:ind w:left="420" w:firstLine="0" w:firstLineChars="0"/>
      <w:contextualSpacing/>
    </w:pPr>
    <w:rPr>
      <w:rFonts w:ascii="Calibri" w:hAnsi="Calibri" w:eastAsia="仿宋_GB2312" w:cs="Times New Roman"/>
      <w:kern w:val="2"/>
      <w:szCs w:val="22"/>
    </w:rPr>
  </w:style>
  <w:style w:type="paragraph" w:styleId="67">
    <w:name w:val="List"/>
    <w:basedOn w:val="1"/>
    <w:autoRedefine/>
    <w:unhideWhenUsed/>
    <w:qFormat/>
    <w:uiPriority w:val="99"/>
    <w:pPr>
      <w:widowControl w:val="0"/>
      <w:ind w:left="200" w:hanging="200" w:hangingChars="200"/>
      <w:contextualSpacing/>
    </w:pPr>
    <w:rPr>
      <w:rFonts w:ascii="Calibri" w:hAnsi="Calibri" w:eastAsia="仿宋_GB2312" w:cs="Times New Roman"/>
      <w:kern w:val="2"/>
      <w:szCs w:val="22"/>
    </w:rPr>
  </w:style>
  <w:style w:type="paragraph" w:styleId="68">
    <w:name w:val="footnote text"/>
    <w:basedOn w:val="1"/>
    <w:link w:val="204"/>
    <w:autoRedefine/>
    <w:unhideWhenUsed/>
    <w:qFormat/>
    <w:uiPriority w:val="99"/>
    <w:pPr>
      <w:widowControl w:val="0"/>
      <w:snapToGrid w:val="0"/>
      <w:ind w:firstLine="0" w:firstLineChars="0"/>
      <w:jc w:val="left"/>
    </w:pPr>
    <w:rPr>
      <w:rFonts w:ascii="Calibri" w:hAnsi="Calibri" w:eastAsia="仿宋_GB2312" w:cs="Times New Roman"/>
      <w:kern w:val="2"/>
      <w:sz w:val="18"/>
      <w:szCs w:val="18"/>
    </w:rPr>
  </w:style>
  <w:style w:type="paragraph" w:styleId="69">
    <w:name w:val="toc 6"/>
    <w:basedOn w:val="1"/>
    <w:next w:val="1"/>
    <w:autoRedefine/>
    <w:unhideWhenUsed/>
    <w:qFormat/>
    <w:uiPriority w:val="39"/>
    <w:pPr>
      <w:ind w:left="1200"/>
      <w:jc w:val="left"/>
    </w:pPr>
    <w:rPr>
      <w:rFonts w:asciiTheme="minorHAnsi" w:hAnsiTheme="minorHAnsi"/>
      <w:sz w:val="20"/>
      <w:szCs w:val="20"/>
    </w:rPr>
  </w:style>
  <w:style w:type="paragraph" w:styleId="70">
    <w:name w:val="List 5"/>
    <w:basedOn w:val="1"/>
    <w:autoRedefine/>
    <w:qFormat/>
    <w:uiPriority w:val="0"/>
    <w:pPr>
      <w:widowControl w:val="0"/>
      <w:ind w:left="100" w:leftChars="800" w:hanging="200" w:hangingChars="200"/>
    </w:pPr>
    <w:rPr>
      <w:rFonts w:eastAsia="仿宋_GB2312" w:cs="Times New Roman"/>
      <w:kern w:val="2"/>
      <w:sz w:val="28"/>
    </w:rPr>
  </w:style>
  <w:style w:type="paragraph" w:styleId="71">
    <w:name w:val="Body Text Indent 3"/>
    <w:basedOn w:val="1"/>
    <w:link w:val="180"/>
    <w:autoRedefine/>
    <w:unhideWhenUsed/>
    <w:qFormat/>
    <w:uiPriority w:val="99"/>
    <w:pPr>
      <w:widowControl w:val="0"/>
      <w:spacing w:after="120"/>
      <w:ind w:left="420" w:leftChars="200" w:firstLine="0" w:firstLineChars="0"/>
    </w:pPr>
    <w:rPr>
      <w:rFonts w:ascii="Calibri" w:hAnsi="Calibri" w:eastAsia="仿宋_GB2312" w:cs="Times New Roman"/>
      <w:kern w:val="2"/>
      <w:sz w:val="16"/>
      <w:szCs w:val="16"/>
    </w:rPr>
  </w:style>
  <w:style w:type="paragraph" w:styleId="72">
    <w:name w:val="index 7"/>
    <w:basedOn w:val="1"/>
    <w:next w:val="1"/>
    <w:autoRedefine/>
    <w:unhideWhenUsed/>
    <w:qFormat/>
    <w:uiPriority w:val="99"/>
    <w:pPr>
      <w:widowControl w:val="0"/>
      <w:ind w:left="1200" w:leftChars="1200" w:firstLine="0" w:firstLineChars="0"/>
    </w:pPr>
    <w:rPr>
      <w:rFonts w:ascii="Calibri" w:hAnsi="Calibri" w:eastAsia="仿宋_GB2312" w:cs="Times New Roman"/>
      <w:kern w:val="2"/>
      <w:szCs w:val="22"/>
    </w:rPr>
  </w:style>
  <w:style w:type="paragraph" w:styleId="73">
    <w:name w:val="index 9"/>
    <w:basedOn w:val="1"/>
    <w:next w:val="1"/>
    <w:autoRedefine/>
    <w:unhideWhenUsed/>
    <w:qFormat/>
    <w:uiPriority w:val="99"/>
    <w:pPr>
      <w:widowControl w:val="0"/>
      <w:ind w:left="1600" w:leftChars="1600" w:firstLine="0" w:firstLineChars="0"/>
    </w:pPr>
    <w:rPr>
      <w:rFonts w:ascii="Calibri" w:hAnsi="Calibri" w:eastAsia="仿宋_GB2312" w:cs="Times New Roman"/>
      <w:kern w:val="2"/>
      <w:szCs w:val="22"/>
    </w:rPr>
  </w:style>
  <w:style w:type="paragraph" w:styleId="74">
    <w:name w:val="table of figures"/>
    <w:basedOn w:val="1"/>
    <w:next w:val="1"/>
    <w:autoRedefine/>
    <w:unhideWhenUsed/>
    <w:qFormat/>
    <w:uiPriority w:val="99"/>
    <w:pPr>
      <w:widowControl w:val="0"/>
      <w:ind w:left="200" w:leftChars="200" w:hanging="200" w:hangingChars="200"/>
    </w:pPr>
    <w:rPr>
      <w:rFonts w:ascii="Calibri" w:hAnsi="Calibri" w:eastAsia="仿宋_GB2312" w:cs="Times New Roman"/>
      <w:kern w:val="2"/>
      <w:szCs w:val="22"/>
    </w:rPr>
  </w:style>
  <w:style w:type="paragraph" w:styleId="75">
    <w:name w:val="toc 2"/>
    <w:basedOn w:val="1"/>
    <w:next w:val="1"/>
    <w:autoRedefine/>
    <w:unhideWhenUsed/>
    <w:qFormat/>
    <w:uiPriority w:val="39"/>
    <w:pPr>
      <w:spacing w:before="120"/>
      <w:ind w:left="240"/>
      <w:jc w:val="left"/>
    </w:pPr>
    <w:rPr>
      <w:rFonts w:asciiTheme="minorHAnsi" w:hAnsiTheme="minorHAnsi"/>
      <w:b/>
      <w:bCs/>
      <w:sz w:val="22"/>
      <w:szCs w:val="22"/>
    </w:rPr>
  </w:style>
  <w:style w:type="paragraph" w:styleId="76">
    <w:name w:val="toc 9"/>
    <w:basedOn w:val="1"/>
    <w:next w:val="1"/>
    <w:autoRedefine/>
    <w:unhideWhenUsed/>
    <w:qFormat/>
    <w:uiPriority w:val="39"/>
    <w:pPr>
      <w:ind w:left="1920"/>
      <w:jc w:val="left"/>
    </w:pPr>
    <w:rPr>
      <w:rFonts w:asciiTheme="minorHAnsi" w:hAnsiTheme="minorHAnsi"/>
      <w:sz w:val="20"/>
      <w:szCs w:val="20"/>
    </w:rPr>
  </w:style>
  <w:style w:type="paragraph" w:styleId="77">
    <w:name w:val="Body Text 2"/>
    <w:basedOn w:val="1"/>
    <w:link w:val="174"/>
    <w:autoRedefine/>
    <w:unhideWhenUsed/>
    <w:qFormat/>
    <w:uiPriority w:val="99"/>
    <w:pPr>
      <w:widowControl w:val="0"/>
      <w:spacing w:after="120" w:line="480" w:lineRule="auto"/>
      <w:ind w:firstLine="0" w:firstLineChars="0"/>
    </w:pPr>
    <w:rPr>
      <w:rFonts w:ascii="Calibri" w:hAnsi="Calibri" w:eastAsia="仿宋_GB2312" w:cs="Times New Roman"/>
      <w:kern w:val="2"/>
      <w:szCs w:val="22"/>
    </w:rPr>
  </w:style>
  <w:style w:type="paragraph" w:styleId="78">
    <w:name w:val="List 4"/>
    <w:basedOn w:val="1"/>
    <w:autoRedefine/>
    <w:unhideWhenUsed/>
    <w:qFormat/>
    <w:uiPriority w:val="99"/>
    <w:pPr>
      <w:widowControl w:val="0"/>
      <w:ind w:left="100" w:leftChars="600" w:hanging="200" w:hangingChars="200"/>
      <w:contextualSpacing/>
    </w:pPr>
    <w:rPr>
      <w:rFonts w:ascii="Calibri" w:hAnsi="Calibri" w:eastAsia="仿宋_GB2312" w:cs="Times New Roman"/>
      <w:kern w:val="2"/>
      <w:szCs w:val="22"/>
    </w:rPr>
  </w:style>
  <w:style w:type="paragraph" w:styleId="79">
    <w:name w:val="List Continue 2"/>
    <w:basedOn w:val="1"/>
    <w:autoRedefine/>
    <w:unhideWhenUsed/>
    <w:qFormat/>
    <w:uiPriority w:val="99"/>
    <w:pPr>
      <w:widowControl w:val="0"/>
      <w:spacing w:after="120"/>
      <w:ind w:left="840" w:leftChars="400" w:firstLine="0" w:firstLineChars="0"/>
      <w:contextualSpacing/>
    </w:pPr>
    <w:rPr>
      <w:rFonts w:ascii="Calibri" w:hAnsi="Calibri" w:eastAsia="仿宋_GB2312" w:cs="Times New Roman"/>
      <w:kern w:val="2"/>
      <w:szCs w:val="22"/>
    </w:rPr>
  </w:style>
  <w:style w:type="paragraph" w:styleId="80">
    <w:name w:val="Message Header"/>
    <w:basedOn w:val="1"/>
    <w:link w:val="171"/>
    <w:autoRedefine/>
    <w:unhideWhenUsed/>
    <w:qFormat/>
    <w:uiPriority w:val="99"/>
    <w:pPr>
      <w:widowControl w:val="0"/>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等线 Light" w:hAnsi="等线 Light" w:eastAsia="等线 Light" w:cs="Times New Roman"/>
      <w:kern w:val="2"/>
    </w:rPr>
  </w:style>
  <w:style w:type="paragraph" w:styleId="81">
    <w:name w:val="HTML Preformatted"/>
    <w:basedOn w:val="1"/>
    <w:link w:val="185"/>
    <w:autoRedefine/>
    <w:unhideWhenUsed/>
    <w:qFormat/>
    <w:uiPriority w:val="99"/>
    <w:pPr>
      <w:widowControl w:val="0"/>
      <w:ind w:firstLine="0" w:firstLineChars="0"/>
    </w:pPr>
    <w:rPr>
      <w:rFonts w:ascii="Courier New" w:hAnsi="Courier New" w:eastAsia="仿宋_GB2312" w:cs="Courier New"/>
      <w:kern w:val="2"/>
      <w:sz w:val="20"/>
      <w:szCs w:val="20"/>
    </w:rPr>
  </w:style>
  <w:style w:type="paragraph" w:styleId="82">
    <w:name w:val="Normal (Web)"/>
    <w:basedOn w:val="1"/>
    <w:autoRedefine/>
    <w:unhideWhenUsed/>
    <w:qFormat/>
    <w:uiPriority w:val="99"/>
    <w:pPr>
      <w:spacing w:before="100" w:beforeAutospacing="1" w:after="100" w:afterAutospacing="1" w:line="240" w:lineRule="auto"/>
      <w:ind w:firstLine="0" w:firstLineChars="0"/>
      <w:jc w:val="left"/>
    </w:pPr>
    <w:rPr>
      <w:rFonts w:ascii="宋体" w:hAnsi="宋体" w:eastAsia="宋体"/>
    </w:rPr>
  </w:style>
  <w:style w:type="paragraph" w:styleId="83">
    <w:name w:val="List Continue 3"/>
    <w:basedOn w:val="1"/>
    <w:autoRedefine/>
    <w:unhideWhenUsed/>
    <w:qFormat/>
    <w:uiPriority w:val="99"/>
    <w:pPr>
      <w:widowControl w:val="0"/>
      <w:spacing w:after="120"/>
      <w:ind w:left="1260" w:leftChars="600" w:firstLine="0" w:firstLineChars="0"/>
      <w:contextualSpacing/>
    </w:pPr>
    <w:rPr>
      <w:rFonts w:ascii="Calibri" w:hAnsi="Calibri" w:eastAsia="仿宋_GB2312" w:cs="Times New Roman"/>
      <w:kern w:val="2"/>
      <w:szCs w:val="22"/>
    </w:rPr>
  </w:style>
  <w:style w:type="paragraph" w:styleId="84">
    <w:name w:val="index 2"/>
    <w:basedOn w:val="1"/>
    <w:next w:val="1"/>
    <w:autoRedefine/>
    <w:unhideWhenUsed/>
    <w:qFormat/>
    <w:uiPriority w:val="99"/>
    <w:pPr>
      <w:widowControl w:val="0"/>
      <w:ind w:left="200" w:leftChars="200" w:firstLine="0" w:firstLineChars="0"/>
    </w:pPr>
    <w:rPr>
      <w:rFonts w:ascii="Calibri" w:hAnsi="Calibri" w:eastAsia="仿宋_GB2312" w:cs="Times New Roman"/>
      <w:kern w:val="2"/>
      <w:szCs w:val="22"/>
    </w:rPr>
  </w:style>
  <w:style w:type="paragraph" w:styleId="85">
    <w:name w:val="Title"/>
    <w:basedOn w:val="1"/>
    <w:next w:val="1"/>
    <w:link w:val="186"/>
    <w:autoRedefine/>
    <w:qFormat/>
    <w:uiPriority w:val="10"/>
    <w:pPr>
      <w:widowControl w:val="0"/>
      <w:spacing w:before="240" w:after="60"/>
      <w:ind w:firstLine="0" w:firstLineChars="0"/>
      <w:jc w:val="center"/>
      <w:outlineLvl w:val="0"/>
    </w:pPr>
    <w:rPr>
      <w:rFonts w:ascii="等线 Light" w:hAnsi="等线 Light" w:eastAsia="宋体" w:cs="Times New Roman"/>
      <w:b/>
      <w:bCs/>
      <w:kern w:val="2"/>
      <w:sz w:val="32"/>
      <w:szCs w:val="32"/>
    </w:rPr>
  </w:style>
  <w:style w:type="paragraph" w:styleId="86">
    <w:name w:val="annotation subject"/>
    <w:basedOn w:val="30"/>
    <w:next w:val="30"/>
    <w:link w:val="169"/>
    <w:autoRedefine/>
    <w:unhideWhenUsed/>
    <w:qFormat/>
    <w:uiPriority w:val="99"/>
    <w:rPr>
      <w:b/>
      <w:bCs/>
    </w:rPr>
  </w:style>
  <w:style w:type="paragraph" w:styleId="87">
    <w:name w:val="Body Text First Indent"/>
    <w:basedOn w:val="36"/>
    <w:link w:val="207"/>
    <w:autoRedefine/>
    <w:unhideWhenUsed/>
    <w:qFormat/>
    <w:uiPriority w:val="99"/>
    <w:pPr>
      <w:spacing w:line="360" w:lineRule="auto"/>
      <w:ind w:firstLine="420" w:firstLineChars="100"/>
    </w:pPr>
    <w:rPr>
      <w:rFonts w:ascii="Calibri" w:hAnsi="Calibri" w:eastAsia="仿宋_GB2312"/>
      <w:sz w:val="24"/>
      <w:szCs w:val="22"/>
    </w:rPr>
  </w:style>
  <w:style w:type="table" w:styleId="89">
    <w:name w:val="Table Grid"/>
    <w:basedOn w:val="88"/>
    <w:autoRedefine/>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1">
    <w:name w:val="Strong"/>
    <w:basedOn w:val="90"/>
    <w:autoRedefine/>
    <w:qFormat/>
    <w:uiPriority w:val="22"/>
    <w:rPr>
      <w:b/>
    </w:rPr>
  </w:style>
  <w:style w:type="character" w:styleId="92">
    <w:name w:val="page number"/>
    <w:basedOn w:val="90"/>
    <w:autoRedefine/>
    <w:qFormat/>
    <w:uiPriority w:val="99"/>
    <w:rPr>
      <w:sz w:val="24"/>
    </w:rPr>
  </w:style>
  <w:style w:type="character" w:styleId="93">
    <w:name w:val="FollowedHyperlink"/>
    <w:autoRedefine/>
    <w:unhideWhenUsed/>
    <w:qFormat/>
    <w:uiPriority w:val="99"/>
    <w:rPr>
      <w:color w:val="FF00FF"/>
      <w:u w:val="single"/>
    </w:rPr>
  </w:style>
  <w:style w:type="character" w:styleId="94">
    <w:name w:val="Emphasis"/>
    <w:autoRedefine/>
    <w:qFormat/>
    <w:uiPriority w:val="20"/>
    <w:rPr>
      <w:i/>
    </w:rPr>
  </w:style>
  <w:style w:type="character" w:styleId="95">
    <w:name w:val="Hyperlink"/>
    <w:basedOn w:val="90"/>
    <w:autoRedefine/>
    <w:unhideWhenUsed/>
    <w:qFormat/>
    <w:uiPriority w:val="99"/>
    <w:rPr>
      <w:color w:val="0000FF" w:themeColor="hyperlink"/>
      <w:u w:val="single"/>
      <w14:textFill>
        <w14:solidFill>
          <w14:schemeClr w14:val="hlink"/>
        </w14:solidFill>
      </w14:textFill>
    </w:rPr>
  </w:style>
  <w:style w:type="character" w:styleId="96">
    <w:name w:val="annotation reference"/>
    <w:basedOn w:val="90"/>
    <w:autoRedefine/>
    <w:semiHidden/>
    <w:unhideWhenUsed/>
    <w:qFormat/>
    <w:uiPriority w:val="0"/>
    <w:rPr>
      <w:sz w:val="21"/>
      <w:szCs w:val="21"/>
    </w:rPr>
  </w:style>
  <w:style w:type="character" w:styleId="97">
    <w:name w:val="footnote reference"/>
    <w:autoRedefine/>
    <w:qFormat/>
    <w:uiPriority w:val="0"/>
    <w:rPr>
      <w:vertAlign w:val="superscript"/>
    </w:rPr>
  </w:style>
  <w:style w:type="paragraph" w:customStyle="1" w:styleId="98">
    <w:name w:val="Body Text First Indent 21"/>
    <w:basedOn w:val="99"/>
    <w:next w:val="1"/>
    <w:autoRedefine/>
    <w:qFormat/>
    <w:uiPriority w:val="0"/>
    <w:pPr>
      <w:ind w:firstLine="420"/>
    </w:pPr>
  </w:style>
  <w:style w:type="paragraph" w:customStyle="1" w:styleId="99">
    <w:name w:val="Body Text Indent1"/>
    <w:basedOn w:val="1"/>
    <w:autoRedefine/>
    <w:qFormat/>
    <w:uiPriority w:val="0"/>
    <w:pPr>
      <w:ind w:left="420" w:leftChars="200"/>
    </w:pPr>
  </w:style>
  <w:style w:type="paragraph" w:customStyle="1" w:styleId="100">
    <w:name w:val="替换"/>
    <w:basedOn w:val="1"/>
    <w:autoRedefine/>
    <w:qFormat/>
    <w:uiPriority w:val="0"/>
    <w:pPr>
      <w:widowControl w:val="0"/>
      <w:spacing w:line="240" w:lineRule="auto"/>
      <w:ind w:firstLine="0" w:firstLineChars="0"/>
    </w:pPr>
    <w:rPr>
      <w:rFonts w:eastAsia="宋体" w:cs="Times New Roman"/>
      <w:kern w:val="2"/>
      <w:sz w:val="44"/>
    </w:rPr>
  </w:style>
  <w:style w:type="paragraph" w:customStyle="1" w:styleId="101">
    <w:name w:val="正文1"/>
    <w:basedOn w:val="1"/>
    <w:link w:val="102"/>
    <w:autoRedefine/>
    <w:qFormat/>
    <w:uiPriority w:val="0"/>
    <w:pPr>
      <w:widowControl w:val="0"/>
      <w:ind w:firstLine="640"/>
    </w:pPr>
    <w:rPr>
      <w:rFonts w:cs="Times New Roman"/>
      <w:szCs w:val="20"/>
    </w:rPr>
  </w:style>
  <w:style w:type="character" w:customStyle="1" w:styleId="102">
    <w:name w:val="正文1 Char"/>
    <w:link w:val="101"/>
    <w:autoRedefine/>
    <w:qFormat/>
    <w:uiPriority w:val="0"/>
    <w:rPr>
      <w:rFonts w:ascii="Times New Roman" w:hAnsi="Times New Roman" w:eastAsia="仿宋"/>
      <w:sz w:val="24"/>
    </w:rPr>
  </w:style>
  <w:style w:type="character" w:customStyle="1" w:styleId="103">
    <w:name w:val="标题 1 字符"/>
    <w:basedOn w:val="90"/>
    <w:link w:val="5"/>
    <w:autoRedefine/>
    <w:qFormat/>
    <w:uiPriority w:val="0"/>
    <w:rPr>
      <w:rFonts w:ascii="Times New Roman" w:hAnsi="Times New Roman" w:eastAsia="黑体" w:cs="宋体"/>
      <w:b/>
      <w:bCs/>
      <w:kern w:val="44"/>
      <w:sz w:val="32"/>
      <w:szCs w:val="44"/>
    </w:rPr>
  </w:style>
  <w:style w:type="paragraph" w:customStyle="1" w:styleId="104">
    <w:name w:val="错"/>
    <w:basedOn w:val="6"/>
    <w:next w:val="1"/>
    <w:link w:val="105"/>
    <w:autoRedefine/>
    <w:qFormat/>
    <w:uiPriority w:val="0"/>
    <w:pPr>
      <w:outlineLvl w:val="2"/>
    </w:pPr>
    <w:rPr>
      <w:sz w:val="28"/>
    </w:rPr>
  </w:style>
  <w:style w:type="character" w:customStyle="1" w:styleId="105">
    <w:name w:val="错 字符"/>
    <w:basedOn w:val="106"/>
    <w:link w:val="104"/>
    <w:autoRedefine/>
    <w:qFormat/>
    <w:uiPriority w:val="0"/>
    <w:rPr>
      <w:rFonts w:ascii="Times New Roman" w:hAnsi="Times New Roman" w:eastAsia="仿宋" w:cstheme="majorBidi"/>
      <w:color w:val="FF0000"/>
      <w:kern w:val="44"/>
      <w:sz w:val="28"/>
      <w:szCs w:val="32"/>
    </w:rPr>
  </w:style>
  <w:style w:type="character" w:customStyle="1" w:styleId="106">
    <w:name w:val="标题 2 字符"/>
    <w:basedOn w:val="90"/>
    <w:link w:val="6"/>
    <w:autoRedefine/>
    <w:qFormat/>
    <w:uiPriority w:val="0"/>
    <w:rPr>
      <w:rFonts w:eastAsia="仿宋_GB2312"/>
      <w:b/>
      <w:color w:val="FF0000"/>
      <w:kern w:val="44"/>
      <w:sz w:val="32"/>
      <w:szCs w:val="32"/>
    </w:rPr>
  </w:style>
  <w:style w:type="character" w:customStyle="1" w:styleId="107">
    <w:name w:val="标题 3 字符"/>
    <w:basedOn w:val="90"/>
    <w:link w:val="7"/>
    <w:autoRedefine/>
    <w:qFormat/>
    <w:uiPriority w:val="9"/>
    <w:rPr>
      <w:rFonts w:ascii="Times New Roman" w:hAnsi="Times New Roman" w:eastAsia="黑体" w:cstheme="majorBidi"/>
      <w:b/>
      <w:bCs/>
      <w:kern w:val="44"/>
      <w:sz w:val="28"/>
      <w:szCs w:val="32"/>
    </w:rPr>
  </w:style>
  <w:style w:type="character" w:customStyle="1" w:styleId="108">
    <w:name w:val="标题 4 字符"/>
    <w:basedOn w:val="90"/>
    <w:link w:val="8"/>
    <w:autoRedefine/>
    <w:qFormat/>
    <w:uiPriority w:val="9"/>
    <w:rPr>
      <w:rFonts w:ascii="Times New Roman" w:hAnsi="Times New Roman" w:eastAsia="黑体" w:cstheme="majorBidi"/>
      <w:b/>
      <w:bCs/>
      <w:sz w:val="24"/>
      <w:szCs w:val="28"/>
    </w:rPr>
  </w:style>
  <w:style w:type="character" w:customStyle="1" w:styleId="109">
    <w:name w:val="标题 5 字符"/>
    <w:basedOn w:val="90"/>
    <w:link w:val="9"/>
    <w:autoRedefine/>
    <w:qFormat/>
    <w:uiPriority w:val="9"/>
    <w:rPr>
      <w:rFonts w:ascii="Times New Roman" w:hAnsi="Times New Roman" w:eastAsia="仿宋"/>
      <w:b/>
      <w:bCs/>
      <w:sz w:val="28"/>
      <w:szCs w:val="28"/>
    </w:rPr>
  </w:style>
  <w:style w:type="character" w:customStyle="1" w:styleId="110">
    <w:name w:val="标题 6 字符"/>
    <w:basedOn w:val="90"/>
    <w:link w:val="10"/>
    <w:autoRedefine/>
    <w:qFormat/>
    <w:uiPriority w:val="9"/>
    <w:rPr>
      <w:rFonts w:asciiTheme="majorHAnsi" w:hAnsiTheme="majorHAnsi" w:eastAsiaTheme="majorEastAsia" w:cstheme="majorBidi"/>
      <w:b/>
      <w:bCs/>
      <w:sz w:val="24"/>
      <w:szCs w:val="24"/>
    </w:rPr>
  </w:style>
  <w:style w:type="character" w:customStyle="1" w:styleId="111">
    <w:name w:val="标题 7 字符"/>
    <w:basedOn w:val="90"/>
    <w:link w:val="11"/>
    <w:autoRedefine/>
    <w:qFormat/>
    <w:uiPriority w:val="9"/>
    <w:rPr>
      <w:rFonts w:ascii="Times New Roman" w:hAnsi="Times New Roman" w:eastAsia="仿宋"/>
      <w:b/>
      <w:bCs/>
      <w:sz w:val="24"/>
      <w:szCs w:val="24"/>
    </w:rPr>
  </w:style>
  <w:style w:type="character" w:customStyle="1" w:styleId="112">
    <w:name w:val="标题 8 字符"/>
    <w:basedOn w:val="90"/>
    <w:link w:val="12"/>
    <w:autoRedefine/>
    <w:qFormat/>
    <w:uiPriority w:val="9"/>
    <w:rPr>
      <w:rFonts w:asciiTheme="majorHAnsi" w:hAnsiTheme="majorHAnsi" w:eastAsiaTheme="majorEastAsia" w:cstheme="majorBidi"/>
      <w:sz w:val="24"/>
      <w:szCs w:val="24"/>
    </w:rPr>
  </w:style>
  <w:style w:type="character" w:customStyle="1" w:styleId="113">
    <w:name w:val="标题 9 字符"/>
    <w:basedOn w:val="90"/>
    <w:link w:val="13"/>
    <w:autoRedefine/>
    <w:qFormat/>
    <w:uiPriority w:val="9"/>
    <w:rPr>
      <w:rFonts w:asciiTheme="majorHAnsi" w:hAnsiTheme="majorHAnsi" w:eastAsiaTheme="majorEastAsia" w:cstheme="majorBidi"/>
      <w:szCs w:val="21"/>
    </w:rPr>
  </w:style>
  <w:style w:type="character" w:customStyle="1" w:styleId="114">
    <w:name w:val="页脚 字符"/>
    <w:basedOn w:val="90"/>
    <w:link w:val="56"/>
    <w:autoRedefine/>
    <w:qFormat/>
    <w:uiPriority w:val="99"/>
    <w:rPr>
      <w:sz w:val="18"/>
      <w:szCs w:val="18"/>
    </w:rPr>
  </w:style>
  <w:style w:type="character" w:customStyle="1" w:styleId="115">
    <w:name w:val="页眉 字符"/>
    <w:basedOn w:val="90"/>
    <w:link w:val="58"/>
    <w:autoRedefine/>
    <w:qFormat/>
    <w:uiPriority w:val="0"/>
    <w:rPr>
      <w:sz w:val="18"/>
      <w:szCs w:val="18"/>
    </w:rPr>
  </w:style>
  <w:style w:type="paragraph" w:styleId="116">
    <w:name w:val="List Paragraph"/>
    <w:basedOn w:val="1"/>
    <w:autoRedefine/>
    <w:qFormat/>
    <w:uiPriority w:val="34"/>
    <w:pPr>
      <w:ind w:firstLine="420"/>
    </w:pPr>
  </w:style>
  <w:style w:type="paragraph" w:customStyle="1" w:styleId="117">
    <w:name w:val="4"/>
    <w:basedOn w:val="1"/>
    <w:autoRedefine/>
    <w:semiHidden/>
    <w:qFormat/>
    <w:uiPriority w:val="99"/>
    <w:pPr>
      <w:spacing w:before="100" w:beforeAutospacing="1" w:after="100" w:afterAutospacing="1" w:line="240" w:lineRule="auto"/>
      <w:ind w:firstLine="0" w:firstLineChars="0"/>
      <w:jc w:val="left"/>
    </w:pPr>
    <w:rPr>
      <w:rFonts w:ascii="宋体" w:hAnsi="宋体" w:eastAsia="宋体"/>
    </w:rPr>
  </w:style>
  <w:style w:type="paragraph" w:customStyle="1" w:styleId="118">
    <w:name w:val="样式 首行缩进:  2 字符1"/>
    <w:basedOn w:val="1"/>
    <w:autoRedefine/>
    <w:qFormat/>
    <w:uiPriority w:val="0"/>
    <w:pPr>
      <w:widowControl w:val="0"/>
      <w:ind w:firstLine="480"/>
    </w:pPr>
    <w:rPr>
      <w:rFonts w:ascii="仿宋_GB2312" w:eastAsia="仿宋_GB2312" w:cs="Times New Roman"/>
      <w:kern w:val="2"/>
    </w:rPr>
  </w:style>
  <w:style w:type="character" w:customStyle="1" w:styleId="119">
    <w:name w:val="表格文字 Char"/>
    <w:link w:val="120"/>
    <w:autoRedefine/>
    <w:qFormat/>
    <w:uiPriority w:val="0"/>
    <w:rPr>
      <w:rFonts w:ascii="Times New Roman" w:hAnsi="Times New Roman" w:eastAsia="仿宋" w:cstheme="minorBidi"/>
      <w:sz w:val="21"/>
      <w:szCs w:val="21"/>
    </w:rPr>
  </w:style>
  <w:style w:type="paragraph" w:customStyle="1" w:styleId="120">
    <w:name w:val="表格文字"/>
    <w:basedOn w:val="1"/>
    <w:next w:val="1"/>
    <w:link w:val="119"/>
    <w:autoRedefine/>
    <w:qFormat/>
    <w:uiPriority w:val="0"/>
    <w:pPr>
      <w:widowControl w:val="0"/>
      <w:spacing w:line="240" w:lineRule="auto"/>
      <w:ind w:firstLine="0" w:firstLineChars="0"/>
    </w:pPr>
    <w:rPr>
      <w:rFonts w:cstheme="minorBidi"/>
      <w:sz w:val="21"/>
      <w:szCs w:val="21"/>
    </w:rPr>
  </w:style>
  <w:style w:type="character" w:customStyle="1" w:styleId="121">
    <w:name w:val="font01"/>
    <w:autoRedefine/>
    <w:qFormat/>
    <w:uiPriority w:val="0"/>
    <w:rPr>
      <w:rFonts w:hint="eastAsia" w:ascii="仿宋" w:hAnsi="仿宋" w:eastAsia="仿宋" w:cs="仿宋"/>
      <w:color w:val="000000"/>
      <w:sz w:val="21"/>
      <w:szCs w:val="21"/>
      <w:u w:val="none"/>
    </w:rPr>
  </w:style>
  <w:style w:type="paragraph" w:customStyle="1" w:styleId="122">
    <w:name w:val="TOC 标题1"/>
    <w:basedOn w:val="5"/>
    <w:next w:val="1"/>
    <w:autoRedefine/>
    <w:unhideWhenUsed/>
    <w:qFormat/>
    <w:uiPriority w:val="39"/>
    <w:pPr>
      <w:numPr>
        <w:numId w:val="0"/>
      </w:numPr>
      <w:spacing w:before="240" w:line="259" w:lineRule="auto"/>
      <w:outlineLvl w:val="9"/>
    </w:pPr>
    <w:rPr>
      <w:rFonts w:asciiTheme="majorHAnsi" w:hAnsiTheme="majorHAnsi" w:eastAsiaTheme="majorEastAsia" w:cstheme="majorBidi"/>
      <w:b w:val="0"/>
      <w:bCs w:val="0"/>
      <w:color w:val="376092" w:themeColor="accent1" w:themeShade="BF"/>
      <w:kern w:val="0"/>
      <w:szCs w:val="32"/>
    </w:rPr>
  </w:style>
  <w:style w:type="character" w:customStyle="1" w:styleId="123">
    <w:name w:val="批注框文本 字符"/>
    <w:basedOn w:val="90"/>
    <w:link w:val="55"/>
    <w:autoRedefine/>
    <w:semiHidden/>
    <w:qFormat/>
    <w:uiPriority w:val="0"/>
    <w:rPr>
      <w:rFonts w:ascii="Times New Roman" w:hAnsi="Times New Roman" w:eastAsia="仿宋" w:cs="宋体"/>
      <w:sz w:val="18"/>
      <w:szCs w:val="18"/>
    </w:rPr>
  </w:style>
  <w:style w:type="character" w:customStyle="1" w:styleId="124">
    <w:name w:val="文档结构图 字符"/>
    <w:basedOn w:val="90"/>
    <w:link w:val="28"/>
    <w:autoRedefine/>
    <w:semiHidden/>
    <w:qFormat/>
    <w:uiPriority w:val="0"/>
    <w:rPr>
      <w:rFonts w:ascii="宋体" w:hAnsi="Times New Roman"/>
      <w:kern w:val="2"/>
      <w:sz w:val="18"/>
      <w:szCs w:val="18"/>
    </w:rPr>
  </w:style>
  <w:style w:type="character" w:customStyle="1" w:styleId="125">
    <w:name w:val="正文文本 字符"/>
    <w:basedOn w:val="90"/>
    <w:link w:val="36"/>
    <w:autoRedefine/>
    <w:qFormat/>
    <w:uiPriority w:val="99"/>
    <w:rPr>
      <w:rFonts w:ascii="Times New Roman" w:hAnsi="Times New Roman"/>
      <w:kern w:val="2"/>
      <w:sz w:val="21"/>
      <w:szCs w:val="24"/>
    </w:rPr>
  </w:style>
  <w:style w:type="character" w:customStyle="1" w:styleId="126">
    <w:name w:val="正文文本缩进 字符"/>
    <w:basedOn w:val="90"/>
    <w:link w:val="3"/>
    <w:autoRedefine/>
    <w:qFormat/>
    <w:uiPriority w:val="0"/>
    <w:rPr>
      <w:rFonts w:ascii="宋体" w:hAnsi="宋体"/>
      <w:color w:val="FF0000"/>
      <w:kern w:val="2"/>
      <w:sz w:val="28"/>
    </w:rPr>
  </w:style>
  <w:style w:type="paragraph" w:customStyle="1" w:styleId="127">
    <w:name w:val="样式 样式 两端对齐 首行缩进:  2 字符 + 首行缩进:  5 字符"/>
    <w:basedOn w:val="1"/>
    <w:autoRedefine/>
    <w:qFormat/>
    <w:uiPriority w:val="0"/>
    <w:pPr>
      <w:widowControl w:val="0"/>
      <w:ind w:firstLine="480"/>
    </w:pPr>
    <w:rPr>
      <w:rFonts w:eastAsia="仿宋_GB2312" w:cs="Times New Roman"/>
      <w:kern w:val="2"/>
      <w:szCs w:val="20"/>
    </w:rPr>
  </w:style>
  <w:style w:type="character" w:customStyle="1" w:styleId="128">
    <w:name w:val="5正文形式 Char"/>
    <w:link w:val="129"/>
    <w:autoRedefine/>
    <w:qFormat/>
    <w:uiPriority w:val="0"/>
    <w:rPr>
      <w:rFonts w:eastAsia="仿宋_GB2312"/>
      <w:sz w:val="24"/>
      <w:szCs w:val="24"/>
    </w:rPr>
  </w:style>
  <w:style w:type="paragraph" w:customStyle="1" w:styleId="129">
    <w:name w:val="5正文形式"/>
    <w:basedOn w:val="1"/>
    <w:link w:val="128"/>
    <w:autoRedefine/>
    <w:qFormat/>
    <w:uiPriority w:val="99"/>
    <w:pPr>
      <w:widowControl w:val="0"/>
      <w:snapToGrid w:val="0"/>
      <w:ind w:right="102" w:firstLine="480"/>
    </w:pPr>
    <w:rPr>
      <w:rFonts w:ascii="Calibri" w:hAnsi="Calibri" w:eastAsia="仿宋_GB2312" w:cs="Times New Roman"/>
    </w:rPr>
  </w:style>
  <w:style w:type="character" w:customStyle="1" w:styleId="130">
    <w:name w:val="纯文本 Char"/>
    <w:basedOn w:val="90"/>
    <w:autoRedefine/>
    <w:semiHidden/>
    <w:qFormat/>
    <w:uiPriority w:val="99"/>
    <w:rPr>
      <w:rFonts w:ascii="宋体" w:hAnsi="Courier New" w:eastAsia="宋体" w:cs="Courier New"/>
      <w:szCs w:val="21"/>
    </w:rPr>
  </w:style>
  <w:style w:type="paragraph" w:customStyle="1" w:styleId="131">
    <w:name w:val="样式 样式 1 正文 + 首行缩进:  2 字符"/>
    <w:basedOn w:val="1"/>
    <w:autoRedefine/>
    <w:qFormat/>
    <w:uiPriority w:val="0"/>
    <w:pPr>
      <w:jc w:val="left"/>
    </w:pPr>
    <w:rPr>
      <w:rFonts w:eastAsia="仿宋_GB2312"/>
      <w:szCs w:val="20"/>
    </w:rPr>
  </w:style>
  <w:style w:type="paragraph" w:customStyle="1" w:styleId="132">
    <w:name w:val="样式 样式 四号 首行缩进:  2 字符 + 首行缩进:  2 字符"/>
    <w:basedOn w:val="1"/>
    <w:autoRedefine/>
    <w:qFormat/>
    <w:uiPriority w:val="0"/>
    <w:pPr>
      <w:widowControl w:val="0"/>
    </w:pPr>
    <w:rPr>
      <w:rFonts w:eastAsia="仿宋_GB2312"/>
      <w:color w:val="FF0000"/>
      <w:kern w:val="2"/>
      <w:szCs w:val="20"/>
    </w:rPr>
  </w:style>
  <w:style w:type="paragraph" w:customStyle="1" w:styleId="133">
    <w:name w:val="样式 小四 行距: 1.5 倍行距 首行缩进:  2 字符"/>
    <w:basedOn w:val="1"/>
    <w:autoRedefine/>
    <w:qFormat/>
    <w:uiPriority w:val="0"/>
    <w:pPr>
      <w:widowControl w:val="0"/>
      <w:ind w:firstLine="480"/>
    </w:pPr>
    <w:rPr>
      <w:rFonts w:eastAsia="仿宋_GB2312" w:cs="Times New Roman"/>
      <w:kern w:val="2"/>
    </w:rPr>
  </w:style>
  <w:style w:type="character" w:customStyle="1" w:styleId="134">
    <w:name w:val="font41"/>
    <w:basedOn w:val="90"/>
    <w:autoRedefine/>
    <w:qFormat/>
    <w:uiPriority w:val="0"/>
    <w:rPr>
      <w:rFonts w:hint="default" w:ascii="Times New Roman" w:hAnsi="Times New Roman" w:eastAsia="仿宋_GB2312" w:cs="Times New Roman"/>
      <w:color w:val="000000"/>
      <w:sz w:val="18"/>
      <w:szCs w:val="18"/>
      <w:u w:val="none"/>
    </w:rPr>
  </w:style>
  <w:style w:type="character" w:customStyle="1" w:styleId="135">
    <w:name w:val="font31"/>
    <w:basedOn w:val="90"/>
    <w:autoRedefine/>
    <w:qFormat/>
    <w:uiPriority w:val="0"/>
    <w:rPr>
      <w:rFonts w:hint="default" w:ascii="Times New Roman" w:hAnsi="Times New Roman" w:eastAsia="仿宋_GB2312" w:cs="Times New Roman"/>
      <w:color w:val="000000"/>
      <w:sz w:val="18"/>
      <w:szCs w:val="18"/>
      <w:u w:val="none"/>
      <w:vertAlign w:val="superscript"/>
    </w:rPr>
  </w:style>
  <w:style w:type="paragraph" w:customStyle="1" w:styleId="136">
    <w:name w:val="正文文本 + 首行缩进:  5 字符"/>
    <w:basedOn w:val="36"/>
    <w:autoRedefine/>
    <w:qFormat/>
    <w:uiPriority w:val="0"/>
    <w:pPr>
      <w:ind w:firstLine="1200" w:firstLineChars="500"/>
    </w:pPr>
    <w:rPr>
      <w:rFonts w:eastAsia="仿宋_GB2312" w:cs="宋体"/>
      <w:sz w:val="24"/>
    </w:rPr>
  </w:style>
  <w:style w:type="character" w:customStyle="1" w:styleId="137">
    <w:name w:val="yxx_正文 Char Char"/>
    <w:link w:val="138"/>
    <w:autoRedefine/>
    <w:qFormat/>
    <w:uiPriority w:val="0"/>
    <w:rPr>
      <w:rFonts w:eastAsia="仿宋_GB2312"/>
      <w:sz w:val="24"/>
    </w:rPr>
  </w:style>
  <w:style w:type="paragraph" w:customStyle="1" w:styleId="138">
    <w:name w:val="yxx_正文"/>
    <w:basedOn w:val="1"/>
    <w:link w:val="137"/>
    <w:autoRedefine/>
    <w:qFormat/>
    <w:uiPriority w:val="0"/>
    <w:pPr>
      <w:widowControl w:val="0"/>
      <w:snapToGrid w:val="0"/>
    </w:pPr>
    <w:rPr>
      <w:rFonts w:ascii="Calibri" w:hAnsi="Calibri" w:eastAsia="仿宋_GB2312" w:cs="Times New Roman"/>
      <w:szCs w:val="20"/>
    </w:rPr>
  </w:style>
  <w:style w:type="character" w:customStyle="1" w:styleId="139">
    <w:name w:val="1表格 Char"/>
    <w:link w:val="140"/>
    <w:autoRedefine/>
    <w:qFormat/>
    <w:uiPriority w:val="0"/>
    <w:rPr>
      <w:rFonts w:eastAsia="仿宋_GB2312"/>
      <w:lang w:eastAsia="en-US" w:bidi="en-US"/>
    </w:rPr>
  </w:style>
  <w:style w:type="paragraph" w:customStyle="1" w:styleId="140">
    <w:name w:val="1表格"/>
    <w:basedOn w:val="1"/>
    <w:next w:val="1"/>
    <w:link w:val="139"/>
    <w:autoRedefine/>
    <w:qFormat/>
    <w:uiPriority w:val="0"/>
    <w:pPr>
      <w:spacing w:line="0" w:lineRule="atLeast"/>
      <w:ind w:firstLine="0" w:firstLineChars="0"/>
      <w:jc w:val="center"/>
    </w:pPr>
    <w:rPr>
      <w:rFonts w:ascii="Calibri" w:hAnsi="Calibri" w:eastAsia="仿宋_GB2312" w:cs="Times New Roman"/>
      <w:sz w:val="20"/>
      <w:szCs w:val="20"/>
      <w:lang w:eastAsia="en-US" w:bidi="en-US"/>
    </w:rPr>
  </w:style>
  <w:style w:type="character" w:customStyle="1" w:styleId="141">
    <w:name w:val="表头 Char"/>
    <w:link w:val="142"/>
    <w:autoRedefine/>
    <w:qFormat/>
    <w:uiPriority w:val="0"/>
    <w:rPr>
      <w:rFonts w:ascii="黑体" w:hAnsi="宋体" w:eastAsia="黑体"/>
      <w:sz w:val="24"/>
      <w:szCs w:val="28"/>
      <w:lang w:val="en-GB"/>
    </w:rPr>
  </w:style>
  <w:style w:type="paragraph" w:customStyle="1" w:styleId="142">
    <w:name w:val="表头"/>
    <w:basedOn w:val="1"/>
    <w:link w:val="141"/>
    <w:autoRedefine/>
    <w:qFormat/>
    <w:uiPriority w:val="0"/>
    <w:pPr>
      <w:widowControl w:val="0"/>
      <w:tabs>
        <w:tab w:val="center" w:pos="4214"/>
        <w:tab w:val="right" w:pos="8280"/>
        <w:tab w:val="right" w:pos="9540"/>
        <w:tab w:val="right" w:pos="13860"/>
      </w:tabs>
      <w:adjustRightInd w:val="0"/>
      <w:ind w:left="482" w:firstLine="0" w:firstLineChars="0"/>
      <w:jc w:val="left"/>
    </w:pPr>
    <w:rPr>
      <w:rFonts w:ascii="黑体" w:hAnsi="宋体" w:eastAsia="黑体" w:cs="Times New Roman"/>
      <w:szCs w:val="28"/>
      <w:lang w:val="en-GB"/>
    </w:rPr>
  </w:style>
  <w:style w:type="character" w:customStyle="1" w:styleId="143">
    <w:name w:val="表文字中 Char"/>
    <w:link w:val="144"/>
    <w:autoRedefine/>
    <w:qFormat/>
    <w:uiPriority w:val="0"/>
    <w:rPr>
      <w:rFonts w:ascii="仿宋_GB2312" w:eastAsia="仿宋_GB2312"/>
      <w:szCs w:val="21"/>
    </w:rPr>
  </w:style>
  <w:style w:type="paragraph" w:customStyle="1" w:styleId="144">
    <w:name w:val="表文字中"/>
    <w:basedOn w:val="1"/>
    <w:link w:val="143"/>
    <w:autoRedefine/>
    <w:qFormat/>
    <w:uiPriority w:val="0"/>
    <w:pPr>
      <w:widowControl w:val="0"/>
      <w:snapToGrid w:val="0"/>
      <w:spacing w:line="240" w:lineRule="auto"/>
      <w:ind w:firstLine="0" w:firstLineChars="0"/>
      <w:jc w:val="center"/>
    </w:pPr>
    <w:rPr>
      <w:rFonts w:ascii="仿宋_GB2312" w:hAnsi="Calibri" w:eastAsia="仿宋_GB2312" w:cs="Times New Roman"/>
      <w:sz w:val="20"/>
      <w:szCs w:val="21"/>
    </w:rPr>
  </w:style>
  <w:style w:type="character" w:customStyle="1" w:styleId="145">
    <w:name w:val="表文字 Char"/>
    <w:basedOn w:val="90"/>
    <w:link w:val="146"/>
    <w:autoRedefine/>
    <w:qFormat/>
    <w:uiPriority w:val="0"/>
    <w:rPr>
      <w:rFonts w:ascii="宋体" w:hAnsi="宋体" w:cs="宋体"/>
      <w:szCs w:val="24"/>
    </w:rPr>
  </w:style>
  <w:style w:type="paragraph" w:customStyle="1" w:styleId="146">
    <w:name w:val="表文字"/>
    <w:link w:val="145"/>
    <w:autoRedefine/>
    <w:qFormat/>
    <w:uiPriority w:val="0"/>
    <w:pPr>
      <w:tabs>
        <w:tab w:val="left" w:pos="5220"/>
        <w:tab w:val="left" w:pos="5760"/>
      </w:tabs>
      <w:jc w:val="center"/>
    </w:pPr>
    <w:rPr>
      <w:rFonts w:ascii="宋体" w:hAnsi="宋体" w:eastAsia="宋体" w:cs="宋体"/>
      <w:szCs w:val="24"/>
      <w:lang w:val="en-US" w:eastAsia="zh-CN" w:bidi="ar-SA"/>
    </w:rPr>
  </w:style>
  <w:style w:type="paragraph" w:customStyle="1" w:styleId="147">
    <w:name w:val="Char"/>
    <w:basedOn w:val="1"/>
    <w:autoRedefine/>
    <w:qFormat/>
    <w:uiPriority w:val="0"/>
    <w:pPr>
      <w:widowControl w:val="0"/>
      <w:snapToGrid w:val="0"/>
    </w:pPr>
    <w:rPr>
      <w:rFonts w:eastAsia="仿宋_GB2312" w:cs="Times New Roman"/>
      <w:kern w:val="2"/>
    </w:rPr>
  </w:style>
  <w:style w:type="paragraph" w:customStyle="1" w:styleId="148">
    <w:name w:val="Char1"/>
    <w:basedOn w:val="1"/>
    <w:autoRedefine/>
    <w:qFormat/>
    <w:uiPriority w:val="0"/>
    <w:pPr>
      <w:widowControl w:val="0"/>
      <w:snapToGrid w:val="0"/>
    </w:pPr>
    <w:rPr>
      <w:rFonts w:eastAsia="仿宋_GB2312" w:cs="Times New Roman"/>
      <w:kern w:val="2"/>
    </w:rPr>
  </w:style>
  <w:style w:type="character" w:customStyle="1" w:styleId="149">
    <w:name w:val="表项 Char"/>
    <w:basedOn w:val="90"/>
    <w:link w:val="150"/>
    <w:autoRedefine/>
    <w:qFormat/>
    <w:uiPriority w:val="0"/>
    <w:rPr>
      <w:rFonts w:ascii="仿宋_GB2312" w:hAnsi="宋体" w:eastAsia="仿宋_GB2312" w:cs="宋体"/>
      <w:b/>
      <w:bCs/>
    </w:rPr>
  </w:style>
  <w:style w:type="paragraph" w:customStyle="1" w:styleId="150">
    <w:name w:val="表项"/>
    <w:basedOn w:val="1"/>
    <w:link w:val="149"/>
    <w:autoRedefine/>
    <w:qFormat/>
    <w:uiPriority w:val="0"/>
    <w:pPr>
      <w:widowControl w:val="0"/>
      <w:snapToGrid w:val="0"/>
      <w:spacing w:line="240" w:lineRule="auto"/>
      <w:ind w:firstLine="0" w:firstLineChars="0"/>
      <w:jc w:val="center"/>
    </w:pPr>
    <w:rPr>
      <w:rFonts w:ascii="仿宋_GB2312" w:hAnsi="宋体" w:eastAsia="仿宋_GB2312"/>
      <w:b/>
      <w:bCs/>
      <w:sz w:val="20"/>
      <w:szCs w:val="20"/>
    </w:rPr>
  </w:style>
  <w:style w:type="paragraph" w:customStyle="1" w:styleId="151">
    <w:name w:val="Char2"/>
    <w:basedOn w:val="1"/>
    <w:autoRedefine/>
    <w:qFormat/>
    <w:uiPriority w:val="0"/>
    <w:pPr>
      <w:widowControl w:val="0"/>
      <w:snapToGrid w:val="0"/>
    </w:pPr>
    <w:rPr>
      <w:rFonts w:eastAsia="仿宋_GB2312" w:cs="Times New Roman"/>
      <w:kern w:val="2"/>
    </w:rPr>
  </w:style>
  <w:style w:type="paragraph" w:customStyle="1" w:styleId="152">
    <w:name w:val="Char3"/>
    <w:basedOn w:val="1"/>
    <w:autoRedefine/>
    <w:qFormat/>
    <w:uiPriority w:val="0"/>
    <w:pPr>
      <w:widowControl w:val="0"/>
      <w:snapToGrid w:val="0"/>
    </w:pPr>
    <w:rPr>
      <w:rFonts w:eastAsia="仿宋_GB2312" w:cs="Times New Roman"/>
      <w:kern w:val="2"/>
    </w:rPr>
  </w:style>
  <w:style w:type="paragraph" w:customStyle="1" w:styleId="153">
    <w:name w:val="Char4"/>
    <w:basedOn w:val="1"/>
    <w:autoRedefine/>
    <w:qFormat/>
    <w:uiPriority w:val="0"/>
    <w:pPr>
      <w:widowControl w:val="0"/>
      <w:snapToGrid w:val="0"/>
    </w:pPr>
    <w:rPr>
      <w:rFonts w:eastAsia="仿宋_GB2312" w:cs="Times New Roman"/>
      <w:kern w:val="2"/>
    </w:rPr>
  </w:style>
  <w:style w:type="character" w:styleId="154">
    <w:name w:val="Placeholder Text"/>
    <w:basedOn w:val="90"/>
    <w:autoRedefine/>
    <w:semiHidden/>
    <w:qFormat/>
    <w:uiPriority w:val="99"/>
    <w:rPr>
      <w:color w:val="808080"/>
    </w:rPr>
  </w:style>
  <w:style w:type="paragraph" w:customStyle="1" w:styleId="155">
    <w:name w:val="TOC 标题2"/>
    <w:basedOn w:val="5"/>
    <w:next w:val="1"/>
    <w:autoRedefine/>
    <w:unhideWhenUsed/>
    <w:qFormat/>
    <w:uiPriority w:val="39"/>
    <w:pPr>
      <w:numPr>
        <w:numId w:val="0"/>
      </w:numPr>
      <w:spacing w:before="240" w:line="259" w:lineRule="auto"/>
      <w:outlineLvl w:val="9"/>
    </w:pPr>
    <w:rPr>
      <w:rFonts w:asciiTheme="majorHAnsi" w:hAnsiTheme="majorHAnsi" w:eastAsiaTheme="majorEastAsia" w:cstheme="majorBidi"/>
      <w:b w:val="0"/>
      <w:bCs w:val="0"/>
      <w:color w:val="376092" w:themeColor="accent1" w:themeShade="BF"/>
      <w:kern w:val="0"/>
      <w:szCs w:val="32"/>
    </w:rPr>
  </w:style>
  <w:style w:type="character" w:customStyle="1" w:styleId="156">
    <w:name w:val="未处理的提及1"/>
    <w:basedOn w:val="90"/>
    <w:autoRedefine/>
    <w:semiHidden/>
    <w:unhideWhenUsed/>
    <w:qFormat/>
    <w:uiPriority w:val="99"/>
    <w:rPr>
      <w:color w:val="605E5C"/>
      <w:shd w:val="clear" w:color="auto" w:fill="E1DFDD"/>
    </w:rPr>
  </w:style>
  <w:style w:type="paragraph" w:customStyle="1" w:styleId="157">
    <w:name w:val="WPSOffice手动目录 1"/>
    <w:autoRedefine/>
    <w:qFormat/>
    <w:uiPriority w:val="0"/>
    <w:rPr>
      <w:rFonts w:ascii="Calibri" w:hAnsi="Calibri" w:eastAsia="宋体" w:cs="Times New Roman"/>
      <w:lang w:val="en-US" w:eastAsia="zh-CN" w:bidi="ar-SA"/>
    </w:rPr>
  </w:style>
  <w:style w:type="paragraph" w:customStyle="1" w:styleId="158">
    <w:name w:val="WPSOffice手动目录 2"/>
    <w:autoRedefine/>
    <w:qFormat/>
    <w:uiPriority w:val="0"/>
    <w:pPr>
      <w:ind w:left="200" w:leftChars="200"/>
    </w:pPr>
    <w:rPr>
      <w:rFonts w:ascii="Calibri" w:hAnsi="Calibri" w:eastAsia="宋体" w:cs="Times New Roman"/>
      <w:lang w:val="en-US" w:eastAsia="zh-CN" w:bidi="ar-SA"/>
    </w:rPr>
  </w:style>
  <w:style w:type="character" w:customStyle="1" w:styleId="159">
    <w:name w:val="正文内容 Char"/>
    <w:link w:val="160"/>
    <w:autoRedefine/>
    <w:qFormat/>
    <w:uiPriority w:val="0"/>
    <w:rPr>
      <w:rFonts w:eastAsia="仿宋_GB2312"/>
      <w:kern w:val="2"/>
      <w:sz w:val="24"/>
      <w:szCs w:val="24"/>
    </w:rPr>
  </w:style>
  <w:style w:type="paragraph" w:customStyle="1" w:styleId="160">
    <w:name w:val="正文内容"/>
    <w:basedOn w:val="1"/>
    <w:link w:val="159"/>
    <w:autoRedefine/>
    <w:qFormat/>
    <w:uiPriority w:val="0"/>
    <w:pPr>
      <w:widowControl w:val="0"/>
      <w:ind w:firstLine="480"/>
    </w:pPr>
    <w:rPr>
      <w:rFonts w:ascii="Calibri" w:hAnsi="Calibri" w:eastAsia="仿宋_GB2312" w:cs="Times New Roman"/>
      <w:kern w:val="2"/>
    </w:rPr>
  </w:style>
  <w:style w:type="paragraph" w:customStyle="1" w:styleId="161">
    <w:name w:val="修改后"/>
    <w:basedOn w:val="1"/>
    <w:autoRedefine/>
    <w:qFormat/>
    <w:uiPriority w:val="0"/>
    <w:pPr>
      <w:widowControl w:val="0"/>
      <w:ind w:firstLine="480"/>
    </w:pPr>
    <w:rPr>
      <w:rFonts w:eastAsia="仿宋_GB2312" w:cs="Times New Roman"/>
      <w:color w:val="FF0000"/>
      <w:kern w:val="2"/>
    </w:rPr>
  </w:style>
  <w:style w:type="character" w:customStyle="1" w:styleId="162">
    <w:name w:val="表文字 Char Char"/>
    <w:autoRedefine/>
    <w:qFormat/>
    <w:uiPriority w:val="0"/>
    <w:rPr>
      <w:rFonts w:ascii="宋体" w:hAnsi="宋体" w:eastAsia="仿宋_GB2312"/>
      <w:sz w:val="21"/>
      <w:szCs w:val="24"/>
    </w:rPr>
  </w:style>
  <w:style w:type="character" w:customStyle="1" w:styleId="163">
    <w:name w:val="样式 仿宋_GB2312 小四"/>
    <w:autoRedefine/>
    <w:qFormat/>
    <w:uiPriority w:val="0"/>
    <w:rPr>
      <w:rFonts w:ascii="Times New Roman" w:hAnsi="Times New Roman" w:eastAsia="仿宋_GB2312"/>
      <w:kern w:val="0"/>
      <w:sz w:val="24"/>
      <w:szCs w:val="28"/>
    </w:rPr>
  </w:style>
  <w:style w:type="paragraph" w:customStyle="1" w:styleId="164">
    <w:name w:val="修订1"/>
    <w:autoRedefine/>
    <w:hidden/>
    <w:semiHidden/>
    <w:qFormat/>
    <w:uiPriority w:val="99"/>
    <w:rPr>
      <w:rFonts w:ascii="Times New Roman" w:hAnsi="Times New Roman" w:eastAsia="仿宋" w:cs="宋体"/>
      <w:sz w:val="24"/>
      <w:szCs w:val="24"/>
      <w:lang w:val="en-US" w:eastAsia="zh-CN" w:bidi="ar-SA"/>
    </w:rPr>
  </w:style>
  <w:style w:type="paragraph" w:customStyle="1" w:styleId="165">
    <w:name w:val="内表头"/>
    <w:basedOn w:val="1"/>
    <w:autoRedefine/>
    <w:qFormat/>
    <w:uiPriority w:val="0"/>
    <w:pPr>
      <w:widowControl w:val="0"/>
      <w:spacing w:line="460" w:lineRule="exact"/>
      <w:ind w:left="100" w:leftChars="100" w:firstLine="0" w:firstLineChars="0"/>
    </w:pPr>
    <w:rPr>
      <w:rFonts w:eastAsia="黑体" w:cs="Times New Roman"/>
      <w:kern w:val="2"/>
    </w:rPr>
  </w:style>
  <w:style w:type="paragraph" w:customStyle="1" w:styleId="166">
    <w:name w:val="正文内容缩3"/>
    <w:basedOn w:val="1"/>
    <w:autoRedefine/>
    <w:qFormat/>
    <w:uiPriority w:val="0"/>
    <w:pPr>
      <w:widowControl w:val="0"/>
      <w:ind w:firstLine="1200" w:firstLineChars="500"/>
    </w:pPr>
    <w:rPr>
      <w:rFonts w:eastAsia="仿宋_GB2312" w:cs="Times New Roman"/>
      <w:kern w:val="2"/>
    </w:rPr>
  </w:style>
  <w:style w:type="character" w:customStyle="1" w:styleId="167">
    <w:name w:val="font21"/>
    <w:basedOn w:val="90"/>
    <w:autoRedefine/>
    <w:qFormat/>
    <w:uiPriority w:val="0"/>
    <w:rPr>
      <w:rFonts w:hint="eastAsia" w:ascii="宋体" w:hAnsi="宋体" w:eastAsia="宋体"/>
      <w:color w:val="000000"/>
      <w:sz w:val="24"/>
      <w:szCs w:val="24"/>
      <w:u w:val="none"/>
    </w:rPr>
  </w:style>
  <w:style w:type="character" w:customStyle="1" w:styleId="168">
    <w:name w:val="批注文字 字符"/>
    <w:basedOn w:val="90"/>
    <w:link w:val="30"/>
    <w:autoRedefine/>
    <w:semiHidden/>
    <w:qFormat/>
    <w:uiPriority w:val="0"/>
    <w:rPr>
      <w:rFonts w:ascii="Times New Roman" w:hAnsi="Times New Roman" w:eastAsia="仿宋" w:cs="宋体"/>
      <w:sz w:val="24"/>
      <w:szCs w:val="24"/>
    </w:rPr>
  </w:style>
  <w:style w:type="character" w:customStyle="1" w:styleId="169">
    <w:name w:val="批注主题 字符"/>
    <w:basedOn w:val="168"/>
    <w:link w:val="86"/>
    <w:autoRedefine/>
    <w:qFormat/>
    <w:uiPriority w:val="99"/>
    <w:rPr>
      <w:rFonts w:ascii="Times New Roman" w:hAnsi="Times New Roman" w:eastAsia="仿宋" w:cs="宋体"/>
      <w:b/>
      <w:bCs/>
      <w:sz w:val="24"/>
      <w:szCs w:val="24"/>
    </w:rPr>
  </w:style>
  <w:style w:type="character" w:customStyle="1" w:styleId="170">
    <w:name w:val="font11"/>
    <w:basedOn w:val="90"/>
    <w:autoRedefine/>
    <w:qFormat/>
    <w:uiPriority w:val="0"/>
    <w:rPr>
      <w:rFonts w:hint="eastAsia" w:ascii="宋体" w:hAnsi="宋体" w:eastAsia="宋体"/>
      <w:color w:val="000000"/>
      <w:sz w:val="22"/>
      <w:szCs w:val="22"/>
      <w:u w:val="none"/>
    </w:rPr>
  </w:style>
  <w:style w:type="character" w:customStyle="1" w:styleId="171">
    <w:name w:val="信息标题 字符"/>
    <w:link w:val="80"/>
    <w:autoRedefine/>
    <w:qFormat/>
    <w:uiPriority w:val="99"/>
    <w:rPr>
      <w:rFonts w:ascii="等线 Light" w:hAnsi="等线 Light" w:eastAsia="等线 Light"/>
      <w:kern w:val="2"/>
      <w:sz w:val="24"/>
      <w:szCs w:val="24"/>
      <w:shd w:val="pct20" w:color="auto" w:fill="auto"/>
    </w:rPr>
  </w:style>
  <w:style w:type="character" w:customStyle="1" w:styleId="172">
    <w:name w:val="结束语 字符"/>
    <w:link w:val="34"/>
    <w:autoRedefine/>
    <w:qFormat/>
    <w:uiPriority w:val="99"/>
    <w:rPr>
      <w:rFonts w:eastAsia="仿宋_GB2312"/>
      <w:kern w:val="2"/>
      <w:sz w:val="24"/>
      <w:szCs w:val="22"/>
    </w:rPr>
  </w:style>
  <w:style w:type="character" w:customStyle="1" w:styleId="173">
    <w:name w:val="正文文本缩进 2 字符"/>
    <w:link w:val="52"/>
    <w:autoRedefine/>
    <w:qFormat/>
    <w:uiPriority w:val="99"/>
    <w:rPr>
      <w:rFonts w:eastAsia="仿宋_GB2312"/>
      <w:kern w:val="2"/>
      <w:sz w:val="24"/>
      <w:szCs w:val="22"/>
    </w:rPr>
  </w:style>
  <w:style w:type="character" w:customStyle="1" w:styleId="174">
    <w:name w:val="正文文本 2 字符"/>
    <w:link w:val="77"/>
    <w:autoRedefine/>
    <w:qFormat/>
    <w:uiPriority w:val="99"/>
    <w:rPr>
      <w:rFonts w:eastAsia="仿宋_GB2312"/>
      <w:kern w:val="2"/>
      <w:sz w:val="24"/>
      <w:szCs w:val="22"/>
    </w:rPr>
  </w:style>
  <w:style w:type="character" w:customStyle="1" w:styleId="175">
    <w:name w:val="Char Char4"/>
    <w:autoRedefine/>
    <w:qFormat/>
    <w:locked/>
    <w:uiPriority w:val="0"/>
    <w:rPr>
      <w:rFonts w:ascii="Times New Roman" w:hAnsi="Times New Roman" w:eastAsia="仿宋_GB2312" w:cs="Times New Roman"/>
      <w:sz w:val="20"/>
      <w:szCs w:val="20"/>
    </w:rPr>
  </w:style>
  <w:style w:type="character" w:customStyle="1" w:styleId="176">
    <w:name w:val="正文内容 Char Char"/>
    <w:autoRedefine/>
    <w:qFormat/>
    <w:uiPriority w:val="0"/>
    <w:rPr>
      <w:rFonts w:eastAsia="仿宋_GB2312"/>
      <w:kern w:val="2"/>
      <w:sz w:val="24"/>
      <w:szCs w:val="24"/>
    </w:rPr>
  </w:style>
  <w:style w:type="character" w:customStyle="1" w:styleId="177">
    <w:name w:val="正文文本 3 字符"/>
    <w:link w:val="33"/>
    <w:autoRedefine/>
    <w:qFormat/>
    <w:uiPriority w:val="99"/>
    <w:rPr>
      <w:rFonts w:eastAsia="仿宋_GB2312"/>
      <w:kern w:val="2"/>
      <w:sz w:val="16"/>
      <w:szCs w:val="16"/>
    </w:rPr>
  </w:style>
  <w:style w:type="character" w:customStyle="1" w:styleId="178">
    <w:name w:val="font91"/>
    <w:autoRedefine/>
    <w:qFormat/>
    <w:uiPriority w:val="0"/>
    <w:rPr>
      <w:rFonts w:hint="default" w:ascii="Times New Roman" w:hAnsi="Times New Roman" w:cs="Times New Roman"/>
      <w:color w:val="000000"/>
      <w:sz w:val="21"/>
      <w:szCs w:val="21"/>
      <w:u w:val="none"/>
    </w:rPr>
  </w:style>
  <w:style w:type="character" w:customStyle="1" w:styleId="179">
    <w:name w:val="电子邮件签名 字符"/>
    <w:link w:val="21"/>
    <w:autoRedefine/>
    <w:qFormat/>
    <w:uiPriority w:val="99"/>
    <w:rPr>
      <w:rFonts w:eastAsia="仿宋_GB2312"/>
      <w:kern w:val="2"/>
      <w:sz w:val="24"/>
      <w:szCs w:val="22"/>
    </w:rPr>
  </w:style>
  <w:style w:type="character" w:customStyle="1" w:styleId="180">
    <w:name w:val="正文文本缩进 3 字符"/>
    <w:link w:val="71"/>
    <w:autoRedefine/>
    <w:qFormat/>
    <w:uiPriority w:val="99"/>
    <w:rPr>
      <w:rFonts w:eastAsia="仿宋_GB2312"/>
      <w:kern w:val="2"/>
      <w:sz w:val="16"/>
      <w:szCs w:val="16"/>
    </w:rPr>
  </w:style>
  <w:style w:type="character" w:customStyle="1" w:styleId="181">
    <w:name w:val="HTML 地址 字符"/>
    <w:link w:val="42"/>
    <w:autoRedefine/>
    <w:qFormat/>
    <w:uiPriority w:val="99"/>
    <w:rPr>
      <w:rFonts w:eastAsia="仿宋_GB2312"/>
      <w:i/>
      <w:iCs/>
      <w:kern w:val="2"/>
      <w:sz w:val="24"/>
      <w:szCs w:val="22"/>
    </w:rPr>
  </w:style>
  <w:style w:type="character" w:customStyle="1" w:styleId="182">
    <w:name w:val="引用 字符"/>
    <w:link w:val="183"/>
    <w:autoRedefine/>
    <w:qFormat/>
    <w:uiPriority w:val="29"/>
    <w:rPr>
      <w:rFonts w:eastAsia="仿宋_GB2312"/>
      <w:i/>
      <w:iCs/>
      <w:color w:val="404040"/>
      <w:kern w:val="2"/>
      <w:sz w:val="24"/>
      <w:szCs w:val="22"/>
    </w:rPr>
  </w:style>
  <w:style w:type="paragraph" w:styleId="183">
    <w:name w:val="Quote"/>
    <w:basedOn w:val="1"/>
    <w:next w:val="1"/>
    <w:link w:val="182"/>
    <w:autoRedefine/>
    <w:qFormat/>
    <w:uiPriority w:val="29"/>
    <w:pPr>
      <w:widowControl w:val="0"/>
      <w:spacing w:before="200" w:after="160"/>
      <w:ind w:left="864" w:right="864" w:firstLine="0" w:firstLineChars="0"/>
      <w:jc w:val="center"/>
    </w:pPr>
    <w:rPr>
      <w:rFonts w:ascii="Calibri" w:hAnsi="Calibri" w:eastAsia="仿宋_GB2312" w:cs="Times New Roman"/>
      <w:i/>
      <w:iCs/>
      <w:color w:val="404040"/>
      <w:kern w:val="2"/>
      <w:szCs w:val="22"/>
    </w:rPr>
  </w:style>
  <w:style w:type="character" w:customStyle="1" w:styleId="184">
    <w:name w:val="宏文本 字符"/>
    <w:link w:val="4"/>
    <w:autoRedefine/>
    <w:qFormat/>
    <w:uiPriority w:val="99"/>
    <w:rPr>
      <w:rFonts w:ascii="Courier New" w:hAnsi="Courier New" w:cs="Courier New"/>
      <w:kern w:val="2"/>
      <w:sz w:val="24"/>
      <w:szCs w:val="24"/>
    </w:rPr>
  </w:style>
  <w:style w:type="character" w:customStyle="1" w:styleId="185">
    <w:name w:val="HTML 预设格式 字符"/>
    <w:link w:val="81"/>
    <w:autoRedefine/>
    <w:qFormat/>
    <w:uiPriority w:val="99"/>
    <w:rPr>
      <w:rFonts w:ascii="Courier New" w:hAnsi="Courier New" w:eastAsia="仿宋_GB2312" w:cs="Courier New"/>
      <w:kern w:val="2"/>
    </w:rPr>
  </w:style>
  <w:style w:type="character" w:customStyle="1" w:styleId="186">
    <w:name w:val="标题 字符"/>
    <w:link w:val="85"/>
    <w:autoRedefine/>
    <w:qFormat/>
    <w:uiPriority w:val="10"/>
    <w:rPr>
      <w:rFonts w:ascii="等线 Light" w:hAnsi="等线 Light"/>
      <w:b/>
      <w:bCs/>
      <w:kern w:val="2"/>
      <w:sz w:val="32"/>
      <w:szCs w:val="32"/>
    </w:rPr>
  </w:style>
  <w:style w:type="character" w:customStyle="1" w:styleId="187">
    <w:name w:val="样式 正文文本 + 首行缩进:  2 字符 Char"/>
    <w:link w:val="188"/>
    <w:autoRedefine/>
    <w:qFormat/>
    <w:uiPriority w:val="0"/>
    <w:rPr>
      <w:rFonts w:ascii="仿宋_GB2312" w:cs="宋体"/>
    </w:rPr>
  </w:style>
  <w:style w:type="paragraph" w:customStyle="1" w:styleId="188">
    <w:name w:val="样式 正文文本 + 首行缩进:  2 字符"/>
    <w:basedOn w:val="36"/>
    <w:link w:val="187"/>
    <w:autoRedefine/>
    <w:qFormat/>
    <w:uiPriority w:val="0"/>
    <w:pPr>
      <w:spacing w:after="0" w:line="360" w:lineRule="auto"/>
      <w:ind w:firstLine="480" w:firstLineChars="200"/>
      <w:jc w:val="left"/>
    </w:pPr>
    <w:rPr>
      <w:rFonts w:ascii="仿宋_GB2312" w:hAnsi="Calibri" w:cs="宋体"/>
      <w:kern w:val="0"/>
      <w:sz w:val="20"/>
      <w:szCs w:val="20"/>
    </w:rPr>
  </w:style>
  <w:style w:type="character" w:customStyle="1" w:styleId="189">
    <w:name w:val="font101"/>
    <w:autoRedefine/>
    <w:qFormat/>
    <w:uiPriority w:val="0"/>
    <w:rPr>
      <w:rFonts w:hint="default" w:ascii="Times New Roman" w:hAnsi="Times New Roman" w:cs="Times New Roman"/>
      <w:b/>
      <w:color w:val="000000"/>
      <w:sz w:val="21"/>
      <w:szCs w:val="21"/>
      <w:u w:val="none"/>
    </w:rPr>
  </w:style>
  <w:style w:type="character" w:customStyle="1" w:styleId="190">
    <w:name w:val="明显引用 字符"/>
    <w:link w:val="191"/>
    <w:autoRedefine/>
    <w:qFormat/>
    <w:uiPriority w:val="30"/>
    <w:rPr>
      <w:rFonts w:eastAsia="仿宋_GB2312"/>
      <w:i/>
      <w:iCs/>
      <w:color w:val="4472C4"/>
      <w:kern w:val="2"/>
      <w:sz w:val="24"/>
      <w:szCs w:val="22"/>
    </w:rPr>
  </w:style>
  <w:style w:type="paragraph" w:styleId="191">
    <w:name w:val="Intense Quote"/>
    <w:basedOn w:val="1"/>
    <w:next w:val="1"/>
    <w:link w:val="190"/>
    <w:autoRedefine/>
    <w:qFormat/>
    <w:uiPriority w:val="30"/>
    <w:pPr>
      <w:widowControl w:val="0"/>
      <w:pBdr>
        <w:top w:val="single" w:color="4472C4" w:sz="4" w:space="10"/>
        <w:bottom w:val="single" w:color="4472C4" w:sz="4" w:space="10"/>
      </w:pBdr>
      <w:spacing w:before="360" w:after="360"/>
      <w:ind w:left="864" w:right="864" w:firstLine="0" w:firstLineChars="0"/>
      <w:jc w:val="center"/>
    </w:pPr>
    <w:rPr>
      <w:rFonts w:ascii="Calibri" w:hAnsi="Calibri" w:eastAsia="仿宋_GB2312" w:cs="Times New Roman"/>
      <w:i/>
      <w:iCs/>
      <w:color w:val="4472C4"/>
      <w:kern w:val="2"/>
      <w:szCs w:val="22"/>
    </w:rPr>
  </w:style>
  <w:style w:type="character" w:customStyle="1" w:styleId="192">
    <w:name w:val="样式 ZW正文样式 + 首行缩进:  2 字符 Char Char"/>
    <w:link w:val="193"/>
    <w:autoRedefine/>
    <w:qFormat/>
    <w:uiPriority w:val="0"/>
    <w:rPr>
      <w:rFonts w:ascii="仿宋_GB2312" w:hAnsi="仿宋_GB2312" w:eastAsia="仿宋_GB2312" w:cs="宋体"/>
      <w:kern w:val="2"/>
      <w:sz w:val="30"/>
    </w:rPr>
  </w:style>
  <w:style w:type="paragraph" w:customStyle="1" w:styleId="193">
    <w:name w:val="样式 ZW正文样式 + 首行缩进:  2 字符"/>
    <w:basedOn w:val="1"/>
    <w:link w:val="192"/>
    <w:autoRedefine/>
    <w:qFormat/>
    <w:uiPriority w:val="0"/>
    <w:pPr>
      <w:widowControl w:val="0"/>
      <w:spacing w:line="560" w:lineRule="exact"/>
      <w:ind w:firstLine="600"/>
    </w:pPr>
    <w:rPr>
      <w:rFonts w:ascii="仿宋_GB2312" w:hAnsi="仿宋_GB2312" w:eastAsia="仿宋_GB2312"/>
      <w:kern w:val="2"/>
      <w:sz w:val="30"/>
      <w:szCs w:val="20"/>
    </w:rPr>
  </w:style>
  <w:style w:type="character" w:customStyle="1" w:styleId="194">
    <w:name w:val="注释标题 字符"/>
    <w:link w:val="18"/>
    <w:autoRedefine/>
    <w:qFormat/>
    <w:uiPriority w:val="99"/>
    <w:rPr>
      <w:rFonts w:eastAsia="仿宋_GB2312"/>
      <w:kern w:val="2"/>
      <w:sz w:val="24"/>
      <w:szCs w:val="22"/>
    </w:rPr>
  </w:style>
  <w:style w:type="character" w:customStyle="1" w:styleId="195">
    <w:name w:val="font61"/>
    <w:autoRedefine/>
    <w:qFormat/>
    <w:uiPriority w:val="0"/>
    <w:rPr>
      <w:rFonts w:hint="eastAsia" w:ascii="仿宋_GB2312" w:eastAsia="仿宋_GB2312" w:cs="仿宋_GB2312"/>
      <w:color w:val="000000"/>
      <w:sz w:val="21"/>
      <w:szCs w:val="21"/>
      <w:u w:val="none"/>
    </w:rPr>
  </w:style>
  <w:style w:type="character" w:customStyle="1" w:styleId="196">
    <w:name w:val="日期 字符"/>
    <w:link w:val="51"/>
    <w:autoRedefine/>
    <w:qFormat/>
    <w:uiPriority w:val="99"/>
    <w:rPr>
      <w:rFonts w:eastAsia="仿宋_GB2312"/>
      <w:kern w:val="2"/>
      <w:sz w:val="24"/>
      <w:szCs w:val="22"/>
    </w:rPr>
  </w:style>
  <w:style w:type="character" w:customStyle="1" w:styleId="197">
    <w:name w:val="副标题 字符"/>
    <w:link w:val="65"/>
    <w:autoRedefine/>
    <w:qFormat/>
    <w:uiPriority w:val="11"/>
    <w:rPr>
      <w:rFonts w:ascii="等线 Light" w:hAnsi="等线 Light"/>
      <w:b/>
      <w:bCs/>
      <w:kern w:val="28"/>
      <w:sz w:val="32"/>
      <w:szCs w:val="32"/>
    </w:rPr>
  </w:style>
  <w:style w:type="character" w:customStyle="1" w:styleId="198">
    <w:name w:val="尾注文本 字符"/>
    <w:link w:val="53"/>
    <w:autoRedefine/>
    <w:qFormat/>
    <w:uiPriority w:val="99"/>
    <w:rPr>
      <w:rFonts w:eastAsia="仿宋_GB2312"/>
      <w:kern w:val="2"/>
      <w:sz w:val="24"/>
      <w:szCs w:val="22"/>
    </w:rPr>
  </w:style>
  <w:style w:type="character" w:customStyle="1" w:styleId="199">
    <w:name w:val="称呼 字符"/>
    <w:link w:val="32"/>
    <w:autoRedefine/>
    <w:qFormat/>
    <w:uiPriority w:val="99"/>
    <w:rPr>
      <w:rFonts w:eastAsia="仿宋_GB2312"/>
      <w:kern w:val="2"/>
      <w:sz w:val="24"/>
      <w:szCs w:val="22"/>
    </w:rPr>
  </w:style>
  <w:style w:type="character" w:customStyle="1" w:styleId="200">
    <w:name w:val="正文文本 Char"/>
    <w:autoRedefine/>
    <w:qFormat/>
    <w:locked/>
    <w:uiPriority w:val="0"/>
    <w:rPr>
      <w:rFonts w:eastAsia="仿宋_GB2312"/>
      <w:kern w:val="2"/>
      <w:sz w:val="24"/>
      <w:lang w:val="en-US" w:eastAsia="zh-CN" w:bidi="ar-SA"/>
    </w:rPr>
  </w:style>
  <w:style w:type="character" w:customStyle="1" w:styleId="201">
    <w:name w:val="font51"/>
    <w:autoRedefine/>
    <w:qFormat/>
    <w:uiPriority w:val="0"/>
    <w:rPr>
      <w:rFonts w:ascii="仿宋_GB2312" w:eastAsia="仿宋_GB2312" w:cs="仿宋_GB2312"/>
      <w:color w:val="000000"/>
      <w:sz w:val="21"/>
      <w:szCs w:val="21"/>
      <w:u w:val="none"/>
    </w:rPr>
  </w:style>
  <w:style w:type="character" w:customStyle="1" w:styleId="202">
    <w:name w:val="表标题 Char Char"/>
    <w:link w:val="203"/>
    <w:autoRedefine/>
    <w:qFormat/>
    <w:locked/>
    <w:uiPriority w:val="0"/>
    <w:rPr>
      <w:rFonts w:ascii="Arial" w:hAnsi="Arial" w:eastAsia="黑体"/>
      <w:sz w:val="28"/>
    </w:rPr>
  </w:style>
  <w:style w:type="paragraph" w:customStyle="1" w:styleId="203">
    <w:name w:val="表标题"/>
    <w:basedOn w:val="1"/>
    <w:next w:val="1"/>
    <w:link w:val="202"/>
    <w:autoRedefine/>
    <w:qFormat/>
    <w:uiPriority w:val="0"/>
    <w:pPr>
      <w:widowControl w:val="0"/>
      <w:adjustRightInd w:val="0"/>
      <w:snapToGrid w:val="0"/>
      <w:spacing w:beforeLines="50" w:afterLines="50" w:line="240" w:lineRule="auto"/>
      <w:ind w:firstLine="0" w:firstLineChars="0"/>
      <w:jc w:val="center"/>
    </w:pPr>
    <w:rPr>
      <w:rFonts w:ascii="Arial" w:hAnsi="Arial" w:eastAsia="黑体" w:cs="Times New Roman"/>
      <w:sz w:val="28"/>
      <w:szCs w:val="20"/>
    </w:rPr>
  </w:style>
  <w:style w:type="character" w:customStyle="1" w:styleId="204">
    <w:name w:val="脚注文本 字符"/>
    <w:link w:val="68"/>
    <w:autoRedefine/>
    <w:qFormat/>
    <w:uiPriority w:val="99"/>
    <w:rPr>
      <w:rFonts w:eastAsia="仿宋_GB2312"/>
      <w:kern w:val="2"/>
      <w:sz w:val="18"/>
      <w:szCs w:val="18"/>
    </w:rPr>
  </w:style>
  <w:style w:type="character" w:customStyle="1" w:styleId="205">
    <w:name w:val="签名 字符"/>
    <w:link w:val="59"/>
    <w:autoRedefine/>
    <w:qFormat/>
    <w:uiPriority w:val="99"/>
    <w:rPr>
      <w:rFonts w:eastAsia="仿宋_GB2312"/>
      <w:kern w:val="2"/>
      <w:sz w:val="24"/>
      <w:szCs w:val="22"/>
    </w:rPr>
  </w:style>
  <w:style w:type="character" w:customStyle="1" w:styleId="206">
    <w:name w:val="正文文本首行缩进 2 字符"/>
    <w:basedOn w:val="126"/>
    <w:link w:val="2"/>
    <w:autoRedefine/>
    <w:qFormat/>
    <w:uiPriority w:val="99"/>
    <w:rPr>
      <w:rFonts w:ascii="宋体" w:hAnsi="宋体" w:eastAsia="仿宋_GB2312"/>
      <w:color w:val="FF0000"/>
      <w:kern w:val="2"/>
      <w:sz w:val="24"/>
      <w:szCs w:val="22"/>
    </w:rPr>
  </w:style>
  <w:style w:type="character" w:customStyle="1" w:styleId="207">
    <w:name w:val="正文文本首行缩进 字符"/>
    <w:link w:val="87"/>
    <w:autoRedefine/>
    <w:qFormat/>
    <w:uiPriority w:val="99"/>
    <w:rPr>
      <w:rFonts w:eastAsia="仿宋_GB2312"/>
      <w:kern w:val="2"/>
      <w:sz w:val="24"/>
      <w:szCs w:val="22"/>
    </w:rPr>
  </w:style>
  <w:style w:type="character" w:customStyle="1" w:styleId="208">
    <w:name w:val="称呼 字符1"/>
    <w:basedOn w:val="90"/>
    <w:autoRedefine/>
    <w:semiHidden/>
    <w:qFormat/>
    <w:uiPriority w:val="99"/>
    <w:rPr>
      <w:rFonts w:ascii="Times New Roman" w:hAnsi="Times New Roman" w:eastAsia="仿宋" w:cs="宋体"/>
      <w:sz w:val="24"/>
      <w:szCs w:val="24"/>
    </w:rPr>
  </w:style>
  <w:style w:type="character" w:customStyle="1" w:styleId="209">
    <w:name w:val="尾注文本 字符1"/>
    <w:basedOn w:val="90"/>
    <w:autoRedefine/>
    <w:semiHidden/>
    <w:qFormat/>
    <w:uiPriority w:val="99"/>
    <w:rPr>
      <w:rFonts w:ascii="Times New Roman" w:hAnsi="Times New Roman" w:eastAsia="仿宋" w:cs="宋体"/>
      <w:sz w:val="24"/>
      <w:szCs w:val="24"/>
    </w:rPr>
  </w:style>
  <w:style w:type="character" w:customStyle="1" w:styleId="210">
    <w:name w:val="正文文本缩进 字符1"/>
    <w:basedOn w:val="90"/>
    <w:autoRedefine/>
    <w:semiHidden/>
    <w:qFormat/>
    <w:uiPriority w:val="0"/>
    <w:rPr>
      <w:rFonts w:eastAsia="仿宋_GB2312"/>
      <w:kern w:val="2"/>
      <w:sz w:val="24"/>
      <w:szCs w:val="22"/>
    </w:rPr>
  </w:style>
  <w:style w:type="character" w:customStyle="1" w:styleId="211">
    <w:name w:val="正文文本 2 字符1"/>
    <w:basedOn w:val="90"/>
    <w:autoRedefine/>
    <w:semiHidden/>
    <w:qFormat/>
    <w:uiPriority w:val="99"/>
    <w:rPr>
      <w:rFonts w:ascii="Times New Roman" w:hAnsi="Times New Roman" w:eastAsia="仿宋" w:cs="宋体"/>
      <w:sz w:val="24"/>
      <w:szCs w:val="24"/>
    </w:rPr>
  </w:style>
  <w:style w:type="character" w:customStyle="1" w:styleId="212">
    <w:name w:val="电子邮件签名 字符1"/>
    <w:basedOn w:val="90"/>
    <w:autoRedefine/>
    <w:semiHidden/>
    <w:qFormat/>
    <w:uiPriority w:val="99"/>
    <w:rPr>
      <w:rFonts w:ascii="Times New Roman" w:hAnsi="Times New Roman" w:eastAsia="仿宋" w:cs="宋体"/>
      <w:sz w:val="24"/>
      <w:szCs w:val="24"/>
    </w:rPr>
  </w:style>
  <w:style w:type="character" w:customStyle="1" w:styleId="213">
    <w:name w:val="批注文字 字符1"/>
    <w:basedOn w:val="90"/>
    <w:autoRedefine/>
    <w:semiHidden/>
    <w:qFormat/>
    <w:uiPriority w:val="99"/>
    <w:rPr>
      <w:rFonts w:eastAsia="仿宋_GB2312"/>
      <w:kern w:val="2"/>
      <w:sz w:val="24"/>
      <w:szCs w:val="22"/>
    </w:rPr>
  </w:style>
  <w:style w:type="character" w:customStyle="1" w:styleId="214">
    <w:name w:val="正文文本 字符1"/>
    <w:basedOn w:val="90"/>
    <w:autoRedefine/>
    <w:semiHidden/>
    <w:qFormat/>
    <w:uiPriority w:val="99"/>
    <w:rPr>
      <w:rFonts w:eastAsia="仿宋_GB2312"/>
      <w:kern w:val="2"/>
      <w:sz w:val="24"/>
      <w:szCs w:val="22"/>
    </w:rPr>
  </w:style>
  <w:style w:type="character" w:customStyle="1" w:styleId="215">
    <w:name w:val="批注主题 字符1"/>
    <w:basedOn w:val="213"/>
    <w:autoRedefine/>
    <w:semiHidden/>
    <w:qFormat/>
    <w:uiPriority w:val="99"/>
    <w:rPr>
      <w:rFonts w:eastAsia="仿宋_GB2312"/>
      <w:b/>
      <w:bCs/>
      <w:kern w:val="2"/>
      <w:sz w:val="24"/>
      <w:szCs w:val="22"/>
    </w:rPr>
  </w:style>
  <w:style w:type="character" w:customStyle="1" w:styleId="216">
    <w:name w:val="签名 字符1"/>
    <w:basedOn w:val="90"/>
    <w:autoRedefine/>
    <w:semiHidden/>
    <w:qFormat/>
    <w:uiPriority w:val="99"/>
    <w:rPr>
      <w:rFonts w:ascii="Times New Roman" w:hAnsi="Times New Roman" w:eastAsia="仿宋" w:cs="宋体"/>
      <w:sz w:val="24"/>
      <w:szCs w:val="24"/>
    </w:rPr>
  </w:style>
  <w:style w:type="paragraph" w:customStyle="1" w:styleId="217">
    <w:name w:val="封皮日期"/>
    <w:autoRedefine/>
    <w:qFormat/>
    <w:uiPriority w:val="0"/>
    <w:pPr>
      <w:ind w:firstLine="976" w:firstLineChars="305"/>
    </w:pPr>
    <w:rPr>
      <w:rFonts w:ascii="宋体" w:hAnsi="宋体" w:eastAsia="仿宋" w:cs="宋体"/>
      <w:kern w:val="2"/>
      <w:sz w:val="32"/>
      <w:szCs w:val="24"/>
      <w:lang w:val="en-US" w:eastAsia="zh-CN" w:bidi="ar-SA"/>
    </w:rPr>
  </w:style>
  <w:style w:type="character" w:customStyle="1" w:styleId="218">
    <w:name w:val="日期 字符1"/>
    <w:basedOn w:val="90"/>
    <w:autoRedefine/>
    <w:semiHidden/>
    <w:qFormat/>
    <w:uiPriority w:val="99"/>
    <w:rPr>
      <w:rFonts w:ascii="Times New Roman" w:hAnsi="Times New Roman" w:eastAsia="仿宋" w:cs="宋体"/>
      <w:sz w:val="24"/>
      <w:szCs w:val="24"/>
    </w:rPr>
  </w:style>
  <w:style w:type="character" w:customStyle="1" w:styleId="219">
    <w:name w:val="正文文本 3 字符1"/>
    <w:basedOn w:val="90"/>
    <w:autoRedefine/>
    <w:semiHidden/>
    <w:qFormat/>
    <w:uiPriority w:val="99"/>
    <w:rPr>
      <w:rFonts w:ascii="Times New Roman" w:hAnsi="Times New Roman" w:eastAsia="仿宋" w:cs="宋体"/>
      <w:sz w:val="16"/>
      <w:szCs w:val="16"/>
    </w:rPr>
  </w:style>
  <w:style w:type="character" w:customStyle="1" w:styleId="220">
    <w:name w:val="正文文本首行缩进 2 字符1"/>
    <w:basedOn w:val="126"/>
    <w:autoRedefine/>
    <w:semiHidden/>
    <w:qFormat/>
    <w:uiPriority w:val="99"/>
    <w:rPr>
      <w:rFonts w:ascii="Times New Roman" w:hAnsi="Times New Roman" w:eastAsia="仿宋" w:cs="宋体"/>
      <w:color w:val="FF0000"/>
      <w:kern w:val="2"/>
      <w:sz w:val="24"/>
      <w:szCs w:val="24"/>
    </w:rPr>
  </w:style>
  <w:style w:type="paragraph" w:customStyle="1" w:styleId="221">
    <w:name w:val="4表中文字"/>
    <w:basedOn w:val="1"/>
    <w:autoRedefine/>
    <w:qFormat/>
    <w:uiPriority w:val="0"/>
    <w:pPr>
      <w:widowControl w:val="0"/>
      <w:tabs>
        <w:tab w:val="left" w:pos="6195"/>
      </w:tabs>
      <w:autoSpaceDE w:val="0"/>
      <w:autoSpaceDN w:val="0"/>
      <w:adjustRightInd w:val="0"/>
      <w:spacing w:line="240" w:lineRule="auto"/>
      <w:ind w:firstLine="0" w:firstLineChars="0"/>
      <w:jc w:val="center"/>
    </w:pPr>
    <w:rPr>
      <w:rFonts w:ascii="Calibri" w:hAnsi="Calibri" w:eastAsia="宋体" w:cs="Times New Roman"/>
      <w:kern w:val="2"/>
      <w:sz w:val="21"/>
    </w:rPr>
  </w:style>
  <w:style w:type="character" w:customStyle="1" w:styleId="222">
    <w:name w:val="宏文本 字符1"/>
    <w:basedOn w:val="90"/>
    <w:autoRedefine/>
    <w:semiHidden/>
    <w:qFormat/>
    <w:uiPriority w:val="99"/>
    <w:rPr>
      <w:rFonts w:ascii="Courier New" w:hAnsi="Courier New" w:cs="Courier New"/>
      <w:sz w:val="24"/>
      <w:szCs w:val="24"/>
    </w:rPr>
  </w:style>
  <w:style w:type="paragraph" w:customStyle="1" w:styleId="223">
    <w:name w:val="书目1"/>
    <w:basedOn w:val="1"/>
    <w:next w:val="1"/>
    <w:autoRedefine/>
    <w:unhideWhenUsed/>
    <w:qFormat/>
    <w:uiPriority w:val="37"/>
    <w:pPr>
      <w:widowControl w:val="0"/>
      <w:ind w:firstLine="0" w:firstLineChars="0"/>
    </w:pPr>
    <w:rPr>
      <w:rFonts w:ascii="Calibri" w:hAnsi="Calibri" w:eastAsia="仿宋_GB2312" w:cs="Times New Roman"/>
      <w:kern w:val="2"/>
      <w:szCs w:val="22"/>
    </w:rPr>
  </w:style>
  <w:style w:type="paragraph" w:customStyle="1" w:styleId="224">
    <w:name w:val="1"/>
    <w:basedOn w:val="1"/>
    <w:next w:val="1"/>
    <w:autoRedefine/>
    <w:qFormat/>
    <w:uiPriority w:val="0"/>
    <w:pPr>
      <w:widowControl w:val="0"/>
      <w:spacing w:line="240" w:lineRule="auto"/>
      <w:ind w:firstLine="0" w:firstLineChars="0"/>
    </w:pPr>
    <w:rPr>
      <w:rFonts w:ascii="Calibri" w:hAnsi="Calibri" w:eastAsia="宋体" w:cs="Times New Roman"/>
      <w:kern w:val="2"/>
      <w:sz w:val="21"/>
    </w:rPr>
  </w:style>
  <w:style w:type="paragraph" w:customStyle="1" w:styleId="225">
    <w:name w:val="1.1.1.1 项-qin"/>
    <w:basedOn w:val="1"/>
    <w:autoRedefine/>
    <w:qFormat/>
    <w:uiPriority w:val="0"/>
    <w:pPr>
      <w:widowControl w:val="0"/>
    </w:pPr>
    <w:rPr>
      <w:rFonts w:eastAsia="仿宋_GB2312" w:cs="Times New Roman"/>
      <w:kern w:val="2"/>
    </w:rPr>
  </w:style>
  <w:style w:type="character" w:customStyle="1" w:styleId="226">
    <w:name w:val="副标题 字符1"/>
    <w:basedOn w:val="90"/>
    <w:autoRedefine/>
    <w:qFormat/>
    <w:uiPriority w:val="11"/>
    <w:rPr>
      <w:rFonts w:asciiTheme="minorHAnsi" w:hAnsiTheme="minorHAnsi" w:eastAsiaTheme="minorEastAsia" w:cstheme="minorBidi"/>
      <w:b/>
      <w:bCs/>
      <w:kern w:val="28"/>
      <w:sz w:val="32"/>
      <w:szCs w:val="32"/>
    </w:rPr>
  </w:style>
  <w:style w:type="paragraph" w:customStyle="1" w:styleId="227">
    <w:name w:val="样式  + Times New Roman 小四 行距: 1.5 倍行距"/>
    <w:basedOn w:val="1"/>
    <w:autoRedefine/>
    <w:qFormat/>
    <w:uiPriority w:val="0"/>
    <w:pPr>
      <w:widowControl w:val="0"/>
      <w:ind w:firstLine="480"/>
    </w:pPr>
    <w:rPr>
      <w:rFonts w:ascii="Calibri" w:hAnsi="Calibri" w:eastAsia="仿宋_GB2312"/>
      <w:color w:val="000000"/>
      <w:kern w:val="2"/>
    </w:rPr>
  </w:style>
  <w:style w:type="character" w:customStyle="1" w:styleId="228">
    <w:name w:val="正文文本缩进 2 字符1"/>
    <w:basedOn w:val="90"/>
    <w:autoRedefine/>
    <w:semiHidden/>
    <w:qFormat/>
    <w:uiPriority w:val="99"/>
    <w:rPr>
      <w:rFonts w:ascii="Times New Roman" w:hAnsi="Times New Roman" w:eastAsia="仿宋" w:cs="宋体"/>
      <w:sz w:val="24"/>
      <w:szCs w:val="24"/>
    </w:rPr>
  </w:style>
  <w:style w:type="character" w:customStyle="1" w:styleId="229">
    <w:name w:val="HTML 地址 字符1"/>
    <w:basedOn w:val="90"/>
    <w:autoRedefine/>
    <w:semiHidden/>
    <w:qFormat/>
    <w:uiPriority w:val="99"/>
    <w:rPr>
      <w:rFonts w:ascii="Times New Roman" w:hAnsi="Times New Roman" w:eastAsia="仿宋" w:cs="宋体"/>
      <w:i/>
      <w:iCs/>
      <w:sz w:val="24"/>
      <w:szCs w:val="24"/>
    </w:rPr>
  </w:style>
  <w:style w:type="character" w:customStyle="1" w:styleId="230">
    <w:name w:val="结束语 字符1"/>
    <w:basedOn w:val="90"/>
    <w:autoRedefine/>
    <w:semiHidden/>
    <w:qFormat/>
    <w:uiPriority w:val="99"/>
    <w:rPr>
      <w:rFonts w:ascii="Times New Roman" w:hAnsi="Times New Roman" w:eastAsia="仿宋" w:cs="宋体"/>
      <w:sz w:val="24"/>
      <w:szCs w:val="24"/>
    </w:rPr>
  </w:style>
  <w:style w:type="character" w:customStyle="1" w:styleId="231">
    <w:name w:val="标题 字符1"/>
    <w:basedOn w:val="90"/>
    <w:autoRedefine/>
    <w:qFormat/>
    <w:uiPriority w:val="10"/>
    <w:rPr>
      <w:rFonts w:asciiTheme="majorHAnsi" w:hAnsiTheme="majorHAnsi" w:eastAsiaTheme="majorEastAsia" w:cstheme="majorBidi"/>
      <w:b/>
      <w:bCs/>
      <w:sz w:val="32"/>
      <w:szCs w:val="32"/>
    </w:rPr>
  </w:style>
  <w:style w:type="character" w:customStyle="1" w:styleId="232">
    <w:name w:val="纯文本 字符"/>
    <w:basedOn w:val="90"/>
    <w:link w:val="46"/>
    <w:autoRedefine/>
    <w:qFormat/>
    <w:uiPriority w:val="99"/>
    <w:rPr>
      <w:rFonts w:ascii="宋体" w:hAnsi="Courier New"/>
    </w:rPr>
  </w:style>
  <w:style w:type="character" w:customStyle="1" w:styleId="233">
    <w:name w:val="注释标题 字符1"/>
    <w:basedOn w:val="90"/>
    <w:autoRedefine/>
    <w:semiHidden/>
    <w:qFormat/>
    <w:uiPriority w:val="99"/>
    <w:rPr>
      <w:rFonts w:ascii="Times New Roman" w:hAnsi="Times New Roman" w:eastAsia="仿宋" w:cs="宋体"/>
      <w:sz w:val="24"/>
      <w:szCs w:val="24"/>
    </w:rPr>
  </w:style>
  <w:style w:type="paragraph" w:customStyle="1" w:styleId="234">
    <w:name w:val="表格居中"/>
    <w:basedOn w:val="1"/>
    <w:autoRedefine/>
    <w:qFormat/>
    <w:uiPriority w:val="0"/>
    <w:pPr>
      <w:widowControl w:val="0"/>
      <w:adjustRightInd w:val="0"/>
      <w:ind w:firstLine="0" w:firstLineChars="0"/>
      <w:jc w:val="center"/>
    </w:pPr>
    <w:rPr>
      <w:rFonts w:ascii="仿宋_GB2312" w:hAnsi="Calibri" w:eastAsia="仿宋_GB2312" w:cs="Times New Roman"/>
      <w:kern w:val="2"/>
      <w:szCs w:val="21"/>
    </w:rPr>
  </w:style>
  <w:style w:type="paragraph" w:customStyle="1" w:styleId="235">
    <w:name w:val="Char Char Char Char Char Char Char Char Char Char"/>
    <w:basedOn w:val="1"/>
    <w:autoRedefine/>
    <w:semiHidden/>
    <w:qFormat/>
    <w:uiPriority w:val="0"/>
    <w:pPr>
      <w:widowControl w:val="0"/>
      <w:adjustRightInd w:val="0"/>
      <w:snapToGrid w:val="0"/>
    </w:pPr>
    <w:rPr>
      <w:rFonts w:ascii="宋体" w:hAnsi="宋体" w:eastAsia="宋体"/>
      <w:kern w:val="2"/>
      <w:szCs w:val="26"/>
    </w:rPr>
  </w:style>
  <w:style w:type="character" w:customStyle="1" w:styleId="236">
    <w:name w:val="正文文本首行缩进 字符1"/>
    <w:basedOn w:val="125"/>
    <w:autoRedefine/>
    <w:semiHidden/>
    <w:qFormat/>
    <w:uiPriority w:val="99"/>
    <w:rPr>
      <w:rFonts w:ascii="Times New Roman" w:hAnsi="Times New Roman" w:eastAsia="仿宋" w:cs="宋体"/>
      <w:kern w:val="2"/>
      <w:sz w:val="24"/>
      <w:szCs w:val="24"/>
    </w:rPr>
  </w:style>
  <w:style w:type="character" w:customStyle="1" w:styleId="237">
    <w:name w:val="引用 字符1"/>
    <w:basedOn w:val="90"/>
    <w:autoRedefine/>
    <w:qFormat/>
    <w:uiPriority w:val="29"/>
    <w:rPr>
      <w:rFonts w:ascii="Times New Roman" w:hAnsi="Times New Roman" w:eastAsia="仿宋" w:cs="宋体"/>
      <w:i/>
      <w:iCs/>
      <w:color w:val="404040" w:themeColor="text1" w:themeTint="BF"/>
      <w:sz w:val="24"/>
      <w:szCs w:val="24"/>
      <w14:textFill>
        <w14:solidFill>
          <w14:schemeClr w14:val="tx1">
            <w14:lumMod w14:val="75000"/>
            <w14:lumOff w14:val="25000"/>
          </w14:schemeClr>
        </w14:solidFill>
      </w14:textFill>
    </w:rPr>
  </w:style>
  <w:style w:type="paragraph" w:customStyle="1" w:styleId="238">
    <w:name w:val="表文字_左2"/>
    <w:basedOn w:val="146"/>
    <w:autoRedefine/>
    <w:qFormat/>
    <w:uiPriority w:val="0"/>
    <w:pPr>
      <w:ind w:firstLine="294" w:firstLineChars="140"/>
      <w:jc w:val="left"/>
    </w:pPr>
    <w:rPr>
      <w:rFonts w:cs="Times New Roman"/>
      <w:sz w:val="21"/>
    </w:rPr>
  </w:style>
  <w:style w:type="character" w:customStyle="1" w:styleId="239">
    <w:name w:val="脚注文本 字符1"/>
    <w:basedOn w:val="90"/>
    <w:autoRedefine/>
    <w:semiHidden/>
    <w:qFormat/>
    <w:uiPriority w:val="99"/>
    <w:rPr>
      <w:rFonts w:ascii="Times New Roman" w:hAnsi="Times New Roman" w:eastAsia="仿宋" w:cs="宋体"/>
      <w:sz w:val="18"/>
      <w:szCs w:val="18"/>
    </w:rPr>
  </w:style>
  <w:style w:type="character" w:customStyle="1" w:styleId="240">
    <w:name w:val="明显引用 字符1"/>
    <w:basedOn w:val="90"/>
    <w:autoRedefine/>
    <w:qFormat/>
    <w:uiPriority w:val="30"/>
    <w:rPr>
      <w:rFonts w:ascii="Times New Roman" w:hAnsi="Times New Roman" w:eastAsia="仿宋" w:cs="宋体"/>
      <w:i/>
      <w:iCs/>
      <w:color w:val="4F81BD" w:themeColor="accent1"/>
      <w:sz w:val="24"/>
      <w:szCs w:val="24"/>
      <w14:textFill>
        <w14:solidFill>
          <w14:schemeClr w14:val="accent1"/>
        </w14:solidFill>
      </w14:textFill>
    </w:rPr>
  </w:style>
  <w:style w:type="paragraph" w:customStyle="1" w:styleId="241">
    <w:name w:val="Default"/>
    <w:autoRedefine/>
    <w:unhideWhenUsed/>
    <w:qFormat/>
    <w:uiPriority w:val="99"/>
    <w:pPr>
      <w:widowControl w:val="0"/>
      <w:autoSpaceDE w:val="0"/>
      <w:autoSpaceDN w:val="0"/>
      <w:adjustRightInd w:val="0"/>
    </w:pPr>
    <w:rPr>
      <w:rFonts w:hint="eastAsia" w:ascii="黑体" w:hAnsi="黑体" w:eastAsia="黑体" w:cs="Times New Roman"/>
      <w:color w:val="000000"/>
      <w:sz w:val="24"/>
      <w:lang w:val="en-US" w:eastAsia="zh-CN" w:bidi="ar-SA"/>
    </w:rPr>
  </w:style>
  <w:style w:type="paragraph" w:customStyle="1" w:styleId="242">
    <w:name w:val="封面1"/>
    <w:basedOn w:val="1"/>
    <w:autoRedefine/>
    <w:qFormat/>
    <w:uiPriority w:val="0"/>
    <w:pPr>
      <w:widowControl w:val="0"/>
      <w:ind w:firstLine="0" w:firstLineChars="0"/>
      <w:jc w:val="center"/>
    </w:pPr>
    <w:rPr>
      <w:rFonts w:ascii="黑体" w:hAnsi="宋体" w:eastAsia="黑体" w:cs="Times New Roman"/>
      <w:spacing w:val="-20"/>
      <w:kern w:val="2"/>
      <w:sz w:val="52"/>
      <w:szCs w:val="52"/>
    </w:rPr>
  </w:style>
  <w:style w:type="character" w:customStyle="1" w:styleId="243">
    <w:name w:val="正文文本缩进 3 字符1"/>
    <w:basedOn w:val="90"/>
    <w:autoRedefine/>
    <w:semiHidden/>
    <w:qFormat/>
    <w:uiPriority w:val="99"/>
    <w:rPr>
      <w:rFonts w:ascii="Times New Roman" w:hAnsi="Times New Roman" w:eastAsia="仿宋" w:cs="宋体"/>
      <w:sz w:val="16"/>
      <w:szCs w:val="16"/>
    </w:rPr>
  </w:style>
  <w:style w:type="character" w:customStyle="1" w:styleId="244">
    <w:name w:val="信息标题 字符1"/>
    <w:basedOn w:val="90"/>
    <w:autoRedefine/>
    <w:semiHidden/>
    <w:qFormat/>
    <w:uiPriority w:val="99"/>
    <w:rPr>
      <w:rFonts w:asciiTheme="majorHAnsi" w:hAnsiTheme="majorHAnsi" w:eastAsiaTheme="majorEastAsia" w:cstheme="majorBidi"/>
      <w:sz w:val="24"/>
      <w:szCs w:val="24"/>
      <w:shd w:val="pct20" w:color="auto" w:fill="auto"/>
    </w:rPr>
  </w:style>
  <w:style w:type="character" w:customStyle="1" w:styleId="245">
    <w:name w:val="HTML 预设格式 字符1"/>
    <w:basedOn w:val="90"/>
    <w:autoRedefine/>
    <w:semiHidden/>
    <w:qFormat/>
    <w:uiPriority w:val="99"/>
    <w:rPr>
      <w:rFonts w:ascii="Courier New" w:hAnsi="Courier New" w:eastAsia="仿宋" w:cs="Courier New"/>
    </w:rPr>
  </w:style>
  <w:style w:type="paragraph" w:customStyle="1" w:styleId="246">
    <w:name w:val="表文字五号"/>
    <w:basedOn w:val="1"/>
    <w:autoRedefine/>
    <w:qFormat/>
    <w:uiPriority w:val="0"/>
    <w:pPr>
      <w:widowControl w:val="0"/>
      <w:spacing w:line="260" w:lineRule="exact"/>
      <w:ind w:firstLine="0" w:firstLineChars="0"/>
      <w:jc w:val="center"/>
    </w:pPr>
    <w:rPr>
      <w:rFonts w:ascii="宋体" w:hAnsi="宋体" w:eastAsia="楷体_GB2312" w:cs="Times New Roman"/>
      <w:kern w:val="2"/>
      <w:szCs w:val="21"/>
    </w:rPr>
  </w:style>
  <w:style w:type="paragraph" w:customStyle="1" w:styleId="247">
    <w:name w:val="TOC 标题3"/>
    <w:basedOn w:val="5"/>
    <w:next w:val="1"/>
    <w:autoRedefine/>
    <w:qFormat/>
    <w:uiPriority w:val="39"/>
    <w:pPr>
      <w:widowControl w:val="0"/>
      <w:numPr>
        <w:numId w:val="0"/>
      </w:numPr>
      <w:spacing w:before="340" w:after="330" w:line="578" w:lineRule="auto"/>
      <w:jc w:val="both"/>
      <w:outlineLvl w:val="9"/>
    </w:pPr>
    <w:rPr>
      <w:rFonts w:ascii="Calibri" w:hAnsi="Calibri" w:eastAsia="仿宋_GB2312" w:cs="Times New Roman"/>
      <w:sz w:val="44"/>
    </w:rPr>
  </w:style>
  <w:style w:type="paragraph" w:styleId="248">
    <w:name w:val="No Spacing"/>
    <w:autoRedefine/>
    <w:qFormat/>
    <w:uiPriority w:val="1"/>
    <w:pPr>
      <w:widowControl w:val="0"/>
      <w:jc w:val="both"/>
    </w:pPr>
    <w:rPr>
      <w:rFonts w:ascii="Calibri" w:hAnsi="Calibri" w:eastAsia="仿宋_GB2312" w:cs="Times New Roman"/>
      <w:kern w:val="2"/>
      <w:sz w:val="24"/>
      <w:szCs w:val="22"/>
      <w:lang w:val="en-US" w:eastAsia="zh-CN" w:bidi="ar-SA"/>
    </w:rPr>
  </w:style>
  <w:style w:type="paragraph" w:customStyle="1" w:styleId="249">
    <w:name w:val="Char Char6"/>
    <w:basedOn w:val="1"/>
    <w:autoRedefine/>
    <w:qFormat/>
    <w:uiPriority w:val="0"/>
    <w:pPr>
      <w:widowControl w:val="0"/>
      <w:snapToGrid w:val="0"/>
    </w:pPr>
    <w:rPr>
      <w:rFonts w:eastAsia="仿宋_GB2312" w:cs="Times New Roman"/>
      <w:kern w:val="2"/>
    </w:rPr>
  </w:style>
  <w:style w:type="paragraph" w:customStyle="1" w:styleId="250">
    <w:name w:val="_Style 35"/>
    <w:basedOn w:val="1"/>
    <w:autoRedefine/>
    <w:qFormat/>
    <w:uiPriority w:val="0"/>
    <w:pPr>
      <w:widowControl w:val="0"/>
      <w:snapToGrid w:val="0"/>
    </w:pPr>
    <w:rPr>
      <w:rFonts w:eastAsia="仿宋_GB2312" w:cs="Times New Roman"/>
      <w:kern w:val="2"/>
    </w:rPr>
  </w:style>
  <w:style w:type="paragraph" w:customStyle="1" w:styleId="251">
    <w:name w:val="默认段落字体 Para Char"/>
    <w:basedOn w:val="1"/>
    <w:autoRedefine/>
    <w:qFormat/>
    <w:uiPriority w:val="0"/>
    <w:pPr>
      <w:widowControl w:val="0"/>
      <w:snapToGrid w:val="0"/>
    </w:pPr>
    <w:rPr>
      <w:rFonts w:eastAsia="仿宋_GB2312" w:cs="Times New Roman"/>
      <w:kern w:val="2"/>
    </w:rPr>
  </w:style>
  <w:style w:type="character" w:customStyle="1" w:styleId="252">
    <w:name w:val="fontstyle01"/>
    <w:autoRedefine/>
    <w:qFormat/>
    <w:uiPriority w:val="0"/>
    <w:rPr>
      <w:rFonts w:hint="eastAsia" w:ascii="仿宋_GB2312" w:eastAsia="仿宋_GB2312"/>
      <w:color w:val="000000"/>
      <w:sz w:val="30"/>
      <w:szCs w:val="30"/>
    </w:rPr>
  </w:style>
  <w:style w:type="character" w:customStyle="1" w:styleId="253">
    <w:name w:val="正文缩进 字符"/>
    <w:link w:val="23"/>
    <w:autoRedefine/>
    <w:qFormat/>
    <w:uiPriority w:val="99"/>
    <w:rPr>
      <w:rFonts w:ascii="Calibri" w:hAnsi="Calibri" w:eastAsia="仿宋_GB2312" w:cs="Times New Roman"/>
      <w:kern w:val="2"/>
      <w:szCs w:val="22"/>
    </w:rPr>
  </w:style>
  <w:style w:type="character" w:customStyle="1" w:styleId="254">
    <w:name w:val="NormalCharacter"/>
    <w:autoRedefine/>
    <w:qFormat/>
    <w:uiPriority w:val="0"/>
  </w:style>
  <w:style w:type="paragraph" w:customStyle="1" w:styleId="255">
    <w:name w:val="正文模板"/>
    <w:qFormat/>
    <w:uiPriority w:val="0"/>
    <w:pPr>
      <w:widowControl w:val="0"/>
      <w:spacing w:line="440" w:lineRule="exact"/>
      <w:ind w:firstLine="500" w:firstLineChars="200"/>
      <w:jc w:val="both"/>
    </w:pPr>
    <w:rPr>
      <w:rFonts w:ascii="Times New Roman" w:hAnsi="Times New Roman" w:eastAsia="宋体" w:cs="Times New Roman"/>
      <w:color w:val="0070C0"/>
      <w:kern w:val="2"/>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55</Pages>
  <Words>12904</Words>
  <Characters>13380</Characters>
  <Lines>235</Lines>
  <Paragraphs>66</Paragraphs>
  <TotalTime>172</TotalTime>
  <ScaleCrop>false</ScaleCrop>
  <LinksUpToDate>false</LinksUpToDate>
  <CharactersWithSpaces>13465</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2025-04-09T02:10:00Z</dcterms:created>
  <dc:creator>Administrator</dc:creator>
  <cp:lastModifiedBy>changcheng</cp:lastModifiedBy>
  <cp:lastPrinted>2023-06-30T18:14:00Z</cp:lastPrinted>
  <dcterms:modified xsi:type="dcterms:W3CDTF">2025-08-06T10:37:48Z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F72F1A5C020C78252EBE92684438C2D9_43</vt:lpwstr>
  </property>
  <property fmtid="{D5CDD505-2E9C-101B-9397-08002B2CF9AE}" pid="4" name="KSOTemplateDocerSaveRecord">
    <vt:lpwstr>eyJoZGlkIjoiNWE0MmVmMWU3OTkwNDUwZDg1ZTk1YTFmZmZlYzVjNTIifQ==</vt:lpwstr>
  </property>
</Properties>
</file>