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lang w:eastAsia="zh-CN"/>
        </w:rPr>
        <w:t>统战部</w:t>
      </w: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w:t>
      </w:r>
      <w:r>
        <w:rPr>
          <w:rFonts w:hint="eastAsia" w:ascii="Times New Roman" w:hAnsi="Times New Roman" w:eastAsia="仿宋" w:cs="Times New Roman"/>
          <w:sz w:val="32"/>
          <w:szCs w:val="32"/>
          <w:lang w:val="en-US" w:eastAsia="zh-CN"/>
        </w:rPr>
        <w:t>中华人民共和国</w:t>
      </w:r>
      <w:r>
        <w:rPr>
          <w:rFonts w:hint="eastAsia" w:ascii="Times New Roman" w:hAnsi="Times New Roman" w:eastAsia="仿宋" w:cs="Times New Roman"/>
          <w:sz w:val="32"/>
          <w:szCs w:val="32"/>
        </w:rPr>
        <w:t>预算法》、《地方预决算公开操作规程》和《河北省省级预算公开办法》规定，现将</w:t>
      </w:r>
      <w:r>
        <w:rPr>
          <w:rFonts w:hint="eastAsia" w:ascii="Times New Roman" w:hAnsi="Times New Roman" w:eastAsia="仿宋" w:cs="Times New Roman"/>
          <w:sz w:val="32"/>
          <w:szCs w:val="32"/>
          <w:lang w:eastAsia="zh-CN"/>
        </w:rPr>
        <w:t>中共</w:t>
      </w:r>
      <w:r>
        <w:rPr>
          <w:rFonts w:hint="eastAsia" w:ascii="仿宋" w:hAnsi="仿宋" w:eastAsia="仿宋" w:cs="仿宋"/>
          <w:sz w:val="32"/>
          <w:szCs w:val="32"/>
        </w:rPr>
        <w:t>石家庄市鹿泉区委统战部</w:t>
      </w:r>
      <w:r>
        <w:rPr>
          <w:rFonts w:hint="eastAsia" w:ascii="Times New Roman" w:hAnsi="Times New Roman" w:eastAsia="仿宋" w:cs="Times New Roman"/>
          <w:sz w:val="32"/>
          <w:szCs w:val="32"/>
        </w:rPr>
        <w:t>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spacing w:line="500" w:lineRule="exact"/>
        <w:ind w:firstLine="643" w:firstLineChars="200"/>
        <w:jc w:val="left"/>
        <w:rPr>
          <w:rFonts w:hint="eastAsia" w:ascii="Times New Roman" w:hAnsi="宋体"/>
          <w:sz w:val="28"/>
        </w:rPr>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 w:hAnsi="仿宋" w:eastAsia="仿宋" w:cs="Times New Roman"/>
          <w:b/>
          <w:sz w:val="32"/>
          <w:szCs w:val="32"/>
          <w:lang w:val="en-US" w:eastAsia="zh-CN"/>
        </w:rPr>
        <w:t>;</w:t>
      </w:r>
      <w:r>
        <w:rPr>
          <w:rFonts w:hint="eastAsia" w:ascii="Times New Roman" w:eastAsia="方正仿宋_GBK"/>
          <w:sz w:val="28"/>
        </w:rPr>
        <w:t>根据《中共石家庄市鹿泉区委统一战线工作部职能配置、内设机构和人员编制规定》， 中共石家庄市鹿泉区委统一战线工作部的主要职责是：</w:t>
      </w:r>
    </w:p>
    <w:p>
      <w:pPr>
        <w:spacing w:line="500" w:lineRule="exact"/>
        <w:ind w:firstLine="560" w:firstLineChars="200"/>
        <w:jc w:val="left"/>
        <w:rPr>
          <w:rFonts w:ascii="Times New Roman" w:eastAsia="方正仿宋_GBK"/>
          <w:sz w:val="28"/>
        </w:rPr>
      </w:pPr>
      <w:r>
        <w:rPr>
          <w:rFonts w:ascii="Times New Roman" w:eastAsia="方正仿宋_GBK"/>
          <w:sz w:val="28"/>
        </w:rPr>
        <w:t>　　</w:t>
      </w:r>
    </w:p>
    <w:p>
      <w:pPr>
        <w:spacing w:line="500" w:lineRule="exact"/>
        <w:ind w:firstLine="560" w:firstLineChars="200"/>
        <w:jc w:val="left"/>
        <w:rPr>
          <w:rFonts w:ascii="Times New Roman" w:eastAsia="方正仿宋_GBK"/>
          <w:sz w:val="28"/>
        </w:rPr>
      </w:pPr>
      <w:r>
        <w:rPr>
          <w:rFonts w:ascii="Times New Roman" w:eastAsia="方正仿宋_GBK"/>
          <w:sz w:val="28"/>
        </w:rPr>
        <w:t>（一）贯彻落实加强党对统一战线工作集中统一领导的要求，了解情况、掌握政策、协调关系、安排人事、增进共识、加强团结，协调统一战线各方面关系，落实中央、省委、市委、区委关于统一战线工作重大决策部署，巩固壮大最广泛的统一战线。</w:t>
      </w:r>
    </w:p>
    <w:p>
      <w:pPr>
        <w:spacing w:line="500" w:lineRule="exact"/>
        <w:ind w:firstLine="560" w:firstLineChars="200"/>
        <w:jc w:val="left"/>
        <w:rPr>
          <w:rFonts w:ascii="Times New Roman" w:eastAsia="方正仿宋_GBK"/>
          <w:sz w:val="28"/>
        </w:rPr>
      </w:pPr>
      <w:r>
        <w:rPr>
          <w:rFonts w:ascii="Times New Roman" w:eastAsia="方正仿宋_GBK"/>
          <w:sz w:val="28"/>
        </w:rPr>
        <w:t>（二）深入调查研究统一战线理论，及时向区委报告统一战线工作情况并提出建议，统筹协调和指导各乡镇（区）各部门各单位统一战线工作。组织协调统一战线政策和法律法规的贯彻落实，检查执行情况，协调统一战线各方面关系。</w:t>
      </w:r>
    </w:p>
    <w:p>
      <w:pPr>
        <w:spacing w:line="500" w:lineRule="exact"/>
        <w:ind w:firstLine="560" w:firstLineChars="200"/>
        <w:jc w:val="left"/>
        <w:rPr>
          <w:rFonts w:ascii="Times New Roman" w:eastAsia="方正仿宋_GBK"/>
          <w:sz w:val="28"/>
        </w:rPr>
      </w:pPr>
      <w:r>
        <w:rPr>
          <w:rFonts w:ascii="Times New Roman" w:eastAsia="方正仿宋_GBK"/>
          <w:sz w:val="28"/>
        </w:rPr>
        <w:t>（三）负责发现、培养党外代表人士，负责党外人士的政治安排，协助民主党派支部、区工商联做好干部管理工作，反映和协调解决党外代表人士工作生活中的实际困难。</w:t>
      </w:r>
    </w:p>
    <w:p>
      <w:pPr>
        <w:spacing w:line="500" w:lineRule="exact"/>
        <w:ind w:firstLine="560" w:firstLineChars="200"/>
        <w:jc w:val="left"/>
        <w:rPr>
          <w:rFonts w:ascii="Times New Roman" w:eastAsia="方正仿宋_GBK"/>
          <w:sz w:val="28"/>
        </w:rPr>
      </w:pPr>
      <w:r>
        <w:rPr>
          <w:rFonts w:ascii="Times New Roman" w:eastAsia="方正仿宋_GBK"/>
          <w:sz w:val="28"/>
        </w:rPr>
        <w:t>（四）贯彻落实党的宣传工作方针，统筹推进全区统一战线宣传工作，拟订全区统一战线宣传工作规划并组织实施，研判涉及统一战线的舆情并协调有关部门应对处置</w:t>
      </w:r>
    </w:p>
    <w:p>
      <w:pPr>
        <w:spacing w:line="500" w:lineRule="exact"/>
        <w:ind w:firstLine="560" w:firstLineChars="200"/>
        <w:jc w:val="left"/>
        <w:rPr>
          <w:rFonts w:ascii="Times New Roman" w:eastAsia="方正仿宋_GBK"/>
          <w:sz w:val="28"/>
        </w:rPr>
      </w:pPr>
      <w:r>
        <w:rPr>
          <w:rFonts w:ascii="Times New Roman" w:eastAsia="方正仿宋_GBK"/>
          <w:sz w:val="28"/>
        </w:rP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spacing w:line="500" w:lineRule="exact"/>
        <w:ind w:firstLine="560" w:firstLineChars="200"/>
        <w:jc w:val="left"/>
        <w:rPr>
          <w:rFonts w:ascii="Times New Roman" w:eastAsia="方正仿宋_GBK"/>
          <w:sz w:val="28"/>
        </w:rPr>
      </w:pPr>
      <w:r>
        <w:rPr>
          <w:rFonts w:ascii="Times New Roman" w:eastAsia="方正仿宋_GBK"/>
          <w:sz w:val="28"/>
        </w:rPr>
        <w:t>（六）统一领导民族宗教工作，贯彻落实党的民族宗教工作方针，研究拟订民族宗教工作的政策措施并督促落实，协调处理民族宗教工作中的重大问题，领导区民族宗教事务局依法管理民族宗教事务，全面促进民族宗教事业发展，维护全区民族宗教领域和谐稳定。</w:t>
      </w:r>
    </w:p>
    <w:p>
      <w:pPr>
        <w:spacing w:line="500" w:lineRule="exact"/>
        <w:ind w:firstLine="560" w:firstLineChars="200"/>
        <w:jc w:val="left"/>
        <w:rPr>
          <w:rFonts w:ascii="Times New Roman" w:eastAsia="方正仿宋_GBK"/>
          <w:sz w:val="28"/>
        </w:rPr>
      </w:pPr>
      <w:r>
        <w:rPr>
          <w:rFonts w:ascii="Times New Roman" w:eastAsia="方正仿宋_GBK"/>
          <w:sz w:val="28"/>
        </w:rPr>
        <w:t>（七）负责联系、培养无党派代表人士，支持、帮助无党派人士发挥作用，调查研究党外知识分子和新的社会阶层</w:t>
      </w:r>
      <w:r>
        <w:rPr>
          <w:rFonts w:hint="eastAsia" w:ascii="Times New Roman" w:eastAsia="方正仿宋_GBK"/>
          <w:sz w:val="28"/>
          <w:lang w:val="en-US" w:eastAsia="zh-CN"/>
        </w:rPr>
        <w:t>人</w:t>
      </w:r>
      <w:bookmarkStart w:id="12" w:name="_GoBack"/>
      <w:bookmarkEnd w:id="12"/>
      <w:r>
        <w:rPr>
          <w:rFonts w:ascii="Times New Roman" w:eastAsia="方正仿宋_GBK"/>
          <w:sz w:val="28"/>
        </w:rPr>
        <w:t>士情况并提出政策建议，联系、培养党外知识分子和新的社会阶层代表人士，开展思想政治工作，指导企业和社会组织开展党外知识分子和新的社会阶层人士统战工作。</w:t>
      </w:r>
    </w:p>
    <w:p>
      <w:pPr>
        <w:spacing w:line="500" w:lineRule="exact"/>
        <w:ind w:firstLine="560" w:firstLineChars="200"/>
        <w:jc w:val="left"/>
        <w:rPr>
          <w:rFonts w:ascii="Times New Roman" w:eastAsia="方正仿宋_GBK"/>
          <w:sz w:val="28"/>
        </w:rPr>
      </w:pPr>
      <w:r>
        <w:rPr>
          <w:rFonts w:ascii="Times New Roman" w:eastAsia="方正仿宋_GBK"/>
          <w:sz w:val="28"/>
        </w:rP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w:t>
      </w:r>
      <w:r>
        <w:rPr>
          <w:rFonts w:hint="eastAsia" w:ascii="Times New Roman" w:eastAsia="方正仿宋_GBK"/>
          <w:sz w:val="28"/>
          <w:lang w:val="en-US" w:eastAsia="zh-CN"/>
        </w:rPr>
        <w:t>士</w:t>
      </w:r>
      <w:r>
        <w:rPr>
          <w:rFonts w:ascii="Times New Roman" w:eastAsia="方正仿宋_GBK"/>
          <w:sz w:val="28"/>
        </w:rPr>
        <w:t>健康成长。</w:t>
      </w:r>
    </w:p>
    <w:p>
      <w:pPr>
        <w:spacing w:line="500" w:lineRule="exact"/>
        <w:ind w:firstLine="560" w:firstLineChars="200"/>
        <w:jc w:val="left"/>
        <w:rPr>
          <w:rFonts w:ascii="Times New Roman" w:eastAsia="方正仿宋_GBK"/>
          <w:sz w:val="28"/>
        </w:rPr>
      </w:pPr>
      <w:r>
        <w:rPr>
          <w:rFonts w:ascii="Times New Roman" w:eastAsia="方正仿宋_GBK"/>
          <w:sz w:val="28"/>
        </w:rPr>
        <w:t>（九）开展港澳台海外统一战线工作，贯彻落实党的海外统战工作政策，联系香港、澳门有关党派、团体及代表人士，联系海外有关社团及代表人士。</w:t>
      </w:r>
    </w:p>
    <w:p>
      <w:pPr>
        <w:spacing w:line="500" w:lineRule="exact"/>
        <w:ind w:firstLine="560" w:firstLineChars="200"/>
        <w:jc w:val="left"/>
        <w:rPr>
          <w:rFonts w:ascii="Times New Roman" w:eastAsia="方正仿宋_GBK"/>
          <w:sz w:val="28"/>
        </w:rPr>
      </w:pPr>
      <w:r>
        <w:rPr>
          <w:rFonts w:ascii="Times New Roman" w:eastAsia="方正仿宋_GBK"/>
          <w:sz w:val="28"/>
        </w:rPr>
        <w:t>（十）统一管理全区侨务工作，贯彻落实党的侨务工作方针政策并组织协调、督促检查落实，调查研究侨情和侨务工作情况，管理侨务工作，保护华侨和归侨侨眷在区内的合法权利和利益。</w:t>
      </w:r>
    </w:p>
    <w:p>
      <w:pPr>
        <w:spacing w:line="500" w:lineRule="exact"/>
        <w:ind w:firstLine="560" w:firstLineChars="200"/>
        <w:jc w:val="left"/>
        <w:rPr>
          <w:rFonts w:ascii="Times New Roman" w:eastAsia="方正仿宋_GBK"/>
          <w:sz w:val="28"/>
        </w:rPr>
      </w:pPr>
      <w:r>
        <w:rPr>
          <w:rFonts w:ascii="Times New Roman" w:eastAsia="方正仿宋_GBK"/>
          <w:sz w:val="28"/>
        </w:rPr>
        <w:t>（十一）统一管理全区涉台工作，贯彻执行党中央、国务院对台工作的方针政策。开展对台工作调查研究并结合我区实际提出对策和建议。协调、指导全区涉台金融、经济、文化等领域的交流与合作及鹿台人员往来工作。负责来我区台胞的接待服务工作。</w:t>
      </w:r>
    </w:p>
    <w:p>
      <w:pPr>
        <w:spacing w:line="500" w:lineRule="exact"/>
        <w:ind w:firstLine="560" w:firstLineChars="200"/>
        <w:jc w:val="left"/>
        <w:rPr>
          <w:rFonts w:ascii="Times New Roman" w:eastAsia="方正仿宋_GBK"/>
          <w:sz w:val="28"/>
        </w:rPr>
      </w:pPr>
      <w:r>
        <w:rPr>
          <w:rFonts w:ascii="Times New Roman" w:eastAsia="方正仿宋_GBK"/>
          <w:sz w:val="28"/>
        </w:rPr>
        <w:t>（十二）指导各乡镇（区）党（工）委统一战线工作，负责乡镇（区）统战干部培训工作；指导区工商联工作；指导区侨联工作，做好区党外知识分子联谊会和区侨联等统战团体管理工作。</w:t>
      </w:r>
    </w:p>
    <w:p>
      <w:pPr>
        <w:spacing w:line="500" w:lineRule="exact"/>
        <w:ind w:firstLine="560" w:firstLineChars="200"/>
        <w:jc w:val="left"/>
        <w:rPr>
          <w:rFonts w:ascii="Times New Roman" w:eastAsia="方正仿宋_GBK"/>
          <w:sz w:val="28"/>
        </w:rPr>
      </w:pPr>
      <w:r>
        <w:rPr>
          <w:rFonts w:ascii="Times New Roman" w:eastAsia="方正仿宋_GBK"/>
          <w:sz w:val="28"/>
        </w:rPr>
        <w:t>（十三）完成区委交办的其他任务　　</w:t>
      </w:r>
    </w:p>
    <w:p>
      <w:pPr>
        <w:ind w:firstLine="640"/>
        <w:rPr>
          <w:rFonts w:ascii="Times New Roman" w:hAnsi="Times New Roman" w:eastAsia="仿宋" w:cs="Times New Roman"/>
          <w:sz w:val="32"/>
          <w:szCs w:val="32"/>
        </w:rPr>
      </w:pPr>
    </w:p>
    <w:p>
      <w:pPr>
        <w:rPr>
          <w:rFonts w:ascii="仿宋" w:hAnsi="仿宋" w:eastAsia="仿宋" w:cs="Times New Roman"/>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sz w:val="32"/>
          <w:szCs w:val="24"/>
        </w:rPr>
      </w:pPr>
      <w:r>
        <w:rPr>
          <w:rFonts w:ascii="Times New Roman" w:hAnsi="Times New Roman" w:eastAsia="方正小标宋_GBK"/>
          <w:sz w:val="32"/>
          <w:szCs w:val="24"/>
        </w:rPr>
        <w:t>部门</w:t>
      </w:r>
      <w:r>
        <w:rPr>
          <w:rFonts w:hint="eastAsia" w:ascii="Times New Roman" w:hAnsi="Times New Roman" w:eastAsia="方正小标宋_GBK"/>
          <w:sz w:val="32"/>
          <w:szCs w:val="24"/>
        </w:rPr>
        <w:t>机构设置情况</w:t>
      </w:r>
    </w:p>
    <w:tbl>
      <w:tblPr>
        <w:tblStyle w:val="7"/>
        <w:tblW w:w="1093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39"/>
        <w:gridCol w:w="969"/>
        <w:gridCol w:w="1050"/>
        <w:gridCol w:w="1315"/>
        <w:gridCol w:w="919"/>
        <w:gridCol w:w="1085"/>
        <w:gridCol w:w="537"/>
        <w:gridCol w:w="543"/>
        <w:gridCol w:w="544"/>
        <w:gridCol w:w="543"/>
        <w:gridCol w:w="543"/>
        <w:gridCol w:w="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0" w:hRule="atLeast"/>
          <w:tblHeader/>
          <w:jc w:val="center"/>
        </w:trPr>
        <w:tc>
          <w:tcPr>
            <w:tcW w:w="7677"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小标宋_GBK" w:eastAsia="方正小标宋_GBK"/>
                <w:sz w:val="24"/>
              </w:rPr>
            </w:pPr>
            <w:r>
              <w:rPr>
                <w:rFonts w:hint="eastAsia" w:ascii="方正小标宋_GBK" w:eastAsia="方正小标宋_GBK"/>
                <w:sz w:val="24"/>
              </w:rPr>
              <w:t>213中共石家庄市鹿泉区委统战部</w:t>
            </w:r>
          </w:p>
        </w:tc>
        <w:tc>
          <w:tcPr>
            <w:tcW w:w="3262"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0" w:hRule="atLeast"/>
          <w:tblHeader/>
          <w:jc w:val="center"/>
        </w:trPr>
        <w:tc>
          <w:tcPr>
            <w:tcW w:w="2339"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969"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050"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1315"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经费保障形式</w:t>
            </w:r>
          </w:p>
        </w:tc>
        <w:tc>
          <w:tcPr>
            <w:tcW w:w="919"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车辆编制数</w:t>
            </w:r>
          </w:p>
        </w:tc>
        <w:tc>
          <w:tcPr>
            <w:tcW w:w="1622" w:type="dxa"/>
            <w:gridSpan w:val="2"/>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编制人数</w:t>
            </w:r>
          </w:p>
        </w:tc>
        <w:tc>
          <w:tcPr>
            <w:tcW w:w="1087" w:type="dxa"/>
            <w:gridSpan w:val="2"/>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在职人数</w:t>
            </w:r>
          </w:p>
        </w:tc>
        <w:tc>
          <w:tcPr>
            <w:tcW w:w="1638" w:type="dxa"/>
            <w:gridSpan w:val="3"/>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离退人数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9" w:hRule="atLeast"/>
          <w:tblHeader/>
          <w:jc w:val="center"/>
        </w:trPr>
        <w:tc>
          <w:tcPr>
            <w:tcW w:w="2339" w:type="dxa"/>
            <w:vMerge w:val="continue"/>
            <w:shd w:val="clear" w:color="auto" w:fill="auto"/>
            <w:noWrap w:val="0"/>
            <w:vAlign w:val="center"/>
          </w:tcPr>
          <w:p>
            <w:pPr>
              <w:spacing w:line="300" w:lineRule="exact"/>
              <w:jc w:val="left"/>
              <w:outlineLvl w:val="0"/>
            </w:pPr>
          </w:p>
        </w:tc>
        <w:tc>
          <w:tcPr>
            <w:tcW w:w="969" w:type="dxa"/>
            <w:vMerge w:val="continue"/>
            <w:shd w:val="clear" w:color="auto" w:fill="auto"/>
            <w:noWrap w:val="0"/>
            <w:vAlign w:val="center"/>
          </w:tcPr>
          <w:p>
            <w:pPr>
              <w:spacing w:line="300" w:lineRule="exact"/>
              <w:jc w:val="left"/>
              <w:outlineLvl w:val="0"/>
            </w:pPr>
          </w:p>
        </w:tc>
        <w:tc>
          <w:tcPr>
            <w:tcW w:w="1050" w:type="dxa"/>
            <w:vMerge w:val="continue"/>
            <w:shd w:val="clear" w:color="auto" w:fill="auto"/>
            <w:noWrap w:val="0"/>
            <w:vAlign w:val="center"/>
          </w:tcPr>
          <w:p>
            <w:pPr>
              <w:spacing w:line="300" w:lineRule="exact"/>
              <w:jc w:val="left"/>
              <w:outlineLvl w:val="0"/>
            </w:pPr>
          </w:p>
        </w:tc>
        <w:tc>
          <w:tcPr>
            <w:tcW w:w="1315" w:type="dxa"/>
            <w:vMerge w:val="continue"/>
            <w:shd w:val="clear" w:color="auto" w:fill="auto"/>
            <w:noWrap w:val="0"/>
            <w:vAlign w:val="center"/>
          </w:tcPr>
          <w:p>
            <w:pPr>
              <w:spacing w:line="300" w:lineRule="exact"/>
              <w:jc w:val="left"/>
              <w:outlineLvl w:val="0"/>
            </w:pPr>
          </w:p>
        </w:tc>
        <w:tc>
          <w:tcPr>
            <w:tcW w:w="919" w:type="dxa"/>
            <w:vMerge w:val="continue"/>
            <w:shd w:val="clear" w:color="auto" w:fill="auto"/>
            <w:noWrap w:val="0"/>
            <w:vAlign w:val="center"/>
          </w:tcPr>
          <w:p>
            <w:pPr>
              <w:spacing w:line="300" w:lineRule="exact"/>
              <w:jc w:val="left"/>
              <w:outlineLvl w:val="0"/>
            </w:pPr>
          </w:p>
        </w:tc>
        <w:tc>
          <w:tcPr>
            <w:tcW w:w="1085"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53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543"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行政</w:t>
            </w:r>
          </w:p>
        </w:tc>
        <w:tc>
          <w:tcPr>
            <w:tcW w:w="54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事业</w:t>
            </w:r>
          </w:p>
        </w:tc>
        <w:tc>
          <w:tcPr>
            <w:tcW w:w="543"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离休</w:t>
            </w:r>
          </w:p>
        </w:tc>
        <w:tc>
          <w:tcPr>
            <w:tcW w:w="543"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退休</w:t>
            </w:r>
          </w:p>
        </w:tc>
        <w:tc>
          <w:tcPr>
            <w:tcW w:w="552"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退职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0" w:hRule="atLeast"/>
          <w:jc w:val="center"/>
        </w:trPr>
        <w:tc>
          <w:tcPr>
            <w:tcW w:w="2339"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合</w:t>
            </w:r>
            <w:r>
              <w:rPr>
                <w:rFonts w:ascii="方正书宋_GBK" w:eastAsia="方正书宋_GBK"/>
                <w:b/>
              </w:rPr>
              <w:t xml:space="preserve">    </w:t>
            </w:r>
            <w:r>
              <w:rPr>
                <w:rFonts w:hint="eastAsia" w:ascii="方正书宋_GBK" w:eastAsia="方正书宋_GBK"/>
                <w:b/>
              </w:rPr>
              <w:t>计</w:t>
            </w:r>
          </w:p>
        </w:tc>
        <w:tc>
          <w:tcPr>
            <w:tcW w:w="969" w:type="dxa"/>
            <w:shd w:val="clear" w:color="auto" w:fill="auto"/>
            <w:noWrap w:val="0"/>
            <w:vAlign w:val="center"/>
          </w:tcPr>
          <w:p>
            <w:pPr>
              <w:spacing w:line="300" w:lineRule="exact"/>
              <w:jc w:val="center"/>
              <w:rPr>
                <w:rFonts w:ascii="方正书宋_GBK" w:eastAsia="方正书宋_GBK"/>
                <w:b/>
              </w:rPr>
            </w:pPr>
          </w:p>
        </w:tc>
        <w:tc>
          <w:tcPr>
            <w:tcW w:w="1050" w:type="dxa"/>
            <w:shd w:val="clear" w:color="auto" w:fill="auto"/>
            <w:noWrap w:val="0"/>
            <w:vAlign w:val="center"/>
          </w:tcPr>
          <w:p>
            <w:pPr>
              <w:spacing w:line="300" w:lineRule="exact"/>
              <w:jc w:val="center"/>
              <w:rPr>
                <w:rFonts w:ascii="方正书宋_GBK" w:eastAsia="方正书宋_GBK"/>
                <w:b/>
              </w:rPr>
            </w:pPr>
          </w:p>
        </w:tc>
        <w:tc>
          <w:tcPr>
            <w:tcW w:w="1315" w:type="dxa"/>
            <w:shd w:val="clear" w:color="auto" w:fill="auto"/>
            <w:noWrap w:val="0"/>
            <w:vAlign w:val="center"/>
          </w:tcPr>
          <w:p>
            <w:pPr>
              <w:spacing w:line="300" w:lineRule="exact"/>
              <w:jc w:val="center"/>
              <w:rPr>
                <w:rFonts w:ascii="方正书宋_GBK" w:eastAsia="方正书宋_GBK"/>
                <w:b/>
              </w:rPr>
            </w:pPr>
          </w:p>
        </w:tc>
        <w:tc>
          <w:tcPr>
            <w:tcW w:w="919"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w:t>
            </w:r>
          </w:p>
        </w:tc>
        <w:tc>
          <w:tcPr>
            <w:tcW w:w="1085" w:type="dxa"/>
            <w:shd w:val="clear" w:color="auto" w:fill="auto"/>
            <w:noWrap w:val="0"/>
            <w:vAlign w:val="center"/>
          </w:tcPr>
          <w:p>
            <w:pPr>
              <w:spacing w:line="300" w:lineRule="exact"/>
              <w:jc w:val="center"/>
              <w:rPr>
                <w:rFonts w:hint="default" w:ascii="方正书宋_GBK" w:eastAsia="方正书宋_GBK"/>
                <w:b/>
                <w:lang w:val="en-US" w:eastAsia="zh-CN"/>
              </w:rPr>
            </w:pPr>
            <w:r>
              <w:rPr>
                <w:rFonts w:hint="eastAsia" w:ascii="方正书宋_GBK" w:eastAsia="方正书宋_GBK"/>
                <w:b/>
                <w:lang w:val="en-US" w:eastAsia="zh-CN"/>
              </w:rPr>
              <w:t>13</w:t>
            </w:r>
          </w:p>
        </w:tc>
        <w:tc>
          <w:tcPr>
            <w:tcW w:w="53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0</w:t>
            </w:r>
          </w:p>
        </w:tc>
        <w:tc>
          <w:tcPr>
            <w:tcW w:w="543" w:type="dxa"/>
            <w:shd w:val="clear" w:color="auto" w:fill="auto"/>
            <w:noWrap w:val="0"/>
            <w:vAlign w:val="center"/>
          </w:tcPr>
          <w:p>
            <w:pPr>
              <w:spacing w:line="300" w:lineRule="exact"/>
              <w:jc w:val="center"/>
              <w:rPr>
                <w:rFonts w:hint="default" w:ascii="方正书宋_GBK" w:eastAsia="方正书宋_GBK"/>
                <w:b/>
                <w:lang w:val="en-US" w:eastAsia="zh-CN"/>
              </w:rPr>
            </w:pPr>
            <w:r>
              <w:rPr>
                <w:rFonts w:hint="eastAsia" w:ascii="方正书宋_GBK" w:eastAsia="方正书宋_GBK"/>
                <w:b/>
                <w:lang w:val="en-US" w:eastAsia="zh-CN"/>
              </w:rPr>
              <w:t>12</w:t>
            </w:r>
          </w:p>
        </w:tc>
        <w:tc>
          <w:tcPr>
            <w:tcW w:w="544" w:type="dxa"/>
            <w:shd w:val="clear" w:color="auto" w:fill="auto"/>
            <w:noWrap w:val="0"/>
            <w:vAlign w:val="center"/>
          </w:tcPr>
          <w:p>
            <w:pPr>
              <w:spacing w:line="300" w:lineRule="exact"/>
              <w:jc w:val="center"/>
              <w:rPr>
                <w:rFonts w:ascii="方正书宋_GBK" w:eastAsia="方正书宋_GBK"/>
                <w:b/>
              </w:rPr>
            </w:pPr>
          </w:p>
        </w:tc>
        <w:tc>
          <w:tcPr>
            <w:tcW w:w="543"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1</w:t>
            </w:r>
          </w:p>
        </w:tc>
        <w:tc>
          <w:tcPr>
            <w:tcW w:w="543"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4</w:t>
            </w:r>
          </w:p>
        </w:tc>
        <w:tc>
          <w:tcPr>
            <w:tcW w:w="552" w:type="dxa"/>
            <w:shd w:val="clear" w:color="auto" w:fill="auto"/>
            <w:noWrap w:val="0"/>
            <w:vAlign w:val="center"/>
          </w:tcPr>
          <w:p>
            <w:pPr>
              <w:spacing w:line="300" w:lineRule="exact"/>
              <w:jc w:val="center"/>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0" w:hRule="atLeast"/>
          <w:jc w:val="center"/>
        </w:trPr>
        <w:tc>
          <w:tcPr>
            <w:tcW w:w="2339"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中共石家庄市鹿泉区委统战部</w:t>
            </w:r>
          </w:p>
        </w:tc>
        <w:tc>
          <w:tcPr>
            <w:tcW w:w="969" w:type="dxa"/>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行政</w:t>
            </w:r>
          </w:p>
        </w:tc>
        <w:tc>
          <w:tcPr>
            <w:tcW w:w="1050" w:type="dxa"/>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正科级</w:t>
            </w:r>
          </w:p>
        </w:tc>
        <w:tc>
          <w:tcPr>
            <w:tcW w:w="1315" w:type="dxa"/>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财政拨款</w:t>
            </w:r>
          </w:p>
        </w:tc>
        <w:tc>
          <w:tcPr>
            <w:tcW w:w="919" w:type="dxa"/>
            <w:shd w:val="clear" w:color="auto" w:fill="auto"/>
            <w:noWrap w:val="0"/>
            <w:vAlign w:val="center"/>
          </w:tcPr>
          <w:p>
            <w:pPr>
              <w:spacing w:line="300" w:lineRule="exact"/>
              <w:jc w:val="center"/>
              <w:rPr>
                <w:rFonts w:ascii="方正书宋_GBK" w:eastAsia="方正书宋_GBK"/>
              </w:rPr>
            </w:pPr>
            <w:r>
              <w:rPr>
                <w:rFonts w:ascii="方正书宋_GBK" w:eastAsia="方正书宋_GBK"/>
              </w:rPr>
              <w:t>1</w:t>
            </w:r>
          </w:p>
        </w:tc>
        <w:tc>
          <w:tcPr>
            <w:tcW w:w="1085" w:type="dxa"/>
            <w:shd w:val="clear" w:color="auto" w:fill="auto"/>
            <w:noWrap w:val="0"/>
            <w:vAlign w:val="center"/>
          </w:tcPr>
          <w:p>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13</w:t>
            </w:r>
          </w:p>
        </w:tc>
        <w:tc>
          <w:tcPr>
            <w:tcW w:w="537" w:type="dxa"/>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0</w:t>
            </w:r>
          </w:p>
        </w:tc>
        <w:tc>
          <w:tcPr>
            <w:tcW w:w="543" w:type="dxa"/>
            <w:shd w:val="clear" w:color="auto" w:fill="auto"/>
            <w:noWrap w:val="0"/>
            <w:vAlign w:val="center"/>
          </w:tcPr>
          <w:p>
            <w:pPr>
              <w:spacing w:line="300" w:lineRule="exact"/>
              <w:jc w:val="center"/>
              <w:rPr>
                <w:rFonts w:hint="default" w:ascii="方正书宋_GBK" w:eastAsia="方正书宋_GBK"/>
                <w:lang w:val="en-US" w:eastAsia="zh-CN"/>
              </w:rPr>
            </w:pPr>
            <w:r>
              <w:rPr>
                <w:rFonts w:hint="eastAsia" w:ascii="方正书宋_GBK" w:eastAsia="方正书宋_GBK"/>
                <w:lang w:val="en-US" w:eastAsia="zh-CN"/>
              </w:rPr>
              <w:t>12</w:t>
            </w:r>
          </w:p>
        </w:tc>
        <w:tc>
          <w:tcPr>
            <w:tcW w:w="544" w:type="dxa"/>
            <w:shd w:val="clear" w:color="auto" w:fill="auto"/>
            <w:noWrap w:val="0"/>
            <w:vAlign w:val="center"/>
          </w:tcPr>
          <w:p>
            <w:pPr>
              <w:spacing w:line="300" w:lineRule="exact"/>
              <w:jc w:val="center"/>
              <w:rPr>
                <w:rFonts w:ascii="方正书宋_GBK" w:eastAsia="方正书宋_GBK"/>
              </w:rPr>
            </w:pPr>
          </w:p>
        </w:tc>
        <w:tc>
          <w:tcPr>
            <w:tcW w:w="543" w:type="dxa"/>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1</w:t>
            </w:r>
          </w:p>
        </w:tc>
        <w:tc>
          <w:tcPr>
            <w:tcW w:w="543" w:type="dxa"/>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4</w:t>
            </w:r>
          </w:p>
        </w:tc>
        <w:tc>
          <w:tcPr>
            <w:tcW w:w="552" w:type="dxa"/>
            <w:shd w:val="clear" w:color="auto" w:fill="auto"/>
            <w:noWrap w:val="0"/>
            <w:vAlign w:val="center"/>
          </w:tcPr>
          <w:p>
            <w:pPr>
              <w:spacing w:line="300" w:lineRule="exact"/>
              <w:jc w:val="center"/>
              <w:rPr>
                <w:rFonts w:ascii="方正书宋_GBK" w:eastAsia="方正书宋_GBK"/>
              </w:rPr>
            </w:pPr>
          </w:p>
        </w:tc>
      </w:tr>
    </w:tbl>
    <w:p>
      <w:pPr>
        <w:jc w:val="center"/>
        <w:outlineLvl w:val="0"/>
        <w:rPr>
          <w:rFonts w:ascii="Times New Roman" w:hAnsi="Times New Roman" w:eastAsia="方正小标宋_GBK"/>
          <w:sz w:val="32"/>
          <w:szCs w:val="24"/>
        </w:rPr>
      </w:pPr>
    </w:p>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hint="eastAsia" w:ascii="仿宋" w:hAnsi="仿宋" w:eastAsia="仿宋" w:cs="仿宋"/>
          <w:sz w:val="32"/>
          <w:szCs w:val="32"/>
          <w:lang w:val="en-US" w:eastAsia="zh-CN"/>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lang w:val="en-US" w:eastAsia="zh-CN"/>
        </w:rPr>
        <w:t>区</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仿宋" w:hAnsi="仿宋" w:eastAsia="仿宋" w:cs="仿宋"/>
          <w:sz w:val="32"/>
          <w:szCs w:val="32"/>
          <w:lang w:val="en-US" w:eastAsia="zh-CN"/>
        </w:rPr>
        <w:t>我部门及所属单位所有收支都包含在部门预算中。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w:t>
      </w:r>
      <w:r>
        <w:rPr>
          <w:rFonts w:hint="eastAsia" w:ascii="仿宋" w:hAnsi="仿宋" w:eastAsia="仿宋" w:cs="仿宋"/>
          <w:sz w:val="32"/>
          <w:szCs w:val="32"/>
        </w:rPr>
        <w:t>门当年全部收入。2020年预算收入296.13万元，其中：一般公共预算收入296.13万元，基金预算收</w:t>
      </w:r>
      <w:r>
        <w:rPr>
          <w:rFonts w:hint="eastAsia" w:ascii="Times New Roman" w:hAnsi="Times New Roman" w:eastAsia="仿宋" w:cs="Times New Roman"/>
          <w:sz w:val="32"/>
          <w:szCs w:val="32"/>
        </w:rPr>
        <w:t>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hint="eastAsia" w:ascii="仿宋" w:hAnsi="仿宋" w:eastAsia="仿宋" w:cs="仿宋"/>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收支预算总表支出栏、基本支出表、项目支出表按经济分类和支出功能分类科目编制，反映河北省人民代表大会常务委员会办公厅年度部门预算中支出</w:t>
      </w:r>
      <w:r>
        <w:rPr>
          <w:rFonts w:hint="eastAsia" w:ascii="仿宋" w:hAnsi="仿宋" w:eastAsia="仿宋" w:cs="仿宋"/>
          <w:sz w:val="32"/>
          <w:szCs w:val="32"/>
        </w:rPr>
        <w:t>预算的总体情况。2020年部门支出预算为296.13万元，其中基本支出268.73万元，包括人员经费236.58万元和日常公用经费32.15万元；项目支出</w:t>
      </w:r>
      <w:r>
        <w:rPr>
          <w:rFonts w:hint="eastAsia" w:ascii="仿宋" w:hAnsi="仿宋" w:eastAsia="仿宋" w:cs="仿宋"/>
          <w:sz w:val="32"/>
          <w:szCs w:val="32"/>
          <w:lang w:val="en-US" w:eastAsia="zh-CN"/>
        </w:rPr>
        <w:t>27.4</w:t>
      </w:r>
      <w:r>
        <w:rPr>
          <w:rFonts w:hint="eastAsia" w:ascii="仿宋" w:hAnsi="仿宋" w:eastAsia="仿宋" w:cs="仿宋"/>
          <w:sz w:val="32"/>
          <w:szCs w:val="32"/>
        </w:rPr>
        <w:t>万元。</w:t>
      </w:r>
    </w:p>
    <w:p>
      <w:pPr>
        <w:ind w:firstLine="640"/>
        <w:rPr>
          <w:rFonts w:hint="eastAsia" w:ascii="仿宋" w:hAnsi="仿宋" w:eastAsia="仿宋" w:cs="仿宋"/>
          <w:sz w:val="32"/>
          <w:szCs w:val="32"/>
        </w:rPr>
      </w:pPr>
      <w:r>
        <w:rPr>
          <w:rFonts w:hint="eastAsia" w:ascii="仿宋" w:hAnsi="仿宋" w:eastAsia="仿宋" w:cs="仿宋"/>
          <w:sz w:val="32"/>
          <w:szCs w:val="32"/>
        </w:rPr>
        <w:t>3、比上年增减情况</w:t>
      </w:r>
    </w:p>
    <w:p>
      <w:pPr>
        <w:ind w:firstLine="640"/>
        <w:rPr>
          <w:rFonts w:hint="eastAsia" w:ascii="仿宋" w:hAnsi="仿宋" w:eastAsia="仿宋" w:cs="仿宋"/>
          <w:sz w:val="32"/>
          <w:szCs w:val="32"/>
        </w:rPr>
      </w:pPr>
      <w:r>
        <w:rPr>
          <w:rFonts w:hint="eastAsia" w:ascii="仿宋" w:hAnsi="仿宋" w:eastAsia="仿宋" w:cs="仿宋"/>
          <w:color w:val="000000"/>
          <w:sz w:val="32"/>
          <w:szCs w:val="32"/>
        </w:rPr>
        <w:t>2020年部门预算收支安排</w:t>
      </w:r>
      <w:r>
        <w:rPr>
          <w:rFonts w:hint="eastAsia" w:ascii="仿宋" w:hAnsi="仿宋" w:eastAsia="仿宋" w:cs="仿宋"/>
          <w:sz w:val="32"/>
          <w:szCs w:val="32"/>
        </w:rPr>
        <w:t>296.13</w:t>
      </w:r>
      <w:r>
        <w:rPr>
          <w:rFonts w:hint="eastAsia" w:ascii="仿宋" w:hAnsi="仿宋" w:eastAsia="仿宋" w:cs="仿宋"/>
          <w:color w:val="000000"/>
          <w:sz w:val="32"/>
          <w:szCs w:val="32"/>
        </w:rPr>
        <w:t>万元，</w:t>
      </w:r>
      <w:r>
        <w:rPr>
          <w:rFonts w:hint="eastAsia" w:ascii="仿宋" w:hAnsi="仿宋" w:eastAsia="仿宋" w:cs="仿宋"/>
          <w:sz w:val="32"/>
          <w:szCs w:val="32"/>
        </w:rPr>
        <w:t>较2019年增加</w:t>
      </w:r>
      <w:r>
        <w:rPr>
          <w:rFonts w:hint="eastAsia" w:ascii="仿宋" w:hAnsi="仿宋" w:eastAsia="仿宋" w:cs="仿宋"/>
          <w:sz w:val="32"/>
          <w:szCs w:val="32"/>
          <w:lang w:val="en-US" w:eastAsia="zh-CN"/>
        </w:rPr>
        <w:t>104.68</w:t>
      </w:r>
      <w:r>
        <w:rPr>
          <w:rFonts w:hint="eastAsia" w:ascii="仿宋" w:hAnsi="仿宋" w:eastAsia="仿宋" w:cs="仿宋"/>
          <w:sz w:val="32"/>
          <w:szCs w:val="32"/>
        </w:rPr>
        <w:t>万元，其中：基本支出</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100.68</w:t>
      </w:r>
      <w:r>
        <w:rPr>
          <w:rFonts w:hint="eastAsia" w:ascii="仿宋" w:hAnsi="仿宋" w:eastAsia="仿宋" w:cs="仿宋"/>
          <w:sz w:val="32"/>
          <w:szCs w:val="32"/>
        </w:rPr>
        <w:t>万元，主要是人员</w:t>
      </w:r>
      <w:r>
        <w:rPr>
          <w:rFonts w:hint="eastAsia" w:ascii="仿宋" w:hAnsi="仿宋" w:eastAsia="仿宋" w:cs="仿宋"/>
          <w:sz w:val="32"/>
          <w:szCs w:val="32"/>
          <w:lang w:eastAsia="zh-CN"/>
        </w:rPr>
        <w:t>增加</w:t>
      </w:r>
      <w:r>
        <w:rPr>
          <w:rFonts w:hint="eastAsia" w:ascii="仿宋" w:hAnsi="仿宋" w:eastAsia="仿宋" w:cs="仿宋"/>
          <w:sz w:val="32"/>
          <w:szCs w:val="32"/>
        </w:rPr>
        <w:t>，相应</w:t>
      </w:r>
      <w:r>
        <w:rPr>
          <w:rFonts w:hint="eastAsia" w:ascii="仿宋" w:hAnsi="仿宋" w:eastAsia="仿宋" w:cs="仿宋"/>
          <w:sz w:val="32"/>
          <w:szCs w:val="32"/>
          <w:lang w:eastAsia="zh-CN"/>
        </w:rPr>
        <w:t>增加</w:t>
      </w:r>
      <w:r>
        <w:rPr>
          <w:rFonts w:hint="eastAsia" w:ascii="仿宋" w:hAnsi="仿宋" w:eastAsia="仿宋" w:cs="仿宋"/>
          <w:sz w:val="32"/>
          <w:szCs w:val="32"/>
        </w:rPr>
        <w:t>人员经费和日常公用经费；项目支出增加</w:t>
      </w:r>
      <w:r>
        <w:rPr>
          <w:rFonts w:hint="eastAsia" w:ascii="仿宋" w:hAnsi="仿宋" w:eastAsia="仿宋" w:cs="仿宋"/>
          <w:sz w:val="32"/>
          <w:szCs w:val="32"/>
          <w:lang w:val="en-US" w:eastAsia="zh-CN"/>
        </w:rPr>
        <w:t>4</w:t>
      </w:r>
      <w:r>
        <w:rPr>
          <w:rFonts w:hint="eastAsia" w:ascii="仿宋" w:hAnsi="仿宋" w:eastAsia="仿宋" w:cs="仿宋"/>
          <w:sz w:val="32"/>
          <w:szCs w:val="32"/>
        </w:rPr>
        <w:t>万元，主要是</w:t>
      </w:r>
      <w:r>
        <w:rPr>
          <w:rFonts w:hint="eastAsia" w:ascii="仿宋" w:hAnsi="仿宋" w:eastAsia="仿宋" w:cs="仿宋"/>
          <w:sz w:val="32"/>
          <w:szCs w:val="32"/>
          <w:lang w:eastAsia="zh-CN"/>
        </w:rPr>
        <w:t>上级补助宗教工作经费</w:t>
      </w:r>
      <w:r>
        <w:rPr>
          <w:rFonts w:hint="eastAsia" w:ascii="仿宋" w:hAnsi="仿宋" w:eastAsia="仿宋" w:cs="仿宋"/>
          <w:sz w:val="32"/>
          <w:szCs w:val="32"/>
        </w:rPr>
        <w:t>；其他支出无增减变化。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w:t>
      </w:r>
      <w:r>
        <w:rPr>
          <w:rFonts w:hint="eastAsia" w:ascii="Times New Roman" w:hAnsi="Times New Roman" w:eastAsia="仿宋" w:cs="Times New Roman"/>
          <w:sz w:val="32"/>
          <w:szCs w:val="32"/>
          <w:lang w:val="en-US" w:eastAsia="zh-CN"/>
        </w:rPr>
        <w:t>32.15</w:t>
      </w:r>
      <w:r>
        <w:rPr>
          <w:rFonts w:hint="eastAsia" w:ascii="Times New Roman" w:hAnsi="Times New Roman" w:eastAsia="仿宋" w:cs="Times New Roman"/>
          <w:sz w:val="32"/>
          <w:szCs w:val="32"/>
        </w:rPr>
        <w:t>万元，主要用于保证机关正常运转的办公及印刷费、邮电费、差旅费、会议费、福利费</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w:t>
      </w:r>
      <w:r>
        <w:rPr>
          <w:rFonts w:hint="eastAsia" w:ascii="Times New Roman" w:hAnsi="Times New Roman" w:eastAsia="仿宋" w:cs="Times New Roman"/>
          <w:sz w:val="32"/>
          <w:szCs w:val="32"/>
          <w:lang w:val="en-US" w:eastAsia="zh-CN"/>
        </w:rPr>
        <w:t>2.7</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2.7</w:t>
      </w:r>
      <w:r>
        <w:rPr>
          <w:rFonts w:hint="eastAsia" w:ascii="Times New Roman" w:hAnsi="Times New Roman" w:eastAsia="仿宋" w:cs="Times New Roman"/>
          <w:sz w:val="32"/>
          <w:szCs w:val="32"/>
        </w:rPr>
        <w:t>万元（其中：公务用车购置费0万元，公务用车运行维护费</w:t>
      </w:r>
      <w:r>
        <w:rPr>
          <w:rFonts w:hint="eastAsia" w:ascii="Times New Roman" w:hAnsi="Times New Roman" w:eastAsia="仿宋" w:cs="Times New Roman"/>
          <w:sz w:val="32"/>
          <w:szCs w:val="32"/>
          <w:lang w:val="en-US" w:eastAsia="zh-CN"/>
        </w:rPr>
        <w:t>2.7</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万元。与</w:t>
      </w:r>
      <w:r>
        <w:rPr>
          <w:rFonts w:hint="eastAsia" w:ascii="Times New Roman" w:hAnsi="Times New Roman" w:eastAsia="仿宋" w:cs="Times New Roman"/>
          <w:sz w:val="32"/>
          <w:szCs w:val="32"/>
          <w:lang w:val="en-US" w:eastAsia="zh-CN"/>
        </w:rPr>
        <w:t>2019</w:t>
      </w:r>
      <w:r>
        <w:rPr>
          <w:rFonts w:hint="eastAsia" w:ascii="Times New Roman" w:hAnsi="Times New Roman" w:eastAsia="仿宋" w:cs="Times New Roman"/>
          <w:sz w:val="32"/>
          <w:szCs w:val="32"/>
        </w:rPr>
        <w:t>年</w:t>
      </w:r>
      <w:r>
        <w:rPr>
          <w:rFonts w:hint="eastAsia" w:ascii="Times New Roman" w:hAnsi="Times New Roman" w:eastAsia="仿宋" w:cs="Times New Roman"/>
          <w:sz w:val="32"/>
          <w:szCs w:val="32"/>
          <w:lang w:val="en-US" w:eastAsia="zh-CN"/>
        </w:rPr>
        <w:t>相比</w:t>
      </w:r>
      <w:r>
        <w:rPr>
          <w:rFonts w:hint="eastAsia" w:ascii="Times New Roman" w:hAnsi="Times New Roman" w:eastAsia="仿宋" w:cs="Times New Roman"/>
          <w:sz w:val="32"/>
          <w:szCs w:val="32"/>
        </w:rPr>
        <w:t>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bookmarkEnd w:id="0"/>
    <w:p>
      <w:pPr>
        <w:spacing w:line="500" w:lineRule="exact"/>
        <w:ind w:firstLine="560" w:firstLineChars="200"/>
        <w:jc w:val="left"/>
        <w:rPr>
          <w:rFonts w:ascii="Times New Roman" w:eastAsia="方正仿宋_GBK"/>
          <w:sz w:val="28"/>
        </w:rPr>
      </w:pPr>
      <w:r>
        <w:rPr>
          <w:rFonts w:ascii="Times New Roman" w:eastAsia="方正仿宋_GBK"/>
          <w:sz w:val="28"/>
        </w:rPr>
        <w:t>贯彻落实加强党对统一战线工作集中统一领导的要求，了解情况、掌握政策、协调关系、安排人事、增进共识、加强团结，协调统一战线各方面关系，落实中央、省委、市委、区委关于统一战线工作重大决策部署，巩固壮大最广泛的统一战线。2020年，区委统战部将根据省市和区委的新要求新部署，紧密结合区委、区政府中心工作，提高政治站位，增强责任担当，以凝聚统战成员的思想共识为首要任务，以开展大培训、树典型、抓落实为根本要求，以巩固宗教督查整改成效，加强党外代表人士培养锻炼为重点，提高我区统战工作科学化制度化水平。</w:t>
      </w:r>
    </w:p>
    <w:p>
      <w:pPr>
        <w:spacing w:line="500" w:lineRule="exact"/>
        <w:ind w:firstLine="560" w:firstLineChars="200"/>
        <w:jc w:val="left"/>
        <w:rPr>
          <w:rFonts w:ascii="Times New Roman" w:eastAsia="方正仿宋_GBK"/>
          <w:sz w:val="28"/>
        </w:rPr>
      </w:pPr>
    </w:p>
    <w:p>
      <w:pPr>
        <w:spacing w:line="500" w:lineRule="exact"/>
        <w:ind w:firstLine="560" w:firstLineChars="200"/>
        <w:jc w:val="left"/>
        <w:outlineLvl w:val="1"/>
        <w:rPr>
          <w:rFonts w:ascii="Times New Roman" w:hAnsi="宋体"/>
          <w:sz w:val="28"/>
        </w:rPr>
      </w:pPr>
      <w:r>
        <w:rPr>
          <w:rFonts w:hint="eastAsia" w:ascii="方正黑体_GBK" w:eastAsia="方正黑体_GBK"/>
          <w:sz w:val="28"/>
        </w:rPr>
        <w:t>二、分项绩效目标</w:t>
      </w:r>
      <w:r>
        <w:fldChar w:fldCharType="begin"/>
      </w:r>
      <w:r>
        <w:rPr>
          <w:rFonts w:ascii="方正黑体_GBK" w:eastAsia="方正黑体_GBK"/>
          <w:sz w:val="28"/>
        </w:rPr>
        <w:instrText xml:space="preserve"> </w:instrText>
      </w:r>
      <w:r>
        <w:rPr>
          <w:rFonts w:hint="eastAsia" w:ascii="方正黑体_GBK" w:eastAsia="方正黑体_GBK"/>
          <w:sz w:val="28"/>
        </w:rPr>
        <w:instrText xml:space="preserve">TC </w:instrText>
      </w:r>
      <w:bookmarkStart w:id="2" w:name="_Toc32497817"/>
      <w:r>
        <w:rPr>
          <w:rFonts w:hint="eastAsia" w:ascii="方正黑体_GBK" w:eastAsia="方正黑体_GBK"/>
          <w:sz w:val="28"/>
        </w:rPr>
        <w:instrText xml:space="preserve">分项绩效目标</w:instrText>
      </w:r>
      <w:bookmarkEnd w:id="2"/>
      <w:r>
        <w:rPr>
          <w:rFonts w:hint="eastAsia" w:ascii="方正黑体_GBK" w:eastAsia="方正黑体_GBK"/>
          <w:sz w:val="28"/>
        </w:rPr>
        <w:instrText xml:space="preserve"> \f A \l 1</w:instrText>
      </w:r>
      <w:r>
        <w:rPr>
          <w:rFonts w:ascii="方正黑体_GBK" w:eastAsia="方正黑体_GBK"/>
          <w:sz w:val="28"/>
        </w:rPr>
        <w:instrText xml:space="preserve"> </w:instrText>
      </w:r>
      <w:r>
        <w:rPr>
          <w:rFonts w:ascii="方正黑体_GBK" w:eastAsia="方正黑体_GBK"/>
          <w:sz w:val="28"/>
        </w:rPr>
        <w:fldChar w:fldCharType="end"/>
      </w:r>
    </w:p>
    <w:p>
      <w:pPr>
        <w:spacing w:line="500" w:lineRule="exact"/>
        <w:ind w:firstLine="560" w:firstLineChars="200"/>
        <w:jc w:val="left"/>
        <w:rPr>
          <w:rFonts w:ascii="Times New Roman" w:eastAsia="方正仿宋_GBK"/>
          <w:sz w:val="28"/>
        </w:rPr>
      </w:pPr>
      <w:r>
        <w:rPr>
          <w:rFonts w:ascii="Times New Roman" w:eastAsia="方正仿宋_GBK"/>
          <w:sz w:val="28"/>
        </w:rPr>
        <w:t>（一）加强党建引领，不断夯实组织基础。</w:t>
      </w:r>
    </w:p>
    <w:p>
      <w:pPr>
        <w:spacing w:line="500" w:lineRule="exact"/>
        <w:ind w:firstLine="560" w:firstLineChars="200"/>
        <w:jc w:val="left"/>
        <w:rPr>
          <w:rFonts w:ascii="Times New Roman" w:eastAsia="方正仿宋_GBK"/>
          <w:sz w:val="28"/>
        </w:rPr>
      </w:pPr>
      <w:r>
        <w:rPr>
          <w:rFonts w:ascii="Times New Roman" w:eastAsia="方正仿宋_GBK"/>
          <w:sz w:val="28"/>
        </w:rPr>
        <w:t>绩效目标：不断加强机关党建工作，为完成中心工作提供坚强的组织保证；进一步加强从严治党和党风廉政建设思想认识，切实履行管党治党主体责任、认真履行“一岗双责”，持续不断深化机关作风建设；加强对党员干部日常监督管理。</w:t>
      </w:r>
    </w:p>
    <w:p>
      <w:pPr>
        <w:spacing w:line="500" w:lineRule="exact"/>
        <w:ind w:firstLine="560" w:firstLineChars="200"/>
        <w:jc w:val="left"/>
        <w:rPr>
          <w:rFonts w:ascii="Times New Roman" w:eastAsia="方正仿宋_GBK"/>
          <w:sz w:val="28"/>
        </w:rPr>
      </w:pPr>
      <w:r>
        <w:rPr>
          <w:rFonts w:ascii="Times New Roman" w:eastAsia="方正仿宋_GBK"/>
          <w:sz w:val="28"/>
        </w:rPr>
        <w:t>绩效指标：每周组织一次学习交流；领导班子成员深入到镇村和宗教团体、宗教场所、侨资侨属企业进行广泛调研，形成不少于三篇的调研文章。</w:t>
      </w:r>
    </w:p>
    <w:p>
      <w:pPr>
        <w:spacing w:line="500" w:lineRule="exact"/>
        <w:ind w:firstLine="560" w:firstLineChars="200"/>
        <w:jc w:val="left"/>
        <w:rPr>
          <w:rFonts w:ascii="Times New Roman" w:eastAsia="方正仿宋_GBK"/>
          <w:sz w:val="28"/>
        </w:rPr>
      </w:pPr>
      <w:r>
        <w:rPr>
          <w:rFonts w:ascii="Times New Roman" w:eastAsia="方正仿宋_GBK"/>
          <w:sz w:val="28"/>
        </w:rPr>
        <w:t>（二）加强培训，着力提升统一战线各界人士的思想政治素质。</w:t>
      </w:r>
    </w:p>
    <w:p>
      <w:pPr>
        <w:spacing w:line="500" w:lineRule="exact"/>
        <w:ind w:firstLine="560" w:firstLineChars="200"/>
        <w:jc w:val="left"/>
        <w:rPr>
          <w:rFonts w:ascii="Times New Roman" w:eastAsia="方正仿宋_GBK"/>
          <w:sz w:val="28"/>
        </w:rPr>
      </w:pPr>
      <w:r>
        <w:rPr>
          <w:rFonts w:ascii="Times New Roman" w:eastAsia="方正仿宋_GBK"/>
          <w:sz w:val="28"/>
        </w:rPr>
        <w:t>绩效目标：把开展培训，提升思想政治素质作为重点工作，全年分类别、分层次，以习近平新时代中国特色社会主义思想和统战理论为培训内容对统战成员进行培训。</w:t>
      </w:r>
    </w:p>
    <w:p>
      <w:pPr>
        <w:spacing w:line="500" w:lineRule="exact"/>
        <w:ind w:firstLine="560" w:firstLineChars="200"/>
        <w:jc w:val="left"/>
        <w:rPr>
          <w:rFonts w:ascii="Times New Roman" w:eastAsia="方正仿宋_GBK"/>
          <w:sz w:val="28"/>
        </w:rPr>
      </w:pPr>
      <w:r>
        <w:rPr>
          <w:rFonts w:ascii="Times New Roman" w:eastAsia="方正仿宋_GBK"/>
          <w:sz w:val="28"/>
        </w:rPr>
        <w:t>绩效指标：对民主党派成员、无党派人士，党外知识分子代表、新的社会阶层人士代表、侨联代表等统战成员轮训1遍。</w:t>
      </w:r>
    </w:p>
    <w:p>
      <w:pPr>
        <w:spacing w:line="500" w:lineRule="exact"/>
        <w:ind w:firstLine="560" w:firstLineChars="200"/>
        <w:jc w:val="left"/>
        <w:rPr>
          <w:rFonts w:ascii="Times New Roman" w:eastAsia="方正仿宋_GBK"/>
          <w:sz w:val="28"/>
        </w:rPr>
      </w:pPr>
      <w:r>
        <w:rPr>
          <w:rFonts w:ascii="Times New Roman" w:eastAsia="方正仿宋_GBK"/>
          <w:sz w:val="28"/>
        </w:rPr>
        <w:t>（三）巩固成效，切实维护宗教领域的和谐稳定。</w:t>
      </w:r>
    </w:p>
    <w:p>
      <w:pPr>
        <w:spacing w:line="500" w:lineRule="exact"/>
        <w:ind w:firstLine="560" w:firstLineChars="200"/>
        <w:jc w:val="left"/>
        <w:rPr>
          <w:rFonts w:ascii="Times New Roman" w:eastAsia="方正仿宋_GBK"/>
          <w:sz w:val="28"/>
        </w:rPr>
      </w:pPr>
      <w:r>
        <w:rPr>
          <w:rFonts w:ascii="Times New Roman" w:eastAsia="方正仿宋_GBK"/>
          <w:sz w:val="28"/>
        </w:rPr>
        <w:t>绩效目标：以“双创四进”活动为载体，巩固宗教督查整改成效，坚持宗教中国化方向；持续开展宗教团体和宗教教职人员培训，加强宗教爱国力量建设；依法加强宗教管理，建立健全财务审计制度，规范宗教场所财务管理。</w:t>
      </w:r>
    </w:p>
    <w:p>
      <w:pPr>
        <w:spacing w:line="500" w:lineRule="exact"/>
        <w:ind w:firstLine="560" w:firstLineChars="200"/>
        <w:jc w:val="left"/>
        <w:rPr>
          <w:rFonts w:ascii="Times New Roman" w:eastAsia="方正仿宋_GBK"/>
          <w:sz w:val="28"/>
        </w:rPr>
      </w:pPr>
      <w:r>
        <w:rPr>
          <w:rFonts w:ascii="Times New Roman" w:eastAsia="方正仿宋_GBK"/>
          <w:sz w:val="28"/>
        </w:rPr>
        <w:t>绩效指标：全年对宗教教职人员和宗教团体分别进行宗教工作培训不少于3次；对宗教场所财务进行1次审计。</w:t>
      </w:r>
    </w:p>
    <w:p>
      <w:pPr>
        <w:spacing w:line="500" w:lineRule="exact"/>
        <w:ind w:firstLine="560" w:firstLineChars="200"/>
        <w:jc w:val="left"/>
        <w:rPr>
          <w:rFonts w:ascii="Times New Roman" w:eastAsia="方正仿宋_GBK"/>
          <w:sz w:val="28"/>
        </w:rPr>
      </w:pPr>
      <w:r>
        <w:rPr>
          <w:rFonts w:ascii="Times New Roman" w:eastAsia="方正仿宋_GBK"/>
          <w:sz w:val="28"/>
        </w:rPr>
        <w:t>（四）加强经济统战，着力促进两个健康。</w:t>
      </w:r>
    </w:p>
    <w:p>
      <w:pPr>
        <w:spacing w:line="500" w:lineRule="exact"/>
        <w:ind w:firstLine="560" w:firstLineChars="200"/>
        <w:jc w:val="left"/>
        <w:rPr>
          <w:rFonts w:ascii="Times New Roman" w:eastAsia="方正仿宋_GBK"/>
          <w:sz w:val="28"/>
        </w:rPr>
      </w:pPr>
      <w:r>
        <w:rPr>
          <w:rFonts w:ascii="Times New Roman" w:eastAsia="方正仿宋_GBK"/>
          <w:sz w:val="28"/>
        </w:rPr>
        <w:t>绩效目标：抓住京津冀协同发展和雄安新区建设的有利时机，围绕产业结构调整，通过开展专题培训、宣传政策、观摩交流等形式，引导和支持民营企业加快转型升级。继续深入开展理想信念教育实践活动，大力宣传身边的先进典型，提高我区非公经济人士的政治素质和业务素质。</w:t>
      </w:r>
    </w:p>
    <w:p>
      <w:pPr>
        <w:spacing w:line="500" w:lineRule="exact"/>
        <w:ind w:firstLine="560" w:firstLineChars="200"/>
        <w:jc w:val="left"/>
        <w:rPr>
          <w:rFonts w:ascii="Times New Roman" w:eastAsia="方正仿宋_GBK"/>
          <w:sz w:val="28"/>
        </w:rPr>
      </w:pPr>
      <w:r>
        <w:rPr>
          <w:rFonts w:ascii="Times New Roman" w:eastAsia="方正仿宋_GBK"/>
          <w:sz w:val="28"/>
        </w:rPr>
        <w:t>绩效指标：全年组织非公经济相关培训不少于2次；深入企业调研不少于2次；召开非公经济座谈会不少于2次。</w:t>
      </w:r>
    </w:p>
    <w:p>
      <w:pPr>
        <w:spacing w:line="500" w:lineRule="exact"/>
        <w:ind w:firstLine="560" w:firstLineChars="200"/>
        <w:jc w:val="left"/>
        <w:rPr>
          <w:rFonts w:ascii="Times New Roman" w:eastAsia="方正仿宋_GBK"/>
          <w:sz w:val="28"/>
        </w:rPr>
      </w:pPr>
    </w:p>
    <w:p>
      <w:pPr>
        <w:spacing w:line="500" w:lineRule="exact"/>
        <w:ind w:firstLine="560" w:firstLineChars="200"/>
        <w:jc w:val="left"/>
        <w:outlineLvl w:val="1"/>
        <w:rPr>
          <w:rFonts w:ascii="Times New Roman" w:hAnsi="宋体"/>
          <w:sz w:val="28"/>
        </w:rPr>
      </w:pPr>
      <w:r>
        <w:rPr>
          <w:rFonts w:hint="eastAsia" w:ascii="方正黑体_GBK" w:eastAsia="方正黑体_GBK"/>
          <w:sz w:val="28"/>
        </w:rPr>
        <w:t>三、工作保障措施</w:t>
      </w:r>
      <w:r>
        <w:fldChar w:fldCharType="begin"/>
      </w:r>
      <w:r>
        <w:rPr>
          <w:rFonts w:ascii="方正黑体_GBK" w:eastAsia="方正黑体_GBK"/>
          <w:sz w:val="28"/>
        </w:rPr>
        <w:instrText xml:space="preserve"> </w:instrText>
      </w:r>
      <w:r>
        <w:rPr>
          <w:rFonts w:hint="eastAsia" w:ascii="方正黑体_GBK" w:eastAsia="方正黑体_GBK"/>
          <w:sz w:val="28"/>
        </w:rPr>
        <w:instrText xml:space="preserve">TC </w:instrText>
      </w:r>
      <w:bookmarkStart w:id="3" w:name="_Toc32497818"/>
      <w:r>
        <w:rPr>
          <w:rFonts w:hint="eastAsia" w:ascii="方正黑体_GBK" w:eastAsia="方正黑体_GBK"/>
          <w:sz w:val="28"/>
        </w:rPr>
        <w:instrText xml:space="preserve">工作保障措施</w:instrText>
      </w:r>
      <w:bookmarkEnd w:id="3"/>
      <w:r>
        <w:rPr>
          <w:rFonts w:hint="eastAsia" w:ascii="方正黑体_GBK" w:eastAsia="方正黑体_GBK"/>
          <w:sz w:val="28"/>
        </w:rPr>
        <w:instrText xml:space="preserve"> \f A \l 1</w:instrText>
      </w:r>
      <w:r>
        <w:rPr>
          <w:rFonts w:ascii="方正黑体_GBK" w:eastAsia="方正黑体_GBK"/>
          <w:sz w:val="28"/>
        </w:rPr>
        <w:instrText xml:space="preserve"> </w:instrText>
      </w:r>
      <w:r>
        <w:rPr>
          <w:rFonts w:ascii="方正黑体_GBK" w:eastAsia="方正黑体_GBK"/>
          <w:sz w:val="28"/>
        </w:rPr>
        <w:fldChar w:fldCharType="end"/>
      </w:r>
    </w:p>
    <w:p>
      <w:pPr>
        <w:spacing w:line="500" w:lineRule="exact"/>
        <w:ind w:firstLine="560" w:firstLineChars="200"/>
        <w:jc w:val="left"/>
        <w:rPr>
          <w:rFonts w:ascii="Times New Roman" w:eastAsia="方正仿宋_GBK"/>
          <w:sz w:val="28"/>
        </w:rPr>
      </w:pPr>
    </w:p>
    <w:p>
      <w:pPr>
        <w:spacing w:line="500" w:lineRule="exact"/>
        <w:ind w:firstLine="560" w:firstLineChars="200"/>
        <w:jc w:val="left"/>
        <w:rPr>
          <w:rFonts w:ascii="Times New Roman" w:eastAsia="方正仿宋_GBK"/>
          <w:sz w:val="28"/>
        </w:rPr>
      </w:pPr>
      <w:r>
        <w:rPr>
          <w:rFonts w:ascii="Times New Roman" w:eastAsia="方正仿宋_GBK"/>
          <w:sz w:val="28"/>
        </w:rPr>
        <w:t>1.加强和完善制度建设，不断夯实制度基础。不断加强和完善预算绩效管理制度、资金管理办法，工作保障制度等，为全年预算绩效目标的实现奠定制度基础；</w:t>
      </w:r>
    </w:p>
    <w:p>
      <w:pPr>
        <w:spacing w:line="500" w:lineRule="exact"/>
        <w:ind w:firstLine="560" w:firstLineChars="200"/>
        <w:jc w:val="left"/>
        <w:rPr>
          <w:rFonts w:ascii="Times New Roman" w:eastAsia="方正仿宋_GBK"/>
          <w:sz w:val="28"/>
        </w:rPr>
      </w:pPr>
      <w:r>
        <w:rPr>
          <w:rFonts w:ascii="Times New Roman" w:eastAsia="方正仿宋_GBK"/>
          <w:sz w:val="28"/>
        </w:rPr>
        <w:t xml:space="preserve"> 2.加强支出管理和绩效运行监控。通过优化支出结构、编细编实预算、尽快启动项目、及时支付资金、按规定及时开展各项工作等多种措施，确保支出进度达标；按要求开展绩效运行监控，发现问题及时采取措施，确保绩效目标如期保质实现。</w:t>
      </w:r>
    </w:p>
    <w:p>
      <w:pPr>
        <w:spacing w:line="500" w:lineRule="exact"/>
        <w:ind w:firstLine="560" w:firstLineChars="200"/>
        <w:jc w:val="left"/>
        <w:rPr>
          <w:rFonts w:ascii="Times New Roman" w:eastAsia="方正仿宋_GBK"/>
          <w:sz w:val="28"/>
        </w:rPr>
      </w:pPr>
      <w:r>
        <w:rPr>
          <w:rFonts w:ascii="Times New Roman" w:eastAsia="方正仿宋_GBK"/>
          <w:sz w:val="28"/>
        </w:rPr>
        <w:t>3、做好绩效自评。按要求开展上年度部门预算绩效自评工作，对评价中发现的问题及时整改，调整优化支出结构，提高财政拨付项目资金的使用效益。</w:t>
      </w:r>
    </w:p>
    <w:p>
      <w:pPr>
        <w:spacing w:line="500" w:lineRule="exact"/>
        <w:ind w:firstLine="560" w:firstLineChars="200"/>
        <w:jc w:val="left"/>
        <w:rPr>
          <w:rFonts w:ascii="Times New Roman" w:eastAsia="方正仿宋_GBK"/>
          <w:sz w:val="28"/>
        </w:rPr>
      </w:pPr>
      <w:r>
        <w:rPr>
          <w:rFonts w:ascii="Times New Roman" w:eastAsia="方正仿宋_GBK"/>
          <w:sz w:val="28"/>
        </w:rPr>
        <w:t>4、规范财务资产管理，加强内部监督。完善财务管理制度，严格审批程序，加强固定资产登记、使用和报废处置管理，做到支出合理，物尽其用；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spacing w:line="500" w:lineRule="exact"/>
        <w:ind w:firstLine="560" w:firstLineChars="200"/>
        <w:jc w:val="left"/>
        <w:rPr>
          <w:rFonts w:ascii="Times New Roman" w:eastAsia="方正仿宋_GBK"/>
          <w:sz w:val="28"/>
        </w:rPr>
        <w:sectPr>
          <w:footerReference r:id="rId3" w:type="default"/>
          <w:pgSz w:w="11907" w:h="16839"/>
          <w:pgMar w:top="1984" w:right="1304" w:bottom="1134" w:left="1304" w:header="851" w:footer="992" w:gutter="0"/>
          <w:pgNumType w:start="1"/>
          <w:cols w:space="425" w:num="1"/>
          <w:docGrid w:type="lines" w:linePitch="312" w:charSpace="0"/>
        </w:sectPr>
      </w:pPr>
      <w:r>
        <w:rPr>
          <w:rFonts w:ascii="Times New Roman" w:eastAsia="方正仿宋_GBK"/>
          <w:sz w:val="28"/>
        </w:rPr>
        <w:t>5、加强宣传培训调研等。通过开展专题培训、宣传政策、观摩交流等形式，提高本部门职工业务素质；加大宣传力度，强化预算绩效管理意识，促进统战各项工作开展。</w:t>
      </w:r>
      <w:r>
        <w:rPr>
          <w:rFonts w:ascii="方正书宋_GBK" w:eastAsia="方正书宋_GBK"/>
        </w:rPr>
        <w:t xml:space="preserve"> </w:t>
      </w:r>
    </w:p>
    <w:p>
      <w:pPr>
        <w:rPr>
          <w:rFonts w:ascii="Times New Roman" w:hAnsi="宋体"/>
          <w:sz w:val="52"/>
        </w:rPr>
      </w:pPr>
    </w:p>
    <w:p>
      <w:pPr>
        <w:rPr>
          <w:rFonts w:ascii="Times New Roman" w:hAnsi="宋体"/>
          <w:sz w:val="52"/>
        </w:rPr>
      </w:pPr>
      <w:r>
        <w:rPr>
          <w:rFonts w:ascii="方正小标宋_GBK" w:eastAsia="方正小标宋_GBK"/>
          <w:sz w:val="52"/>
        </w:rPr>
        <w:t xml:space="preserve"> </w:t>
      </w:r>
    </w:p>
    <w:p>
      <w:pPr>
        <w:jc w:val="center"/>
        <w:rPr>
          <w:rFonts w:hint="eastAsia" w:ascii="Times New Roman" w:hAnsi="宋体"/>
          <w:sz w:val="44"/>
        </w:rPr>
      </w:pPr>
      <w:r>
        <w:rPr>
          <w:rFonts w:hint="eastAsia" w:ascii="方正小标宋_GBK" w:eastAsia="方正小标宋_GBK"/>
          <w:sz w:val="44"/>
        </w:rPr>
        <w:t>第二部分</w:t>
      </w:r>
    </w:p>
    <w:p>
      <w:pPr>
        <w:jc w:val="center"/>
        <w:rPr>
          <w:rFonts w:ascii="Times New Roman" w:hAnsi="宋体"/>
          <w:sz w:val="44"/>
        </w:rPr>
      </w:pPr>
      <w:r>
        <w:rPr>
          <w:rFonts w:ascii="方正小标宋_GBK" w:eastAsia="方正小标宋_GBK"/>
          <w:sz w:val="44"/>
        </w:rPr>
        <w:t xml:space="preserve"> </w:t>
      </w:r>
    </w:p>
    <w:p>
      <w:pPr>
        <w:jc w:val="center"/>
        <w:outlineLvl w:val="0"/>
        <w:rPr>
          <w:rFonts w:hint="eastAsia" w:ascii="Times New Roman" w:hAnsi="宋体"/>
          <w:sz w:val="44"/>
        </w:rPr>
      </w:pPr>
      <w:r>
        <w:rPr>
          <w:rFonts w:hint="eastAsia" w:ascii="方正小标宋_GBK" w:eastAsia="方正小标宋_GBK"/>
          <w:sz w:val="44"/>
        </w:rPr>
        <w:t>专项资金绩效目标</w:t>
      </w:r>
    </w:p>
    <w:p>
      <w:pPr>
        <w:jc w:val="center"/>
        <w:rPr>
          <w:rFonts w:ascii="Times New Roman" w:hAnsi="宋体"/>
        </w:rPr>
      </w:pPr>
      <w:r>
        <w:rPr>
          <w:rFonts w:ascii="方正书宋_GBK" w:eastAsia="方正书宋_GBK"/>
        </w:rPr>
        <w:t xml:space="preserve"> </w:t>
      </w:r>
    </w:p>
    <w:p>
      <w:pPr>
        <w:jc w:val="center"/>
        <w:sectPr>
          <w:pgSz w:w="11907" w:h="16839"/>
          <w:pgMar w:top="1984" w:right="1304" w:bottom="1134" w:left="1304" w:header="851" w:footer="992" w:gutter="0"/>
          <w:cols w:space="425" w:num="1"/>
          <w:docGrid w:type="lines" w:linePitch="312" w:charSpace="0"/>
        </w:sectPr>
      </w:pPr>
    </w:p>
    <w:p>
      <w:pPr>
        <w:jc w:val="center"/>
      </w:pPr>
    </w:p>
    <w:p>
      <w:pPr>
        <w:ind w:firstLine="562" w:firstLineChars="200"/>
        <w:jc w:val="left"/>
        <w:outlineLvl w:val="1"/>
        <w:rPr>
          <w:rFonts w:ascii="Times New Roman" w:hAnsi="宋体"/>
          <w:b/>
          <w:sz w:val="28"/>
        </w:rPr>
      </w:pPr>
      <w:r>
        <w:rPr>
          <w:rFonts w:hint="eastAsia" w:ascii="方正仿宋_GBK" w:eastAsia="方正仿宋_GBK"/>
          <w:b/>
          <w:sz w:val="28"/>
        </w:rPr>
        <w:t>1、党外知识分子工作经费绩效目标表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2497819"/>
      <w:r>
        <w:rPr>
          <w:rFonts w:hint="eastAsia" w:ascii="方正仿宋_GBK" w:eastAsia="方正仿宋_GBK"/>
          <w:b/>
          <w:sz w:val="28"/>
        </w:rPr>
        <w:instrText xml:space="preserve">1、党外知识分子工作经费绩效目标表</w:instrText>
      </w:r>
      <w:bookmarkEnd w:id="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000-9999-JSN-J2HZ</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党外知识分子工作经费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用于对党外知识分子和各民主党派成员开展培训、联谊、公益活动。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、组织党外知识分子活动和联谊</w:t>
            </w:r>
            <w:r>
              <w:rPr>
                <w:rFonts w:ascii="方正书宋_GBK" w:eastAsia="方正书宋_GBK"/>
              </w:rPr>
              <w:t>2</w:t>
            </w:r>
            <w:r>
              <w:rPr>
                <w:rFonts w:hint="eastAsia" w:ascii="方正书宋_GBK" w:eastAsia="方正书宋_GBK"/>
              </w:rPr>
              <w:t>次，开展培训班</w:t>
            </w:r>
            <w:r>
              <w:rPr>
                <w:rFonts w:ascii="方正书宋_GBK" w:eastAsia="方正书宋_GBK"/>
              </w:rPr>
              <w:t>2</w:t>
            </w:r>
            <w:r>
              <w:rPr>
                <w:rFonts w:hint="eastAsia" w:ascii="方正书宋_GBK" w:eastAsia="方正书宋_GBK"/>
              </w:rPr>
              <w:t>次，加强对党外知识分子团结引领、培养锻炼和开展参政议政、建</w:t>
            </w:r>
            <w:r>
              <w:rPr>
                <w:rFonts w:hint="eastAsia" w:ascii="方正书宋_GBK" w:eastAsia="方正书宋_GBK"/>
                <w:lang w:val="en-US" w:eastAsia="zh-CN"/>
              </w:rPr>
              <w:t>言</w:t>
            </w:r>
            <w:r>
              <w:rPr>
                <w:rFonts w:hint="eastAsia" w:ascii="方正书宋_GBK" w:eastAsia="方正书宋_GBK"/>
              </w:rPr>
              <w:t>献策的能力。</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开展培训次数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开展党外知识分子培训办次数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开展活动和联谊次数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开展党外知识分子活动和联谊次数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每期培训班参加人数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每期培训班培训人数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每次联谊活动参加人数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每次组织的党外知识分子参加联谊活动人数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党外知识分子活动人数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对党外知识分子进行政治引领，培养锻炼和开展参政议政、建</w:t>
            </w:r>
            <w:r>
              <w:rPr>
                <w:rFonts w:hint="eastAsia" w:ascii="方正书宋_GBK" w:eastAsia="方正书宋_GBK"/>
                <w:lang w:val="en-US" w:eastAsia="zh-CN"/>
              </w:rPr>
              <w:t>言</w:t>
            </w:r>
            <w:r>
              <w:rPr>
                <w:rFonts w:hint="eastAsia" w:ascii="方正书宋_GBK" w:eastAsia="方正书宋_GBK"/>
              </w:rPr>
              <w:t>献策的能力，全年预计活动人数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300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参与调查的党外知识分子满意度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年初工作计划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2、涉军公益岗位工资绩效目标表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2497820"/>
      <w:r>
        <w:rPr>
          <w:rFonts w:hint="eastAsia" w:ascii="方正仿宋_GBK" w:eastAsia="方正仿宋_GBK"/>
          <w:b/>
          <w:sz w:val="28"/>
        </w:rPr>
        <w:instrText xml:space="preserve">2、涉军公益岗位工资绩效目标表</w:instrText>
      </w:r>
      <w:bookmarkEnd w:id="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000-9999-JSN-F486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涉军公益岗位工资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2.40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2.40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做好一名退役军人的帮扶救助，按时发放工资补贴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、对符合就业困难且符合政府安排工作条件的退役士兵一名，实行公益岗位托管安置，帮扶救助到位，加大就业援助工作，实现就业。</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工资补贴及时发放率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按时足额发放工资补贴的次数占总发的次数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退役军人人数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分配到本单位的退役军人人数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退役军人补助标准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退役军人按照文件要求退役安置工资补贴数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1960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安置退役军人数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实际安置退役军人的数量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退役安置满意度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对退役安置满意度和较满意人数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号文件</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3、台侨工作经费绩效目标表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2497821"/>
      <w:r>
        <w:rPr>
          <w:rFonts w:hint="eastAsia" w:ascii="方正仿宋_GBK" w:eastAsia="方正仿宋_GBK"/>
          <w:b/>
          <w:sz w:val="28"/>
        </w:rPr>
        <w:instrText xml:space="preserve">3、台侨工作经费绩效目标表</w:instrText>
      </w:r>
      <w:bookmarkEnd w:id="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000-9999-JSN-F8P2</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台侨工作经费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用于组织侨联代表学习《</w:t>
            </w:r>
            <w:r>
              <w:rPr>
                <w:rFonts w:hint="eastAsia" w:ascii="方正书宋_GBK" w:eastAsia="方正书宋_GBK"/>
                <w:lang w:val="en-US" w:eastAsia="zh-CN"/>
              </w:rPr>
              <w:t>中华人民共和国</w:t>
            </w:r>
            <w:r>
              <w:rPr>
                <w:rFonts w:hint="eastAsia" w:ascii="方正书宋_GBK" w:eastAsia="方正书宋_GBK"/>
              </w:rPr>
              <w:t>宪法》和全国两会精神等集中学习、开展联谊活动、开展社会服务活动。通过侨联邀请相关专家到我区开展大型义诊活动，开展献爱心助学活动，走访慰问归侨侨眷，加强侨法宣传，接待台湾客商、侨商投资企业到我区进行项目考察等考察活动等费用，促进我区的对外交流合作，推动海外统战工作创新发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、组织侨联代表学习《</w:t>
            </w:r>
            <w:r>
              <w:rPr>
                <w:rFonts w:hint="eastAsia" w:ascii="方正书宋_GBK" w:eastAsia="方正书宋_GBK"/>
                <w:lang w:val="en-US" w:eastAsia="zh-CN"/>
              </w:rPr>
              <w:t>中华人民共和国</w:t>
            </w:r>
            <w:r>
              <w:rPr>
                <w:rFonts w:hint="eastAsia" w:ascii="方正书宋_GBK" w:eastAsia="方正书宋_GBK"/>
              </w:rPr>
              <w:t>宪法》和全国两会精神等集中学习不少于</w:t>
            </w:r>
            <w:r>
              <w:rPr>
                <w:rFonts w:ascii="方正书宋_GBK" w:eastAsia="方正书宋_GBK"/>
              </w:rPr>
              <w:t>3</w:t>
            </w:r>
            <w:r>
              <w:rPr>
                <w:rFonts w:hint="eastAsia" w:ascii="方正书宋_GBK" w:eastAsia="方正书宋_GBK"/>
              </w:rPr>
              <w:t>次，组织开展联谊活动不少于</w:t>
            </w:r>
            <w:r>
              <w:rPr>
                <w:rFonts w:ascii="方正书宋_GBK" w:eastAsia="方正书宋_GBK"/>
              </w:rPr>
              <w:t>2</w:t>
            </w:r>
            <w:r>
              <w:rPr>
                <w:rFonts w:hint="eastAsia" w:ascii="方正书宋_GBK" w:eastAsia="方正书宋_GBK"/>
              </w:rPr>
              <w:t>次，通过侨联邀请相关专家到我区开展大型义诊活动</w:t>
            </w:r>
            <w:r>
              <w:rPr>
                <w:rFonts w:ascii="方正书宋_GBK" w:eastAsia="方正书宋_GBK"/>
              </w:rPr>
              <w:t>1</w:t>
            </w:r>
            <w:r>
              <w:rPr>
                <w:rFonts w:hint="eastAsia" w:ascii="方正书宋_GBK" w:eastAsia="方正书宋_GBK"/>
              </w:rPr>
              <w:t>次，开展献爱心助学活动</w:t>
            </w:r>
            <w:r>
              <w:rPr>
                <w:rFonts w:ascii="方正书宋_GBK" w:eastAsia="方正书宋_GBK"/>
              </w:rPr>
              <w:t>1</w:t>
            </w:r>
            <w:r>
              <w:rPr>
                <w:rFonts w:hint="eastAsia" w:ascii="方正书宋_GBK" w:eastAsia="方正书宋_GBK"/>
              </w:rPr>
              <w:t>次，有效发挥侨联的桥梁纽带作用。</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组织开展活动数量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组织侨联代表学习《</w:t>
            </w:r>
            <w:r>
              <w:rPr>
                <w:rFonts w:hint="eastAsia" w:ascii="方正书宋_GBK" w:eastAsia="方正书宋_GBK"/>
                <w:lang w:val="en-US" w:eastAsia="zh-CN"/>
              </w:rPr>
              <w:t>中华人民共和国</w:t>
            </w:r>
            <w:r>
              <w:rPr>
                <w:rFonts w:hint="eastAsia" w:ascii="方正书宋_GBK" w:eastAsia="方正书宋_GBK"/>
              </w:rPr>
              <w:t>宪法》和全国两会精神等集中学习</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联谊活动次数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组织侨联代表联谊活动次数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活动参加人数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每次组织侨联代表参加活动人数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开展社会服务活动数量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通过侨联邀请相关专家到我区开展大型义诊活动和献爱心助学活动次数</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2</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开展宣传活动数量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反映开展宣传活动情况</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走访慰问归侨侨眷</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走访慰问归侨侨眷户数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户</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在全区产生的重要影响，得到广大受众的充分认可。</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发挥侨联组织的桥梁纽带作用，促进我区的对外交流。</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全区侨胞侨眷和侨联代表对所提供服务的满意程度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年初工作计划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4、统战工作协调机制专项经费绩效目标表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2497822"/>
      <w:r>
        <w:rPr>
          <w:rFonts w:hint="eastAsia" w:ascii="方正仿宋_GBK" w:eastAsia="方正仿宋_GBK"/>
          <w:b/>
          <w:sz w:val="28"/>
        </w:rPr>
        <w:instrText xml:space="preserve">4、统战工作协调机制专项经费绩效目标表</w:instrText>
      </w:r>
      <w:bookmarkEnd w:id="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000-9999-JSN-886L</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统战工作协调机制专项经费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不定期就党外干部的培养、选拔、使用等问题召开联席会议，建立与党委有关部门的协调；不定期召开座谈会加强与工商联、宗教团体、人大政协的沟通联系，了解掌握统战成员情况。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、根据党委要求，按时推荐党外后备干部，通过召开相关部门联席会议，达到党外干部配备要求。</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、通过召开座谈会，了解统战成员情况，配合统战工作开展，促进社会稳定。</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党外领导干部配备率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实际配备人数占应配备人数的比例</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召开会议次数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召开联席会、座谈会次数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协调工作完成率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完成协调问题次数占统战工作应协调问题次数的比例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建立党委领导，政府支持，统战部协调抓总，各部门密切配合，全社会参与统战工作的新机制。</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建立党委领导，政府支持，统战部协调抓总，各部门密切配合，全社会参与统战工作的新机制。</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参与调查的统战成员满意度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年初工作计划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5、宗教工作专项经费绩效目标表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2497823"/>
      <w:r>
        <w:rPr>
          <w:rFonts w:hint="eastAsia" w:ascii="方正仿宋_GBK" w:eastAsia="方正仿宋_GBK"/>
          <w:b/>
          <w:sz w:val="28"/>
        </w:rPr>
        <w:instrText xml:space="preserve">5、宗教工作专项经费绩效目标表</w:instrText>
      </w:r>
      <w:bookmarkEnd w:id="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000-9999-JSN-2D24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宗教工作专项经费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切实维护宗教领域的和谐稳定。主要用于全区宗教活动场制作宣传展板、宣传条幅、开展宗教干部培训班组、民族宗教界人士法律法规培训班等费用，部分涉密。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、在全区宗教活动场所开展</w:t>
            </w:r>
            <w:r>
              <w:rPr>
                <w:rFonts w:hint="cs" w:ascii="方正书宋_GBK" w:eastAsia="方正书宋_GBK"/>
              </w:rPr>
              <w:t>“</w:t>
            </w:r>
            <w:r>
              <w:rPr>
                <w:rFonts w:hint="eastAsia" w:ascii="方正书宋_GBK" w:eastAsia="方正书宋_GBK"/>
              </w:rPr>
              <w:t>星级和谐寺观教堂</w:t>
            </w:r>
            <w:r>
              <w:rPr>
                <w:rFonts w:hint="cs" w:ascii="方正书宋_GBK" w:eastAsia="方正书宋_GBK"/>
              </w:rPr>
              <w:t>”</w:t>
            </w:r>
            <w:r>
              <w:rPr>
                <w:rFonts w:hint="eastAsia" w:ascii="方正书宋_GBK" w:eastAsia="方正书宋_GBK"/>
              </w:rPr>
              <w:t>创建活动，制作展板</w:t>
            </w:r>
            <w:r>
              <w:rPr>
                <w:rFonts w:ascii="方正书宋_GBK" w:eastAsia="方正书宋_GBK"/>
              </w:rPr>
              <w:t>100</w:t>
            </w:r>
            <w:r>
              <w:rPr>
                <w:rFonts w:hint="eastAsia" w:ascii="方正书宋_GBK" w:eastAsia="方正书宋_GBK"/>
              </w:rPr>
              <w:t>余块，条幅</w:t>
            </w:r>
            <w:r>
              <w:rPr>
                <w:rFonts w:ascii="方正书宋_GBK" w:eastAsia="方正书宋_GBK"/>
              </w:rPr>
              <w:t>100</w:t>
            </w:r>
            <w:r>
              <w:rPr>
                <w:rFonts w:hint="eastAsia" w:ascii="方正书宋_GBK" w:eastAsia="方正书宋_GBK"/>
              </w:rPr>
              <w:t>余条，维护宗教领域的和谐稳定。</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、开展宗教干部培训班</w:t>
            </w:r>
            <w:r>
              <w:rPr>
                <w:rFonts w:ascii="方正书宋_GBK" w:eastAsia="方正书宋_GBK"/>
              </w:rPr>
              <w:t>2</w:t>
            </w:r>
            <w:r>
              <w:rPr>
                <w:rFonts w:hint="eastAsia" w:ascii="方正书宋_GBK" w:eastAsia="方正书宋_GBK"/>
              </w:rPr>
              <w:t>次，提高乡镇宗教干部开展工作的能力素质；组织民族宗教界人士法律法规培训班</w:t>
            </w:r>
            <w:r>
              <w:rPr>
                <w:rFonts w:ascii="方正书宋_GBK" w:eastAsia="方正书宋_GBK"/>
              </w:rPr>
              <w:t>2</w:t>
            </w:r>
            <w:r>
              <w:rPr>
                <w:rFonts w:hint="eastAsia" w:ascii="方正书宋_GBK" w:eastAsia="方正书宋_GBK"/>
              </w:rPr>
              <w:t>次，增强依法依规开展宗教活动的自觉性。</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开展宣传方式的品种或数量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创作活动展板数量</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块</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cs" w:ascii="方正书宋_GBK" w:eastAsia="方正书宋_GBK"/>
              </w:rPr>
              <w:t>“</w:t>
            </w:r>
            <w:r>
              <w:rPr>
                <w:rFonts w:hint="eastAsia" w:ascii="方正书宋_GBK" w:eastAsia="方正书宋_GBK"/>
              </w:rPr>
              <w:t>星级和谐寺观教堂</w:t>
            </w:r>
            <w:r>
              <w:rPr>
                <w:rFonts w:hint="cs" w:ascii="方正书宋_GBK" w:eastAsia="方正书宋_GBK"/>
              </w:rPr>
              <w:t>”</w:t>
            </w:r>
            <w:r>
              <w:rPr>
                <w:rFonts w:hint="eastAsia" w:ascii="方正书宋_GBK" w:eastAsia="方正书宋_GBK"/>
              </w:rPr>
              <w:t>创建活动</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组织创建</w:t>
            </w:r>
            <w:r>
              <w:rPr>
                <w:rFonts w:hint="cs" w:ascii="方正书宋_GBK" w:eastAsia="方正书宋_GBK"/>
              </w:rPr>
              <w:t>“</w:t>
            </w:r>
            <w:r>
              <w:rPr>
                <w:rFonts w:hint="eastAsia" w:ascii="方正书宋_GBK" w:eastAsia="方正书宋_GBK"/>
              </w:rPr>
              <w:t>星级和谐寺观教堂</w:t>
            </w:r>
            <w:r>
              <w:rPr>
                <w:rFonts w:hint="cs" w:ascii="方正书宋_GBK" w:eastAsia="方正书宋_GBK"/>
              </w:rPr>
              <w:t>”</w:t>
            </w:r>
            <w:r>
              <w:rPr>
                <w:rFonts w:hint="eastAsia" w:ascii="方正书宋_GBK" w:eastAsia="方正书宋_GBK"/>
              </w:rPr>
              <w:t>活动的宗教场所数量</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16</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cs" w:ascii="方正书宋_GBK" w:eastAsia="方正书宋_GBK"/>
              </w:rPr>
            </w:pPr>
            <w:r>
              <w:rPr>
                <w:rFonts w:hint="eastAsia" w:ascii="方正书宋_GBK" w:eastAsia="方正书宋_GBK"/>
              </w:rPr>
              <w:t>宗教干部培训班</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开展宗教干部培训班次数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宗教人士法律法规培训班</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开展宗教人士法律法规培训班次数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参加培训人数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预计每次培训人数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参加培训人数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年度内参加宗教干部和宗教界人士培训的人数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400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cs" w:ascii="方正书宋_GBK" w:eastAsia="方正书宋_GBK"/>
              </w:rPr>
              <w:t>“</w:t>
            </w:r>
            <w:r>
              <w:rPr>
                <w:rFonts w:hint="eastAsia" w:ascii="方正书宋_GBK" w:eastAsia="方正书宋_GBK"/>
              </w:rPr>
              <w:t>星级和谐寺观教堂</w:t>
            </w:r>
            <w:r>
              <w:rPr>
                <w:rFonts w:hint="cs" w:ascii="方正书宋_GBK" w:eastAsia="方正书宋_GBK"/>
              </w:rPr>
              <w:t>”</w:t>
            </w:r>
            <w:r>
              <w:rPr>
                <w:rFonts w:hint="eastAsia" w:ascii="方正书宋_GBK" w:eastAsia="方正书宋_GBK"/>
              </w:rPr>
              <w:t>创建活动参与率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参与创建活动的宗教场所数量占宗教活动宗教场所总数的比例</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cs"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参加培训人员对培训效果满意程度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年初工作计划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rPr>
          <w:rFonts w:ascii="Times New Roman" w:hAnsi="宋体"/>
          <w:sz w:val="52"/>
        </w:rPr>
      </w:pPr>
      <w:r>
        <w:rPr>
          <w:rFonts w:ascii="方正小标宋_GBK" w:eastAsia="方正小标宋_GBK"/>
          <w:sz w:val="52"/>
        </w:rPr>
        <w:t xml:space="preserve"> </w:t>
      </w:r>
    </w:p>
    <w:p>
      <w:pPr>
        <w:rPr>
          <w:rFonts w:ascii="Times New Roman" w:hAnsi="宋体"/>
          <w:sz w:val="52"/>
        </w:rPr>
      </w:pPr>
      <w:r>
        <w:rPr>
          <w:rFonts w:ascii="方正小标宋_GBK" w:eastAsia="方正小标宋_GBK"/>
          <w:sz w:val="52"/>
        </w:rPr>
        <w:t xml:space="preserve"> </w:t>
      </w:r>
    </w:p>
    <w:p>
      <w:pPr>
        <w:rPr>
          <w:rFonts w:ascii="Times New Roman" w:hAnsi="宋体"/>
          <w:sz w:val="52"/>
        </w:rPr>
      </w:pPr>
      <w:r>
        <w:rPr>
          <w:rFonts w:ascii="方正小标宋_GBK" w:eastAsia="方正小标宋_GBK"/>
          <w:sz w:val="52"/>
        </w:rPr>
        <w:t xml:space="preserve"> </w:t>
      </w:r>
    </w:p>
    <w:p>
      <w:pPr>
        <w:jc w:val="center"/>
        <w:rPr>
          <w:rFonts w:hint="eastAsia" w:ascii="Times New Roman" w:hAnsi="宋体"/>
          <w:sz w:val="44"/>
        </w:rPr>
      </w:pPr>
      <w:r>
        <w:rPr>
          <w:rFonts w:hint="eastAsia" w:ascii="方正小标宋_GBK" w:eastAsia="方正小标宋_GBK"/>
          <w:sz w:val="44"/>
        </w:rPr>
        <w:t>第三部分</w:t>
      </w:r>
    </w:p>
    <w:p>
      <w:pPr>
        <w:jc w:val="center"/>
        <w:rPr>
          <w:rFonts w:ascii="Times New Roman" w:hAnsi="宋体"/>
          <w:sz w:val="44"/>
        </w:rPr>
      </w:pPr>
      <w:r>
        <w:rPr>
          <w:rFonts w:ascii="方正小标宋_GBK" w:eastAsia="方正小标宋_GBK"/>
          <w:sz w:val="44"/>
        </w:rPr>
        <w:t xml:space="preserve"> </w:t>
      </w:r>
    </w:p>
    <w:p>
      <w:pPr>
        <w:jc w:val="center"/>
        <w:outlineLvl w:val="0"/>
        <w:rPr>
          <w:rFonts w:hint="eastAsia" w:ascii="Times New Roman" w:hAnsi="宋体"/>
          <w:sz w:val="44"/>
        </w:rPr>
      </w:pPr>
      <w:r>
        <w:rPr>
          <w:rFonts w:hint="eastAsia" w:ascii="方正小标宋_GBK" w:eastAsia="方正小标宋_GBK"/>
          <w:sz w:val="44"/>
        </w:rPr>
        <w:t>预算项目绩效目标</w:t>
      </w:r>
    </w:p>
    <w:p>
      <w:pPr>
        <w:jc w:val="center"/>
        <w:rPr>
          <w:rFonts w:ascii="Times New Roman" w:hAnsi="宋体"/>
        </w:rPr>
      </w:pPr>
      <w:r>
        <w:rPr>
          <w:rFonts w:ascii="方正书宋_GBK" w:eastAsia="方正书宋_GBK"/>
        </w:rPr>
        <w:t xml:space="preserve"> </w:t>
      </w:r>
    </w:p>
    <w:p>
      <w:pPr>
        <w:jc w:val="center"/>
        <w:sectPr>
          <w:pgSz w:w="11907" w:h="16839"/>
          <w:pgMar w:top="1984" w:right="1304" w:bottom="1134" w:left="1304" w:header="851" w:footer="992" w:gutter="0"/>
          <w:cols w:space="425" w:num="1"/>
          <w:docGrid w:type="lines" w:linePitch="312" w:charSpace="0"/>
        </w:sectPr>
      </w:pPr>
    </w:p>
    <w:p>
      <w:pPr>
        <w:jc w:val="center"/>
      </w:pPr>
    </w:p>
    <w:p>
      <w:pPr>
        <w:ind w:firstLine="562" w:firstLineChars="200"/>
        <w:jc w:val="left"/>
        <w:outlineLvl w:val="1"/>
        <w:rPr>
          <w:rFonts w:ascii="Times New Roman" w:hAnsi="宋体"/>
          <w:b/>
          <w:sz w:val="28"/>
        </w:rPr>
      </w:pPr>
      <w:r>
        <w:rPr>
          <w:rFonts w:hint="eastAsia" w:ascii="方正仿宋_GBK" w:eastAsia="方正仿宋_GBK"/>
          <w:b/>
          <w:sz w:val="28"/>
        </w:rPr>
        <w:t>1、关于提前下达2020年支持基层宗教工作专项经费的通知绩效目标表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32497824"/>
      <w:r>
        <w:rPr>
          <w:rFonts w:hint="eastAsia" w:ascii="方正仿宋_GBK" w:eastAsia="方正仿宋_GBK"/>
          <w:b/>
          <w:sz w:val="28"/>
        </w:rPr>
        <w:instrText xml:space="preserve">1、关于提前下达2020年支持基层宗教工作专项经费的通知绩效目标表</w:instrText>
      </w:r>
      <w:bookmarkEnd w:id="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213002</w:t>
            </w:r>
            <w:r>
              <w:rPr>
                <w:rFonts w:hint="eastAsia" w:ascii="方正书宋_GBK" w:eastAsia="方正书宋_GBK"/>
                <w:b/>
              </w:rPr>
              <w:t>中共石家庄市鹿泉区委统一战线工作部</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213-0102-JBN-WK6Y</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年支持基层宗教工作专项经费的通知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1"/>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切实维护宗教领域的和谐稳定，主要用于组织全区宗教工作培训、宗教政策宣传、宗教活动场所宣传展板、条幅制作等。部分涉密。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1"/>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、组织宗教工作培训</w:t>
            </w:r>
            <w:r>
              <w:rPr>
                <w:rFonts w:ascii="方正书宋_GBK" w:eastAsia="方正书宋_GBK"/>
              </w:rPr>
              <w:t>1</w:t>
            </w:r>
            <w:r>
              <w:rPr>
                <w:rFonts w:hint="eastAsia" w:ascii="方正书宋_GBK" w:eastAsia="方正书宋_GBK"/>
              </w:rPr>
              <w:t>次，提高统战干部开展工作的能力。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、涉密</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宗教工作培训数量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组织宗教工作培训班次数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次</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参加培训人数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年度内参加宗教工作培训的人数</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参加培训人员对培训效果满意度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95.9%</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年初工作计划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spacing w:line="300" w:lineRule="exact"/>
        <w:ind w:firstLine="280" w:firstLineChars="100"/>
        <w:jc w:val="left"/>
        <w:outlineLvl w:val="0"/>
        <w:rPr>
          <w:rFonts w:ascii="Times New Roman" w:hAnsi="Times New Roman" w:eastAsia="仿宋" w:cs="Times New Roman"/>
          <w:sz w:val="44"/>
          <w:szCs w:val="36"/>
        </w:rPr>
      </w:pPr>
      <w:bookmarkStart w:id="10" w:name="_Toc471398468"/>
      <w:r>
        <w:rPr>
          <w:rFonts w:hint="eastAsia"/>
          <w:sz w:val="28"/>
          <w:szCs w:val="32"/>
        </w:rPr>
        <w:t>20</w:t>
      </w:r>
      <w:r>
        <w:rPr>
          <w:rFonts w:hint="eastAsia"/>
          <w:sz w:val="28"/>
          <w:szCs w:val="32"/>
          <w:lang w:val="en-US" w:eastAsia="zh-CN"/>
        </w:rPr>
        <w:t>20</w:t>
      </w:r>
      <w:r>
        <w:rPr>
          <w:rFonts w:hint="eastAsia"/>
          <w:sz w:val="28"/>
          <w:szCs w:val="32"/>
        </w:rPr>
        <w:t>年</w:t>
      </w:r>
      <w:r>
        <w:rPr>
          <w:rFonts w:hint="eastAsia"/>
          <w:sz w:val="28"/>
          <w:szCs w:val="32"/>
          <w:lang w:eastAsia="zh-CN"/>
        </w:rPr>
        <w:t>，</w:t>
      </w:r>
      <w:r>
        <w:rPr>
          <w:rFonts w:hint="eastAsia"/>
          <w:sz w:val="28"/>
          <w:szCs w:val="32"/>
          <w:lang w:val="en-US" w:eastAsia="zh-CN"/>
        </w:rPr>
        <w:t>本部门安排</w:t>
      </w:r>
      <w:r>
        <w:rPr>
          <w:rFonts w:hint="eastAsia"/>
          <w:sz w:val="28"/>
          <w:szCs w:val="32"/>
        </w:rPr>
        <w:t>政府采购预算</w:t>
      </w:r>
      <w:r>
        <w:rPr>
          <w:rFonts w:hint="eastAsia"/>
          <w:sz w:val="28"/>
          <w:szCs w:val="32"/>
          <w:lang w:val="en-US" w:eastAsia="zh-CN"/>
        </w:rPr>
        <w:t>0万元，无政府采购相关计划</w:t>
      </w:r>
      <w:r>
        <w:rPr>
          <w:rFonts w:hint="eastAsia"/>
          <w:sz w:val="28"/>
          <w:szCs w:val="32"/>
        </w:rPr>
        <w:t>，空表列示。</w:t>
      </w:r>
      <w:bookmarkEnd w:id="10"/>
    </w:p>
    <w:p>
      <w:pPr>
        <w:ind w:firstLine="640" w:firstLineChars="200"/>
        <w:jc w:val="center"/>
        <w:outlineLvl w:val="0"/>
        <w:rPr>
          <w:rFonts w:hint="eastAsia" w:ascii="方正小标宋_GBK" w:eastAsia="方正小标宋_GBK"/>
          <w:sz w:val="32"/>
        </w:rPr>
      </w:pPr>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11" w:name="_Toc28848395"/>
      <w:r>
        <w:rPr>
          <w:rFonts w:hint="eastAsia" w:ascii="方正小标宋_GBK" w:eastAsia="方正小标宋_GBK"/>
          <w:sz w:val="32"/>
        </w:rPr>
        <w:instrText xml:space="preserve">部门政府采购预算</w:instrText>
      </w:r>
      <w:bookmarkEnd w:id="11"/>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hint="eastAsia" w:ascii="方正小标宋_GBK" w:eastAsia="方正小标宋_GBK"/>
                <w:sz w:val="24"/>
                <w:lang w:val="en-US" w:eastAsia="zh-CN"/>
              </w:rPr>
            </w:pPr>
            <w:r>
              <w:rPr>
                <w:rFonts w:hint="eastAsia" w:ascii="方正小标宋_GBK" w:eastAsia="方正小标宋_GBK"/>
                <w:sz w:val="24"/>
                <w:lang w:val="en-US" w:eastAsia="zh-CN"/>
              </w:rPr>
              <w:t>213中共石家庄市鹿泉区委统一战线工作部</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ascii="Times New Roman" w:eastAsia="方正仿宋_GBK"/>
                <w:sz w:val="28"/>
              </w:rPr>
            </w:pPr>
          </w:p>
        </w:tc>
        <w:tc>
          <w:tcPr>
            <w:tcW w:w="1417" w:type="dxa"/>
            <w:vMerge w:val="continue"/>
            <w:vAlign w:val="center"/>
          </w:tcPr>
          <w:p>
            <w:pPr>
              <w:spacing w:line="300" w:lineRule="exact"/>
              <w:jc w:val="left"/>
              <w:outlineLvl w:val="0"/>
              <w:rPr>
                <w:rFonts w:ascii="Times New Roman" w:eastAsia="方正仿宋_GBK"/>
                <w:sz w:val="28"/>
              </w:rPr>
            </w:pPr>
          </w:p>
        </w:tc>
        <w:tc>
          <w:tcPr>
            <w:tcW w:w="709" w:type="dxa"/>
            <w:vMerge w:val="continue"/>
            <w:vAlign w:val="center"/>
          </w:tcPr>
          <w:p>
            <w:pPr>
              <w:spacing w:line="300" w:lineRule="exact"/>
              <w:jc w:val="left"/>
              <w:outlineLvl w:val="0"/>
              <w:rPr>
                <w:rFonts w:ascii="Times New Roman" w:eastAsia="方正仿宋_GBK"/>
                <w:sz w:val="28"/>
              </w:rPr>
            </w:pPr>
          </w:p>
        </w:tc>
        <w:tc>
          <w:tcPr>
            <w:tcW w:w="851" w:type="dxa"/>
            <w:vMerge w:val="continue"/>
            <w:vAlign w:val="center"/>
          </w:tcPr>
          <w:p>
            <w:pPr>
              <w:spacing w:line="300" w:lineRule="exact"/>
              <w:jc w:val="left"/>
              <w:outlineLvl w:val="0"/>
              <w:rPr>
                <w:rFonts w:ascii="Times New Roman" w:eastAsia="方正仿宋_GBK"/>
                <w:sz w:val="28"/>
              </w:rPr>
            </w:pPr>
          </w:p>
        </w:tc>
        <w:tc>
          <w:tcPr>
            <w:tcW w:w="992" w:type="dxa"/>
            <w:vMerge w:val="continue"/>
            <w:vAlign w:val="center"/>
          </w:tcPr>
          <w:p>
            <w:pPr>
              <w:spacing w:line="300" w:lineRule="exact"/>
              <w:jc w:val="left"/>
              <w:outlineLvl w:val="0"/>
              <w:rPr>
                <w:rFonts w:ascii="Times New Roman"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2" w:type="dxa"/>
            <w:vAlign w:val="center"/>
          </w:tcPr>
          <w:p>
            <w:pPr>
              <w:spacing w:line="300" w:lineRule="exact"/>
              <w:jc w:val="righ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bl>
    <w:p>
      <w:pPr>
        <w:autoSpaceDE w:val="0"/>
        <w:autoSpaceDN w:val="0"/>
        <w:adjustRightInd w:val="0"/>
        <w:jc w:val="left"/>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注：无政府采购预算，空表列示。</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firstLineChars="200"/>
        <w:outlineLvl w:val="0"/>
        <w:rPr>
          <w:rFonts w:hint="eastAsia" w:ascii="仿宋_GB2312" w:hAnsi="宋体" w:eastAsia="仿宋"/>
          <w:sz w:val="32"/>
          <w:szCs w:val="32"/>
          <w:lang w:val="en-US" w:eastAsia="zh-CN"/>
        </w:rPr>
      </w:pPr>
      <w:r>
        <w:rPr>
          <w:rFonts w:hint="eastAsia" w:ascii="仿宋" w:hAnsi="仿宋" w:eastAsia="仿宋" w:cs="仿宋"/>
          <w:sz w:val="32"/>
          <w:szCs w:val="32"/>
          <w:lang w:val="en-US" w:eastAsia="zh-CN"/>
        </w:rPr>
        <w:t>中共石家庄市鹿泉区委统一战线工作部（含所属单位）上</w:t>
      </w:r>
      <w:r>
        <w:rPr>
          <w:rFonts w:ascii="Times New Roman" w:hAnsi="Times New Roman" w:eastAsia="仿宋" w:cs="Times New Roman"/>
          <w:color w:val="000000"/>
          <w:sz w:val="32"/>
          <w:szCs w:val="32"/>
        </w:rPr>
        <w:t>年末固定资产</w:t>
      </w:r>
      <w:r>
        <w:rPr>
          <w:rFonts w:hint="eastAsia" w:ascii="Times New Roman" w:hAnsi="Times New Roman" w:eastAsia="仿宋" w:cs="Times New Roman"/>
          <w:color w:val="000000"/>
          <w:sz w:val="32"/>
          <w:szCs w:val="32"/>
          <w:lang w:eastAsia="zh-CN"/>
        </w:rPr>
        <w:t>原值</w:t>
      </w:r>
      <w:r>
        <w:rPr>
          <w:rFonts w:ascii="Times New Roman" w:hAnsi="Times New Roman" w:eastAsia="仿宋" w:cs="Times New Roman"/>
          <w:color w:val="000000"/>
          <w:sz w:val="32"/>
          <w:szCs w:val="32"/>
        </w:rPr>
        <w:t>金额为</w:t>
      </w:r>
      <w:r>
        <w:rPr>
          <w:rFonts w:hint="eastAsia" w:ascii="Times New Roman" w:hAnsi="Times New Roman" w:eastAsia="仿宋" w:cs="Times New Roman"/>
          <w:color w:val="000000"/>
          <w:sz w:val="32"/>
          <w:szCs w:val="32"/>
          <w:lang w:val="en-US" w:eastAsia="zh-CN"/>
        </w:rPr>
        <w:t>23.54</w:t>
      </w:r>
      <w:r>
        <w:rPr>
          <w:rFonts w:ascii="Times New Roman" w:hAnsi="Times New Roman" w:eastAsia="仿宋" w:cs="Times New Roman"/>
          <w:color w:val="000000"/>
          <w:sz w:val="32"/>
          <w:szCs w:val="32"/>
        </w:rPr>
        <w:t>（详见下表），</w:t>
      </w:r>
      <w:r>
        <w:rPr>
          <w:rFonts w:hint="eastAsia" w:ascii="仿宋" w:hAnsi="仿宋" w:eastAsia="仿宋" w:cs="仿宋"/>
          <w:sz w:val="32"/>
          <w:szCs w:val="32"/>
        </w:rPr>
        <w:t>本年度拟购置固定资产</w:t>
      </w:r>
      <w:r>
        <w:rPr>
          <w:rFonts w:hint="eastAsia" w:ascii="仿宋" w:hAnsi="仿宋" w:eastAsia="仿宋" w:cs="仿宋"/>
          <w:sz w:val="32"/>
          <w:szCs w:val="32"/>
          <w:lang w:val="en-US" w:eastAsia="zh-CN"/>
        </w:rPr>
        <w:t>总额为3</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主要用于计算机设备、打印设备、空调、办公家具等</w:t>
      </w:r>
      <w:r>
        <w:rPr>
          <w:rFonts w:hint="eastAsia" w:ascii="仿宋" w:hAnsi="仿宋" w:eastAsia="仿宋" w:cs="仿宋"/>
          <w:sz w:val="32"/>
          <w:szCs w:val="32"/>
          <w:lang w:eastAsia="zh-CN"/>
        </w:rPr>
        <w:t>。</w:t>
      </w:r>
    </w:p>
    <w:p>
      <w:pPr>
        <w:ind w:firstLine="640"/>
        <w:rPr>
          <w:rFonts w:ascii="Times New Roman" w:hAnsi="Times New Roman" w:eastAsia="仿宋" w:cs="Times New Roman"/>
          <w:color w:val="000000"/>
          <w:sz w:val="32"/>
          <w:szCs w:val="32"/>
        </w:rPr>
      </w:pP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hint="eastAsia" w:ascii="方正小标宋_GBK" w:eastAsia="方正小标宋_GBK"/>
                <w:sz w:val="24"/>
                <w:lang w:val="en-US" w:eastAsia="zh-CN"/>
              </w:rPr>
              <w:t>213中共石家庄市鹿泉区委统一战线工作部</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000000"/>
                <w:kern w:val="0"/>
                <w:sz w:val="22"/>
                <w:lang w:val="en-US" w:eastAsia="zh-CN"/>
              </w:rPr>
              <w:t>23.54</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both"/>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6.7</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16.84</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区</w:t>
      </w:r>
      <w:r>
        <w:rPr>
          <w:rFonts w:hint="eastAsia" w:ascii="Times New Roman" w:hAnsi="Times New Roman" w:eastAsia="仿宋" w:cs="Times New Roman"/>
          <w:sz w:val="32"/>
          <w:szCs w:val="32"/>
        </w:rPr>
        <w:t>级财政预算管理的“三公”经费，是指</w:t>
      </w:r>
      <w:r>
        <w:rPr>
          <w:rFonts w:hint="eastAsia" w:ascii="Times New Roman" w:hAnsi="Times New Roman" w:eastAsia="仿宋" w:cs="Times New Roman"/>
          <w:sz w:val="32"/>
          <w:szCs w:val="32"/>
          <w:lang w:val="en-US" w:eastAsia="zh-CN"/>
        </w:rPr>
        <w:t>区</w:t>
      </w:r>
      <w:r>
        <w:rPr>
          <w:rFonts w:hint="eastAsia" w:ascii="Times New Roman" w:hAnsi="Times New Roman" w:eastAsia="仿宋" w:cs="Times New Roman"/>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lang w:val="en-US" w:eastAsia="zh-CN"/>
        </w:rPr>
        <w:t>单位）</w:t>
      </w:r>
      <w:r>
        <w:rPr>
          <w:rFonts w:hint="eastAsia" w:ascii="Times New Roman" w:hAnsi="Times New Roman" w:eastAsia="仿宋" w:cs="Times New Roman"/>
          <w:sz w:val="32"/>
          <w:szCs w:val="32"/>
        </w:rPr>
        <w:t>无其他需要说明的事项。</w:t>
      </w:r>
    </w:p>
    <w:sectPr>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黑体_GBK">
    <w:panose1 w:val="02000000000000000000"/>
    <w:charset w:val="86"/>
    <w:family w:val="roman"/>
    <w:pitch w:val="default"/>
    <w:sig w:usb0="A00002BF" w:usb1="38CF7CFA" w:usb2="00082016" w:usb3="00000000" w:csb0="00040001"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9"/>
      </w:rPr>
    </w:pPr>
    <w:r>
      <w:rPr>
        <w:rStyle w:val="9"/>
      </w:rPr>
      <w:fldChar w:fldCharType="begin"/>
    </w:r>
    <w:r>
      <w:rPr>
        <w:rStyle w:val="9"/>
      </w:rPr>
      <w:instrText xml:space="preserve">PAGE  </w:instrText>
    </w:r>
    <w:r>
      <w:rPr>
        <w:rStyle w:val="9"/>
      </w:rPr>
      <w:fldChar w:fldCharType="separate"/>
    </w:r>
    <w:r>
      <w:rPr>
        <w:rStyle w:val="9"/>
      </w:rPr>
      <w:t>12</w:t>
    </w:r>
    <w:r>
      <w:rPr>
        <w:rStyle w:val="9"/>
      </w:rP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2"/>
      </w:rPr>
    </w:pPr>
    <w:r>
      <w:fldChar w:fldCharType="begin"/>
    </w:r>
    <w:r>
      <w:rPr>
        <w:rStyle w:val="12"/>
      </w:rPr>
      <w:instrText xml:space="preserve">PAGE  </w:instrText>
    </w:r>
    <w:r>
      <w:fldChar w:fldCharType="separate"/>
    </w:r>
    <w:r>
      <w:rPr>
        <w:rStyle w:val="12"/>
      </w:rPr>
      <w:t>12</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MDExMzFhNTQyOTViNGM5NDk2YjMyOGNhNDI5Zjg3OWUifQ=="/>
  </w:docVars>
  <w:rsids>
    <w:rsidRoot w:val="00EE71BA"/>
    <w:rsid w:val="000C7140"/>
    <w:rsid w:val="00323B29"/>
    <w:rsid w:val="0039059E"/>
    <w:rsid w:val="007F0341"/>
    <w:rsid w:val="009A521C"/>
    <w:rsid w:val="00D607DA"/>
    <w:rsid w:val="00DC6EE5"/>
    <w:rsid w:val="00EE71BA"/>
    <w:rsid w:val="00F867E4"/>
    <w:rsid w:val="055B05E3"/>
    <w:rsid w:val="056D17C0"/>
    <w:rsid w:val="15891924"/>
    <w:rsid w:val="18C4001C"/>
    <w:rsid w:val="24B23859"/>
    <w:rsid w:val="256F54C5"/>
    <w:rsid w:val="2CB31DC5"/>
    <w:rsid w:val="329D154E"/>
    <w:rsid w:val="339B73B2"/>
    <w:rsid w:val="33A65CE5"/>
    <w:rsid w:val="37423C88"/>
    <w:rsid w:val="399D4EAA"/>
    <w:rsid w:val="3ED22B3F"/>
    <w:rsid w:val="438D2F12"/>
    <w:rsid w:val="45A95A06"/>
    <w:rsid w:val="47FC0A8E"/>
    <w:rsid w:val="4FC773D5"/>
    <w:rsid w:val="544E030D"/>
    <w:rsid w:val="54B543B1"/>
    <w:rsid w:val="56613BD9"/>
    <w:rsid w:val="5C0245B8"/>
    <w:rsid w:val="618746C5"/>
    <w:rsid w:val="62A7390F"/>
    <w:rsid w:val="65E313E2"/>
    <w:rsid w:val="67D177E3"/>
    <w:rsid w:val="6B0D04A9"/>
    <w:rsid w:val="70A617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footer"/>
    <w:basedOn w:val="1"/>
    <w:link w:val="13"/>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4"/>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page number"/>
    <w:basedOn w:val="8"/>
    <w:semiHidden/>
    <w:unhideWhenUsed/>
    <w:qFormat/>
    <w:uiPriority w:val="99"/>
  </w:style>
  <w:style w:type="character" w:styleId="10">
    <w:name w:val="footnote reference"/>
    <w:qFormat/>
    <w:uiPriority w:val="0"/>
    <w:rPr>
      <w:vertAlign w:val="superscript"/>
    </w:rPr>
  </w:style>
  <w:style w:type="paragraph" w:customStyle="1" w:styleId="11">
    <w:name w:val="Char"/>
    <w:basedOn w:val="1"/>
    <w:qFormat/>
    <w:uiPriority w:val="0"/>
    <w:rPr>
      <w:rFonts w:ascii="Times New Roman" w:hAnsi="Times New Roman" w:cs="Times New Roman"/>
      <w:szCs w:val="24"/>
    </w:rPr>
  </w:style>
  <w:style w:type="character" w:customStyle="1" w:styleId="12">
    <w:name w:val="页码1"/>
    <w:qFormat/>
    <w:uiPriority w:val="0"/>
  </w:style>
  <w:style w:type="character" w:customStyle="1" w:styleId="13">
    <w:name w:val="页脚 Char"/>
    <w:link w:val="2"/>
    <w:semiHidden/>
    <w:qFormat/>
    <w:uiPriority w:val="0"/>
    <w:rPr>
      <w:rFonts w:ascii="Times New Roman" w:hAnsi="Times New Roman" w:eastAsia="宋体" w:cs="Times New Roman"/>
      <w:sz w:val="18"/>
      <w:szCs w:val="18"/>
    </w:rPr>
  </w:style>
  <w:style w:type="character" w:customStyle="1" w:styleId="14">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18</Pages>
  <Words>1322</Words>
  <Characters>7536</Characters>
  <Lines>62</Lines>
  <Paragraphs>17</Paragraphs>
  <TotalTime>7</TotalTime>
  <ScaleCrop>false</ScaleCrop>
  <LinksUpToDate>false</LinksUpToDate>
  <CharactersWithSpaces>8841</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2025-08-04T01:01:22Z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101D38DE40EE4240941080123E7561DC_12</vt:lpwstr>
  </property>
</Properties>
</file>