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372.62</w:t>
            </w:r>
          </w:p>
        </w:tc>
        <w:tc>
          <w:tcPr>
            <w:tcW w:w="4535" w:type="dxa"/>
            <w:vAlign w:val="center"/>
          </w:tcPr>
          <w:p>
            <w:pPr>
              <w:pStyle w:val="14"/>
            </w:pPr>
            <w:r>
              <w:t>一、一般公共服务支出</w:t>
            </w:r>
          </w:p>
        </w:tc>
        <w:tc>
          <w:tcPr>
            <w:tcW w:w="2126" w:type="dxa"/>
            <w:vAlign w:val="center"/>
          </w:tcPr>
          <w:p>
            <w:pPr>
              <w:pStyle w:val="13"/>
            </w:pPr>
            <w:r>
              <w:t>266.93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372.62</w:t>
            </w:r>
          </w:p>
        </w:tc>
        <w:tc>
          <w:tcPr>
            <w:tcW w:w="4535" w:type="dxa"/>
            <w:vAlign w:val="center"/>
          </w:tcPr>
          <w:p>
            <w:pPr>
              <w:pStyle w:val="16"/>
            </w:pPr>
            <w:r>
              <w:t>本年支出合计</w:t>
            </w:r>
          </w:p>
        </w:tc>
        <w:tc>
          <w:tcPr>
            <w:tcW w:w="2126" w:type="dxa"/>
            <w:vAlign w:val="center"/>
          </w:tcPr>
          <w:p>
            <w:pPr>
              <w:pStyle w:val="17"/>
            </w:pPr>
            <w:r>
              <w:t>377.62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r>
              <w:t>5.00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377.62</w:t>
            </w:r>
          </w:p>
        </w:tc>
        <w:tc>
          <w:tcPr>
            <w:tcW w:w="4535" w:type="dxa"/>
            <w:vAlign w:val="center"/>
          </w:tcPr>
          <w:p>
            <w:pPr>
              <w:pStyle w:val="16"/>
            </w:pPr>
            <w:r>
              <w:t>支出总计</w:t>
            </w:r>
          </w:p>
        </w:tc>
        <w:tc>
          <w:tcPr>
            <w:tcW w:w="2126" w:type="dxa"/>
            <w:vAlign w:val="center"/>
          </w:tcPr>
          <w:p>
            <w:pPr>
              <w:pStyle w:val="17"/>
            </w:pPr>
            <w:r>
              <w:t>377.62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377.62</w:t>
            </w:r>
          </w:p>
        </w:tc>
        <w:tc>
          <w:tcPr>
            <w:tcW w:w="1134" w:type="dxa"/>
            <w:vAlign w:val="center"/>
          </w:tcPr>
          <w:p>
            <w:pPr>
              <w:pStyle w:val="17"/>
            </w:pPr>
            <w:r>
              <w:t>372.62</w:t>
            </w:r>
          </w:p>
        </w:tc>
        <w:tc>
          <w:tcPr>
            <w:tcW w:w="1134" w:type="dxa"/>
            <w:vAlign w:val="center"/>
          </w:tcPr>
          <w:p>
            <w:pPr>
              <w:pStyle w:val="17"/>
            </w:pPr>
            <w:r>
              <w:t>372.62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266.93</w:t>
            </w:r>
          </w:p>
        </w:tc>
        <w:tc>
          <w:tcPr>
            <w:tcW w:w="1134" w:type="dxa"/>
            <w:vAlign w:val="center"/>
          </w:tcPr>
          <w:p>
            <w:pPr>
              <w:pStyle w:val="13"/>
            </w:pPr>
            <w:r>
              <w:t>261.93</w:t>
            </w:r>
          </w:p>
        </w:tc>
        <w:tc>
          <w:tcPr>
            <w:tcW w:w="1134" w:type="dxa"/>
            <w:vAlign w:val="center"/>
          </w:tcPr>
          <w:p>
            <w:pPr>
              <w:pStyle w:val="13"/>
            </w:pPr>
            <w:r>
              <w:t>261.93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266.93</w:t>
            </w:r>
          </w:p>
        </w:tc>
        <w:tc>
          <w:tcPr>
            <w:tcW w:w="1134" w:type="dxa"/>
            <w:vAlign w:val="center"/>
          </w:tcPr>
          <w:p>
            <w:pPr>
              <w:pStyle w:val="13"/>
            </w:pPr>
            <w:r>
              <w:t>261.93</w:t>
            </w:r>
          </w:p>
        </w:tc>
        <w:tc>
          <w:tcPr>
            <w:tcW w:w="1134" w:type="dxa"/>
            <w:vAlign w:val="center"/>
          </w:tcPr>
          <w:p>
            <w:pPr>
              <w:pStyle w:val="13"/>
            </w:pPr>
            <w:r>
              <w:t>261.93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175.93</w:t>
            </w:r>
          </w:p>
        </w:tc>
        <w:tc>
          <w:tcPr>
            <w:tcW w:w="1134" w:type="dxa"/>
            <w:vAlign w:val="center"/>
          </w:tcPr>
          <w:p>
            <w:pPr>
              <w:pStyle w:val="13"/>
            </w:pPr>
            <w:r>
              <w:t>175.93</w:t>
            </w:r>
          </w:p>
        </w:tc>
        <w:tc>
          <w:tcPr>
            <w:tcW w:w="1134" w:type="dxa"/>
            <w:vAlign w:val="center"/>
          </w:tcPr>
          <w:p>
            <w:pPr>
              <w:pStyle w:val="13"/>
            </w:pPr>
            <w:r>
              <w:t>175.93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79.00</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2013405</w:t>
            </w:r>
          </w:p>
        </w:tc>
        <w:tc>
          <w:tcPr>
            <w:tcW w:w="1559" w:type="dxa"/>
            <w:vAlign w:val="center"/>
          </w:tcPr>
          <w:p>
            <w:pPr>
              <w:pStyle w:val="14"/>
            </w:pPr>
            <w:r>
              <w:t>华侨事务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78.04</w:t>
            </w:r>
          </w:p>
        </w:tc>
        <w:tc>
          <w:tcPr>
            <w:tcW w:w="1134" w:type="dxa"/>
            <w:vAlign w:val="center"/>
          </w:tcPr>
          <w:p>
            <w:pPr>
              <w:pStyle w:val="13"/>
            </w:pPr>
            <w:r>
              <w:t>78.04</w:t>
            </w:r>
          </w:p>
        </w:tc>
        <w:tc>
          <w:tcPr>
            <w:tcW w:w="1134" w:type="dxa"/>
            <w:vAlign w:val="center"/>
          </w:tcPr>
          <w:p>
            <w:pPr>
              <w:pStyle w:val="13"/>
            </w:pPr>
            <w:r>
              <w:t>78.04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62.96</w:t>
            </w:r>
          </w:p>
        </w:tc>
        <w:tc>
          <w:tcPr>
            <w:tcW w:w="1134" w:type="dxa"/>
            <w:vAlign w:val="center"/>
          </w:tcPr>
          <w:p>
            <w:pPr>
              <w:pStyle w:val="13"/>
            </w:pPr>
            <w:r>
              <w:t>62.96</w:t>
            </w:r>
          </w:p>
        </w:tc>
        <w:tc>
          <w:tcPr>
            <w:tcW w:w="1134" w:type="dxa"/>
            <w:vAlign w:val="center"/>
          </w:tcPr>
          <w:p>
            <w:pPr>
              <w:pStyle w:val="13"/>
            </w:pPr>
            <w:r>
              <w:t>62.96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43.99</w:t>
            </w:r>
          </w:p>
        </w:tc>
        <w:tc>
          <w:tcPr>
            <w:tcW w:w="1134" w:type="dxa"/>
            <w:vAlign w:val="center"/>
          </w:tcPr>
          <w:p>
            <w:pPr>
              <w:pStyle w:val="13"/>
            </w:pPr>
            <w:r>
              <w:t>43.99</w:t>
            </w:r>
          </w:p>
        </w:tc>
        <w:tc>
          <w:tcPr>
            <w:tcW w:w="1134" w:type="dxa"/>
            <w:vAlign w:val="center"/>
          </w:tcPr>
          <w:p>
            <w:pPr>
              <w:pStyle w:val="13"/>
            </w:pPr>
            <w:r>
              <w:t>43.99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18.97</w:t>
            </w:r>
          </w:p>
        </w:tc>
        <w:tc>
          <w:tcPr>
            <w:tcW w:w="1134" w:type="dxa"/>
            <w:vAlign w:val="center"/>
          </w:tcPr>
          <w:p>
            <w:pPr>
              <w:pStyle w:val="13"/>
            </w:pPr>
            <w:r>
              <w:t>18.97</w:t>
            </w:r>
          </w:p>
        </w:tc>
        <w:tc>
          <w:tcPr>
            <w:tcW w:w="1134" w:type="dxa"/>
            <w:vAlign w:val="center"/>
          </w:tcPr>
          <w:p>
            <w:pPr>
              <w:pStyle w:val="13"/>
            </w:pPr>
            <w:r>
              <w:t>18.97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377.62</w:t>
            </w:r>
          </w:p>
        </w:tc>
        <w:tc>
          <w:tcPr>
            <w:tcW w:w="1361" w:type="dxa"/>
            <w:vAlign w:val="center"/>
          </w:tcPr>
          <w:p>
            <w:pPr>
              <w:pStyle w:val="17"/>
            </w:pPr>
            <w:r>
              <w:t>271.54</w:t>
            </w:r>
          </w:p>
        </w:tc>
        <w:tc>
          <w:tcPr>
            <w:tcW w:w="1361" w:type="dxa"/>
            <w:vAlign w:val="center"/>
          </w:tcPr>
          <w:p>
            <w:pPr>
              <w:pStyle w:val="17"/>
            </w:pPr>
            <w:r>
              <w:t>106.08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266.93</w:t>
            </w:r>
          </w:p>
        </w:tc>
        <w:tc>
          <w:tcPr>
            <w:tcW w:w="1361" w:type="dxa"/>
            <w:vAlign w:val="center"/>
          </w:tcPr>
          <w:p>
            <w:pPr>
              <w:pStyle w:val="13"/>
            </w:pPr>
            <w:r>
              <w:t>175.93</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6" w:type="dxa"/>
            <w:vAlign w:val="center"/>
          </w:tcPr>
          <w:p>
            <w:pPr>
              <w:pStyle w:val="14"/>
            </w:pPr>
            <w:r>
              <w:t>统战事务</w:t>
            </w:r>
          </w:p>
        </w:tc>
        <w:tc>
          <w:tcPr>
            <w:tcW w:w="1361" w:type="dxa"/>
            <w:vAlign w:val="center"/>
          </w:tcPr>
          <w:p>
            <w:pPr>
              <w:pStyle w:val="13"/>
            </w:pPr>
            <w:r>
              <w:t>266.93</w:t>
            </w:r>
          </w:p>
        </w:tc>
        <w:tc>
          <w:tcPr>
            <w:tcW w:w="1361" w:type="dxa"/>
            <w:vAlign w:val="center"/>
          </w:tcPr>
          <w:p>
            <w:pPr>
              <w:pStyle w:val="13"/>
            </w:pPr>
            <w:r>
              <w:t>175.93</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6" w:type="dxa"/>
            <w:vAlign w:val="center"/>
          </w:tcPr>
          <w:p>
            <w:pPr>
              <w:pStyle w:val="14"/>
            </w:pPr>
            <w:r>
              <w:t>行政运行</w:t>
            </w:r>
          </w:p>
        </w:tc>
        <w:tc>
          <w:tcPr>
            <w:tcW w:w="1361" w:type="dxa"/>
            <w:vAlign w:val="center"/>
          </w:tcPr>
          <w:p>
            <w:pPr>
              <w:pStyle w:val="13"/>
            </w:pPr>
            <w:r>
              <w:t>175.93</w:t>
            </w:r>
          </w:p>
        </w:tc>
        <w:tc>
          <w:tcPr>
            <w:tcW w:w="1361" w:type="dxa"/>
            <w:vAlign w:val="center"/>
          </w:tcPr>
          <w:p>
            <w:pPr>
              <w:pStyle w:val="13"/>
            </w:pPr>
            <w:r>
              <w:t>175.93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6" w:type="dxa"/>
            <w:vAlign w:val="center"/>
          </w:tcPr>
          <w:p>
            <w:pPr>
              <w:pStyle w:val="14"/>
            </w:pPr>
            <w:r>
              <w:t>一般行政管理事务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6" w:type="dxa"/>
            <w:vAlign w:val="center"/>
          </w:tcPr>
          <w:p>
            <w:pPr>
              <w:pStyle w:val="14"/>
            </w:pPr>
            <w:r>
              <w:t>宗教事务</w:t>
            </w:r>
          </w:p>
        </w:tc>
        <w:tc>
          <w:tcPr>
            <w:tcW w:w="1361" w:type="dxa"/>
            <w:vAlign w:val="center"/>
          </w:tcPr>
          <w:p>
            <w:pPr>
              <w:pStyle w:val="13"/>
            </w:pPr>
            <w:r>
              <w:t>79.00</w:t>
            </w:r>
          </w:p>
        </w:tc>
        <w:tc>
          <w:tcPr>
            <w:tcW w:w="1361" w:type="dxa"/>
            <w:vAlign w:val="center"/>
          </w:tcPr>
          <w:p>
            <w:pPr>
              <w:pStyle w:val="13"/>
            </w:pPr>
          </w:p>
        </w:tc>
        <w:tc>
          <w:tcPr>
            <w:tcW w:w="1361" w:type="dxa"/>
            <w:vAlign w:val="center"/>
          </w:tcPr>
          <w:p>
            <w:pPr>
              <w:pStyle w:val="13"/>
            </w:pPr>
            <w:r>
              <w:t>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2013405</w:t>
            </w:r>
          </w:p>
        </w:tc>
        <w:tc>
          <w:tcPr>
            <w:tcW w:w="4536" w:type="dxa"/>
            <w:vAlign w:val="center"/>
          </w:tcPr>
          <w:p>
            <w:pPr>
              <w:pStyle w:val="14"/>
            </w:pPr>
            <w:r>
              <w:t>华侨事务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78.04</w:t>
            </w:r>
          </w:p>
        </w:tc>
        <w:tc>
          <w:tcPr>
            <w:tcW w:w="1361" w:type="dxa"/>
            <w:vAlign w:val="center"/>
          </w:tcPr>
          <w:p>
            <w:pPr>
              <w:pStyle w:val="13"/>
            </w:pPr>
            <w:r>
              <w:t>62.96</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62.96</w:t>
            </w:r>
          </w:p>
        </w:tc>
        <w:tc>
          <w:tcPr>
            <w:tcW w:w="1361" w:type="dxa"/>
            <w:vAlign w:val="center"/>
          </w:tcPr>
          <w:p>
            <w:pPr>
              <w:pStyle w:val="13"/>
            </w:pPr>
            <w:r>
              <w:t>62.96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43.99</w:t>
            </w:r>
          </w:p>
        </w:tc>
        <w:tc>
          <w:tcPr>
            <w:tcW w:w="1361" w:type="dxa"/>
            <w:vAlign w:val="center"/>
          </w:tcPr>
          <w:p>
            <w:pPr>
              <w:pStyle w:val="13"/>
            </w:pPr>
            <w:r>
              <w:t>43.99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18.97</w:t>
            </w:r>
          </w:p>
        </w:tc>
        <w:tc>
          <w:tcPr>
            <w:tcW w:w="1361" w:type="dxa"/>
            <w:vAlign w:val="center"/>
          </w:tcPr>
          <w:p>
            <w:pPr>
              <w:pStyle w:val="13"/>
            </w:pPr>
            <w:r>
              <w:t>18.97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372.62</w:t>
            </w:r>
          </w:p>
        </w:tc>
        <w:tc>
          <w:tcPr>
            <w:tcW w:w="3402" w:type="dxa"/>
            <w:vAlign w:val="center"/>
          </w:tcPr>
          <w:p>
            <w:pPr>
              <w:pStyle w:val="14"/>
            </w:pPr>
            <w:r>
              <w:t>一、一般公共服务支出</w:t>
            </w:r>
          </w:p>
        </w:tc>
        <w:tc>
          <w:tcPr>
            <w:tcW w:w="1474" w:type="dxa"/>
            <w:vAlign w:val="center"/>
          </w:tcPr>
          <w:p>
            <w:pPr>
              <w:pStyle w:val="13"/>
            </w:pPr>
            <w:r>
              <w:t>266.93</w:t>
            </w:r>
          </w:p>
        </w:tc>
        <w:tc>
          <w:tcPr>
            <w:tcW w:w="1474" w:type="dxa"/>
            <w:vAlign w:val="center"/>
          </w:tcPr>
          <w:p>
            <w:pPr>
              <w:pStyle w:val="13"/>
            </w:pPr>
            <w:r>
              <w:t>266.93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78.04</w:t>
            </w:r>
          </w:p>
        </w:tc>
        <w:tc>
          <w:tcPr>
            <w:tcW w:w="1474" w:type="dxa"/>
            <w:vAlign w:val="center"/>
          </w:tcPr>
          <w:p>
            <w:pPr>
              <w:pStyle w:val="13"/>
            </w:pPr>
            <w:r>
              <w:t>78.04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13.59</w:t>
            </w:r>
          </w:p>
        </w:tc>
        <w:tc>
          <w:tcPr>
            <w:tcW w:w="1474" w:type="dxa"/>
            <w:vAlign w:val="center"/>
          </w:tcPr>
          <w:p>
            <w:pPr>
              <w:pStyle w:val="13"/>
            </w:pPr>
            <w:r>
              <w:t>13.59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19.06</w:t>
            </w:r>
          </w:p>
        </w:tc>
        <w:tc>
          <w:tcPr>
            <w:tcW w:w="1474" w:type="dxa"/>
            <w:vAlign w:val="center"/>
          </w:tcPr>
          <w:p>
            <w:pPr>
              <w:pStyle w:val="13"/>
            </w:pPr>
            <w:r>
              <w:t>19.06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372.62</w:t>
            </w:r>
          </w:p>
        </w:tc>
        <w:tc>
          <w:tcPr>
            <w:tcW w:w="3402" w:type="dxa"/>
            <w:vAlign w:val="center"/>
          </w:tcPr>
          <w:p>
            <w:pPr>
              <w:pStyle w:val="16"/>
            </w:pPr>
            <w:r>
              <w:t>本年支出合计</w:t>
            </w:r>
          </w:p>
        </w:tc>
        <w:tc>
          <w:tcPr>
            <w:tcW w:w="1474" w:type="dxa"/>
            <w:vAlign w:val="center"/>
          </w:tcPr>
          <w:p>
            <w:pPr>
              <w:pStyle w:val="17"/>
            </w:pPr>
            <w:r>
              <w:t>377.62</w:t>
            </w:r>
          </w:p>
        </w:tc>
        <w:tc>
          <w:tcPr>
            <w:tcW w:w="1474" w:type="dxa"/>
            <w:vAlign w:val="center"/>
          </w:tcPr>
          <w:p>
            <w:pPr>
              <w:pStyle w:val="17"/>
            </w:pPr>
            <w:r>
              <w:t>377.62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5.00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5.00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377.62</w:t>
            </w:r>
          </w:p>
        </w:tc>
        <w:tc>
          <w:tcPr>
            <w:tcW w:w="3402" w:type="dxa"/>
            <w:vAlign w:val="center"/>
          </w:tcPr>
          <w:p>
            <w:pPr>
              <w:pStyle w:val="16"/>
            </w:pPr>
            <w:r>
              <w:t>支出总计</w:t>
            </w:r>
          </w:p>
        </w:tc>
        <w:tc>
          <w:tcPr>
            <w:tcW w:w="1474" w:type="dxa"/>
            <w:vAlign w:val="center"/>
          </w:tcPr>
          <w:p>
            <w:pPr>
              <w:pStyle w:val="17"/>
            </w:pPr>
            <w:r>
              <w:t>377.62</w:t>
            </w:r>
          </w:p>
        </w:tc>
        <w:tc>
          <w:tcPr>
            <w:tcW w:w="1474" w:type="dxa"/>
            <w:vAlign w:val="center"/>
          </w:tcPr>
          <w:p>
            <w:pPr>
              <w:pStyle w:val="17"/>
            </w:pPr>
            <w:r>
              <w:t>377.62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377.62</w:t>
            </w:r>
          </w:p>
        </w:tc>
        <w:tc>
          <w:tcPr>
            <w:tcW w:w="2551" w:type="dxa"/>
            <w:vAlign w:val="center"/>
          </w:tcPr>
          <w:p>
            <w:pPr>
              <w:pStyle w:val="17"/>
            </w:pPr>
            <w:r>
              <w:t>271.54</w:t>
            </w:r>
          </w:p>
        </w:tc>
        <w:tc>
          <w:tcPr>
            <w:tcW w:w="2551" w:type="dxa"/>
            <w:vAlign w:val="center"/>
          </w:tcPr>
          <w:p>
            <w:pPr>
              <w:pStyle w:val="17"/>
            </w:pPr>
            <w:r>
              <w:t>106.08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266.93</w:t>
            </w:r>
          </w:p>
        </w:tc>
        <w:tc>
          <w:tcPr>
            <w:tcW w:w="2551" w:type="dxa"/>
            <w:vAlign w:val="center"/>
          </w:tcPr>
          <w:p>
            <w:pPr>
              <w:pStyle w:val="13"/>
            </w:pPr>
            <w:r>
              <w:t>175.93</w:t>
            </w: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266.93</w:t>
            </w:r>
          </w:p>
        </w:tc>
        <w:tc>
          <w:tcPr>
            <w:tcW w:w="2551" w:type="dxa"/>
            <w:vAlign w:val="center"/>
          </w:tcPr>
          <w:p>
            <w:pPr>
              <w:pStyle w:val="13"/>
            </w:pPr>
            <w:r>
              <w:t>175.93</w:t>
            </w: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175.93</w:t>
            </w:r>
          </w:p>
        </w:tc>
        <w:tc>
          <w:tcPr>
            <w:tcW w:w="2551" w:type="dxa"/>
            <w:vAlign w:val="center"/>
          </w:tcPr>
          <w:p>
            <w:pPr>
              <w:pStyle w:val="13"/>
            </w:pPr>
            <w:r>
              <w:t>175.93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79.00</w:t>
            </w:r>
          </w:p>
        </w:tc>
        <w:tc>
          <w:tcPr>
            <w:tcW w:w="2551" w:type="dxa"/>
            <w:vAlign w:val="center"/>
          </w:tcPr>
          <w:p>
            <w:pPr>
              <w:pStyle w:val="13"/>
            </w:pPr>
          </w:p>
        </w:tc>
        <w:tc>
          <w:tcPr>
            <w:tcW w:w="2551" w:type="dxa"/>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2013405</w:t>
            </w:r>
          </w:p>
        </w:tc>
        <w:tc>
          <w:tcPr>
            <w:tcW w:w="4535" w:type="dxa"/>
            <w:vAlign w:val="center"/>
          </w:tcPr>
          <w:p>
            <w:pPr>
              <w:pStyle w:val="14"/>
            </w:pPr>
            <w:r>
              <w:t>华侨事务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78.04</w:t>
            </w:r>
          </w:p>
        </w:tc>
        <w:tc>
          <w:tcPr>
            <w:tcW w:w="2551" w:type="dxa"/>
            <w:vAlign w:val="center"/>
          </w:tcPr>
          <w:p>
            <w:pPr>
              <w:pStyle w:val="13"/>
            </w:pPr>
            <w:r>
              <w:t>62.96</w:t>
            </w: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62.96</w:t>
            </w:r>
          </w:p>
        </w:tc>
        <w:tc>
          <w:tcPr>
            <w:tcW w:w="2551" w:type="dxa"/>
            <w:vAlign w:val="center"/>
          </w:tcPr>
          <w:p>
            <w:pPr>
              <w:pStyle w:val="13"/>
            </w:pPr>
            <w:r>
              <w:t>62.96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43.99</w:t>
            </w:r>
          </w:p>
        </w:tc>
        <w:tc>
          <w:tcPr>
            <w:tcW w:w="2551" w:type="dxa"/>
            <w:vAlign w:val="center"/>
          </w:tcPr>
          <w:p>
            <w:pPr>
              <w:pStyle w:val="13"/>
            </w:pPr>
            <w:r>
              <w:t>43.99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18.97</w:t>
            </w:r>
          </w:p>
        </w:tc>
        <w:tc>
          <w:tcPr>
            <w:tcW w:w="2551" w:type="dxa"/>
            <w:vAlign w:val="center"/>
          </w:tcPr>
          <w:p>
            <w:pPr>
              <w:pStyle w:val="13"/>
            </w:pPr>
            <w:r>
              <w:t>18.97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271.54</w:t>
            </w:r>
          </w:p>
        </w:tc>
        <w:tc>
          <w:tcPr>
            <w:tcW w:w="2551" w:type="dxa"/>
            <w:vAlign w:val="center"/>
          </w:tcPr>
          <w:p>
            <w:pPr>
              <w:pStyle w:val="17"/>
            </w:pPr>
            <w:r>
              <w:t>240.20</w:t>
            </w:r>
          </w:p>
        </w:tc>
        <w:tc>
          <w:tcPr>
            <w:tcW w:w="2552" w:type="dxa"/>
            <w:vAlign w:val="center"/>
          </w:tcPr>
          <w:p>
            <w:pPr>
              <w:pStyle w:val="17"/>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197.13</w:t>
            </w:r>
          </w:p>
        </w:tc>
        <w:tc>
          <w:tcPr>
            <w:tcW w:w="2551" w:type="dxa"/>
            <w:vAlign w:val="center"/>
          </w:tcPr>
          <w:p>
            <w:pPr>
              <w:pStyle w:val="13"/>
            </w:pPr>
            <w:r>
              <w:t>197.13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53.12</w:t>
            </w:r>
          </w:p>
        </w:tc>
        <w:tc>
          <w:tcPr>
            <w:tcW w:w="2551" w:type="dxa"/>
            <w:vAlign w:val="center"/>
          </w:tcPr>
          <w:p>
            <w:pPr>
              <w:pStyle w:val="13"/>
            </w:pPr>
            <w:r>
              <w:t>53.12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42.81</w:t>
            </w:r>
          </w:p>
        </w:tc>
        <w:tc>
          <w:tcPr>
            <w:tcW w:w="2551" w:type="dxa"/>
            <w:vAlign w:val="center"/>
          </w:tcPr>
          <w:p>
            <w:pPr>
              <w:pStyle w:val="13"/>
            </w:pPr>
            <w:r>
              <w:t>42.81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49.12</w:t>
            </w:r>
          </w:p>
        </w:tc>
        <w:tc>
          <w:tcPr>
            <w:tcW w:w="2551" w:type="dxa"/>
            <w:vAlign w:val="center"/>
          </w:tcPr>
          <w:p>
            <w:pPr>
              <w:pStyle w:val="13"/>
            </w:pPr>
            <w:r>
              <w:t>49.12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18.97</w:t>
            </w:r>
          </w:p>
        </w:tc>
        <w:tc>
          <w:tcPr>
            <w:tcW w:w="2551" w:type="dxa"/>
            <w:vAlign w:val="center"/>
          </w:tcPr>
          <w:p>
            <w:pPr>
              <w:pStyle w:val="13"/>
            </w:pPr>
            <w:r>
              <w:t>18.97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7.66</w:t>
            </w:r>
          </w:p>
        </w:tc>
        <w:tc>
          <w:tcPr>
            <w:tcW w:w="2551" w:type="dxa"/>
            <w:vAlign w:val="center"/>
          </w:tcPr>
          <w:p>
            <w:pPr>
              <w:pStyle w:val="13"/>
            </w:pPr>
            <w:r>
              <w:t>7.66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5.93</w:t>
            </w:r>
          </w:p>
        </w:tc>
        <w:tc>
          <w:tcPr>
            <w:tcW w:w="2551" w:type="dxa"/>
            <w:vAlign w:val="center"/>
          </w:tcPr>
          <w:p>
            <w:pPr>
              <w:pStyle w:val="13"/>
            </w:pPr>
            <w:r>
              <w:t>5.93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0.45</w:t>
            </w:r>
          </w:p>
        </w:tc>
        <w:tc>
          <w:tcPr>
            <w:tcW w:w="2551" w:type="dxa"/>
            <w:vAlign w:val="center"/>
          </w:tcPr>
          <w:p>
            <w:pPr>
              <w:pStyle w:val="13"/>
            </w:pPr>
            <w:r>
              <w:t>0.45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19.06</w:t>
            </w:r>
          </w:p>
        </w:tc>
        <w:tc>
          <w:tcPr>
            <w:tcW w:w="2551" w:type="dxa"/>
            <w:vAlign w:val="center"/>
          </w:tcPr>
          <w:p>
            <w:pPr>
              <w:pStyle w:val="13"/>
            </w:pPr>
            <w:r>
              <w:t>19.06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31.34</w:t>
            </w:r>
          </w:p>
        </w:tc>
        <w:tc>
          <w:tcPr>
            <w:tcW w:w="2551" w:type="dxa"/>
            <w:vAlign w:val="center"/>
          </w:tcPr>
          <w:p>
            <w:pPr>
              <w:pStyle w:val="13"/>
            </w:pPr>
          </w:p>
        </w:tc>
        <w:tc>
          <w:tcPr>
            <w:tcW w:w="2552" w:type="dxa"/>
            <w:vAlign w:val="center"/>
          </w:tcPr>
          <w:p>
            <w:pPr>
              <w:pStyle w:val="13"/>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6.60</w:t>
            </w:r>
          </w:p>
        </w:tc>
        <w:tc>
          <w:tcPr>
            <w:tcW w:w="2551" w:type="dxa"/>
            <w:vAlign w:val="center"/>
          </w:tcPr>
          <w:p>
            <w:pPr>
              <w:pStyle w:val="13"/>
            </w:pPr>
          </w:p>
        </w:tc>
        <w:tc>
          <w:tcPr>
            <w:tcW w:w="2552" w:type="dxa"/>
            <w:vAlign w:val="center"/>
          </w:tcPr>
          <w:p>
            <w:pPr>
              <w:pStyle w:val="13"/>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6.20</w:t>
            </w:r>
          </w:p>
        </w:tc>
        <w:tc>
          <w:tcPr>
            <w:tcW w:w="2551" w:type="dxa"/>
            <w:vAlign w:val="center"/>
          </w:tcPr>
          <w:p>
            <w:pPr>
              <w:pStyle w:val="13"/>
            </w:pPr>
          </w:p>
        </w:tc>
        <w:tc>
          <w:tcPr>
            <w:tcW w:w="2552" w:type="dxa"/>
            <w:vAlign w:val="center"/>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4.62</w:t>
            </w:r>
          </w:p>
        </w:tc>
        <w:tc>
          <w:tcPr>
            <w:tcW w:w="2551" w:type="dxa"/>
            <w:vAlign w:val="center"/>
          </w:tcPr>
          <w:p>
            <w:pPr>
              <w:pStyle w:val="13"/>
            </w:pPr>
          </w:p>
        </w:tc>
        <w:tc>
          <w:tcPr>
            <w:tcW w:w="2552"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1.08</w:t>
            </w:r>
          </w:p>
        </w:tc>
        <w:tc>
          <w:tcPr>
            <w:tcW w:w="2551" w:type="dxa"/>
            <w:vAlign w:val="center"/>
          </w:tcPr>
          <w:p>
            <w:pPr>
              <w:pStyle w:val="13"/>
            </w:pPr>
          </w:p>
        </w:tc>
        <w:tc>
          <w:tcPr>
            <w:tcW w:w="2552"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1.33</w:t>
            </w:r>
          </w:p>
        </w:tc>
        <w:tc>
          <w:tcPr>
            <w:tcW w:w="2551" w:type="dxa"/>
            <w:vAlign w:val="center"/>
          </w:tcPr>
          <w:p>
            <w:pPr>
              <w:pStyle w:val="13"/>
            </w:pPr>
          </w:p>
        </w:tc>
        <w:tc>
          <w:tcPr>
            <w:tcW w:w="2552" w:type="dxa"/>
            <w:vAlign w:val="center"/>
          </w:tcPr>
          <w:p>
            <w:pPr>
              <w:pStyle w:val="13"/>
            </w:pPr>
            <w: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2"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7.68</w:t>
            </w:r>
          </w:p>
        </w:tc>
        <w:tc>
          <w:tcPr>
            <w:tcW w:w="2551" w:type="dxa"/>
            <w:vAlign w:val="center"/>
          </w:tcPr>
          <w:p>
            <w:pPr>
              <w:pStyle w:val="13"/>
            </w:pPr>
          </w:p>
        </w:tc>
        <w:tc>
          <w:tcPr>
            <w:tcW w:w="2552" w:type="dxa"/>
            <w:vAlign w:val="center"/>
          </w:tcPr>
          <w:p>
            <w:pPr>
              <w:pStyle w:val="13"/>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1.13</w:t>
            </w:r>
          </w:p>
        </w:tc>
        <w:tc>
          <w:tcPr>
            <w:tcW w:w="2551" w:type="dxa"/>
            <w:vAlign w:val="center"/>
          </w:tcPr>
          <w:p>
            <w:pPr>
              <w:pStyle w:val="13"/>
            </w:pPr>
          </w:p>
        </w:tc>
        <w:tc>
          <w:tcPr>
            <w:tcW w:w="2552" w:type="dxa"/>
            <w:vAlign w:val="center"/>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43.07</w:t>
            </w:r>
          </w:p>
        </w:tc>
        <w:tc>
          <w:tcPr>
            <w:tcW w:w="2551" w:type="dxa"/>
            <w:vAlign w:val="center"/>
          </w:tcPr>
          <w:p>
            <w:pPr>
              <w:pStyle w:val="13"/>
            </w:pPr>
            <w:r>
              <w:t>43.07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18.43</w:t>
            </w:r>
          </w:p>
        </w:tc>
        <w:tc>
          <w:tcPr>
            <w:tcW w:w="2551" w:type="dxa"/>
            <w:vAlign w:val="center"/>
          </w:tcPr>
          <w:p>
            <w:pPr>
              <w:pStyle w:val="13"/>
            </w:pPr>
            <w:r>
              <w:t>18.43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24.65</w:t>
            </w:r>
          </w:p>
        </w:tc>
        <w:tc>
          <w:tcPr>
            <w:tcW w:w="2551" w:type="dxa"/>
            <w:vAlign w:val="center"/>
          </w:tcPr>
          <w:p>
            <w:pPr>
              <w:pStyle w:val="13"/>
            </w:pPr>
            <w:r>
              <w:t>24.65</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中共石家庄市鹿泉区委统一战线工作部2023年部门预算信息公开情况说明</w:t>
      </w:r>
    </w:p>
    <w:p>
      <w:pPr>
        <w:jc w:val="center"/>
      </w:pPr>
      <w:r>
        <w:rPr>
          <w:rFonts w:ascii="方正小标宋_GBK" w:hAnsi="方正小标宋_GBK" w:eastAsia="方正小标宋_GBK" w:cs="方正小标宋_GBK"/>
          <w:color w:val="000000"/>
          <w:sz w:val="44"/>
        </w:rPr>
        <w:t>中共石家庄市鹿泉区委统一战线工作部2023年部门预算信息公开情况说明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预算法》、《地方预决算公开操作规程》和《关于进一步推进预算公开工作的实施意见》规定，现将中共石家庄市鹿泉区委统一战线工作部2023年部门预算公开如下：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pStyle w:val="19"/>
      </w:pPr>
      <w:r>
        <w:t>（二）开展统一战线理论研究，贯彻落实统一战线工作的政策、地方性法规等，深入调查研究，及时向区委报告统一战线工作情况并提出建议，统筹协调和指导各乡镇（区）各部门各单位统一战线工作。</w:t>
      </w:r>
    </w:p>
    <w:p>
      <w:pPr>
        <w:pStyle w:val="19"/>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9"/>
      </w:pPr>
      <w:r>
        <w:t>（四）贯彻落实党的宣传工作方针，统筹推进全区统一战线宣传工作，拟订全区统一战线宣传工作规划并组织实施，研判涉及统一战线的舆情并协调有关部门应对处置</w:t>
      </w:r>
    </w:p>
    <w:p>
      <w:pPr>
        <w:pStyle w:val="19"/>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9"/>
      </w:pPr>
      <w: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pStyle w:val="19"/>
      </w:pPr>
      <w:r>
        <w:t>（七）负责联系、培养无党派代表人士，支持、帮助无党派人士发挥作用，调查研究党外知识分子和新的社会阶层</w:t>
      </w:r>
      <w:r>
        <w:rPr>
          <w:rFonts w:hint="eastAsia"/>
          <w:lang w:val="en-US" w:eastAsia="zh-CN"/>
        </w:rPr>
        <w:t>人</w:t>
      </w:r>
      <w:bookmarkStart w:id="18" w:name="_GoBack"/>
      <w:bookmarkEnd w:id="18"/>
      <w:r>
        <w:t>士情况并提出政策建议，联系、培养党外知识分子和新的社会阶层代表人士，开展思想政治工作，指导企业和社会组织开展党外知识分子和新的社会阶层人士统战工作。</w:t>
      </w:r>
    </w:p>
    <w:p>
      <w:pPr>
        <w:pStyle w:val="19"/>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lang w:val="en-US" w:eastAsia="zh-CN"/>
        </w:rPr>
        <w:t>士</w:t>
      </w:r>
      <w:r>
        <w:t>健康成长。</w:t>
      </w:r>
    </w:p>
    <w:p>
      <w:pPr>
        <w:pStyle w:val="19"/>
      </w:pPr>
      <w:r>
        <w:t>（九）统一领导全区海外统战工作，牵头开展港澳统战工作。贯彻落实党的海外统战工作政策，联系香港、澳门有关党派、团体及代表人士，联系海外有关社团及代表人士。</w:t>
      </w:r>
    </w:p>
    <w:p>
      <w:pPr>
        <w:pStyle w:val="19"/>
      </w:pPr>
      <w:r>
        <w:t>（十）统一管理全区侨务工作，贯彻落实党的侨务工作方针政策并组织协调、督促检查落实，调查研究侨情和侨务工作情况，管理侨务工作，保护华侨和归侨侨眷在区内的合法权利和利益。</w:t>
      </w:r>
    </w:p>
    <w:p>
      <w:pPr>
        <w:pStyle w:val="19"/>
      </w:pPr>
      <w: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pStyle w:val="19"/>
      </w:pPr>
      <w: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pStyle w:val="19"/>
      </w:pPr>
      <w:r>
        <w:t>（十三）完成区委交办的其他任务。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中共石家庄市鹿泉区委统一战线工作部本级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按照预算管理有关规定，目前我省部门预算的编制实行综合预算管理，即全部收入和支出都反映在预算中。中共石家庄市鹿泉区委统一战线工作部机关及所属事业单位的收支包含在部门预算中。</w:t>
      </w:r>
    </w:p>
    <w:p>
      <w:pPr>
        <w:pStyle w:val="20"/>
      </w:pPr>
      <w:r>
        <w:t>1、收入说明</w:t>
      </w:r>
    </w:p>
    <w:p>
      <w:pPr>
        <w:pStyle w:val="20"/>
      </w:pPr>
      <w:r>
        <w:t>反映本部门当年全部收入。2023年预算收入</w:t>
      </w:r>
      <w:r>
        <w:rPr>
          <w:rFonts w:hint="eastAsia"/>
          <w:lang w:eastAsia="zh-CN"/>
        </w:rPr>
        <w:t>377.62</w:t>
      </w:r>
      <w:r>
        <w:t>万元，其中：一般公共预算收入377.62万元，基金预算收入0万元，财政专户核拨收入0万元，其他来源收入0万元。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河北省人民代表大会常务委员会办公厅年度部门预算中支出预算的总体情况。2023年部门支出预算为377.62万元，其中基本支出</w:t>
      </w:r>
      <w:r>
        <w:rPr>
          <w:rFonts w:hint="eastAsia"/>
          <w:lang w:eastAsia="zh-CN"/>
        </w:rPr>
        <w:t>271.54</w:t>
      </w:r>
      <w:r>
        <w:t>万元，包括人员经费</w:t>
      </w:r>
      <w:r>
        <w:rPr>
          <w:rFonts w:hint="eastAsia"/>
          <w:lang w:eastAsia="zh-CN"/>
        </w:rPr>
        <w:t>240.2</w:t>
      </w:r>
      <w:r>
        <w:t>万元和日常公用经费</w:t>
      </w:r>
      <w:r>
        <w:rPr>
          <w:rFonts w:hint="eastAsia"/>
          <w:lang w:eastAsia="zh-CN"/>
        </w:rPr>
        <w:t>31.34</w:t>
      </w:r>
      <w:r>
        <w:t>万元；项目支出</w:t>
      </w:r>
      <w:r>
        <w:rPr>
          <w:rFonts w:hint="eastAsia"/>
          <w:lang w:eastAsia="zh-CN"/>
        </w:rPr>
        <w:t>106.08</w:t>
      </w:r>
      <w:r>
        <w:t>万元。</w:t>
      </w:r>
    </w:p>
    <w:p>
      <w:pPr>
        <w:pStyle w:val="20"/>
      </w:pPr>
      <w:r>
        <w:t>3、比上年增减情况</w:t>
      </w:r>
    </w:p>
    <w:p>
      <w:pPr>
        <w:pStyle w:val="20"/>
      </w:pPr>
      <w:r>
        <w:t>2023年部门预算收支安排377.62万元，较2022年</w:t>
      </w:r>
      <w:r>
        <w:rPr>
          <w:rFonts w:hint="eastAsia" w:eastAsiaTheme="minorEastAsia"/>
          <w:lang w:val="en-US" w:eastAsia="zh-CN"/>
        </w:rPr>
        <w:t>增加1.07</w:t>
      </w:r>
      <w:r>
        <w:t>万元，其中：基本支出</w:t>
      </w:r>
      <w:r>
        <w:rPr>
          <w:rFonts w:hint="eastAsia" w:eastAsiaTheme="minorEastAsia"/>
          <w:lang w:val="en-US" w:eastAsia="zh-CN"/>
        </w:rPr>
        <w:t>增加5.93</w:t>
      </w:r>
      <w:r>
        <w:t>万元，主要是</w:t>
      </w:r>
      <w:r>
        <w:rPr>
          <w:rFonts w:hint="eastAsia" w:eastAsiaTheme="minorEastAsia"/>
          <w:lang w:eastAsia="zh-CN"/>
        </w:rPr>
        <w:t>有</w:t>
      </w:r>
      <w:r>
        <w:t>人员</w:t>
      </w:r>
      <w:r>
        <w:rPr>
          <w:rFonts w:hint="eastAsia" w:eastAsiaTheme="minorEastAsia"/>
          <w:lang w:val="en-US" w:eastAsia="zh-CN"/>
        </w:rPr>
        <w:t>增加</w:t>
      </w:r>
      <w:r>
        <w:t>，相应</w:t>
      </w:r>
      <w:r>
        <w:rPr>
          <w:rFonts w:hint="eastAsia" w:eastAsiaTheme="minorEastAsia"/>
          <w:lang w:val="en-US" w:eastAsia="zh-CN"/>
        </w:rPr>
        <w:t>增加</w:t>
      </w:r>
      <w:r>
        <w:t>人员经费和日常公用经费；项目支出</w:t>
      </w:r>
      <w:r>
        <w:rPr>
          <w:rFonts w:hint="eastAsia" w:eastAsiaTheme="minorEastAsia"/>
          <w:lang w:eastAsia="zh-CN"/>
        </w:rPr>
        <w:t>减少</w:t>
      </w:r>
      <w:r>
        <w:rPr>
          <w:rFonts w:hint="eastAsia" w:eastAsiaTheme="minorEastAsia"/>
          <w:lang w:val="en-US" w:eastAsia="zh-CN"/>
        </w:rPr>
        <w:t>4.86</w:t>
      </w:r>
      <w:r>
        <w:t>万元；其他支出无增减变化。</w:t>
      </w:r>
    </w:p>
    <w:p>
      <w:pPr>
        <w:spacing w:before="10" w:after="10" w:line="360" w:lineRule="auto"/>
        <w:ind w:firstLine="640"/>
        <w:outlineLvl w:val="2"/>
        <w:rPr>
          <w:rFonts w:eastAsia="黑体" w:cs="黑体" w:asciiTheme="minorHAnsi" w:hAnsiTheme="minorHAnsi"/>
          <w:color w:val="000000"/>
          <w:sz w:val="32"/>
          <w:lang w:val="uk-UA"/>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ascii="宋体" w:hAnsi="宋体" w:eastAsia="宋体"/>
          <w:sz w:val="28"/>
          <w:szCs w:val="28"/>
          <w:lang w:val="uk-UA" w:eastAsia="zh-CN"/>
        </w:rPr>
      </w:pPr>
      <w:r>
        <w:rPr>
          <w:rFonts w:ascii="宋体" w:hAnsi="宋体" w:eastAsia="宋体"/>
          <w:color w:val="000000"/>
          <w:sz w:val="28"/>
          <w:szCs w:val="28"/>
          <w:lang w:val="uk-UA"/>
        </w:rPr>
        <w:t>2023</w:t>
      </w:r>
      <w:r>
        <w:rPr>
          <w:rFonts w:ascii="宋体" w:hAnsi="宋体" w:eastAsia="宋体"/>
          <w:color w:val="000000"/>
          <w:sz w:val="28"/>
          <w:szCs w:val="28"/>
          <w:lang w:val="uk-UA" w:eastAsia="zh-CN"/>
        </w:rPr>
        <w:t>年，我部门机关运行经费共计安排31.34万元，主要用于保证机关正常运转的办公及印刷费、邮电费、差旅费、会议费、福利费、党组织活动、公务车运行维护费等支出</w:t>
      </w:r>
      <w:r>
        <w:rPr>
          <w:rFonts w:hint="eastAsia" w:ascii="宋体" w:hAnsi="宋体" w:eastAsia="宋体"/>
          <w:color w:val="000000"/>
          <w:sz w:val="28"/>
          <w:szCs w:val="28"/>
          <w:lang w:val="uk-UA" w:eastAsia="zh-CN"/>
        </w:rPr>
        <w:t>。</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lang w:eastAsia="zh-CN"/>
        </w:rPr>
      </w:pPr>
      <w:r>
        <w:rPr>
          <w:rFonts w:hint="eastAsia"/>
          <w:lang w:eastAsia="zh-CN"/>
        </w:rPr>
        <w:t>2023年</w:t>
      </w:r>
      <w:r>
        <w:rPr>
          <w:lang w:eastAsia="zh-CN"/>
        </w:rPr>
        <w:t>，我部门财政拨款“</w:t>
      </w:r>
      <w:r>
        <w:rPr>
          <w:rFonts w:hint="eastAsia"/>
          <w:lang w:eastAsia="zh-CN"/>
        </w:rPr>
        <w:t>三公</w:t>
      </w:r>
      <w:r>
        <w:rPr>
          <w:lang w:eastAsia="zh-CN"/>
        </w:rPr>
        <w:t>”</w:t>
      </w:r>
      <w:r>
        <w:rPr>
          <w:rFonts w:hint="eastAsia"/>
          <w:lang w:eastAsia="zh-CN"/>
        </w:rPr>
        <w:t>经费</w:t>
      </w:r>
      <w:r>
        <w:rPr>
          <w:lang w:eastAsia="zh-CN"/>
        </w:rPr>
        <w:t>预算安排</w:t>
      </w:r>
      <w:r>
        <w:rPr>
          <w:rFonts w:hint="eastAsia"/>
          <w:lang w:eastAsia="zh-CN"/>
        </w:rPr>
        <w:t>2.7万元</w:t>
      </w:r>
      <w:r>
        <w:rPr>
          <w:lang w:eastAsia="zh-CN"/>
        </w:rPr>
        <w:t>，其中：因公出国（</w:t>
      </w:r>
      <w:r>
        <w:rPr>
          <w:rFonts w:hint="eastAsia"/>
          <w:lang w:eastAsia="zh-CN"/>
        </w:rPr>
        <w:t>境</w:t>
      </w:r>
      <w:r>
        <w:rPr>
          <w:lang w:eastAsia="zh-CN"/>
        </w:rPr>
        <w:t>）</w:t>
      </w:r>
      <w:r>
        <w:rPr>
          <w:rFonts w:hint="eastAsia"/>
          <w:lang w:eastAsia="zh-CN"/>
        </w:rPr>
        <w:t>费0万元</w:t>
      </w:r>
      <w:r>
        <w:rPr>
          <w:lang w:eastAsia="zh-CN"/>
        </w:rPr>
        <w:t>；公务用车购置及运维费</w:t>
      </w:r>
      <w:r>
        <w:rPr>
          <w:rFonts w:hint="eastAsia"/>
          <w:lang w:eastAsia="zh-CN"/>
        </w:rPr>
        <w:t>2.7万元</w:t>
      </w:r>
      <w:r>
        <w:rPr>
          <w:lang w:eastAsia="zh-CN"/>
        </w:rPr>
        <w:t>（</w:t>
      </w:r>
      <w:r>
        <w:rPr>
          <w:rFonts w:hint="eastAsia"/>
          <w:lang w:eastAsia="zh-CN"/>
        </w:rPr>
        <w:t>其中</w:t>
      </w:r>
      <w:r>
        <w:rPr>
          <w:lang w:eastAsia="zh-CN"/>
        </w:rPr>
        <w:t>：公务用车购置费</w:t>
      </w:r>
      <w:r>
        <w:rPr>
          <w:rFonts w:hint="eastAsia"/>
          <w:lang w:eastAsia="zh-CN"/>
        </w:rPr>
        <w:t>0万元</w:t>
      </w:r>
      <w:r>
        <w:rPr>
          <w:lang w:eastAsia="zh-CN"/>
        </w:rPr>
        <w:t>，公务用车运行维护费</w:t>
      </w:r>
      <w:r>
        <w:rPr>
          <w:rFonts w:hint="eastAsia"/>
          <w:lang w:eastAsia="zh-CN"/>
        </w:rPr>
        <w:t>207万元</w:t>
      </w:r>
      <w:r>
        <w:rPr>
          <w:lang w:eastAsia="zh-CN"/>
        </w:rPr>
        <w:t>）</w:t>
      </w:r>
      <w:r>
        <w:rPr>
          <w:rFonts w:hint="eastAsia"/>
          <w:lang w:eastAsia="zh-CN"/>
        </w:rPr>
        <w:t>；</w:t>
      </w:r>
      <w:r>
        <w:rPr>
          <w:lang w:eastAsia="zh-CN"/>
        </w:rPr>
        <w:t>公务接待费</w:t>
      </w:r>
      <w:r>
        <w:rPr>
          <w:rFonts w:hint="eastAsia"/>
          <w:lang w:eastAsia="zh-CN"/>
        </w:rPr>
        <w:t>0万元</w:t>
      </w:r>
      <w:r>
        <w:rPr>
          <w:lang w:eastAsia="zh-CN"/>
        </w:rPr>
        <w:t>。“</w:t>
      </w:r>
      <w:r>
        <w:rPr>
          <w:rFonts w:hint="eastAsia"/>
          <w:lang w:eastAsia="zh-CN"/>
        </w:rPr>
        <w:t>三公</w:t>
      </w:r>
      <w:r>
        <w:rPr>
          <w:lang w:eastAsia="zh-CN"/>
        </w:rPr>
        <w:t>”</w:t>
      </w:r>
      <w:r>
        <w:rPr>
          <w:rFonts w:hint="eastAsia"/>
          <w:lang w:eastAsia="zh-CN"/>
        </w:rPr>
        <w:t>经费</w:t>
      </w:r>
      <w:r>
        <w:rPr>
          <w:lang w:eastAsia="zh-CN"/>
        </w:rPr>
        <w:t>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2023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line="500" w:lineRule="exact"/>
        <w:ind w:firstLine="560"/>
      </w:pPr>
      <w:r>
        <w:rPr>
          <w:rFonts w:eastAsia="方正仿宋_GBK"/>
          <w:color w:val="000000"/>
          <w:sz w:val="28"/>
        </w:rPr>
        <w:t>（二）分项绩效目标</w:t>
      </w:r>
    </w:p>
    <w:p>
      <w:pPr>
        <w:pStyle w:val="24"/>
      </w:pPr>
      <w: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4"/>
      </w:pPr>
      <w:r>
        <w:t>（二）强化系统治理，切实维护宗教领域的和谐稳定。巩固宗教领域专项整治成果，防范各类非法宗教活动的反弹。深入开展“双创四进”，严格落实三项制度，积极发挥基层治理工作队作用，深入开展宗教领域系统治理，坚持</w:t>
      </w:r>
      <w:r>
        <w:rPr>
          <w:rFonts w:hint="eastAsia"/>
          <w:lang w:eastAsia="zh-CN"/>
        </w:rPr>
        <w:t>我国</w:t>
      </w:r>
      <w:r>
        <w:t>宗教中国化方向。</w:t>
      </w:r>
    </w:p>
    <w:p>
      <w:pPr>
        <w:pStyle w:val="24"/>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24"/>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spacing w:line="500" w:lineRule="exact"/>
        <w:ind w:firstLine="560"/>
      </w:pPr>
      <w:r>
        <w:rPr>
          <w:rFonts w:eastAsia="方正仿宋_GBK"/>
          <w:color w:val="000000"/>
          <w:sz w:val="28"/>
        </w:rPr>
        <w:t>（三）工作保障措施</w:t>
      </w:r>
    </w:p>
    <w:p>
      <w:pPr>
        <w:pStyle w:val="25"/>
      </w:pPr>
      <w:r>
        <w:t>1.加强和完善制度建设，不断夯实制度基础。不断加强和完善预算绩效管理制度、资金管理办法，工作保障制度等，为全年预算绩效目标的实现奠定制度基础；</w:t>
      </w:r>
    </w:p>
    <w:p>
      <w:pPr>
        <w:pStyle w:val="25"/>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5"/>
      </w:pPr>
      <w:r>
        <w:t>3、做好绩效自评。按要求开展上年度部门预算绩效自评工作，对评价中发现的问题及时整改，调整优化支出结构，提高财政拨付项目资金的使用效益。</w:t>
      </w:r>
    </w:p>
    <w:p>
      <w:pPr>
        <w:pStyle w:val="25"/>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5、加强宣传培训调研等。通过开展专题培训、宣传政策、观摩交流等形式，提高本部门职工业务素质；加大宣传力度，强化预算绩效管理意识，促进统战各项工作开展。</w:t>
      </w: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pPr>
        <w:ind w:firstLine="640"/>
        <w:rPr>
          <w:rFonts w:eastAsia="方正楷体_GBK" w:cs="方正楷体_GBK" w:asciiTheme="minorHAnsi" w:hAnsiTheme="minorHAnsi"/>
          <w:b/>
          <w:color w:val="000000"/>
          <w:sz w:val="32"/>
          <w:lang w:val="uk-UA"/>
        </w:rPr>
      </w:pPr>
    </w:p>
    <w:p>
      <w:pPr>
        <w:pStyle w:val="24"/>
      </w:pPr>
      <w: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4"/>
      </w:pPr>
      <w:r>
        <w:t>（二）强化系统治理，切实维护宗教领域的和谐稳定。巩固宗教领域专项整治成果，防范各类非法宗教活动的反弹。深入开展“双创四进”，严格落实三项制度，积极发挥基层治理工作队作用，深入开展宗教领域系统治理，坚持</w:t>
      </w:r>
      <w:r>
        <w:rPr>
          <w:rFonts w:hint="eastAsia"/>
          <w:lang w:eastAsia="zh-CN"/>
        </w:rPr>
        <w:t>我国</w:t>
      </w:r>
      <w:r>
        <w:t>宗教中国化方向。</w:t>
      </w:r>
    </w:p>
    <w:p>
      <w:pPr>
        <w:pStyle w:val="24"/>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24"/>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1、2022年省市级基层宗教事务管理补助经费绩效目标表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1.持续深化“双创四进”，为宗教场所配备灭火等器材，维护宗教场所安全。</w:t>
            </w:r>
          </w:p>
          <w:p>
            <w:pPr>
              <w:pStyle w:val="14"/>
            </w:pPr>
            <w:r>
              <w:t>2.开展宗教界人士党的二十大精神培训班和宗教政策法规培训班2期，提示宗教界人士法治意识，坚持我国宗教中国化。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配备灭火器材宗教场所数量</w:t>
            </w:r>
          </w:p>
        </w:tc>
        <w:tc>
          <w:tcPr>
            <w:tcW w:w="2835" w:type="dxa"/>
            <w:vAlign w:val="center"/>
          </w:tcPr>
          <w:p>
            <w:pPr>
              <w:pStyle w:val="14"/>
            </w:pPr>
            <w:r>
              <w:t>配备灭火器材宗教场所数量</w:t>
            </w:r>
          </w:p>
        </w:tc>
        <w:tc>
          <w:tcPr>
            <w:tcW w:w="2551" w:type="dxa"/>
            <w:vAlign w:val="center"/>
          </w:tcPr>
          <w:p>
            <w:pPr>
              <w:pStyle w:val="14"/>
            </w:pPr>
            <w:r>
              <w:t>39个</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培训班期数</w:t>
            </w:r>
          </w:p>
        </w:tc>
        <w:tc>
          <w:tcPr>
            <w:tcW w:w="2835" w:type="dxa"/>
            <w:vAlign w:val="center"/>
          </w:tcPr>
          <w:p>
            <w:pPr>
              <w:pStyle w:val="14"/>
            </w:pPr>
            <w:r>
              <w:t>培训班期数</w:t>
            </w:r>
          </w:p>
        </w:tc>
        <w:tc>
          <w:tcPr>
            <w:tcW w:w="2551" w:type="dxa"/>
            <w:vAlign w:val="center"/>
          </w:tcPr>
          <w:p>
            <w:pPr>
              <w:pStyle w:val="14"/>
            </w:pPr>
            <w:r>
              <w:t>2期</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宗教场所灭火器材配备完成率（%）</w:t>
            </w:r>
          </w:p>
        </w:tc>
        <w:tc>
          <w:tcPr>
            <w:tcW w:w="2835" w:type="dxa"/>
            <w:vAlign w:val="center"/>
          </w:tcPr>
          <w:p>
            <w:pPr>
              <w:pStyle w:val="14"/>
            </w:pPr>
            <w:r>
              <w:t>宗教场所灭火器材配备完成率（%）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培训班完成率</w:t>
            </w:r>
          </w:p>
        </w:tc>
        <w:tc>
          <w:tcPr>
            <w:tcW w:w="2835" w:type="dxa"/>
            <w:vAlign w:val="center"/>
          </w:tcPr>
          <w:p>
            <w:pPr>
              <w:pStyle w:val="14"/>
            </w:pPr>
            <w:r>
              <w:t>培训班完成率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2835" w:type="dxa"/>
            <w:vAlign w:val="center"/>
          </w:tcPr>
          <w:p>
            <w:pPr>
              <w:pStyle w:val="14"/>
            </w:pPr>
            <w:r>
              <w:t>各项工作完成及时率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灭火器材总成本控制</w:t>
            </w:r>
          </w:p>
        </w:tc>
        <w:tc>
          <w:tcPr>
            <w:tcW w:w="2835" w:type="dxa"/>
            <w:vAlign w:val="center"/>
          </w:tcPr>
          <w:p>
            <w:pPr>
              <w:pStyle w:val="14"/>
            </w:pPr>
            <w:r>
              <w:t>灭火器材总成本控制情况</w:t>
            </w:r>
          </w:p>
        </w:tc>
        <w:tc>
          <w:tcPr>
            <w:tcW w:w="2551" w:type="dxa"/>
            <w:vAlign w:val="center"/>
          </w:tcPr>
          <w:p>
            <w:pPr>
              <w:pStyle w:val="14"/>
            </w:pPr>
            <w:r>
              <w:t>≤30000元</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培训班总成本控制</w:t>
            </w:r>
          </w:p>
        </w:tc>
        <w:tc>
          <w:tcPr>
            <w:tcW w:w="2835" w:type="dxa"/>
            <w:vAlign w:val="center"/>
          </w:tcPr>
          <w:p>
            <w:pPr>
              <w:pStyle w:val="14"/>
            </w:pPr>
            <w:r>
              <w:t>培训班总成本控制情况</w:t>
            </w:r>
          </w:p>
        </w:tc>
        <w:tc>
          <w:tcPr>
            <w:tcW w:w="2551" w:type="dxa"/>
            <w:vAlign w:val="center"/>
          </w:tcPr>
          <w:p>
            <w:pPr>
              <w:pStyle w:val="14"/>
            </w:pPr>
            <w:r>
              <w:t>≤20000元</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维护和保持宗教领域社会稳定</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w:t>
            </w:r>
          </w:p>
        </w:tc>
        <w:tc>
          <w:tcPr>
            <w:tcW w:w="2268" w:type="dxa"/>
            <w:vAlign w:val="center"/>
          </w:tcPr>
          <w:p>
            <w:pPr>
              <w:pStyle w:val="14"/>
            </w:pPr>
            <w:r>
              <w:t>石财行[2022]19号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2、党外知识分子工作经费绩效目标表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1.目标内容1通过组织党外知识分子开展党的二十大精神辅导和专题培训班2次，召开理论学习和座谈会2次，开展社会服务4次，进一步加强党外知识分子的思想政治引领。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全年开展党外知识分子培训班数量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党外知识培训班平均成本</w:t>
            </w:r>
          </w:p>
        </w:tc>
        <w:tc>
          <w:tcPr>
            <w:tcW w:w="2551" w:type="dxa"/>
            <w:vAlign w:val="center"/>
          </w:tcPr>
          <w:p>
            <w:pPr>
              <w:pStyle w:val="14"/>
            </w:pPr>
            <w:r>
              <w:t>≤8000元/次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全年开展相关座谈会数量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党外知识分子培训参与率</w:t>
            </w:r>
          </w:p>
        </w:tc>
        <w:tc>
          <w:tcPr>
            <w:tcW w:w="2835" w:type="dxa"/>
            <w:vAlign w:val="center"/>
          </w:tcPr>
          <w:p>
            <w:pPr>
              <w:pStyle w:val="14"/>
            </w:pPr>
            <w:r>
              <w:t>参加党外知识分子培训占应参加培训人数的比例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召开座谈会平均成本</w:t>
            </w:r>
          </w:p>
        </w:tc>
        <w:tc>
          <w:tcPr>
            <w:tcW w:w="2551" w:type="dxa"/>
            <w:vAlign w:val="center"/>
          </w:tcPr>
          <w:p>
            <w:pPr>
              <w:pStyle w:val="14"/>
            </w:pPr>
            <w:r>
              <w:t>≤3000元/次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社会服务数量</w:t>
            </w:r>
          </w:p>
        </w:tc>
        <w:tc>
          <w:tcPr>
            <w:tcW w:w="2835" w:type="dxa"/>
            <w:vAlign w:val="center"/>
          </w:tcPr>
          <w:p>
            <w:pPr>
              <w:pStyle w:val="14"/>
            </w:pPr>
            <w:r>
              <w:t>全年开展党外知识分子服务社会数量</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社会服务成本</w:t>
            </w:r>
          </w:p>
        </w:tc>
        <w:tc>
          <w:tcPr>
            <w:tcW w:w="2835" w:type="dxa"/>
            <w:vAlign w:val="center"/>
          </w:tcPr>
          <w:p>
            <w:pPr>
              <w:pStyle w:val="14"/>
            </w:pPr>
            <w:r>
              <w:t>社会服务活动平均成本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3、民主党派工作经费绩效目标表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民主党派学习教育相关培训班2次，召开相关座谈会1次，组织调研2次，完成调研报告2篇，购买计算机1台，保障民主党派工作正常开展，并进一步贯彻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全年开展民主党派相关培训班数量</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全年开展民主党派座谈会数量</w:t>
            </w:r>
          </w:p>
        </w:tc>
        <w:tc>
          <w:tcPr>
            <w:tcW w:w="2551" w:type="dxa"/>
            <w:vAlign w:val="center"/>
          </w:tcPr>
          <w:p>
            <w:pPr>
              <w:pStyle w:val="14"/>
            </w:pPr>
            <w:r>
              <w:t>≥1次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调研次数</w:t>
            </w:r>
          </w:p>
        </w:tc>
        <w:tc>
          <w:tcPr>
            <w:tcW w:w="2835" w:type="dxa"/>
            <w:vAlign w:val="center"/>
          </w:tcPr>
          <w:p>
            <w:pPr>
              <w:pStyle w:val="14"/>
            </w:pPr>
            <w:r>
              <w:t>组织调研次数</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办公计算机数量</w:t>
            </w:r>
          </w:p>
        </w:tc>
        <w:tc>
          <w:tcPr>
            <w:tcW w:w="2835" w:type="dxa"/>
            <w:vAlign w:val="center"/>
          </w:tcPr>
          <w:p>
            <w:pPr>
              <w:pStyle w:val="14"/>
            </w:pPr>
            <w:r>
              <w:t>购买民主党派和党外人士股计算机数量</w:t>
            </w:r>
          </w:p>
        </w:tc>
        <w:tc>
          <w:tcPr>
            <w:tcW w:w="2551" w:type="dxa"/>
            <w:vAlign w:val="center"/>
          </w:tcPr>
          <w:p>
            <w:pPr>
              <w:pStyle w:val="14"/>
            </w:pPr>
            <w:r>
              <w:t>≤1台</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调研报告数量</w:t>
            </w:r>
          </w:p>
        </w:tc>
        <w:tc>
          <w:tcPr>
            <w:tcW w:w="2835" w:type="dxa"/>
            <w:vAlign w:val="center"/>
          </w:tcPr>
          <w:p>
            <w:pPr>
              <w:pStyle w:val="14"/>
            </w:pPr>
            <w:r>
              <w:t>完成调研报告数量</w:t>
            </w:r>
          </w:p>
        </w:tc>
        <w:tc>
          <w:tcPr>
            <w:tcW w:w="2551" w:type="dxa"/>
            <w:vAlign w:val="center"/>
          </w:tcPr>
          <w:p>
            <w:pPr>
              <w:pStyle w:val="14"/>
            </w:pPr>
            <w:r>
              <w:t>≥2篇</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民主党派工作培训班平均成本</w:t>
            </w:r>
          </w:p>
        </w:tc>
        <w:tc>
          <w:tcPr>
            <w:tcW w:w="2551" w:type="dxa"/>
            <w:vAlign w:val="center"/>
          </w:tcPr>
          <w:p>
            <w:pPr>
              <w:pStyle w:val="14"/>
            </w:pPr>
            <w:r>
              <w:t>≤8000元/次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座谈会平均成本</w:t>
            </w:r>
          </w:p>
        </w:tc>
        <w:tc>
          <w:tcPr>
            <w:tcW w:w="2551" w:type="dxa"/>
            <w:vAlign w:val="center"/>
          </w:tcPr>
          <w:p>
            <w:pPr>
              <w:pStyle w:val="14"/>
            </w:pPr>
            <w:r>
              <w:t>≤4500元/次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调研成本</w:t>
            </w:r>
          </w:p>
        </w:tc>
        <w:tc>
          <w:tcPr>
            <w:tcW w:w="2835" w:type="dxa"/>
            <w:vAlign w:val="center"/>
          </w:tcPr>
          <w:p>
            <w:pPr>
              <w:pStyle w:val="14"/>
            </w:pPr>
            <w:r>
              <w:t>每次调研平均成本</w:t>
            </w:r>
          </w:p>
        </w:tc>
        <w:tc>
          <w:tcPr>
            <w:tcW w:w="2551" w:type="dxa"/>
            <w:vAlign w:val="center"/>
          </w:tcPr>
          <w:p>
            <w:pPr>
              <w:pStyle w:val="14"/>
            </w:pPr>
            <w:r>
              <w:t>≤2500元/次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计算机成本</w:t>
            </w:r>
          </w:p>
        </w:tc>
        <w:tc>
          <w:tcPr>
            <w:tcW w:w="2835" w:type="dxa"/>
            <w:vAlign w:val="center"/>
          </w:tcPr>
          <w:p>
            <w:pPr>
              <w:pStyle w:val="14"/>
            </w:pPr>
            <w:r>
              <w:t>购买计算机平均成本</w:t>
            </w:r>
          </w:p>
        </w:tc>
        <w:tc>
          <w:tcPr>
            <w:tcW w:w="2551" w:type="dxa"/>
            <w:vAlign w:val="center"/>
          </w:tcPr>
          <w:p>
            <w:pPr>
              <w:pStyle w:val="14"/>
            </w:pPr>
            <w:r>
              <w:t>≤4500元/台</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开展民主党派学习教育相关培训班，进一步贯彻落实习近平总书记提出的“找出最大公约数、画出最大同心圆”的重要指示。组织参观学习重大项目、科研成果，召开相关座谈会、开展相关调研工作。</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冀发[2012]9号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4、民宗宗教工作专项经费绩效目标表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坚持我国宗教中国化方向，切实维护宗教领域的和谐稳定。主要用于全区宗教活动场制财务审计；深化“双创四进”创建提档升级，制作宣传栏、宣传展板等；开展全区宗教工作培训班和宗教人士政策法规培训，宗教人士走访慰问，购买计算机、打印机等费用，部分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审计宗教场所数量</w:t>
            </w:r>
          </w:p>
        </w:tc>
        <w:tc>
          <w:tcPr>
            <w:tcW w:w="2835" w:type="dxa"/>
            <w:vAlign w:val="center"/>
          </w:tcPr>
          <w:p>
            <w:pPr>
              <w:pStyle w:val="14"/>
            </w:pPr>
            <w:r>
              <w:t>完成集中财务审计的宗教场所和团体数量</w:t>
            </w:r>
          </w:p>
        </w:tc>
        <w:tc>
          <w:tcPr>
            <w:tcW w:w="2551" w:type="dxa"/>
            <w:vAlign w:val="center"/>
          </w:tcPr>
          <w:p>
            <w:pPr>
              <w:pStyle w:val="14"/>
            </w:pPr>
            <w:r>
              <w:t>≥20个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审计成本</w:t>
            </w:r>
          </w:p>
        </w:tc>
        <w:tc>
          <w:tcPr>
            <w:tcW w:w="2835" w:type="dxa"/>
            <w:vAlign w:val="center"/>
          </w:tcPr>
          <w:p>
            <w:pPr>
              <w:pStyle w:val="14"/>
            </w:pPr>
            <w:r>
              <w:t>宗教场所财务审计平均成本</w:t>
            </w:r>
          </w:p>
        </w:tc>
        <w:tc>
          <w:tcPr>
            <w:tcW w:w="2551" w:type="dxa"/>
            <w:vAlign w:val="center"/>
          </w:tcPr>
          <w:p>
            <w:pPr>
              <w:pStyle w:val="14"/>
            </w:pPr>
            <w:r>
              <w:t>≤2500元/个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宣传栏展板制作数量</w:t>
            </w:r>
          </w:p>
        </w:tc>
        <w:tc>
          <w:tcPr>
            <w:tcW w:w="2835" w:type="dxa"/>
            <w:vAlign w:val="center"/>
          </w:tcPr>
          <w:p>
            <w:pPr>
              <w:pStyle w:val="14"/>
            </w:pPr>
            <w:r>
              <w:t>制作宣传栏总数量</w:t>
            </w:r>
          </w:p>
        </w:tc>
        <w:tc>
          <w:tcPr>
            <w:tcW w:w="2551" w:type="dxa"/>
            <w:vAlign w:val="center"/>
          </w:tcPr>
          <w:p>
            <w:pPr>
              <w:pStyle w:val="14"/>
            </w:pPr>
            <w:r>
              <w:t>≥230块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宣传栏展板制作成本</w:t>
            </w:r>
          </w:p>
        </w:tc>
        <w:tc>
          <w:tcPr>
            <w:tcW w:w="2835" w:type="dxa"/>
            <w:vAlign w:val="center"/>
          </w:tcPr>
          <w:p>
            <w:pPr>
              <w:pStyle w:val="14"/>
            </w:pPr>
            <w:r>
              <w:t>制作宣传栏幅平均成本</w:t>
            </w:r>
          </w:p>
        </w:tc>
        <w:tc>
          <w:tcPr>
            <w:tcW w:w="2551" w:type="dxa"/>
            <w:vAlign w:val="center"/>
          </w:tcPr>
          <w:p>
            <w:pPr>
              <w:pStyle w:val="14"/>
            </w:pPr>
            <w:r>
              <w:t>≤200元/块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开展培训班数量</w:t>
            </w:r>
          </w:p>
        </w:tc>
        <w:tc>
          <w:tcPr>
            <w:tcW w:w="2835" w:type="dxa"/>
            <w:vAlign w:val="center"/>
          </w:tcPr>
          <w:p>
            <w:pPr>
              <w:pStyle w:val="14"/>
            </w:pPr>
            <w:r>
              <w:t>开展宗教工作培训班数量</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宗教工作相关培训班平均成本</w:t>
            </w:r>
          </w:p>
        </w:tc>
        <w:tc>
          <w:tcPr>
            <w:tcW w:w="2551" w:type="dxa"/>
            <w:vAlign w:val="center"/>
          </w:tcPr>
          <w:p>
            <w:pPr>
              <w:pStyle w:val="14"/>
            </w:pPr>
            <w:r>
              <w:t>≤15000元/次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审计报告合格率</w:t>
            </w:r>
          </w:p>
        </w:tc>
        <w:tc>
          <w:tcPr>
            <w:tcW w:w="2835" w:type="dxa"/>
            <w:vAlign w:val="center"/>
          </w:tcPr>
          <w:p>
            <w:pPr>
              <w:pStyle w:val="14"/>
            </w:pPr>
            <w:r>
              <w:t>审计项目报告合格率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走访慰问宗教团体宗教场所数量</w:t>
            </w:r>
          </w:p>
        </w:tc>
        <w:tc>
          <w:tcPr>
            <w:tcW w:w="2835" w:type="dxa"/>
            <w:vAlign w:val="center"/>
          </w:tcPr>
          <w:p>
            <w:pPr>
              <w:pStyle w:val="14"/>
            </w:pPr>
            <w:r>
              <w:t>走访宗教团体宗教场所数量</w:t>
            </w:r>
          </w:p>
        </w:tc>
        <w:tc>
          <w:tcPr>
            <w:tcW w:w="2551" w:type="dxa"/>
            <w:vAlign w:val="center"/>
          </w:tcPr>
          <w:p>
            <w:pPr>
              <w:pStyle w:val="14"/>
            </w:pPr>
            <w:r>
              <w:t>≤20个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走访慰问平均成本</w:t>
            </w:r>
          </w:p>
        </w:tc>
        <w:tc>
          <w:tcPr>
            <w:tcW w:w="2835" w:type="dxa"/>
            <w:vAlign w:val="center"/>
          </w:tcPr>
          <w:p>
            <w:pPr>
              <w:pStyle w:val="14"/>
            </w:pPr>
            <w:r>
              <w:t>走访慰问平均成本</w:t>
            </w:r>
          </w:p>
        </w:tc>
        <w:tc>
          <w:tcPr>
            <w:tcW w:w="2551" w:type="dxa"/>
            <w:vAlign w:val="center"/>
          </w:tcPr>
          <w:p>
            <w:pPr>
              <w:pStyle w:val="14"/>
            </w:pPr>
            <w:r>
              <w:t>≤1000元/个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切实维护宗教领域的和谐稳定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5、台侨工作经费绩效目标表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发放宣传法规政策有关资料和联系宣传文化媒体等方式，加强对台和对海外的统战政策宣传工作，掌握工作政策法规；走访慰问台属、归侨侨眷，建设侨胞之家，加强为台侨服务意识；举办台侨人士学习培训班，进行思想政治引导，及时掌握台侨界人士思想动态，适时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台侨培训班座谈会数量</w:t>
            </w:r>
          </w:p>
        </w:tc>
        <w:tc>
          <w:tcPr>
            <w:tcW w:w="2835" w:type="dxa"/>
            <w:vAlign w:val="center"/>
          </w:tcPr>
          <w:p>
            <w:pPr>
              <w:pStyle w:val="14"/>
            </w:pPr>
            <w:r>
              <w:t>全年开展台侨工作相关培训班座谈会次数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台侨工作相关培训班平均成本</w:t>
            </w:r>
          </w:p>
        </w:tc>
        <w:tc>
          <w:tcPr>
            <w:tcW w:w="2551" w:type="dxa"/>
            <w:vAlign w:val="center"/>
          </w:tcPr>
          <w:p>
            <w:pPr>
              <w:pStyle w:val="14"/>
            </w:pPr>
            <w:r>
              <w:t>≤9000元/次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培训参与率</w:t>
            </w:r>
          </w:p>
        </w:tc>
        <w:tc>
          <w:tcPr>
            <w:tcW w:w="2835" w:type="dxa"/>
            <w:vAlign w:val="center"/>
          </w:tcPr>
          <w:p>
            <w:pPr>
              <w:pStyle w:val="14"/>
            </w:pPr>
            <w:r>
              <w:t>参加台侨培训人数占应参加培训人数的比例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慰问台侨侨眷次数</w:t>
            </w:r>
          </w:p>
        </w:tc>
        <w:tc>
          <w:tcPr>
            <w:tcW w:w="2835" w:type="dxa"/>
            <w:vAlign w:val="center"/>
          </w:tcPr>
          <w:p>
            <w:pPr>
              <w:pStyle w:val="14"/>
            </w:pPr>
            <w:r>
              <w:t>走访慰问台侨侨眷次数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慰问成本</w:t>
            </w:r>
          </w:p>
        </w:tc>
        <w:tc>
          <w:tcPr>
            <w:tcW w:w="2835" w:type="dxa"/>
            <w:vAlign w:val="center"/>
          </w:tcPr>
          <w:p>
            <w:pPr>
              <w:pStyle w:val="14"/>
            </w:pPr>
            <w:r>
              <w:t>走访慰问次平均成本</w:t>
            </w:r>
          </w:p>
        </w:tc>
        <w:tc>
          <w:tcPr>
            <w:tcW w:w="2551" w:type="dxa"/>
            <w:vAlign w:val="center"/>
          </w:tcPr>
          <w:p>
            <w:pPr>
              <w:pStyle w:val="14"/>
            </w:pPr>
            <w:r>
              <w:t>≤1500元/次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慰问台侨侨眷数量</w:t>
            </w:r>
          </w:p>
        </w:tc>
        <w:tc>
          <w:tcPr>
            <w:tcW w:w="2835" w:type="dxa"/>
            <w:vAlign w:val="center"/>
          </w:tcPr>
          <w:p>
            <w:pPr>
              <w:pStyle w:val="14"/>
            </w:pPr>
            <w:r>
              <w:t>每次走访慰问台侨侨眷户数</w:t>
            </w:r>
          </w:p>
        </w:tc>
        <w:tc>
          <w:tcPr>
            <w:tcW w:w="2551" w:type="dxa"/>
            <w:vAlign w:val="center"/>
          </w:tcPr>
          <w:p>
            <w:pPr>
              <w:pStyle w:val="14"/>
            </w:pPr>
            <w:r>
              <w:t>≥3户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建设侨胞之家数量</w:t>
            </w:r>
          </w:p>
        </w:tc>
        <w:tc>
          <w:tcPr>
            <w:tcW w:w="2835" w:type="dxa"/>
            <w:vAlign w:val="center"/>
          </w:tcPr>
          <w:p>
            <w:pPr>
              <w:pStyle w:val="14"/>
            </w:pPr>
            <w:r>
              <w:t>建设侨胞之家个数</w:t>
            </w:r>
          </w:p>
        </w:tc>
        <w:tc>
          <w:tcPr>
            <w:tcW w:w="2551" w:type="dxa"/>
            <w:vAlign w:val="center"/>
          </w:tcPr>
          <w:p>
            <w:pPr>
              <w:pStyle w:val="14"/>
            </w:pPr>
            <w:r>
              <w:t>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建设成本</w:t>
            </w:r>
          </w:p>
        </w:tc>
        <w:tc>
          <w:tcPr>
            <w:tcW w:w="2835" w:type="dxa"/>
            <w:vAlign w:val="center"/>
          </w:tcPr>
          <w:p>
            <w:pPr>
              <w:pStyle w:val="14"/>
            </w:pPr>
            <w:r>
              <w:t>建设侨胞之家平均成本</w:t>
            </w:r>
          </w:p>
        </w:tc>
        <w:tc>
          <w:tcPr>
            <w:tcW w:w="2551" w:type="dxa"/>
            <w:vAlign w:val="center"/>
          </w:tcPr>
          <w:p>
            <w:pPr>
              <w:pStyle w:val="14"/>
            </w:pPr>
            <w:r>
              <w:t>≤5000元/个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通过宣传是否加强了对台和对海外的影响力</w:t>
            </w:r>
          </w:p>
        </w:tc>
        <w:tc>
          <w:tcPr>
            <w:tcW w:w="2551" w:type="dxa"/>
            <w:vAlign w:val="center"/>
          </w:tcPr>
          <w:p>
            <w:pPr>
              <w:pStyle w:val="14"/>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被慰问人员满意度</w:t>
            </w:r>
          </w:p>
        </w:tc>
        <w:tc>
          <w:tcPr>
            <w:tcW w:w="2835" w:type="dxa"/>
            <w:vAlign w:val="center"/>
          </w:tcPr>
          <w:p>
            <w:pPr>
              <w:pStyle w:val="14"/>
            </w:pPr>
            <w:r>
              <w:t>被慰问人员满意度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6、统战工作协调机制专项经费绩效目标表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1.目标内容1落实协调联席会机制，召开联席会议10次以上，召开专题会议4次，组织观摩交流2次，保证党委领导，政府支持，统战部协调抓总体，各部门密切配合，全社会参与统战工作的新机制进一步完善。</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观摩交流数量</w:t>
            </w:r>
          </w:p>
        </w:tc>
        <w:tc>
          <w:tcPr>
            <w:tcW w:w="2835" w:type="dxa"/>
            <w:vAlign w:val="center"/>
          </w:tcPr>
          <w:p>
            <w:pPr>
              <w:pStyle w:val="14"/>
            </w:pPr>
            <w:r>
              <w:t>组织观摩交流数量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观摩交流事项完成率</w:t>
            </w:r>
          </w:p>
        </w:tc>
        <w:tc>
          <w:tcPr>
            <w:tcW w:w="2835" w:type="dxa"/>
            <w:vAlign w:val="center"/>
          </w:tcPr>
          <w:p>
            <w:pPr>
              <w:pStyle w:val="14"/>
            </w:pPr>
            <w:r>
              <w:t>观摩交流事项完成率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观摩交流成本</w:t>
            </w:r>
          </w:p>
        </w:tc>
        <w:tc>
          <w:tcPr>
            <w:tcW w:w="2835" w:type="dxa"/>
            <w:vAlign w:val="center"/>
          </w:tcPr>
          <w:p>
            <w:pPr>
              <w:pStyle w:val="14"/>
            </w:pPr>
            <w:r>
              <w:t>组织观摩交流平均成本</w:t>
            </w:r>
          </w:p>
        </w:tc>
        <w:tc>
          <w:tcPr>
            <w:tcW w:w="2551" w:type="dxa"/>
            <w:vAlign w:val="center"/>
          </w:tcPr>
          <w:p>
            <w:pPr>
              <w:pStyle w:val="14"/>
            </w:pPr>
            <w:r>
              <w:t>≤9000元/次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协调事项完成次数</w:t>
            </w:r>
          </w:p>
        </w:tc>
        <w:tc>
          <w:tcPr>
            <w:tcW w:w="2835" w:type="dxa"/>
            <w:vAlign w:val="center"/>
          </w:tcPr>
          <w:p>
            <w:pPr>
              <w:pStyle w:val="14"/>
            </w:pPr>
            <w:r>
              <w:t>协调事项完成次数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协调事项资料费用平均成本</w:t>
            </w:r>
          </w:p>
        </w:tc>
        <w:tc>
          <w:tcPr>
            <w:tcW w:w="2835" w:type="dxa"/>
            <w:vAlign w:val="center"/>
          </w:tcPr>
          <w:p>
            <w:pPr>
              <w:pStyle w:val="14"/>
            </w:pPr>
            <w:r>
              <w:t>协调事项资料费用平均成本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专题会议完成次数</w:t>
            </w:r>
          </w:p>
        </w:tc>
        <w:tc>
          <w:tcPr>
            <w:tcW w:w="2835" w:type="dxa"/>
            <w:vAlign w:val="center"/>
          </w:tcPr>
          <w:p>
            <w:pPr>
              <w:pStyle w:val="14"/>
            </w:pPr>
            <w:r>
              <w:t>专题会议完成次数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专题会议平均成本</w:t>
            </w:r>
          </w:p>
        </w:tc>
        <w:tc>
          <w:tcPr>
            <w:tcW w:w="2835" w:type="dxa"/>
            <w:vAlign w:val="center"/>
          </w:tcPr>
          <w:p>
            <w:pPr>
              <w:pStyle w:val="14"/>
            </w:pPr>
            <w:r>
              <w:t>专题会议资料费用平均成本</w:t>
            </w:r>
          </w:p>
        </w:tc>
        <w:tc>
          <w:tcPr>
            <w:tcW w:w="2551" w:type="dxa"/>
            <w:vAlign w:val="center"/>
          </w:tcPr>
          <w:p>
            <w:pPr>
              <w:pStyle w:val="14"/>
            </w:pPr>
            <w:r>
              <w:t>≤3000元/次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建立党委领导，政府支持，统战部协调抓总体，各部门密切配合，全社会参与统战工作的新机制。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7、退役军人劳务派遣工资绩效目标表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1.目标内容1鹿办文【2017】31号文件，对符合就业困难且符合政府安排工作条件的退役士兵三名，实行</w:t>
            </w:r>
            <w:r>
              <w:rPr>
                <w:rFonts w:hint="eastAsia"/>
                <w:lang w:eastAsia="zh-CN"/>
              </w:rPr>
              <w:t>公益性岗位</w:t>
            </w:r>
            <w:r>
              <w:t>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退役军人人数</w:t>
            </w:r>
          </w:p>
        </w:tc>
        <w:tc>
          <w:tcPr>
            <w:tcW w:w="2835" w:type="dxa"/>
            <w:vAlign w:val="center"/>
          </w:tcPr>
          <w:p>
            <w:pPr>
              <w:pStyle w:val="14"/>
            </w:pPr>
            <w:r>
              <w:t>安排退役军人人数</w:t>
            </w:r>
          </w:p>
        </w:tc>
        <w:tc>
          <w:tcPr>
            <w:tcW w:w="2551" w:type="dxa"/>
            <w:vAlign w:val="center"/>
          </w:tcPr>
          <w:p>
            <w:pPr>
              <w:pStyle w:val="14"/>
            </w:pPr>
            <w:r>
              <w:t>3人</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工资按时发放完成率</w:t>
            </w:r>
          </w:p>
        </w:tc>
        <w:tc>
          <w:tcPr>
            <w:tcW w:w="2835" w:type="dxa"/>
            <w:vAlign w:val="center"/>
          </w:tcPr>
          <w:p>
            <w:pPr>
              <w:pStyle w:val="14"/>
            </w:pPr>
            <w:r>
              <w:t>按时足额发放工资补的次数占总发的次数</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工资发放准时率</w:t>
            </w:r>
          </w:p>
        </w:tc>
        <w:tc>
          <w:tcPr>
            <w:tcW w:w="2835" w:type="dxa"/>
            <w:vAlign w:val="center"/>
          </w:tcPr>
          <w:p>
            <w:pPr>
              <w:pStyle w:val="14"/>
            </w:pPr>
            <w:r>
              <w:t>工资发放准时率</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3人取暖费5700元，工资合计122400元，社保缴费41676.48元，总计169776.48元。</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实行</w:t>
            </w:r>
            <w:r>
              <w:rPr>
                <w:rFonts w:hint="eastAsia"/>
                <w:lang w:eastAsia="zh-CN"/>
              </w:rPr>
              <w:t>公益性岗位</w:t>
            </w:r>
            <w:r>
              <w:t>托管安置，帮扶救助到位，加大就业援助工作，实现就业。</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2835" w:type="dxa"/>
            <w:vAlign w:val="center"/>
          </w:tcPr>
          <w:p>
            <w:pPr>
              <w:pStyle w:val="14"/>
            </w:pPr>
            <w:r>
              <w:t>对退役安置满意度和较满意人数</w:t>
            </w:r>
          </w:p>
        </w:tc>
        <w:tc>
          <w:tcPr>
            <w:tcW w:w="2551" w:type="dxa"/>
            <w:vAlign w:val="center"/>
          </w:tcPr>
          <w:p>
            <w:pPr>
              <w:pStyle w:val="14"/>
            </w:pPr>
            <w:r>
              <w:t>≥90%</w:t>
            </w:r>
          </w:p>
        </w:tc>
        <w:tc>
          <w:tcPr>
            <w:tcW w:w="2268" w:type="dxa"/>
            <w:vAlign w:val="center"/>
          </w:tcPr>
          <w:p>
            <w:pPr>
              <w:pStyle w:val="14"/>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8、宗教基层治理工作队经费绩效目标表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1.目标内容1保障8个驻村工作队24人日常工作经费，根据省委安排继续开展基督教私设聚会点和各类非法宗教活动专项治理工作，深化宗教领域专项整治和系统治理。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驻村工作队数量</w:t>
            </w:r>
          </w:p>
        </w:tc>
        <w:tc>
          <w:tcPr>
            <w:tcW w:w="2551" w:type="dxa"/>
            <w:vAlign w:val="center"/>
          </w:tcPr>
          <w:p>
            <w:pPr>
              <w:pStyle w:val="14"/>
            </w:pPr>
            <w:r>
              <w:t>8个</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工作队派驻完成率</w:t>
            </w:r>
          </w:p>
        </w:tc>
        <w:tc>
          <w:tcPr>
            <w:tcW w:w="2835" w:type="dxa"/>
            <w:vAlign w:val="center"/>
          </w:tcPr>
          <w:p>
            <w:pPr>
              <w:pStyle w:val="14"/>
            </w:pPr>
            <w:r>
              <w:t>工作队派驻完成率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工作队经费拨付及时率</w:t>
            </w:r>
          </w:p>
        </w:tc>
        <w:tc>
          <w:tcPr>
            <w:tcW w:w="2835" w:type="dxa"/>
            <w:vAlign w:val="center"/>
          </w:tcPr>
          <w:p>
            <w:pPr>
              <w:pStyle w:val="14"/>
            </w:pPr>
            <w:r>
              <w:t>工作队经费拨付及时率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2835" w:type="dxa"/>
            <w:vAlign w:val="center"/>
          </w:tcPr>
          <w:p>
            <w:pPr>
              <w:pStyle w:val="14"/>
            </w:pPr>
            <w:r>
              <w:t>驻村工作队经费平均成本</w:t>
            </w:r>
          </w:p>
        </w:tc>
        <w:tc>
          <w:tcPr>
            <w:tcW w:w="2551" w:type="dxa"/>
            <w:vAlign w:val="center"/>
          </w:tcPr>
          <w:p>
            <w:pPr>
              <w:pStyle w:val="14"/>
            </w:pPr>
            <w:r>
              <w:t>≤8万</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对信教群众加强宣传，持续增强党的宗教政策影响力</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政策知晓率</w:t>
            </w:r>
          </w:p>
        </w:tc>
        <w:tc>
          <w:tcPr>
            <w:tcW w:w="2835" w:type="dxa"/>
            <w:vAlign w:val="center"/>
          </w:tcPr>
          <w:p>
            <w:pPr>
              <w:pStyle w:val="14"/>
            </w:pPr>
            <w:r>
              <w:t>政策知晓率</w:t>
            </w:r>
          </w:p>
        </w:tc>
        <w:tc>
          <w:tcPr>
            <w:tcW w:w="2551" w:type="dxa"/>
            <w:vAlign w:val="center"/>
          </w:tcPr>
          <w:p>
            <w:pPr>
              <w:pStyle w:val="14"/>
            </w:pPr>
            <w:r>
              <w:t>≥90%</w:t>
            </w:r>
          </w:p>
        </w:tc>
        <w:tc>
          <w:tcPr>
            <w:tcW w:w="2268" w:type="dxa"/>
            <w:vAlign w:val="center"/>
          </w:tcPr>
          <w:p>
            <w:pPr>
              <w:pStyle w:val="14"/>
            </w:pPr>
            <w:r>
              <w:t>石统发[2021]13号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2023年，中共石家庄市鹿泉区委统一战线工作部安排政府采购预算0.00万元。具体内容见下表。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中共石家庄市鹿泉区委统一战线工作部（含所属单位）上年末固定资产金额为33.37万元（详见下表）。本年度拟购置固定资产总额为</w:t>
      </w:r>
      <w:r>
        <w:rPr>
          <w:rFonts w:hint="eastAsia" w:eastAsia="方正仿宋_GBK"/>
          <w:color w:val="000000"/>
          <w:sz w:val="28"/>
          <w:lang w:eastAsia="zh-CN"/>
        </w:rPr>
        <w:t xml:space="preserve"> 1.35</w:t>
      </w:r>
      <w:r>
        <w:rPr>
          <w:rFonts w:eastAsia="方正仿宋_GBK"/>
          <w:color w:val="000000"/>
          <w:sz w:val="28"/>
        </w:rPr>
        <w:t>万元。</w:t>
      </w:r>
    </w:p>
    <w:p>
      <w:pPr>
        <w:jc w:val="center"/>
      </w:pPr>
      <w:r>
        <w:rPr>
          <w:rFonts w:ascii="方正小标宋_GBK" w:hAnsi="方正小标宋_GBK" w:eastAsia="方正小标宋_GBK" w:cs="方正小标宋_GBK"/>
          <w:color w:val="000000"/>
          <w:sz w:val="36"/>
        </w:rPr>
        <w:t>部门固定资产占用情况表</w:t>
      </w:r>
    </w:p>
    <w:tbl>
      <w:tblPr>
        <w:tblStyle w:val="6"/>
        <w:tblW w:w="131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37"/>
        <w:gridCol w:w="2861"/>
        <w:gridCol w:w="2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tblHeader/>
          <w:jc w:val="center"/>
        </w:trPr>
        <w:tc>
          <w:tcPr>
            <w:tcW w:w="7437" w:type="dxa"/>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5722"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tblHeader/>
          <w:jc w:val="center"/>
        </w:trPr>
        <w:tc>
          <w:tcPr>
            <w:tcW w:w="7437" w:type="dxa"/>
            <w:vAlign w:val="center"/>
          </w:tcPr>
          <w:p>
            <w:pPr>
              <w:pStyle w:val="12"/>
            </w:pPr>
            <w:r>
              <w:t>项   目</w:t>
            </w:r>
          </w:p>
        </w:tc>
        <w:tc>
          <w:tcPr>
            <w:tcW w:w="2861" w:type="dxa"/>
            <w:vAlign w:val="center"/>
          </w:tcPr>
          <w:p>
            <w:pPr>
              <w:pStyle w:val="12"/>
            </w:pPr>
            <w:r>
              <w:t>数量</w:t>
            </w:r>
          </w:p>
        </w:tc>
        <w:tc>
          <w:tcPr>
            <w:tcW w:w="2861"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lang w:eastAsia="zh-CN"/>
              </w:rPr>
            </w:pPr>
            <w:r>
              <w:rPr>
                <w:rFonts w:hint="eastAsia"/>
                <w:lang w:eastAsia="zh-CN"/>
              </w:rPr>
              <w:t>资产</w:t>
            </w:r>
            <w:r>
              <w:rPr>
                <w:lang w:eastAsia="zh-CN"/>
              </w:rPr>
              <w:t>总额</w:t>
            </w:r>
          </w:p>
        </w:tc>
        <w:tc>
          <w:tcPr>
            <w:tcW w:w="2861" w:type="dxa"/>
            <w:vAlign w:val="center"/>
          </w:tcPr>
          <w:p>
            <w:pPr>
              <w:pStyle w:val="15"/>
            </w:pPr>
          </w:p>
        </w:tc>
        <w:tc>
          <w:tcPr>
            <w:tcW w:w="2861" w:type="dxa"/>
            <w:vAlign w:val="center"/>
          </w:tcPr>
          <w:p>
            <w:pPr>
              <w:pStyle w:val="13"/>
              <w:rPr>
                <w:lang w:eastAsia="zh-CN"/>
              </w:rPr>
            </w:pPr>
            <w:r>
              <w:rPr>
                <w:rFonts w:hint="eastAsia"/>
                <w:lang w:eastAsia="zh-CN"/>
              </w:rPr>
              <w:t>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1、房屋（平方米）</w:t>
            </w:r>
          </w:p>
        </w:tc>
        <w:tc>
          <w:tcPr>
            <w:tcW w:w="2861" w:type="dxa"/>
            <w:vAlign w:val="center"/>
          </w:tcPr>
          <w:p>
            <w:pPr>
              <w:pStyle w:val="15"/>
              <w:rPr>
                <w:rFonts w:ascii="方正书宋_GBK" w:hAnsi="方正书宋_GBK" w:eastAsia="方正书宋_GBK" w:cs="方正书宋_GBK"/>
                <w:sz w:val="21"/>
                <w:szCs w:val="24"/>
                <w:lang w:val="en-US" w:eastAsia="uk-UA" w:bidi="ar-SA"/>
              </w:rPr>
            </w:pPr>
          </w:p>
        </w:tc>
        <w:tc>
          <w:tcPr>
            <w:tcW w:w="2861" w:type="dxa"/>
            <w:vAlign w:val="center"/>
          </w:tcPr>
          <w:p>
            <w:pPr>
              <w:pStyle w:val="13"/>
              <w:rPr>
                <w:rFonts w:hint="eastAsia" w:ascii="方正书宋_GBK" w:hAnsi="方正书宋_GBK" w:cs="方正书宋_GBK" w:eastAsiaTheme="minorEastAsia"/>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其中：办公用房（平方米）</w:t>
            </w:r>
          </w:p>
        </w:tc>
        <w:tc>
          <w:tcPr>
            <w:tcW w:w="2861" w:type="dxa"/>
            <w:vAlign w:val="center"/>
          </w:tcPr>
          <w:p>
            <w:pPr>
              <w:pStyle w:val="15"/>
              <w:rPr>
                <w:rFonts w:ascii="方正书宋_GBK" w:hAnsi="方正书宋_GBK" w:eastAsia="方正书宋_GBK" w:cs="方正书宋_GBK"/>
                <w:sz w:val="21"/>
                <w:szCs w:val="24"/>
                <w:lang w:val="en-US" w:eastAsia="uk-UA" w:bidi="ar-SA"/>
              </w:rPr>
            </w:pPr>
          </w:p>
        </w:tc>
        <w:tc>
          <w:tcPr>
            <w:tcW w:w="2861" w:type="dxa"/>
            <w:vAlign w:val="center"/>
          </w:tcPr>
          <w:p>
            <w:pPr>
              <w:pStyle w:val="13"/>
              <w:rPr>
                <w:rFonts w:hint="eastAsia" w:ascii="方正书宋_GBK" w:hAnsi="方正书宋_GBK" w:cs="方正书宋_GBK" w:eastAsiaTheme="minorEastAsia"/>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2、车辆（台、辆）</w:t>
            </w:r>
          </w:p>
        </w:tc>
        <w:tc>
          <w:tcPr>
            <w:tcW w:w="286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61" w:type="dxa"/>
            <w:vAlign w:val="center"/>
          </w:tcPr>
          <w:p>
            <w:pPr>
              <w:pStyle w:val="13"/>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3、单价在20万元以上的设备</w:t>
            </w:r>
          </w:p>
        </w:tc>
        <w:tc>
          <w:tcPr>
            <w:tcW w:w="2861" w:type="dxa"/>
            <w:vAlign w:val="center"/>
          </w:tcPr>
          <w:p>
            <w:pPr>
              <w:pStyle w:val="15"/>
              <w:rPr>
                <w:rFonts w:ascii="方正书宋_GBK" w:hAnsi="方正书宋_GBK" w:eastAsia="方正书宋_GBK" w:cs="方正书宋_GBK"/>
                <w:sz w:val="21"/>
                <w:szCs w:val="24"/>
                <w:lang w:val="en-US" w:eastAsia="uk-UA" w:bidi="ar-SA"/>
              </w:rPr>
            </w:pPr>
          </w:p>
        </w:tc>
        <w:tc>
          <w:tcPr>
            <w:tcW w:w="2861" w:type="dxa"/>
            <w:vAlign w:val="center"/>
          </w:tcPr>
          <w:p>
            <w:pPr>
              <w:pStyle w:val="13"/>
              <w:rPr>
                <w:rFonts w:hint="eastAsia" w:ascii="方正书宋_GBK" w:hAnsi="方正书宋_GBK" w:cs="方正书宋_GBK" w:eastAsiaTheme="minorEastAsia"/>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7437" w:type="dxa"/>
            <w:vAlign w:val="center"/>
          </w:tcPr>
          <w:p>
            <w:pPr>
              <w:pStyle w:val="14"/>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4、其他固定资产</w:t>
            </w:r>
          </w:p>
        </w:tc>
        <w:tc>
          <w:tcPr>
            <w:tcW w:w="28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175</w:t>
            </w:r>
          </w:p>
        </w:tc>
        <w:tc>
          <w:tcPr>
            <w:tcW w:w="2861" w:type="dxa"/>
            <w:vAlign w:val="center"/>
          </w:tcPr>
          <w:p>
            <w:pPr>
              <w:pStyle w:val="13"/>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27.09</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modern"/>
    <w:pitch w:val="default"/>
    <w:sig w:usb0="A00002BF" w:usb1="38CF7CFA" w:usb2="00082016" w:usb3="00000000" w:csb0="00040001" w:csb1="00000000"/>
  </w:font>
  <w:font w:name="方正小标宋_GBK">
    <w:panose1 w:val="02000000000000000000"/>
    <w:charset w:val="86"/>
    <w:family w:val="modern"/>
    <w:pitch w:val="default"/>
    <w:sig w:usb0="A00002BF" w:usb1="38CF7CFA" w:usb2="00082016" w:usb3="00000000" w:csb0="00040001" w:csb1="00000000"/>
  </w:font>
  <w:font w:name="方正书宋_GBK">
    <w:panose1 w:val="02000000000000000000"/>
    <w:charset w:val="86"/>
    <w:family w:val="modern"/>
    <w:pitch w:val="default"/>
    <w:sig w:usb0="A00002BF" w:usb1="38CF7CFA" w:usb2="00082016" w:usb3="00000000" w:csb0="00040001" w:csb1="00000000"/>
  </w:font>
  <w:font w:name="方正楷体_GBK">
    <w:panose1 w:val="02000000000000000000"/>
    <w:charset w:val="86"/>
    <w:family w:val="moder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xMzFhNTQyOTViNGM5NDk2YjMyOGNhNDI5Zjg3OWUifQ=="/>
  </w:docVars>
  <w:rsids>
    <w:rsidRoot w:val="00001746"/>
    <w:rsid w:val="00001746"/>
    <w:rsid w:val="000B4538"/>
    <w:rsid w:val="000D58CB"/>
    <w:rsid w:val="001318D8"/>
    <w:rsid w:val="001A3D4D"/>
    <w:rsid w:val="002D22E2"/>
    <w:rsid w:val="00337E72"/>
    <w:rsid w:val="003D6866"/>
    <w:rsid w:val="008A591B"/>
    <w:rsid w:val="00AE2915"/>
    <w:rsid w:val="00B13271"/>
    <w:rsid w:val="00D30B8C"/>
    <w:rsid w:val="00E50F3E"/>
    <w:rsid w:val="00FC2B95"/>
    <w:rsid w:val="00FE029F"/>
    <w:rsid w:val="0C5560C7"/>
    <w:rsid w:val="1C35045B"/>
    <w:rsid w:val="2592750D"/>
    <w:rsid w:val="51B025F6"/>
    <w:rsid w:val="585E6886"/>
    <w:rsid w:val="6FBE7B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2023-02-14T11:16:46Z</dcterms:created>
  <dcterms:modified xsi:type="dcterms:W3CDTF">2023-02-14T03:16:46Z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2023-02-14T11:16:44Z</dcterms:created>
  <dcterms:modified xsi:type="dcterms:W3CDTF">2023-02-14T03:16:44Z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2023-02-14T11:32:31Z</dcterms:created>
  <dcterms:modified xsi:type="dcterms:W3CDTF">2023-02-14T03:32:31Z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2023-02-14T11:16:42Z</dcterms:created>
  <dcterms:modified xsi:type="dcterms:W3CDTF">2023-02-14T03:16:42Z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2023-02-14T11:32:26Z</dcterms:created>
  <dcterms:modified xsi:type="dcterms:W3CDTF">2023-02-14T03:32:25Z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2023-02-14T11:32:30Z</dcterms:created>
  <dcterms:modified xsi:type="dcterms:W3CDTF">2023-02-14T03:32:30Z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2023-02-14T11:32:30Z</dcterms:created>
  <dcterms:modified xsi:type="dcterms:W3CDTF">2023-02-14T03:32:30Z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2023-02-14T11:32:18Z</dcterms:created>
  <dcterms:modified xsi:type="dcterms:W3CDTF">2023-02-14T03:32:18Z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2023-02-14T11:32:20Z</dcterms:created>
  <dcterms:modified xsi:type="dcterms:W3CDTF">2023-02-14T03:32:20Z</dcterms:modified>
</cp:coreProperties>
</file>

<file path=customXml/itemProps1.xml><?xml version="1.0" encoding="utf-8"?>
<ds:datastoreItem xmlns:ds="http://schemas.openxmlformats.org/officeDocument/2006/customXml" ds:itemID="{C37CA623-8C14-499F-8881-B6ECA5A5C19B}">
  <ds:schemaRefs/>
</ds:datastoreItem>
</file>

<file path=customXml/itemProps10.xml><?xml version="1.0" encoding="utf-8"?>
<ds:datastoreItem xmlns:ds="http://schemas.openxmlformats.org/officeDocument/2006/customXml" ds:itemID="{43C61608-D528-4B4B-A0C5-EA1A90C51183}">
  <ds:schemaRefs/>
</ds:datastoreItem>
</file>

<file path=customXml/itemProps11.xml><?xml version="1.0" encoding="utf-8"?>
<ds:datastoreItem xmlns:ds="http://schemas.openxmlformats.org/officeDocument/2006/customXml" ds:itemID="{C12A4F9F-172E-461B-93CD-1F73E53AF28B}">
  <ds:schemaRefs/>
</ds:datastoreItem>
</file>

<file path=customXml/itemProps12.xml><?xml version="1.0" encoding="utf-8"?>
<ds:datastoreItem xmlns:ds="http://schemas.openxmlformats.org/officeDocument/2006/customXml" ds:itemID="{B3F9543B-36EF-4424-A9B4-91AE1D8A7AFD}">
  <ds:schemaRefs/>
</ds:datastoreItem>
</file>

<file path=customXml/itemProps13.xml><?xml version="1.0" encoding="utf-8"?>
<ds:datastoreItem xmlns:ds="http://schemas.openxmlformats.org/officeDocument/2006/customXml" ds:itemID="{C6738D5F-BB41-455C-9131-105C22C13C3C}">
  <ds:schemaRefs/>
</ds:datastoreItem>
</file>

<file path=customXml/itemProps14.xml><?xml version="1.0" encoding="utf-8"?>
<ds:datastoreItem xmlns:ds="http://schemas.openxmlformats.org/officeDocument/2006/customXml" ds:itemID="{A7E222EC-9CC5-4A65-A518-E568DE0A04FD}">
  <ds:schemaRefs/>
</ds:datastoreItem>
</file>

<file path=customXml/itemProps15.xml><?xml version="1.0" encoding="utf-8"?>
<ds:datastoreItem xmlns:ds="http://schemas.openxmlformats.org/officeDocument/2006/customXml" ds:itemID="{DA489E4C-9101-4B19-A980-30CA87B59B67}">
  <ds:schemaRefs/>
</ds:datastoreItem>
</file>

<file path=customXml/itemProps16.xml><?xml version="1.0" encoding="utf-8"?>
<ds:datastoreItem xmlns:ds="http://schemas.openxmlformats.org/officeDocument/2006/customXml" ds:itemID="{3EB555AD-1C20-44E1-B84E-9D55C2C6D813}">
  <ds:schemaRefs/>
</ds:datastoreItem>
</file>

<file path=customXml/itemProps17.xml><?xml version="1.0" encoding="utf-8"?>
<ds:datastoreItem xmlns:ds="http://schemas.openxmlformats.org/officeDocument/2006/customXml" ds:itemID="{7DC658B8-269C-4B78-AED3-BD009C41E384}">
  <ds:schemaRefs/>
</ds:datastoreItem>
</file>

<file path=customXml/itemProps18.xml><?xml version="1.0" encoding="utf-8"?>
<ds:datastoreItem xmlns:ds="http://schemas.openxmlformats.org/officeDocument/2006/customXml" ds:itemID="{53AFA9E6-37FB-4F41-AFEB-C105D517CB32}">
  <ds:schemaRefs/>
</ds:datastoreItem>
</file>

<file path=customXml/itemProps19.xml><?xml version="1.0" encoding="utf-8"?>
<ds:datastoreItem xmlns:ds="http://schemas.openxmlformats.org/officeDocument/2006/customXml" ds:itemID="{9ACC181F-F122-48D6-BAF6-10CD73EF3816}">
  <ds:schemaRefs/>
</ds:datastoreItem>
</file>

<file path=customXml/itemProps2.xml><?xml version="1.0" encoding="utf-8"?>
<ds:datastoreItem xmlns:ds="http://schemas.openxmlformats.org/officeDocument/2006/customXml" ds:itemID="{F97CEBD8-926F-4387-9EC4-94C72902CE42}">
  <ds:schemaRefs/>
</ds:datastoreItem>
</file>

<file path=customXml/itemProps20.xml><?xml version="1.0" encoding="utf-8"?>
<ds:datastoreItem xmlns:ds="http://schemas.openxmlformats.org/officeDocument/2006/customXml" ds:itemID="{AE04D182-5A7A-4B16-80B2-534F2586710F}">
  <ds:schemaRefs/>
</ds:datastoreItem>
</file>

<file path=customXml/itemProps21.xml><?xml version="1.0" encoding="utf-8"?>
<ds:datastoreItem xmlns:ds="http://schemas.openxmlformats.org/officeDocument/2006/customXml" ds:itemID="{37727832-7235-4193-A382-8478B116B244}">
  <ds:schemaRefs/>
</ds:datastoreItem>
</file>

<file path=customXml/itemProps22.xml><?xml version="1.0" encoding="utf-8"?>
<ds:datastoreItem xmlns:ds="http://schemas.openxmlformats.org/officeDocument/2006/customXml" ds:itemID="{950AB6BF-D584-449A-BD27-8D61EB8109B5}">
  <ds:schemaRefs/>
</ds:datastoreItem>
</file>

<file path=customXml/itemProps23.xml><?xml version="1.0" encoding="utf-8"?>
<ds:datastoreItem xmlns:ds="http://schemas.openxmlformats.org/officeDocument/2006/customXml" ds:itemID="{C9399957-4E39-4A07-8BB2-409E97CFD743}">
  <ds:schemaRefs/>
</ds:datastoreItem>
</file>

<file path=customXml/itemProps24.xml><?xml version="1.0" encoding="utf-8"?>
<ds:datastoreItem xmlns:ds="http://schemas.openxmlformats.org/officeDocument/2006/customXml" ds:itemID="{B6A16D15-F822-4224-BDF4-2514D321AE3E}">
  <ds:schemaRefs/>
</ds:datastoreItem>
</file>

<file path=customXml/itemProps25.xml><?xml version="1.0" encoding="utf-8"?>
<ds:datastoreItem xmlns:ds="http://schemas.openxmlformats.org/officeDocument/2006/customXml" ds:itemID="{8BC8A272-9B59-4783-AFA7-49B0EF7B8FFD}">
  <ds:schemaRefs/>
</ds:datastoreItem>
</file>

<file path=customXml/itemProps26.xml><?xml version="1.0" encoding="utf-8"?>
<ds:datastoreItem xmlns:ds="http://schemas.openxmlformats.org/officeDocument/2006/customXml" ds:itemID="{7995ADD6-0E57-4E5A-9C86-B6BA08C821A1}">
  <ds:schemaRefs/>
</ds:datastoreItem>
</file>

<file path=customXml/itemProps27.xml><?xml version="1.0" encoding="utf-8"?>
<ds:datastoreItem xmlns:ds="http://schemas.openxmlformats.org/officeDocument/2006/customXml" ds:itemID="{ED93D036-CCBC-43FB-8746-DA26258AB6ED}">
  <ds:schemaRefs/>
</ds:datastoreItem>
</file>

<file path=customXml/itemProps28.xml><?xml version="1.0" encoding="utf-8"?>
<ds:datastoreItem xmlns:ds="http://schemas.openxmlformats.org/officeDocument/2006/customXml" ds:itemID="{6A655427-8192-4E4A-A764-B4FCAAB34E93}">
  <ds:schemaRefs/>
</ds:datastoreItem>
</file>

<file path=customXml/itemProps29.xml><?xml version="1.0" encoding="utf-8"?>
<ds:datastoreItem xmlns:ds="http://schemas.openxmlformats.org/officeDocument/2006/customXml" ds:itemID="{E27D326C-81B0-4140-B4FB-41D6084E5BF2}">
  <ds:schemaRefs/>
</ds:datastoreItem>
</file>

<file path=customXml/itemProps3.xml><?xml version="1.0" encoding="utf-8"?>
<ds:datastoreItem xmlns:ds="http://schemas.openxmlformats.org/officeDocument/2006/customXml" ds:itemID="{158800D0-1021-4BF3-9785-D8A16FCEE5F4}">
  <ds:schemaRefs/>
</ds:datastoreItem>
</file>

<file path=customXml/itemProps30.xml><?xml version="1.0" encoding="utf-8"?>
<ds:datastoreItem xmlns:ds="http://schemas.openxmlformats.org/officeDocument/2006/customXml" ds:itemID="{6F2A852A-8462-4EA6-91BE-9E2BA88E71CB}">
  <ds:schemaRefs/>
</ds:datastoreItem>
</file>

<file path=customXml/itemProps31.xml><?xml version="1.0" encoding="utf-8"?>
<ds:datastoreItem xmlns:ds="http://schemas.openxmlformats.org/officeDocument/2006/customXml" ds:itemID="{4A3859CC-4657-4B3F-83BC-3ED68652BB56}">
  <ds:schemaRefs/>
</ds:datastoreItem>
</file>

<file path=customXml/itemProps32.xml><?xml version="1.0" encoding="utf-8"?>
<ds:datastoreItem xmlns:ds="http://schemas.openxmlformats.org/officeDocument/2006/customXml" ds:itemID="{FF07DBC6-3690-49E2-AC84-4393A649C0BA}">
  <ds:schemaRefs/>
</ds:datastoreItem>
</file>

<file path=customXml/itemProps33.xml><?xml version="1.0" encoding="utf-8"?>
<ds:datastoreItem xmlns:ds="http://schemas.openxmlformats.org/officeDocument/2006/customXml" ds:itemID="{A12BAABA-D40D-4400-BE18-7A006A3EE773}">
  <ds:schemaRefs/>
</ds:datastoreItem>
</file>

<file path=customXml/itemProps34.xml><?xml version="1.0" encoding="utf-8"?>
<ds:datastoreItem xmlns:ds="http://schemas.openxmlformats.org/officeDocument/2006/customXml" ds:itemID="{0C04F3FA-49EC-4A03-9E77-6908B4B2B853}">
  <ds:schemaRefs/>
</ds:datastoreItem>
</file>

<file path=customXml/itemProps35.xml><?xml version="1.0" encoding="utf-8"?>
<ds:datastoreItem xmlns:ds="http://schemas.openxmlformats.org/officeDocument/2006/customXml" ds:itemID="{BDA841FD-C0EC-4961-A536-84930ACA0F94}">
  <ds:schemaRefs/>
</ds:datastoreItem>
</file>

<file path=customXml/itemProps36.xml><?xml version="1.0" encoding="utf-8"?>
<ds:datastoreItem xmlns:ds="http://schemas.openxmlformats.org/officeDocument/2006/customXml" ds:itemID="{FD4858E8-7FEB-40E6-B732-9FAC7F84E982}">
  <ds:schemaRefs/>
</ds:datastoreItem>
</file>

<file path=customXml/itemProps37.xml><?xml version="1.0" encoding="utf-8"?>
<ds:datastoreItem xmlns:ds="http://schemas.openxmlformats.org/officeDocument/2006/customXml" ds:itemID="{E87A9A82-B238-4B67-8E8D-5E125769FFDA}">
  <ds:schemaRefs/>
</ds:datastoreItem>
</file>

<file path=customXml/itemProps38.xml><?xml version="1.0" encoding="utf-8"?>
<ds:datastoreItem xmlns:ds="http://schemas.openxmlformats.org/officeDocument/2006/customXml" ds:itemID="{04DD7D7B-1859-40DA-BF20-90D1BF910F8D}">
  <ds:schemaRefs/>
</ds:datastoreItem>
</file>

<file path=customXml/itemProps39.xml><?xml version="1.0" encoding="utf-8"?>
<ds:datastoreItem xmlns:ds="http://schemas.openxmlformats.org/officeDocument/2006/customXml" ds:itemID="{ABD6C1FE-E5C4-47A6-AE53-E77361F834E8}">
  <ds:schemaRefs/>
</ds:datastoreItem>
</file>

<file path=customXml/itemProps4.xml><?xml version="1.0" encoding="utf-8"?>
<ds:datastoreItem xmlns:ds="http://schemas.openxmlformats.org/officeDocument/2006/customXml" ds:itemID="{5EE83C01-1EF3-4F7A-9F84-B3B6BEF3F559}">
  <ds:schemaRefs/>
</ds:datastoreItem>
</file>

<file path=customXml/itemProps40.xml><?xml version="1.0" encoding="utf-8"?>
<ds:datastoreItem xmlns:ds="http://schemas.openxmlformats.org/officeDocument/2006/customXml" ds:itemID="{B0151978-C999-4D94-94DF-9755A6EE315F}">
  <ds:schemaRefs/>
</ds:datastoreItem>
</file>

<file path=customXml/itemProps41.xml><?xml version="1.0" encoding="utf-8"?>
<ds:datastoreItem xmlns:ds="http://schemas.openxmlformats.org/officeDocument/2006/customXml" ds:itemID="{9F326078-917C-4292-9C7A-A67DDA8BE43C}">
  <ds:schemaRefs/>
</ds:datastoreItem>
</file>

<file path=customXml/itemProps42.xml><?xml version="1.0" encoding="utf-8"?>
<ds:datastoreItem xmlns:ds="http://schemas.openxmlformats.org/officeDocument/2006/customXml" ds:itemID="{110811F0-593D-4956-A15D-D24D7FDE4F6D}">
  <ds:schemaRefs/>
</ds:datastoreItem>
</file>

<file path=customXml/itemProps5.xml><?xml version="1.0" encoding="utf-8"?>
<ds:datastoreItem xmlns:ds="http://schemas.openxmlformats.org/officeDocument/2006/customXml" ds:itemID="{A7BE967A-4562-4EF3-A405-21B4A53A7455}">
  <ds:schemaRefs/>
</ds:datastoreItem>
</file>

<file path=customXml/itemProps6.xml><?xml version="1.0" encoding="utf-8"?>
<ds:datastoreItem xmlns:ds="http://schemas.openxmlformats.org/officeDocument/2006/customXml" ds:itemID="{8F503842-9794-4B27-A021-A6C355774A4B}">
  <ds:schemaRefs/>
</ds:datastoreItem>
</file>

<file path=customXml/itemProps7.xml><?xml version="1.0" encoding="utf-8"?>
<ds:datastoreItem xmlns:ds="http://schemas.openxmlformats.org/officeDocument/2006/customXml" ds:itemID="{5EECA778-4193-4A4E-AA80-03C83A00E23D}">
  <ds:schemaRefs/>
</ds:datastoreItem>
</file>

<file path=customXml/itemProps8.xml><?xml version="1.0" encoding="utf-8"?>
<ds:datastoreItem xmlns:ds="http://schemas.openxmlformats.org/officeDocument/2006/customXml" ds:itemID="{B911C64E-BADA-4A45-AA66-EBC769202749}">
  <ds:schemaRefs/>
</ds:datastoreItem>
</file>

<file path=customXml/itemProps9.xml><?xml version="1.0" encoding="utf-8"?>
<ds:datastoreItem xmlns:ds="http://schemas.openxmlformats.org/officeDocument/2006/customXml" ds:itemID="{697812FB-2F12-4490-A440-FA9704F107E1}">
  <ds:schemaRefs/>
</ds:datastoreItem>
</file>

<file path=docProps/app.xml><?xml version="1.0" encoding="utf-8"?>
<Properties xmlns="http://schemas.openxmlformats.org/officeDocument/2006/extended-properties" xmlns:vt="http://schemas.openxmlformats.org/officeDocument/2006/docPropsVTypes">
  <Template>Normal</Template>
  <Pages>38</Pages>
  <Words>11871</Words>
  <Characters>13759</Characters>
  <Lines>227</Lines>
  <Paragraphs>63</Paragraphs>
  <TotalTime>2</TotalTime>
  <ScaleCrop>false</ScaleCrop>
  <LinksUpToDate>false</LinksUpToDate>
  <CharactersWithSpaces>13944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2023-02-14T11:32:00Z</dcterms:created>
  <dc:creator>Administrator</dc:creator>
  <cp:lastModifiedBy>Administrator</cp:lastModifiedBy>
  <dcterms:modified xsi:type="dcterms:W3CDTF">2025-08-04T00:53:44Z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667A6E6C82FE4210A0DFAF07D5B73AE8_12</vt:lpwstr>
  </property>
</Properties>
</file>