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33</w:t>
      </w:r>
      <w:r>
        <w:fldChar w:fldCharType="end"/>
      </w:r>
      <w:r>
        <w:fldChar w:fldCharType="end"/>
      </w:r>
    </w:p>
    <w:p>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2"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6"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6" w:type="dxa"/>
            <w:vAlign w:val="center"/>
          </w:tcPr>
          <w:p>
            <w:pPr>
              <w:pStyle w:val="14"/>
            </w:pPr>
            <w:r>
              <w:t>一、一般公共预算拨款收入</w:t>
            </w:r>
          </w:p>
        </w:tc>
        <w:tc>
          <w:tcPr>
            <w:tcW w:w="2126" w:type="dxa"/>
            <w:vAlign w:val="center"/>
          </w:tcPr>
          <w:p>
            <w:pPr>
              <w:pStyle w:val="13"/>
            </w:pPr>
            <w:r>
              <w:t>368.69</w:t>
            </w:r>
          </w:p>
        </w:tc>
        <w:tc>
          <w:tcPr>
            <w:tcW w:w="4535" w:type="dxa"/>
            <w:vAlign w:val="center"/>
          </w:tcPr>
          <w:p>
            <w:pPr>
              <w:pStyle w:val="14"/>
            </w:pPr>
            <w:r>
              <w:t>一、一般公共服务支出</w:t>
            </w:r>
          </w:p>
        </w:tc>
        <w:tc>
          <w:tcPr>
            <w:tcW w:w="2126" w:type="dxa"/>
            <w:vAlign w:val="center"/>
          </w:tcPr>
          <w:p>
            <w:pPr>
              <w:pStyle w:val="13"/>
            </w:pPr>
            <w:r>
              <w:t>271.82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6"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6"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6"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6"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6"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6"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6"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70.40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6"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13.77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6"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6" w:type="dxa"/>
            <w:vAlign w:val="center"/>
          </w:tcPr>
          <w:p>
            <w:pPr>
              <w:pStyle w:val="16"/>
            </w:pPr>
            <w:r>
              <w:t>本年收入合计</w:t>
            </w:r>
          </w:p>
        </w:tc>
        <w:tc>
          <w:tcPr>
            <w:tcW w:w="2126" w:type="dxa"/>
            <w:vAlign w:val="center"/>
          </w:tcPr>
          <w:p>
            <w:pPr>
              <w:pStyle w:val="17"/>
            </w:pPr>
            <w:r>
              <w:t>368.69</w:t>
            </w:r>
          </w:p>
        </w:tc>
        <w:tc>
          <w:tcPr>
            <w:tcW w:w="4535" w:type="dxa"/>
            <w:vAlign w:val="center"/>
          </w:tcPr>
          <w:p>
            <w:pPr>
              <w:pStyle w:val="16"/>
            </w:pPr>
            <w:r>
              <w:t>本年支出合计</w:t>
            </w:r>
          </w:p>
        </w:tc>
        <w:tc>
          <w:tcPr>
            <w:tcW w:w="2126" w:type="dxa"/>
            <w:vAlign w:val="center"/>
          </w:tcPr>
          <w:p>
            <w:pPr>
              <w:pStyle w:val="17"/>
            </w:pPr>
            <w:r>
              <w:t>376.55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6" w:type="dxa"/>
            <w:vAlign w:val="center"/>
          </w:tcPr>
          <w:p>
            <w:pPr>
              <w:pStyle w:val="14"/>
            </w:pPr>
            <w:r>
              <w:t>上年结转结余</w:t>
            </w:r>
          </w:p>
        </w:tc>
        <w:tc>
          <w:tcPr>
            <w:tcW w:w="2126" w:type="dxa"/>
            <w:vAlign w:val="center"/>
          </w:tcPr>
          <w:p>
            <w:pPr>
              <w:pStyle w:val="13"/>
            </w:pPr>
            <w:r>
              <w:t>7.86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6" w:type="dxa"/>
            <w:vAlign w:val="center"/>
          </w:tcPr>
          <w:p>
            <w:pPr>
              <w:pStyle w:val="16"/>
            </w:pPr>
            <w:r>
              <w:t>收入总计</w:t>
            </w:r>
          </w:p>
        </w:tc>
        <w:tc>
          <w:tcPr>
            <w:tcW w:w="2126" w:type="dxa"/>
            <w:vAlign w:val="center"/>
          </w:tcPr>
          <w:p>
            <w:pPr>
              <w:pStyle w:val="17"/>
            </w:pPr>
            <w:r>
              <w:t>376.55</w:t>
            </w:r>
          </w:p>
        </w:tc>
        <w:tc>
          <w:tcPr>
            <w:tcW w:w="4535" w:type="dxa"/>
            <w:vAlign w:val="center"/>
          </w:tcPr>
          <w:p>
            <w:pPr>
              <w:pStyle w:val="16"/>
            </w:pPr>
            <w:r>
              <w:t>支出总计</w:t>
            </w:r>
          </w:p>
        </w:tc>
        <w:tc>
          <w:tcPr>
            <w:tcW w:w="2126" w:type="dxa"/>
            <w:vAlign w:val="center"/>
          </w:tcPr>
          <w:p>
            <w:pPr>
              <w:pStyle w:val="17"/>
            </w:pPr>
            <w:r>
              <w:t>376.55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376.55</w:t>
            </w:r>
          </w:p>
        </w:tc>
        <w:tc>
          <w:tcPr>
            <w:tcW w:w="1134" w:type="dxa"/>
            <w:vAlign w:val="center"/>
          </w:tcPr>
          <w:p>
            <w:pPr>
              <w:pStyle w:val="17"/>
            </w:pPr>
            <w:r>
              <w:t>368.69</w:t>
            </w:r>
          </w:p>
        </w:tc>
        <w:tc>
          <w:tcPr>
            <w:tcW w:w="1134" w:type="dxa"/>
            <w:vAlign w:val="center"/>
          </w:tcPr>
          <w:p>
            <w:pPr>
              <w:pStyle w:val="17"/>
            </w:pPr>
            <w:r>
              <w:t>368.69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271.82</w:t>
            </w:r>
          </w:p>
        </w:tc>
        <w:tc>
          <w:tcPr>
            <w:tcW w:w="1134" w:type="dxa"/>
            <w:vAlign w:val="center"/>
          </w:tcPr>
          <w:p>
            <w:pPr>
              <w:pStyle w:val="13"/>
            </w:pPr>
            <w:r>
              <w:t>263.97</w:t>
            </w:r>
          </w:p>
        </w:tc>
        <w:tc>
          <w:tcPr>
            <w:tcW w:w="1134" w:type="dxa"/>
            <w:vAlign w:val="center"/>
          </w:tcPr>
          <w:p>
            <w:pPr>
              <w:pStyle w:val="13"/>
            </w:pPr>
            <w:r>
              <w:t>263.97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20134</w:t>
            </w:r>
          </w:p>
        </w:tc>
        <w:tc>
          <w:tcPr>
            <w:tcW w:w="1559" w:type="dxa"/>
            <w:vAlign w:val="center"/>
          </w:tcPr>
          <w:p>
            <w:pPr>
              <w:pStyle w:val="14"/>
            </w:pPr>
            <w:r>
              <w:t>统战事务</w:t>
            </w:r>
          </w:p>
        </w:tc>
        <w:tc>
          <w:tcPr>
            <w:tcW w:w="1134" w:type="dxa"/>
            <w:vAlign w:val="center"/>
          </w:tcPr>
          <w:p>
            <w:pPr>
              <w:pStyle w:val="13"/>
            </w:pPr>
            <w:r>
              <w:t>271.82</w:t>
            </w:r>
          </w:p>
        </w:tc>
        <w:tc>
          <w:tcPr>
            <w:tcW w:w="1134" w:type="dxa"/>
            <w:vAlign w:val="center"/>
          </w:tcPr>
          <w:p>
            <w:pPr>
              <w:pStyle w:val="13"/>
            </w:pPr>
            <w:r>
              <w:t>263.97</w:t>
            </w:r>
          </w:p>
        </w:tc>
        <w:tc>
          <w:tcPr>
            <w:tcW w:w="1134" w:type="dxa"/>
            <w:vAlign w:val="center"/>
          </w:tcPr>
          <w:p>
            <w:pPr>
              <w:pStyle w:val="13"/>
            </w:pPr>
            <w:r>
              <w:t>263.97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2013401</w:t>
            </w:r>
          </w:p>
        </w:tc>
        <w:tc>
          <w:tcPr>
            <w:tcW w:w="1559" w:type="dxa"/>
            <w:vAlign w:val="center"/>
          </w:tcPr>
          <w:p>
            <w:pPr>
              <w:pStyle w:val="14"/>
            </w:pPr>
            <w:r>
              <w:t>行政运行</w:t>
            </w:r>
          </w:p>
        </w:tc>
        <w:tc>
          <w:tcPr>
            <w:tcW w:w="1134" w:type="dxa"/>
            <w:vAlign w:val="center"/>
          </w:tcPr>
          <w:p>
            <w:pPr>
              <w:pStyle w:val="13"/>
            </w:pPr>
            <w:r>
              <w:t>175.97</w:t>
            </w:r>
          </w:p>
        </w:tc>
        <w:tc>
          <w:tcPr>
            <w:tcW w:w="1134" w:type="dxa"/>
            <w:vAlign w:val="center"/>
          </w:tcPr>
          <w:p>
            <w:pPr>
              <w:pStyle w:val="13"/>
            </w:pPr>
            <w:r>
              <w:t>175.97</w:t>
            </w:r>
          </w:p>
        </w:tc>
        <w:tc>
          <w:tcPr>
            <w:tcW w:w="1134" w:type="dxa"/>
            <w:vAlign w:val="center"/>
          </w:tcPr>
          <w:p>
            <w:pPr>
              <w:pStyle w:val="13"/>
            </w:pPr>
            <w:r>
              <w:t>175.97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2013402</w:t>
            </w:r>
          </w:p>
        </w:tc>
        <w:tc>
          <w:tcPr>
            <w:tcW w:w="1559" w:type="dxa"/>
            <w:vAlign w:val="center"/>
          </w:tcPr>
          <w:p>
            <w:pPr>
              <w:pStyle w:val="14"/>
            </w:pPr>
            <w:r>
              <w:t>一般行政管理事务</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r>
              <w:t>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2013404</w:t>
            </w:r>
          </w:p>
        </w:tc>
        <w:tc>
          <w:tcPr>
            <w:tcW w:w="1559" w:type="dxa"/>
            <w:vAlign w:val="center"/>
          </w:tcPr>
          <w:p>
            <w:pPr>
              <w:pStyle w:val="14"/>
            </w:pPr>
            <w:r>
              <w:t>宗教事务</w:t>
            </w:r>
          </w:p>
        </w:tc>
        <w:tc>
          <w:tcPr>
            <w:tcW w:w="1134" w:type="dxa"/>
            <w:vAlign w:val="center"/>
          </w:tcPr>
          <w:p>
            <w:pPr>
              <w:pStyle w:val="13"/>
            </w:pPr>
            <w:r>
              <w:t>81.86</w:t>
            </w:r>
          </w:p>
        </w:tc>
        <w:tc>
          <w:tcPr>
            <w:tcW w:w="1134" w:type="dxa"/>
            <w:vAlign w:val="center"/>
          </w:tcPr>
          <w:p>
            <w:pPr>
              <w:pStyle w:val="13"/>
            </w:pPr>
            <w:r>
              <w:t>74.00</w:t>
            </w:r>
          </w:p>
        </w:tc>
        <w:tc>
          <w:tcPr>
            <w:tcW w:w="1134" w:type="dxa"/>
            <w:vAlign w:val="center"/>
          </w:tcPr>
          <w:p>
            <w:pPr>
              <w:pStyle w:val="13"/>
            </w:pPr>
            <w:r>
              <w:t>74.00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2013499</w:t>
            </w:r>
          </w:p>
        </w:tc>
        <w:tc>
          <w:tcPr>
            <w:tcW w:w="1559" w:type="dxa"/>
            <w:vAlign w:val="center"/>
          </w:tcPr>
          <w:p>
            <w:pPr>
              <w:pStyle w:val="14"/>
            </w:pPr>
            <w:r>
              <w:t>其他统战事务支出</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70.40</w:t>
            </w:r>
          </w:p>
        </w:tc>
        <w:tc>
          <w:tcPr>
            <w:tcW w:w="1134" w:type="dxa"/>
            <w:vAlign w:val="center"/>
          </w:tcPr>
          <w:p>
            <w:pPr>
              <w:pStyle w:val="13"/>
            </w:pPr>
            <w:r>
              <w:t>70.40</w:t>
            </w:r>
          </w:p>
        </w:tc>
        <w:tc>
          <w:tcPr>
            <w:tcW w:w="1134" w:type="dxa"/>
            <w:vAlign w:val="center"/>
          </w:tcPr>
          <w:p>
            <w:pPr>
              <w:pStyle w:val="13"/>
            </w:pPr>
            <w:r>
              <w:t>70.40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55.32</w:t>
            </w:r>
          </w:p>
        </w:tc>
        <w:tc>
          <w:tcPr>
            <w:tcW w:w="1134" w:type="dxa"/>
            <w:vAlign w:val="center"/>
          </w:tcPr>
          <w:p>
            <w:pPr>
              <w:pStyle w:val="13"/>
            </w:pPr>
            <w:r>
              <w:t>55.32</w:t>
            </w:r>
          </w:p>
        </w:tc>
        <w:tc>
          <w:tcPr>
            <w:tcW w:w="1134" w:type="dxa"/>
            <w:vAlign w:val="center"/>
          </w:tcPr>
          <w:p>
            <w:pPr>
              <w:pStyle w:val="13"/>
            </w:pPr>
            <w:r>
              <w:t>55.32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40.72</w:t>
            </w:r>
          </w:p>
        </w:tc>
        <w:tc>
          <w:tcPr>
            <w:tcW w:w="1134" w:type="dxa"/>
            <w:vAlign w:val="center"/>
          </w:tcPr>
          <w:p>
            <w:pPr>
              <w:pStyle w:val="13"/>
            </w:pPr>
            <w:r>
              <w:t>40.72</w:t>
            </w:r>
          </w:p>
        </w:tc>
        <w:tc>
          <w:tcPr>
            <w:tcW w:w="1134" w:type="dxa"/>
            <w:vAlign w:val="center"/>
          </w:tcPr>
          <w:p>
            <w:pPr>
              <w:pStyle w:val="13"/>
            </w:pPr>
            <w:r>
              <w:t>40.72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14.60</w:t>
            </w:r>
          </w:p>
        </w:tc>
        <w:tc>
          <w:tcPr>
            <w:tcW w:w="1134" w:type="dxa"/>
            <w:vAlign w:val="center"/>
          </w:tcPr>
          <w:p>
            <w:pPr>
              <w:pStyle w:val="13"/>
            </w:pPr>
            <w:r>
              <w:t>14.60</w:t>
            </w:r>
          </w:p>
        </w:tc>
        <w:tc>
          <w:tcPr>
            <w:tcW w:w="1134" w:type="dxa"/>
            <w:vAlign w:val="center"/>
          </w:tcPr>
          <w:p>
            <w:pPr>
              <w:pStyle w:val="13"/>
            </w:pPr>
            <w:r>
              <w:t>14.60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r>
              <w:t>15.08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r>
              <w:t>13.77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r>
              <w:t>20.55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6"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6"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6" w:type="dxa"/>
            <w:vAlign w:val="center"/>
          </w:tcPr>
          <w:p>
            <w:pPr>
              <w:pStyle w:val="16"/>
            </w:pPr>
            <w:r>
              <w:t>合计</w:t>
            </w:r>
          </w:p>
        </w:tc>
        <w:tc>
          <w:tcPr>
            <w:tcW w:w="1361" w:type="dxa"/>
            <w:vAlign w:val="center"/>
          </w:tcPr>
          <w:p>
            <w:pPr>
              <w:pStyle w:val="17"/>
            </w:pPr>
            <w:r>
              <w:t>376.55</w:t>
            </w:r>
          </w:p>
        </w:tc>
        <w:tc>
          <w:tcPr>
            <w:tcW w:w="1361" w:type="dxa"/>
            <w:vAlign w:val="center"/>
          </w:tcPr>
          <w:p>
            <w:pPr>
              <w:pStyle w:val="17"/>
            </w:pPr>
            <w:r>
              <w:t>265.61</w:t>
            </w:r>
          </w:p>
        </w:tc>
        <w:tc>
          <w:tcPr>
            <w:tcW w:w="1361" w:type="dxa"/>
            <w:vAlign w:val="center"/>
          </w:tcPr>
          <w:p>
            <w:pPr>
              <w:pStyle w:val="17"/>
            </w:pPr>
            <w:r>
              <w:t>110.94</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6" w:type="dxa"/>
            <w:vAlign w:val="center"/>
          </w:tcPr>
          <w:p>
            <w:pPr>
              <w:pStyle w:val="14"/>
            </w:pPr>
            <w:r>
              <w:t>一般公共服务支出</w:t>
            </w:r>
          </w:p>
        </w:tc>
        <w:tc>
          <w:tcPr>
            <w:tcW w:w="1361" w:type="dxa"/>
            <w:vAlign w:val="center"/>
          </w:tcPr>
          <w:p>
            <w:pPr>
              <w:pStyle w:val="13"/>
            </w:pPr>
            <w:r>
              <w:t>271.82</w:t>
            </w:r>
          </w:p>
        </w:tc>
        <w:tc>
          <w:tcPr>
            <w:tcW w:w="1361" w:type="dxa"/>
            <w:vAlign w:val="center"/>
          </w:tcPr>
          <w:p>
            <w:pPr>
              <w:pStyle w:val="13"/>
            </w:pPr>
            <w:r>
              <w:t>175.97</w:t>
            </w:r>
          </w:p>
        </w:tc>
        <w:tc>
          <w:tcPr>
            <w:tcW w:w="1361" w:type="dxa"/>
            <w:vAlign w:val="center"/>
          </w:tcPr>
          <w:p>
            <w:pPr>
              <w:pStyle w:val="13"/>
            </w:pPr>
            <w:r>
              <w:t>95.86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20134</w:t>
            </w:r>
          </w:p>
        </w:tc>
        <w:tc>
          <w:tcPr>
            <w:tcW w:w="4536" w:type="dxa"/>
            <w:vAlign w:val="center"/>
          </w:tcPr>
          <w:p>
            <w:pPr>
              <w:pStyle w:val="14"/>
            </w:pPr>
            <w:r>
              <w:t>统战事务</w:t>
            </w:r>
          </w:p>
        </w:tc>
        <w:tc>
          <w:tcPr>
            <w:tcW w:w="1361" w:type="dxa"/>
            <w:vAlign w:val="center"/>
          </w:tcPr>
          <w:p>
            <w:pPr>
              <w:pStyle w:val="13"/>
            </w:pPr>
            <w:r>
              <w:t>271.82</w:t>
            </w:r>
          </w:p>
        </w:tc>
        <w:tc>
          <w:tcPr>
            <w:tcW w:w="1361" w:type="dxa"/>
            <w:vAlign w:val="center"/>
          </w:tcPr>
          <w:p>
            <w:pPr>
              <w:pStyle w:val="13"/>
            </w:pPr>
            <w:r>
              <w:t>175.97</w:t>
            </w:r>
          </w:p>
        </w:tc>
        <w:tc>
          <w:tcPr>
            <w:tcW w:w="1361" w:type="dxa"/>
            <w:vAlign w:val="center"/>
          </w:tcPr>
          <w:p>
            <w:pPr>
              <w:pStyle w:val="13"/>
            </w:pPr>
            <w:r>
              <w:t>95.86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2013401</w:t>
            </w:r>
          </w:p>
        </w:tc>
        <w:tc>
          <w:tcPr>
            <w:tcW w:w="4536" w:type="dxa"/>
            <w:vAlign w:val="center"/>
          </w:tcPr>
          <w:p>
            <w:pPr>
              <w:pStyle w:val="14"/>
            </w:pPr>
            <w:r>
              <w:t>行政运行</w:t>
            </w:r>
          </w:p>
        </w:tc>
        <w:tc>
          <w:tcPr>
            <w:tcW w:w="1361" w:type="dxa"/>
            <w:vAlign w:val="center"/>
          </w:tcPr>
          <w:p>
            <w:pPr>
              <w:pStyle w:val="13"/>
            </w:pPr>
            <w:r>
              <w:t>175.97</w:t>
            </w:r>
          </w:p>
        </w:tc>
        <w:tc>
          <w:tcPr>
            <w:tcW w:w="1361" w:type="dxa"/>
            <w:vAlign w:val="center"/>
          </w:tcPr>
          <w:p>
            <w:pPr>
              <w:pStyle w:val="13"/>
            </w:pPr>
            <w:r>
              <w:t>175.97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2013402</w:t>
            </w:r>
          </w:p>
        </w:tc>
        <w:tc>
          <w:tcPr>
            <w:tcW w:w="4536" w:type="dxa"/>
            <w:vAlign w:val="center"/>
          </w:tcPr>
          <w:p>
            <w:pPr>
              <w:pStyle w:val="14"/>
            </w:pPr>
            <w:r>
              <w:t>一般行政管理事务</w:t>
            </w: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r>
              <w:t>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2013404</w:t>
            </w:r>
          </w:p>
        </w:tc>
        <w:tc>
          <w:tcPr>
            <w:tcW w:w="4536" w:type="dxa"/>
            <w:vAlign w:val="center"/>
          </w:tcPr>
          <w:p>
            <w:pPr>
              <w:pStyle w:val="14"/>
            </w:pPr>
            <w:r>
              <w:t>宗教事务</w:t>
            </w:r>
          </w:p>
        </w:tc>
        <w:tc>
          <w:tcPr>
            <w:tcW w:w="1361" w:type="dxa"/>
            <w:vAlign w:val="center"/>
          </w:tcPr>
          <w:p>
            <w:pPr>
              <w:pStyle w:val="13"/>
            </w:pPr>
            <w:r>
              <w:t>81.86</w:t>
            </w:r>
          </w:p>
        </w:tc>
        <w:tc>
          <w:tcPr>
            <w:tcW w:w="1361" w:type="dxa"/>
            <w:vAlign w:val="center"/>
          </w:tcPr>
          <w:p>
            <w:pPr>
              <w:pStyle w:val="13"/>
            </w:pPr>
          </w:p>
        </w:tc>
        <w:tc>
          <w:tcPr>
            <w:tcW w:w="1361" w:type="dxa"/>
            <w:vAlign w:val="center"/>
          </w:tcPr>
          <w:p>
            <w:pPr>
              <w:pStyle w:val="13"/>
            </w:pPr>
            <w:r>
              <w:t>81.86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2013499</w:t>
            </w:r>
          </w:p>
        </w:tc>
        <w:tc>
          <w:tcPr>
            <w:tcW w:w="4536" w:type="dxa"/>
            <w:vAlign w:val="center"/>
          </w:tcPr>
          <w:p>
            <w:pPr>
              <w:pStyle w:val="14"/>
            </w:pPr>
            <w:r>
              <w:t>其他统战事务支出</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6" w:type="dxa"/>
            <w:vAlign w:val="center"/>
          </w:tcPr>
          <w:p>
            <w:pPr>
              <w:pStyle w:val="14"/>
            </w:pPr>
            <w:r>
              <w:t>社会保障和就业支出</w:t>
            </w:r>
          </w:p>
        </w:tc>
        <w:tc>
          <w:tcPr>
            <w:tcW w:w="1361" w:type="dxa"/>
            <w:vAlign w:val="center"/>
          </w:tcPr>
          <w:p>
            <w:pPr>
              <w:pStyle w:val="13"/>
            </w:pPr>
            <w:r>
              <w:t>70.40</w:t>
            </w:r>
          </w:p>
        </w:tc>
        <w:tc>
          <w:tcPr>
            <w:tcW w:w="1361" w:type="dxa"/>
            <w:vAlign w:val="center"/>
          </w:tcPr>
          <w:p>
            <w:pPr>
              <w:pStyle w:val="13"/>
            </w:pPr>
            <w:r>
              <w:t>55.32</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6" w:type="dxa"/>
            <w:vAlign w:val="center"/>
          </w:tcPr>
          <w:p>
            <w:pPr>
              <w:pStyle w:val="14"/>
            </w:pPr>
            <w:r>
              <w:t>行政事业单位养老支出</w:t>
            </w:r>
          </w:p>
        </w:tc>
        <w:tc>
          <w:tcPr>
            <w:tcW w:w="1361" w:type="dxa"/>
            <w:vAlign w:val="center"/>
          </w:tcPr>
          <w:p>
            <w:pPr>
              <w:pStyle w:val="13"/>
            </w:pPr>
            <w:r>
              <w:t>55.32</w:t>
            </w:r>
          </w:p>
        </w:tc>
        <w:tc>
          <w:tcPr>
            <w:tcW w:w="1361" w:type="dxa"/>
            <w:vAlign w:val="center"/>
          </w:tcPr>
          <w:p>
            <w:pPr>
              <w:pStyle w:val="13"/>
            </w:pPr>
            <w:r>
              <w:t>55.32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2080501</w:t>
            </w:r>
          </w:p>
        </w:tc>
        <w:tc>
          <w:tcPr>
            <w:tcW w:w="4536" w:type="dxa"/>
            <w:vAlign w:val="center"/>
          </w:tcPr>
          <w:p>
            <w:pPr>
              <w:pStyle w:val="14"/>
            </w:pPr>
            <w:r>
              <w:t>行政单位离退休</w:t>
            </w:r>
          </w:p>
        </w:tc>
        <w:tc>
          <w:tcPr>
            <w:tcW w:w="1361" w:type="dxa"/>
            <w:vAlign w:val="center"/>
          </w:tcPr>
          <w:p>
            <w:pPr>
              <w:pStyle w:val="13"/>
            </w:pPr>
            <w:r>
              <w:t>40.72</w:t>
            </w:r>
          </w:p>
        </w:tc>
        <w:tc>
          <w:tcPr>
            <w:tcW w:w="1361" w:type="dxa"/>
            <w:vAlign w:val="center"/>
          </w:tcPr>
          <w:p>
            <w:pPr>
              <w:pStyle w:val="13"/>
            </w:pPr>
            <w:r>
              <w:t>40.72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2080505</w:t>
            </w:r>
          </w:p>
        </w:tc>
        <w:tc>
          <w:tcPr>
            <w:tcW w:w="4536" w:type="dxa"/>
            <w:vAlign w:val="center"/>
          </w:tcPr>
          <w:p>
            <w:pPr>
              <w:pStyle w:val="14"/>
            </w:pPr>
            <w:r>
              <w:t>机关事业单位基本养老保险缴费支出</w:t>
            </w:r>
          </w:p>
        </w:tc>
        <w:tc>
          <w:tcPr>
            <w:tcW w:w="1361" w:type="dxa"/>
            <w:vAlign w:val="center"/>
          </w:tcPr>
          <w:p>
            <w:pPr>
              <w:pStyle w:val="13"/>
            </w:pPr>
            <w:r>
              <w:t>14.60</w:t>
            </w:r>
          </w:p>
        </w:tc>
        <w:tc>
          <w:tcPr>
            <w:tcW w:w="1361" w:type="dxa"/>
            <w:vAlign w:val="center"/>
          </w:tcPr>
          <w:p>
            <w:pPr>
              <w:pStyle w:val="13"/>
            </w:pPr>
            <w:r>
              <w:t>14.60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20809</w:t>
            </w:r>
          </w:p>
        </w:tc>
        <w:tc>
          <w:tcPr>
            <w:tcW w:w="4536" w:type="dxa"/>
            <w:vAlign w:val="center"/>
          </w:tcPr>
          <w:p>
            <w:pPr>
              <w:pStyle w:val="14"/>
            </w:pPr>
            <w:r>
              <w:t>退役安置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2080901</w:t>
            </w:r>
          </w:p>
        </w:tc>
        <w:tc>
          <w:tcPr>
            <w:tcW w:w="4536" w:type="dxa"/>
            <w:vAlign w:val="center"/>
          </w:tcPr>
          <w:p>
            <w:pPr>
              <w:pStyle w:val="14"/>
            </w:pPr>
            <w:r>
              <w:t>退役士兵安置</w:t>
            </w: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r>
              <w:t>15.08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w:t>
            </w:r>
          </w:p>
        </w:tc>
        <w:tc>
          <w:tcPr>
            <w:tcW w:w="4536" w:type="dxa"/>
            <w:vAlign w:val="center"/>
          </w:tcPr>
          <w:p>
            <w:pPr>
              <w:pStyle w:val="14"/>
            </w:pPr>
            <w:r>
              <w:t>卫生健康支出</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21011</w:t>
            </w:r>
          </w:p>
        </w:tc>
        <w:tc>
          <w:tcPr>
            <w:tcW w:w="4536" w:type="dxa"/>
            <w:vAlign w:val="center"/>
          </w:tcPr>
          <w:p>
            <w:pPr>
              <w:pStyle w:val="14"/>
            </w:pPr>
            <w:r>
              <w:t>行政事业单位医疗</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2101101</w:t>
            </w:r>
          </w:p>
        </w:tc>
        <w:tc>
          <w:tcPr>
            <w:tcW w:w="4536" w:type="dxa"/>
            <w:vAlign w:val="center"/>
          </w:tcPr>
          <w:p>
            <w:pPr>
              <w:pStyle w:val="14"/>
            </w:pPr>
            <w:r>
              <w:t>行政单位医疗</w:t>
            </w:r>
          </w:p>
        </w:tc>
        <w:tc>
          <w:tcPr>
            <w:tcW w:w="1361" w:type="dxa"/>
            <w:vAlign w:val="center"/>
          </w:tcPr>
          <w:p>
            <w:pPr>
              <w:pStyle w:val="13"/>
            </w:pPr>
            <w:r>
              <w:t>13.77</w:t>
            </w:r>
          </w:p>
        </w:tc>
        <w:tc>
          <w:tcPr>
            <w:tcW w:w="1361" w:type="dxa"/>
            <w:vAlign w:val="center"/>
          </w:tcPr>
          <w:p>
            <w:pPr>
              <w:pStyle w:val="13"/>
            </w:pPr>
            <w:r>
              <w:t>13.77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w:t>
            </w:r>
          </w:p>
        </w:tc>
        <w:tc>
          <w:tcPr>
            <w:tcW w:w="4536" w:type="dxa"/>
            <w:vAlign w:val="center"/>
          </w:tcPr>
          <w:p>
            <w:pPr>
              <w:pStyle w:val="14"/>
            </w:pPr>
            <w:r>
              <w:t>住房保障支出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22102</w:t>
            </w:r>
          </w:p>
        </w:tc>
        <w:tc>
          <w:tcPr>
            <w:tcW w:w="4536" w:type="dxa"/>
            <w:vAlign w:val="center"/>
          </w:tcPr>
          <w:p>
            <w:pPr>
              <w:pStyle w:val="14"/>
            </w:pPr>
            <w:r>
              <w:t>住房改革支出</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2210201</w:t>
            </w:r>
          </w:p>
        </w:tc>
        <w:tc>
          <w:tcPr>
            <w:tcW w:w="4536" w:type="dxa"/>
            <w:vAlign w:val="center"/>
          </w:tcPr>
          <w:p>
            <w:pPr>
              <w:pStyle w:val="14"/>
            </w:pPr>
            <w:r>
              <w:t>住房公积金</w:t>
            </w:r>
          </w:p>
        </w:tc>
        <w:tc>
          <w:tcPr>
            <w:tcW w:w="1361" w:type="dxa"/>
            <w:vAlign w:val="center"/>
          </w:tcPr>
          <w:p>
            <w:pPr>
              <w:pStyle w:val="13"/>
            </w:pPr>
            <w:r>
              <w:t>20.55</w:t>
            </w:r>
          </w:p>
        </w:tc>
        <w:tc>
          <w:tcPr>
            <w:tcW w:w="1361" w:type="dxa"/>
            <w:vAlign w:val="center"/>
          </w:tcPr>
          <w:p>
            <w:pPr>
              <w:pStyle w:val="13"/>
            </w:pPr>
            <w:r>
              <w:t>20.55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368.69</w:t>
            </w:r>
          </w:p>
        </w:tc>
        <w:tc>
          <w:tcPr>
            <w:tcW w:w="3402" w:type="dxa"/>
            <w:vAlign w:val="center"/>
          </w:tcPr>
          <w:p>
            <w:pPr>
              <w:pStyle w:val="14"/>
            </w:pPr>
            <w:r>
              <w:t>一、一般公共服务支出</w:t>
            </w:r>
          </w:p>
        </w:tc>
        <w:tc>
          <w:tcPr>
            <w:tcW w:w="1474" w:type="dxa"/>
            <w:vAlign w:val="center"/>
          </w:tcPr>
          <w:p>
            <w:pPr>
              <w:pStyle w:val="13"/>
            </w:pPr>
            <w:r>
              <w:t>271.82</w:t>
            </w:r>
          </w:p>
        </w:tc>
        <w:tc>
          <w:tcPr>
            <w:tcW w:w="1474" w:type="dxa"/>
            <w:vAlign w:val="center"/>
          </w:tcPr>
          <w:p>
            <w:pPr>
              <w:pStyle w:val="13"/>
            </w:pPr>
            <w:r>
              <w:t>271.82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70.40</w:t>
            </w:r>
          </w:p>
        </w:tc>
        <w:tc>
          <w:tcPr>
            <w:tcW w:w="1474" w:type="dxa"/>
            <w:vAlign w:val="center"/>
          </w:tcPr>
          <w:p>
            <w:pPr>
              <w:pStyle w:val="13"/>
            </w:pPr>
            <w:r>
              <w:t>70.40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13.77</w:t>
            </w:r>
          </w:p>
        </w:tc>
        <w:tc>
          <w:tcPr>
            <w:tcW w:w="1474" w:type="dxa"/>
            <w:vAlign w:val="center"/>
          </w:tcPr>
          <w:p>
            <w:pPr>
              <w:pStyle w:val="13"/>
            </w:pPr>
            <w:r>
              <w:t>13.77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20.55</w:t>
            </w:r>
          </w:p>
        </w:tc>
        <w:tc>
          <w:tcPr>
            <w:tcW w:w="1474" w:type="dxa"/>
            <w:vAlign w:val="center"/>
          </w:tcPr>
          <w:p>
            <w:pPr>
              <w:pStyle w:val="13"/>
            </w:pPr>
            <w:r>
              <w:t>20.55</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368.69</w:t>
            </w:r>
          </w:p>
        </w:tc>
        <w:tc>
          <w:tcPr>
            <w:tcW w:w="3402" w:type="dxa"/>
            <w:vAlign w:val="center"/>
          </w:tcPr>
          <w:p>
            <w:pPr>
              <w:pStyle w:val="16"/>
            </w:pPr>
            <w:r>
              <w:t>本年支出合计</w:t>
            </w:r>
          </w:p>
        </w:tc>
        <w:tc>
          <w:tcPr>
            <w:tcW w:w="1474" w:type="dxa"/>
            <w:vAlign w:val="center"/>
          </w:tcPr>
          <w:p>
            <w:pPr>
              <w:pStyle w:val="17"/>
            </w:pPr>
            <w:r>
              <w:t>376.55</w:t>
            </w:r>
          </w:p>
        </w:tc>
        <w:tc>
          <w:tcPr>
            <w:tcW w:w="1474" w:type="dxa"/>
            <w:vAlign w:val="center"/>
          </w:tcPr>
          <w:p>
            <w:pPr>
              <w:pStyle w:val="17"/>
            </w:pPr>
            <w:r>
              <w:t>376.55</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r>
              <w:t>7.86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r>
              <w:t>7.86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376.55</w:t>
            </w:r>
          </w:p>
        </w:tc>
        <w:tc>
          <w:tcPr>
            <w:tcW w:w="3402" w:type="dxa"/>
            <w:vAlign w:val="center"/>
          </w:tcPr>
          <w:p>
            <w:pPr>
              <w:pStyle w:val="16"/>
            </w:pPr>
            <w:r>
              <w:t>支出总计</w:t>
            </w:r>
          </w:p>
        </w:tc>
        <w:tc>
          <w:tcPr>
            <w:tcW w:w="1474" w:type="dxa"/>
            <w:vAlign w:val="center"/>
          </w:tcPr>
          <w:p>
            <w:pPr>
              <w:pStyle w:val="17"/>
            </w:pPr>
            <w:r>
              <w:t>376.55</w:t>
            </w:r>
          </w:p>
        </w:tc>
        <w:tc>
          <w:tcPr>
            <w:tcW w:w="1474" w:type="dxa"/>
            <w:vAlign w:val="center"/>
          </w:tcPr>
          <w:p>
            <w:pPr>
              <w:pStyle w:val="17"/>
            </w:pPr>
            <w:r>
              <w:t>376.55</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376.55</w:t>
            </w:r>
          </w:p>
        </w:tc>
        <w:tc>
          <w:tcPr>
            <w:tcW w:w="2551" w:type="dxa"/>
            <w:vAlign w:val="center"/>
          </w:tcPr>
          <w:p>
            <w:pPr>
              <w:pStyle w:val="17"/>
            </w:pPr>
            <w:r>
              <w:t>265.61</w:t>
            </w:r>
          </w:p>
        </w:tc>
        <w:tc>
          <w:tcPr>
            <w:tcW w:w="2551" w:type="dxa"/>
            <w:vAlign w:val="center"/>
          </w:tcPr>
          <w:p>
            <w:pPr>
              <w:pStyle w:val="17"/>
            </w:pPr>
            <w:r>
              <w:t>110.94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271.82</w:t>
            </w:r>
          </w:p>
        </w:tc>
        <w:tc>
          <w:tcPr>
            <w:tcW w:w="2551" w:type="dxa"/>
            <w:vAlign w:val="center"/>
          </w:tcPr>
          <w:p>
            <w:pPr>
              <w:pStyle w:val="13"/>
            </w:pPr>
            <w:r>
              <w:t>175.97</w:t>
            </w:r>
          </w:p>
        </w:tc>
        <w:tc>
          <w:tcPr>
            <w:tcW w:w="2551" w:type="dxa"/>
            <w:vAlign w:val="center"/>
          </w:tcPr>
          <w:p>
            <w:pPr>
              <w:pStyle w:val="13"/>
            </w:pPr>
            <w:r>
              <w:t>95.86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20134</w:t>
            </w:r>
          </w:p>
        </w:tc>
        <w:tc>
          <w:tcPr>
            <w:tcW w:w="4535" w:type="dxa"/>
            <w:vAlign w:val="center"/>
          </w:tcPr>
          <w:p>
            <w:pPr>
              <w:pStyle w:val="14"/>
            </w:pPr>
            <w:r>
              <w:t>统战事务</w:t>
            </w:r>
          </w:p>
        </w:tc>
        <w:tc>
          <w:tcPr>
            <w:tcW w:w="2551" w:type="dxa"/>
            <w:vAlign w:val="center"/>
          </w:tcPr>
          <w:p>
            <w:pPr>
              <w:pStyle w:val="13"/>
            </w:pPr>
            <w:r>
              <w:t>271.82</w:t>
            </w:r>
          </w:p>
        </w:tc>
        <w:tc>
          <w:tcPr>
            <w:tcW w:w="2551" w:type="dxa"/>
            <w:vAlign w:val="center"/>
          </w:tcPr>
          <w:p>
            <w:pPr>
              <w:pStyle w:val="13"/>
            </w:pPr>
            <w:r>
              <w:t>175.97</w:t>
            </w:r>
          </w:p>
        </w:tc>
        <w:tc>
          <w:tcPr>
            <w:tcW w:w="2551" w:type="dxa"/>
            <w:vAlign w:val="center"/>
          </w:tcPr>
          <w:p>
            <w:pPr>
              <w:pStyle w:val="13"/>
            </w:pPr>
            <w:r>
              <w:t>95.86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2013401</w:t>
            </w:r>
          </w:p>
        </w:tc>
        <w:tc>
          <w:tcPr>
            <w:tcW w:w="4535" w:type="dxa"/>
            <w:vAlign w:val="center"/>
          </w:tcPr>
          <w:p>
            <w:pPr>
              <w:pStyle w:val="14"/>
            </w:pPr>
            <w:r>
              <w:t>行政运行</w:t>
            </w:r>
          </w:p>
        </w:tc>
        <w:tc>
          <w:tcPr>
            <w:tcW w:w="2551" w:type="dxa"/>
            <w:vAlign w:val="center"/>
          </w:tcPr>
          <w:p>
            <w:pPr>
              <w:pStyle w:val="13"/>
            </w:pPr>
            <w:r>
              <w:t>175.97</w:t>
            </w:r>
          </w:p>
        </w:tc>
        <w:tc>
          <w:tcPr>
            <w:tcW w:w="2551" w:type="dxa"/>
            <w:vAlign w:val="center"/>
          </w:tcPr>
          <w:p>
            <w:pPr>
              <w:pStyle w:val="13"/>
            </w:pPr>
            <w:r>
              <w:t>175.97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2013402</w:t>
            </w:r>
          </w:p>
        </w:tc>
        <w:tc>
          <w:tcPr>
            <w:tcW w:w="4535" w:type="dxa"/>
            <w:vAlign w:val="center"/>
          </w:tcPr>
          <w:p>
            <w:pPr>
              <w:pStyle w:val="14"/>
            </w:pPr>
            <w:r>
              <w:t>一般行政管理事务</w:t>
            </w:r>
          </w:p>
        </w:tc>
        <w:tc>
          <w:tcPr>
            <w:tcW w:w="2551" w:type="dxa"/>
            <w:vAlign w:val="center"/>
          </w:tcPr>
          <w:p>
            <w:pPr>
              <w:pStyle w:val="13"/>
            </w:pPr>
            <w:r>
              <w:t>8.00</w:t>
            </w:r>
          </w:p>
        </w:tc>
        <w:tc>
          <w:tcPr>
            <w:tcW w:w="2551" w:type="dxa"/>
            <w:vAlign w:val="center"/>
          </w:tcPr>
          <w:p>
            <w:pPr>
              <w:pStyle w:val="13"/>
            </w:pPr>
          </w:p>
        </w:tc>
        <w:tc>
          <w:tcPr>
            <w:tcW w:w="2551"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2013404</w:t>
            </w:r>
          </w:p>
        </w:tc>
        <w:tc>
          <w:tcPr>
            <w:tcW w:w="4535" w:type="dxa"/>
            <w:vAlign w:val="center"/>
          </w:tcPr>
          <w:p>
            <w:pPr>
              <w:pStyle w:val="14"/>
            </w:pPr>
            <w:r>
              <w:t>宗教事务</w:t>
            </w:r>
          </w:p>
        </w:tc>
        <w:tc>
          <w:tcPr>
            <w:tcW w:w="2551" w:type="dxa"/>
            <w:vAlign w:val="center"/>
          </w:tcPr>
          <w:p>
            <w:pPr>
              <w:pStyle w:val="13"/>
            </w:pPr>
            <w:r>
              <w:t>81.86</w:t>
            </w:r>
          </w:p>
        </w:tc>
        <w:tc>
          <w:tcPr>
            <w:tcW w:w="2551" w:type="dxa"/>
            <w:vAlign w:val="center"/>
          </w:tcPr>
          <w:p>
            <w:pPr>
              <w:pStyle w:val="13"/>
            </w:pPr>
          </w:p>
        </w:tc>
        <w:tc>
          <w:tcPr>
            <w:tcW w:w="2551" w:type="dxa"/>
            <w:vAlign w:val="center"/>
          </w:tcPr>
          <w:p>
            <w:pPr>
              <w:pStyle w:val="13"/>
            </w:pPr>
            <w:r>
              <w:t>81.86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2013499</w:t>
            </w:r>
          </w:p>
        </w:tc>
        <w:tc>
          <w:tcPr>
            <w:tcW w:w="4535" w:type="dxa"/>
            <w:vAlign w:val="center"/>
          </w:tcPr>
          <w:p>
            <w:pPr>
              <w:pStyle w:val="14"/>
            </w:pPr>
            <w:r>
              <w:t>其他统战事务支出</w:t>
            </w:r>
          </w:p>
        </w:tc>
        <w:tc>
          <w:tcPr>
            <w:tcW w:w="2551" w:type="dxa"/>
            <w:vAlign w:val="center"/>
          </w:tcPr>
          <w:p>
            <w:pPr>
              <w:pStyle w:val="13"/>
            </w:pPr>
            <w:r>
              <w:t>6.00</w:t>
            </w:r>
          </w:p>
        </w:tc>
        <w:tc>
          <w:tcPr>
            <w:tcW w:w="2551" w:type="dxa"/>
            <w:vAlign w:val="center"/>
          </w:tcPr>
          <w:p>
            <w:pPr>
              <w:pStyle w:val="13"/>
            </w:pPr>
          </w:p>
        </w:tc>
        <w:tc>
          <w:tcPr>
            <w:tcW w:w="2551"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70.40</w:t>
            </w:r>
          </w:p>
        </w:tc>
        <w:tc>
          <w:tcPr>
            <w:tcW w:w="2551" w:type="dxa"/>
            <w:vAlign w:val="center"/>
          </w:tcPr>
          <w:p>
            <w:pPr>
              <w:pStyle w:val="13"/>
            </w:pPr>
            <w:r>
              <w:t>55.32</w:t>
            </w: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55.32</w:t>
            </w:r>
          </w:p>
        </w:tc>
        <w:tc>
          <w:tcPr>
            <w:tcW w:w="2551" w:type="dxa"/>
            <w:vAlign w:val="center"/>
          </w:tcPr>
          <w:p>
            <w:pPr>
              <w:pStyle w:val="13"/>
            </w:pPr>
            <w:r>
              <w:t>55.32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40.72</w:t>
            </w:r>
          </w:p>
        </w:tc>
        <w:tc>
          <w:tcPr>
            <w:tcW w:w="2551" w:type="dxa"/>
            <w:vAlign w:val="center"/>
          </w:tcPr>
          <w:p>
            <w:pPr>
              <w:pStyle w:val="13"/>
            </w:pPr>
            <w:r>
              <w:t>40.72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14.60</w:t>
            </w:r>
          </w:p>
        </w:tc>
        <w:tc>
          <w:tcPr>
            <w:tcW w:w="2551" w:type="dxa"/>
            <w:vAlign w:val="center"/>
          </w:tcPr>
          <w:p>
            <w:pPr>
              <w:pStyle w:val="13"/>
            </w:pPr>
            <w:r>
              <w:t>14.60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15.08</w:t>
            </w:r>
          </w:p>
        </w:tc>
        <w:tc>
          <w:tcPr>
            <w:tcW w:w="2551" w:type="dxa"/>
            <w:vAlign w:val="center"/>
          </w:tcPr>
          <w:p>
            <w:pPr>
              <w:pStyle w:val="13"/>
            </w:pPr>
          </w:p>
        </w:tc>
        <w:tc>
          <w:tcPr>
            <w:tcW w:w="2551" w:type="dxa"/>
            <w:vAlign w:val="center"/>
          </w:tcPr>
          <w:p>
            <w:pPr>
              <w:pStyle w:val="13"/>
            </w:pPr>
            <w:r>
              <w:t>15.08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13.77</w:t>
            </w:r>
          </w:p>
        </w:tc>
        <w:tc>
          <w:tcPr>
            <w:tcW w:w="2551" w:type="dxa"/>
            <w:vAlign w:val="center"/>
          </w:tcPr>
          <w:p>
            <w:pPr>
              <w:pStyle w:val="13"/>
            </w:pPr>
            <w:r>
              <w:t>13.77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20.55</w:t>
            </w:r>
          </w:p>
        </w:tc>
        <w:tc>
          <w:tcPr>
            <w:tcW w:w="2551" w:type="dxa"/>
            <w:vAlign w:val="center"/>
          </w:tcPr>
          <w:p>
            <w:pPr>
              <w:pStyle w:val="13"/>
            </w:pPr>
            <w:r>
              <w:t>20.55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2"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2"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265.61</w:t>
            </w:r>
          </w:p>
        </w:tc>
        <w:tc>
          <w:tcPr>
            <w:tcW w:w="2551" w:type="dxa"/>
            <w:vAlign w:val="center"/>
          </w:tcPr>
          <w:p>
            <w:pPr>
              <w:pStyle w:val="17"/>
            </w:pPr>
            <w:r>
              <w:t>232.41</w:t>
            </w:r>
          </w:p>
        </w:tc>
        <w:tc>
          <w:tcPr>
            <w:tcW w:w="2552" w:type="dxa"/>
            <w:vAlign w:val="center"/>
          </w:tcPr>
          <w:p>
            <w:pPr>
              <w:pStyle w:val="17"/>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192.58</w:t>
            </w:r>
          </w:p>
        </w:tc>
        <w:tc>
          <w:tcPr>
            <w:tcW w:w="2551" w:type="dxa"/>
            <w:vAlign w:val="center"/>
          </w:tcPr>
          <w:p>
            <w:pPr>
              <w:pStyle w:val="13"/>
            </w:pPr>
            <w:r>
              <w:t>192.58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51.46</w:t>
            </w:r>
          </w:p>
        </w:tc>
        <w:tc>
          <w:tcPr>
            <w:tcW w:w="2551" w:type="dxa"/>
            <w:vAlign w:val="center"/>
          </w:tcPr>
          <w:p>
            <w:pPr>
              <w:pStyle w:val="13"/>
            </w:pPr>
            <w:r>
              <w:t>51.46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46.17</w:t>
            </w:r>
          </w:p>
        </w:tc>
        <w:tc>
          <w:tcPr>
            <w:tcW w:w="2551" w:type="dxa"/>
            <w:vAlign w:val="center"/>
          </w:tcPr>
          <w:p>
            <w:pPr>
              <w:pStyle w:val="13"/>
            </w:pPr>
            <w:r>
              <w:t>46.17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4.29</w:t>
            </w:r>
          </w:p>
        </w:tc>
        <w:tc>
          <w:tcPr>
            <w:tcW w:w="2551" w:type="dxa"/>
            <w:vAlign w:val="center"/>
          </w:tcPr>
          <w:p>
            <w:pPr>
              <w:pStyle w:val="13"/>
            </w:pPr>
            <w:r>
              <w:t>4.29</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14.60</w:t>
            </w:r>
          </w:p>
        </w:tc>
        <w:tc>
          <w:tcPr>
            <w:tcW w:w="2551" w:type="dxa"/>
            <w:vAlign w:val="center"/>
          </w:tcPr>
          <w:p>
            <w:pPr>
              <w:pStyle w:val="13"/>
            </w:pPr>
            <w:r>
              <w:t>14.60</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7.76</w:t>
            </w:r>
          </w:p>
        </w:tc>
        <w:tc>
          <w:tcPr>
            <w:tcW w:w="2551" w:type="dxa"/>
            <w:vAlign w:val="center"/>
          </w:tcPr>
          <w:p>
            <w:pPr>
              <w:pStyle w:val="13"/>
            </w:pPr>
            <w:r>
              <w:t>7.76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6.01</w:t>
            </w:r>
          </w:p>
        </w:tc>
        <w:tc>
          <w:tcPr>
            <w:tcW w:w="2551" w:type="dxa"/>
            <w:vAlign w:val="center"/>
          </w:tcPr>
          <w:p>
            <w:pPr>
              <w:pStyle w:val="13"/>
            </w:pPr>
            <w:r>
              <w:t>6.01</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0.46</w:t>
            </w:r>
          </w:p>
        </w:tc>
        <w:tc>
          <w:tcPr>
            <w:tcW w:w="2551" w:type="dxa"/>
            <w:vAlign w:val="center"/>
          </w:tcPr>
          <w:p>
            <w:pPr>
              <w:pStyle w:val="13"/>
            </w:pPr>
            <w:r>
              <w:t>0.46</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20.55</w:t>
            </w:r>
          </w:p>
        </w:tc>
        <w:tc>
          <w:tcPr>
            <w:tcW w:w="2551" w:type="dxa"/>
            <w:vAlign w:val="center"/>
          </w:tcPr>
          <w:p>
            <w:pPr>
              <w:pStyle w:val="13"/>
            </w:pPr>
            <w:r>
              <w:t>20.55</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41.28</w:t>
            </w:r>
          </w:p>
        </w:tc>
        <w:tc>
          <w:tcPr>
            <w:tcW w:w="2551" w:type="dxa"/>
            <w:vAlign w:val="center"/>
          </w:tcPr>
          <w:p>
            <w:pPr>
              <w:pStyle w:val="13"/>
            </w:pPr>
            <w:r>
              <w:t>41.28</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33.19</w:t>
            </w:r>
          </w:p>
        </w:tc>
        <w:tc>
          <w:tcPr>
            <w:tcW w:w="2551" w:type="dxa"/>
            <w:vAlign w:val="center"/>
          </w:tcPr>
          <w:p>
            <w:pPr>
              <w:pStyle w:val="13"/>
            </w:pPr>
          </w:p>
        </w:tc>
        <w:tc>
          <w:tcPr>
            <w:tcW w:w="2552" w:type="dxa"/>
            <w:vAlign w:val="center"/>
          </w:tcPr>
          <w:p>
            <w:pPr>
              <w:pStyle w:val="13"/>
            </w:pPr>
            <w:r>
              <w:t>33.19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7.20</w:t>
            </w:r>
          </w:p>
        </w:tc>
        <w:tc>
          <w:tcPr>
            <w:tcW w:w="2551" w:type="dxa"/>
            <w:vAlign w:val="center"/>
          </w:tcPr>
          <w:p>
            <w:pPr>
              <w:pStyle w:val="13"/>
            </w:pPr>
          </w:p>
        </w:tc>
        <w:tc>
          <w:tcPr>
            <w:tcW w:w="2552" w:type="dxa"/>
            <w:vAlign w:val="center"/>
          </w:tcPr>
          <w:p>
            <w:pPr>
              <w:pStyle w:val="13"/>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6.80</w:t>
            </w:r>
          </w:p>
        </w:tc>
        <w:tc>
          <w:tcPr>
            <w:tcW w:w="2551" w:type="dxa"/>
            <w:vAlign w:val="center"/>
          </w:tcPr>
          <w:p>
            <w:pPr>
              <w:pStyle w:val="13"/>
            </w:pPr>
          </w:p>
        </w:tc>
        <w:tc>
          <w:tcPr>
            <w:tcW w:w="2552" w:type="dxa"/>
            <w:vAlign w:val="center"/>
          </w:tcPr>
          <w:p>
            <w:pPr>
              <w:pStyle w:val="13"/>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30227</w:t>
            </w:r>
          </w:p>
        </w:tc>
        <w:tc>
          <w:tcPr>
            <w:tcW w:w="4535" w:type="dxa"/>
            <w:vAlign w:val="center"/>
          </w:tcPr>
          <w:p>
            <w:pPr>
              <w:pStyle w:val="14"/>
            </w:pPr>
            <w:r>
              <w:t>委托业务费</w:t>
            </w:r>
          </w:p>
        </w:tc>
        <w:tc>
          <w:tcPr>
            <w:tcW w:w="2551" w:type="dxa"/>
            <w:vAlign w:val="center"/>
          </w:tcPr>
          <w:p>
            <w:pPr>
              <w:pStyle w:val="13"/>
            </w:pPr>
            <w:r>
              <w:t>4.54</w:t>
            </w:r>
          </w:p>
        </w:tc>
        <w:tc>
          <w:tcPr>
            <w:tcW w:w="2551" w:type="dxa"/>
            <w:vAlign w:val="center"/>
          </w:tcPr>
          <w:p>
            <w:pPr>
              <w:pStyle w:val="13"/>
            </w:pPr>
          </w:p>
        </w:tc>
        <w:tc>
          <w:tcPr>
            <w:tcW w:w="2552" w:type="dxa"/>
            <w:vAlign w:val="center"/>
          </w:tcPr>
          <w:p>
            <w:pPr>
              <w:pStyle w:val="13"/>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1.09</w:t>
            </w:r>
          </w:p>
        </w:tc>
        <w:tc>
          <w:tcPr>
            <w:tcW w:w="2551" w:type="dxa"/>
            <w:vAlign w:val="center"/>
          </w:tcPr>
          <w:p>
            <w:pPr>
              <w:pStyle w:val="13"/>
            </w:pPr>
          </w:p>
        </w:tc>
        <w:tc>
          <w:tcPr>
            <w:tcW w:w="2552" w:type="dxa"/>
            <w:vAlign w:val="center"/>
          </w:tcPr>
          <w:p>
            <w:pPr>
              <w:pStyle w:val="13"/>
            </w:pPr>
            <w:r>
              <w:t>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1.29</w:t>
            </w:r>
          </w:p>
        </w:tc>
        <w:tc>
          <w:tcPr>
            <w:tcW w:w="2551" w:type="dxa"/>
            <w:vAlign w:val="center"/>
          </w:tcPr>
          <w:p>
            <w:pPr>
              <w:pStyle w:val="13"/>
            </w:pPr>
          </w:p>
        </w:tc>
        <w:tc>
          <w:tcPr>
            <w:tcW w:w="2552" w:type="dxa"/>
            <w:vAlign w:val="center"/>
          </w:tcPr>
          <w:p>
            <w:pPr>
              <w:pStyle w:val="13"/>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2.70</w:t>
            </w:r>
          </w:p>
        </w:tc>
        <w:tc>
          <w:tcPr>
            <w:tcW w:w="2551" w:type="dxa"/>
            <w:vAlign w:val="center"/>
          </w:tcPr>
          <w:p>
            <w:pPr>
              <w:pStyle w:val="13"/>
            </w:pPr>
          </w:p>
        </w:tc>
        <w:tc>
          <w:tcPr>
            <w:tcW w:w="2552" w:type="dxa"/>
            <w:vAlign w:val="center"/>
          </w:tcPr>
          <w:p>
            <w:pPr>
              <w:pStyle w:val="13"/>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8.46</w:t>
            </w:r>
          </w:p>
        </w:tc>
        <w:tc>
          <w:tcPr>
            <w:tcW w:w="2551" w:type="dxa"/>
            <w:vAlign w:val="center"/>
          </w:tcPr>
          <w:p>
            <w:pPr>
              <w:pStyle w:val="13"/>
            </w:pPr>
          </w:p>
        </w:tc>
        <w:tc>
          <w:tcPr>
            <w:tcW w:w="2552" w:type="dxa"/>
            <w:vAlign w:val="center"/>
          </w:tcPr>
          <w:p>
            <w:pPr>
              <w:pStyle w:val="13"/>
            </w:pPr>
            <w:r>
              <w:t>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1.11</w:t>
            </w:r>
          </w:p>
        </w:tc>
        <w:tc>
          <w:tcPr>
            <w:tcW w:w="2551" w:type="dxa"/>
            <w:vAlign w:val="center"/>
          </w:tcPr>
          <w:p>
            <w:pPr>
              <w:pStyle w:val="13"/>
            </w:pPr>
          </w:p>
        </w:tc>
        <w:tc>
          <w:tcPr>
            <w:tcW w:w="2552" w:type="dxa"/>
            <w:vAlign w:val="center"/>
          </w:tcPr>
          <w:p>
            <w:pPr>
              <w:pStyle w:val="13"/>
            </w:pPr>
            <w:r>
              <w:t>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39.84</w:t>
            </w:r>
          </w:p>
        </w:tc>
        <w:tc>
          <w:tcPr>
            <w:tcW w:w="2551" w:type="dxa"/>
            <w:vAlign w:val="center"/>
          </w:tcPr>
          <w:p>
            <w:pPr>
              <w:pStyle w:val="13"/>
            </w:pPr>
            <w:r>
              <w:t>39.84</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13.53</w:t>
            </w:r>
          </w:p>
        </w:tc>
        <w:tc>
          <w:tcPr>
            <w:tcW w:w="2551" w:type="dxa"/>
            <w:vAlign w:val="center"/>
          </w:tcPr>
          <w:p>
            <w:pPr>
              <w:pStyle w:val="13"/>
            </w:pPr>
            <w:r>
              <w:t>13.53</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5.67</w:t>
            </w:r>
          </w:p>
        </w:tc>
        <w:tc>
          <w:tcPr>
            <w:tcW w:w="2551" w:type="dxa"/>
            <w:vAlign w:val="center"/>
          </w:tcPr>
          <w:p>
            <w:pPr>
              <w:pStyle w:val="13"/>
            </w:pPr>
            <w:r>
              <w:t>5.67</w:t>
            </w:r>
          </w:p>
        </w:tc>
        <w:tc>
          <w:tcPr>
            <w:tcW w:w="255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30399</w:t>
            </w:r>
          </w:p>
        </w:tc>
        <w:tc>
          <w:tcPr>
            <w:tcW w:w="4535" w:type="dxa"/>
            <w:vAlign w:val="center"/>
          </w:tcPr>
          <w:p>
            <w:pPr>
              <w:pStyle w:val="14"/>
            </w:pPr>
            <w:r>
              <w:t>其他对个人和家庭的补助</w:t>
            </w:r>
          </w:p>
        </w:tc>
        <w:tc>
          <w:tcPr>
            <w:tcW w:w="2551" w:type="dxa"/>
            <w:vAlign w:val="center"/>
          </w:tcPr>
          <w:p>
            <w:pPr>
              <w:pStyle w:val="13"/>
            </w:pPr>
            <w:r>
              <w:t>20.64</w:t>
            </w:r>
          </w:p>
        </w:tc>
        <w:tc>
          <w:tcPr>
            <w:tcW w:w="2551" w:type="dxa"/>
            <w:vAlign w:val="center"/>
          </w:tcPr>
          <w:p>
            <w:pPr>
              <w:pStyle w:val="13"/>
            </w:pPr>
            <w:r>
              <w:t>20.64</w:t>
            </w:r>
          </w:p>
        </w:tc>
        <w:tc>
          <w:tcPr>
            <w:tcW w:w="2552"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pPr>
              <w:pStyle w:val="10"/>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5"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2"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2" w:type="dxa"/>
            <w:vAlign w:val="center"/>
          </w:tcPr>
          <w:p>
            <w:pPr>
              <w:pStyle w:val="17"/>
            </w:pPr>
            <w:r>
              <w:t>2.70</w:t>
            </w:r>
          </w:p>
        </w:tc>
        <w:tc>
          <w:tcPr>
            <w:tcW w:w="2381" w:type="dxa"/>
            <w:vAlign w:val="center"/>
          </w:tcPr>
          <w:p>
            <w:pPr>
              <w:pStyle w:val="17"/>
            </w:pPr>
            <w:r>
              <w:t>2.70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2" w:type="dxa"/>
            <w:vAlign w:val="center"/>
          </w:tcPr>
          <w:p>
            <w:pPr>
              <w:pStyle w:val="13"/>
            </w:pPr>
            <w:r>
              <w:t>2.70</w:t>
            </w:r>
          </w:p>
        </w:tc>
        <w:tc>
          <w:tcPr>
            <w:tcW w:w="2381" w:type="dxa"/>
            <w:vAlign w:val="center"/>
          </w:tcPr>
          <w:p>
            <w:pPr>
              <w:pStyle w:val="13"/>
            </w:pPr>
            <w:r>
              <w:t>2.70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2"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中共石家庄市鹿泉区委统一战线工作部2022年部门预算信息公开情况说明</w:t>
      </w:r>
    </w:p>
    <w:p>
      <w:pPr>
        <w:jc w:val="center"/>
      </w:pPr>
      <w:r>
        <w:rPr>
          <w:rFonts w:ascii="方正小标宋_GBK" w:hAnsi="方正小标宋_GBK" w:eastAsia="方正小标宋_GBK" w:cs="方正小标宋_GBK"/>
          <w:color w:val="000000"/>
          <w:sz w:val="44"/>
        </w:rPr>
        <w:t>中共石家庄市鹿泉区委统一战线工作部2022年部门预算信息公开情况说明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》、《地方预决算公开操作规程》和《关于进一步推进预算公开工作的实施意见》规定，现将中共石家庄市鹿泉区委统一战线工作部2022年部门预算公开如下：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9"/>
      </w:pPr>
      <w: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pStyle w:val="19"/>
      </w:pPr>
      <w:r>
        <w:t>（二）深入调查研究统一战线理论，及时向区委报告统一战线工作情况并提出建议，统筹协调和指导各乡镇（区）各部门各单位统一战线工作。组织协调统一战线政策和法律法规的贯彻落实，检查执行情况，协调统一战线各方面关系。</w:t>
      </w:r>
    </w:p>
    <w:p>
      <w:pPr>
        <w:pStyle w:val="19"/>
      </w:pPr>
      <w:r>
        <w:t>（三）负责发现、培养党外代表人士，负责党外人士的政治安排，协助民主党派支部、区工商联做好干部管理工作，反映和协调解决党外代表人士工作生活中的实际困难。</w:t>
      </w:r>
    </w:p>
    <w:p>
      <w:pPr>
        <w:pStyle w:val="19"/>
      </w:pPr>
      <w:r>
        <w:t>（四）贯彻落实党的宣传工作方针，统筹推进全区统一战线宣传工作，拟订全区统一战线宣传工作规划并组织实施，研判涉及统一战线的舆情并协调有关部门应对处置</w:t>
      </w:r>
    </w:p>
    <w:p>
      <w:pPr>
        <w:pStyle w:val="19"/>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9"/>
      </w:pPr>
      <w: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pStyle w:val="19"/>
      </w:pPr>
      <w:r>
        <w:t>（七）负责联系、培养无党派代表人士，支持、帮助无党派人士发挥作用，调查研究党外知识分子和新的社会阶层</w:t>
      </w:r>
      <w:r>
        <w:rPr>
          <w:rFonts w:hint="eastAsia"/>
          <w:lang w:val="en-US" w:eastAsia="zh-CN"/>
        </w:rPr>
        <w:t>人</w:t>
      </w:r>
      <w:r>
        <w:t>士情况并提出政策建议，联系、培养党外知识分子和新的社会阶层代表人士，开展思想政治工作，指导企业和社会组织开展党外知识分子和新的社会阶层人士统战工作。</w:t>
      </w:r>
    </w:p>
    <w:p>
      <w:pPr>
        <w:pStyle w:val="19"/>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w:t>
      </w:r>
      <w:r>
        <w:rPr>
          <w:rFonts w:hint="eastAsia"/>
          <w:lang w:eastAsia="zh-CN"/>
        </w:rPr>
        <w:t>人士</w:t>
      </w:r>
      <w:r>
        <w:t>健康成长。</w:t>
      </w:r>
    </w:p>
    <w:p>
      <w:pPr>
        <w:pStyle w:val="19"/>
      </w:pPr>
      <w:r>
        <w:t>（九）开展港澳台海外统一战线工作，贯彻落实党的海外统战工作政策，联系香港、澳门有关党派、团体及代表人士，联系海外有关社团</w:t>
      </w:r>
      <w:bookmarkStart w:id="18" w:name="_GoBack"/>
      <w:bookmarkEnd w:id="18"/>
      <w:r>
        <w:t>及代表人士。</w:t>
      </w:r>
    </w:p>
    <w:p>
      <w:pPr>
        <w:pStyle w:val="19"/>
      </w:pPr>
      <w:r>
        <w:t>（十）统一管理全区侨务工作，贯彻落实党的侨务工作方针政策并组织协调、督促检查落实，调查研究侨情和侨务工作情况，管理侨务工作，保护华侨和归侨侨眷在区内的合法权利和利益。</w:t>
      </w:r>
    </w:p>
    <w:p>
      <w:pPr>
        <w:pStyle w:val="19"/>
      </w:pPr>
      <w: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pStyle w:val="19"/>
      </w:pPr>
      <w:r>
        <w:t>（十二）指导各乡镇（区）党（工）委统一战线工作，负责乡镇（区）统战干部培训工作；指导区工商联工作；指导区侨联工作，做好区党外知识分子联谊会和区侨联等统战团体管理工作。</w:t>
      </w:r>
    </w:p>
    <w:p>
      <w:pPr>
        <w:pStyle w:val="19"/>
      </w:pPr>
      <w:r>
        <w:t>（十三）完成区委交办的其他任务。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中共石家庄市鹿泉区委统一战线工作部本级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按照预算管理有关规定，目前我省部门预算的编制实行综合预算管理，即全部收入和支出都反映在预算中。中共石家庄市鹿泉区委统一战线工作部机关及所属事业单位的收支包含在部门预算中。</w:t>
      </w:r>
    </w:p>
    <w:p>
      <w:pPr>
        <w:pStyle w:val="20"/>
      </w:pPr>
      <w:r>
        <w:t>1、收入说明</w:t>
      </w:r>
    </w:p>
    <w:p>
      <w:pPr>
        <w:pStyle w:val="20"/>
      </w:pPr>
      <w:r>
        <w:t>反映本部门当年全部收入。2022年预算收入</w:t>
      </w:r>
      <w:r>
        <w:rPr>
          <w:rFonts w:hint="eastAsia"/>
          <w:lang w:val="en-US" w:eastAsia="zh-CN"/>
        </w:rPr>
        <w:t>376.65</w:t>
      </w:r>
      <w:r>
        <w:t>万元，其中：一般公共预算收入</w:t>
      </w:r>
      <w:r>
        <w:rPr>
          <w:rFonts w:hint="eastAsia"/>
          <w:lang w:val="en-US" w:eastAsia="zh-CN"/>
        </w:rPr>
        <w:t>376.65</w:t>
      </w:r>
      <w:r>
        <w:t>万元，基金预算收入0万元，财政专户核拨收入0万元，其他来源收入0万元。</w:t>
      </w:r>
    </w:p>
    <w:p>
      <w:pPr>
        <w:pStyle w:val="20"/>
      </w:pPr>
      <w:r>
        <w:t>2、支出说明</w:t>
      </w:r>
    </w:p>
    <w:p>
      <w:pPr>
        <w:pStyle w:val="20"/>
      </w:pPr>
      <w:r>
        <w:t>收支预算总表支出栏、基本支出表、项目支出表按经济分类和支出功能分类科目编制，反映中共石家庄市鹿泉区委统一战线工作部年度部门预算中支出预算的总体情况。2022年部门支出预算为</w:t>
      </w:r>
      <w:r>
        <w:rPr>
          <w:rFonts w:hint="eastAsia"/>
          <w:lang w:val="en-US" w:eastAsia="zh-CN"/>
        </w:rPr>
        <w:t>376.65</w:t>
      </w:r>
      <w:r>
        <w:t>万元，其中基本支出</w:t>
      </w:r>
      <w:r>
        <w:rPr>
          <w:rFonts w:hint="eastAsia"/>
          <w:lang w:val="en-US" w:eastAsia="zh-CN"/>
        </w:rPr>
        <w:t>265.6</w:t>
      </w:r>
      <w:r>
        <w:t>万元，包括人员经费</w:t>
      </w:r>
      <w:r>
        <w:rPr>
          <w:rFonts w:hint="eastAsia"/>
          <w:lang w:val="en-US" w:eastAsia="zh-CN"/>
        </w:rPr>
        <w:t>232.41</w:t>
      </w:r>
      <w:r>
        <w:t>万元和日常公用经费</w:t>
      </w:r>
      <w:r>
        <w:rPr>
          <w:rFonts w:hint="eastAsia"/>
          <w:lang w:val="en-US" w:eastAsia="zh-CN"/>
        </w:rPr>
        <w:t>33.19</w:t>
      </w:r>
      <w:r>
        <w:t>万元；项目支出</w:t>
      </w:r>
      <w:r>
        <w:rPr>
          <w:rFonts w:hint="eastAsia"/>
          <w:lang w:val="en-US" w:eastAsia="zh-CN"/>
        </w:rPr>
        <w:t>110.94</w:t>
      </w:r>
      <w:r>
        <w:t>万元。</w:t>
      </w:r>
    </w:p>
    <w:p>
      <w:pPr>
        <w:pStyle w:val="20"/>
      </w:pPr>
      <w:r>
        <w:t>3、比上年增减情况</w:t>
      </w:r>
    </w:p>
    <w:p>
      <w:pPr>
        <w:ind w:firstLine="640"/>
        <w:rPr>
          <w:rFonts w:hint="eastAsia" w:ascii="新宋体" w:hAnsi="新宋体" w:eastAsia="新宋体" w:cs="新宋体"/>
          <w:sz w:val="28"/>
          <w:szCs w:val="28"/>
        </w:rPr>
      </w:pPr>
      <w:r>
        <w:rPr>
          <w:rFonts w:hint="eastAsia" w:ascii="新宋体" w:hAnsi="新宋体" w:eastAsia="新宋体" w:cs="新宋体"/>
          <w:color w:val="000000"/>
          <w:sz w:val="28"/>
          <w:szCs w:val="28"/>
          <w:lang w:val="en-US" w:eastAsia="zh-CN"/>
        </w:rPr>
        <w:t>2022</w:t>
      </w:r>
      <w:r>
        <w:rPr>
          <w:rFonts w:hint="eastAsia" w:ascii="新宋体" w:hAnsi="新宋体" w:eastAsia="新宋体" w:cs="新宋体"/>
          <w:color w:val="000000"/>
          <w:sz w:val="28"/>
          <w:szCs w:val="28"/>
        </w:rPr>
        <w:t>年部门预算收支安排</w:t>
      </w:r>
      <w:r>
        <w:rPr>
          <w:rFonts w:hint="eastAsia" w:ascii="新宋体" w:hAnsi="新宋体" w:eastAsia="新宋体" w:cs="新宋体"/>
          <w:sz w:val="28"/>
          <w:szCs w:val="28"/>
          <w:lang w:val="en-US" w:eastAsia="zh-CN"/>
        </w:rPr>
        <w:t>376.65</w:t>
      </w:r>
      <w:r>
        <w:rPr>
          <w:rFonts w:hint="eastAsia" w:ascii="新宋体" w:hAnsi="新宋体" w:eastAsia="新宋体" w:cs="新宋体"/>
          <w:color w:val="000000"/>
          <w:sz w:val="28"/>
          <w:szCs w:val="28"/>
        </w:rPr>
        <w:t>万元，</w:t>
      </w:r>
      <w:r>
        <w:rPr>
          <w:rFonts w:hint="eastAsia" w:ascii="新宋体" w:hAnsi="新宋体" w:eastAsia="新宋体" w:cs="新宋体"/>
          <w:sz w:val="28"/>
          <w:szCs w:val="28"/>
        </w:rPr>
        <w:t>较20</w:t>
      </w:r>
      <w:r>
        <w:rPr>
          <w:rFonts w:hint="eastAsia" w:ascii="新宋体" w:hAnsi="新宋体" w:eastAsia="新宋体" w:cs="新宋体"/>
          <w:sz w:val="28"/>
          <w:szCs w:val="28"/>
          <w:lang w:val="en-US" w:eastAsia="zh-CN"/>
        </w:rPr>
        <w:t>21</w:t>
      </w:r>
      <w:r>
        <w:rPr>
          <w:rFonts w:hint="eastAsia" w:ascii="新宋体" w:hAnsi="新宋体" w:eastAsia="新宋体" w:cs="新宋体"/>
          <w:sz w:val="28"/>
          <w:szCs w:val="28"/>
        </w:rPr>
        <w:t>年增加</w:t>
      </w:r>
      <w:r>
        <w:rPr>
          <w:rFonts w:hint="eastAsia" w:ascii="新宋体" w:hAnsi="新宋体" w:eastAsia="新宋体" w:cs="新宋体"/>
          <w:sz w:val="28"/>
          <w:szCs w:val="28"/>
          <w:lang w:val="en-US" w:eastAsia="zh-CN"/>
        </w:rPr>
        <w:t>63.97</w:t>
      </w:r>
      <w:r>
        <w:rPr>
          <w:rFonts w:hint="eastAsia" w:ascii="新宋体" w:hAnsi="新宋体" w:eastAsia="新宋体" w:cs="新宋体"/>
          <w:sz w:val="28"/>
          <w:szCs w:val="28"/>
        </w:rPr>
        <w:t>万元，其中：基本支出</w:t>
      </w:r>
      <w:r>
        <w:rPr>
          <w:rFonts w:hint="eastAsia" w:ascii="新宋体" w:hAnsi="新宋体" w:eastAsia="新宋体" w:cs="新宋体"/>
          <w:sz w:val="28"/>
          <w:szCs w:val="28"/>
          <w:lang w:val="en-US" w:eastAsia="zh-CN"/>
        </w:rPr>
        <w:t>减少15.91</w:t>
      </w:r>
      <w:r>
        <w:rPr>
          <w:rFonts w:hint="eastAsia" w:ascii="新宋体" w:hAnsi="新宋体" w:eastAsia="新宋体" w:cs="新宋体"/>
          <w:sz w:val="28"/>
          <w:szCs w:val="28"/>
        </w:rPr>
        <w:t>万元，主要是人员</w:t>
      </w:r>
      <w:r>
        <w:rPr>
          <w:rFonts w:hint="eastAsia" w:ascii="新宋体" w:hAnsi="新宋体" w:eastAsia="新宋体" w:cs="新宋体"/>
          <w:sz w:val="28"/>
          <w:szCs w:val="28"/>
          <w:lang w:val="en-US" w:eastAsia="zh-CN"/>
        </w:rPr>
        <w:t>调出</w:t>
      </w:r>
      <w:r>
        <w:rPr>
          <w:rFonts w:hint="eastAsia" w:ascii="新宋体" w:hAnsi="新宋体" w:eastAsia="新宋体" w:cs="新宋体"/>
          <w:sz w:val="28"/>
          <w:szCs w:val="28"/>
        </w:rPr>
        <w:t>，相应</w:t>
      </w:r>
      <w:r>
        <w:rPr>
          <w:rFonts w:hint="eastAsia" w:ascii="新宋体" w:hAnsi="新宋体" w:eastAsia="新宋体" w:cs="新宋体"/>
          <w:sz w:val="28"/>
          <w:szCs w:val="28"/>
          <w:lang w:val="en-US" w:eastAsia="zh-CN"/>
        </w:rPr>
        <w:t>减少</w:t>
      </w:r>
      <w:r>
        <w:rPr>
          <w:rFonts w:hint="eastAsia" w:ascii="新宋体" w:hAnsi="新宋体" w:eastAsia="新宋体" w:cs="新宋体"/>
          <w:sz w:val="28"/>
          <w:szCs w:val="28"/>
        </w:rPr>
        <w:t>人员经费和日常公用经费；项目支出增加</w:t>
      </w:r>
      <w:r>
        <w:rPr>
          <w:rFonts w:hint="eastAsia" w:ascii="新宋体" w:hAnsi="新宋体" w:eastAsia="新宋体" w:cs="新宋体"/>
          <w:sz w:val="28"/>
          <w:szCs w:val="28"/>
          <w:lang w:val="en-US" w:eastAsia="zh-CN"/>
        </w:rPr>
        <w:t>79.32</w:t>
      </w:r>
      <w:r>
        <w:rPr>
          <w:rFonts w:hint="eastAsia" w:ascii="新宋体" w:hAnsi="新宋体" w:eastAsia="新宋体" w:cs="新宋体"/>
          <w:sz w:val="28"/>
          <w:szCs w:val="28"/>
        </w:rPr>
        <w:t>万元，主要是</w:t>
      </w:r>
      <w:r>
        <w:rPr>
          <w:rFonts w:hint="eastAsia" w:ascii="新宋体" w:hAnsi="新宋体" w:eastAsia="新宋体" w:cs="新宋体"/>
          <w:sz w:val="28"/>
          <w:szCs w:val="28"/>
          <w:lang w:eastAsia="zh-CN"/>
        </w:rPr>
        <w:t>新增</w:t>
      </w:r>
      <w:r>
        <w:rPr>
          <w:rFonts w:hint="eastAsia" w:ascii="新宋体" w:hAnsi="新宋体" w:eastAsia="新宋体" w:cs="新宋体"/>
          <w:sz w:val="28"/>
          <w:szCs w:val="28"/>
          <w:lang w:val="en-US" w:eastAsia="zh-CN"/>
        </w:rPr>
        <w:t>宗教治理专项经费等</w:t>
      </w:r>
      <w:r>
        <w:rPr>
          <w:rFonts w:hint="eastAsia" w:ascii="新宋体" w:hAnsi="新宋体" w:eastAsia="新宋体" w:cs="新宋体"/>
          <w:sz w:val="28"/>
          <w:szCs w:val="28"/>
        </w:rPr>
        <w:t>；其他支出无增减变化。</w:t>
      </w:r>
    </w:p>
    <w:p>
      <w:pPr>
        <w:numPr>
          <w:ilvl w:val="0"/>
          <w:numId w:val="1"/>
        </w:numPr>
        <w:spacing w:before="156" w:beforeLines="50" w:after="156" w:afterLines="50"/>
        <w:ind w:firstLine="640" w:firstLineChars="200"/>
        <w:jc w:val="left"/>
        <w:outlineLvl w:val="2"/>
        <w:rPr>
          <w:rFonts w:hint="eastAsia" w:ascii="黑体" w:hAnsi="黑体" w:eastAsia="黑体"/>
          <w:sz w:val="32"/>
        </w:rPr>
      </w:pPr>
      <w:bookmarkStart w:id="11" w:name="_Toc68854265"/>
      <w:r>
        <w:rPr>
          <w:rFonts w:hint="eastAsia" w:ascii="黑体" w:hAnsi="黑体" w:eastAsia="黑体"/>
          <w:sz w:val="32"/>
        </w:rPr>
        <w:t>机关运行经费安排情况</w:t>
      </w:r>
      <w:bookmarkEnd w:id="11"/>
    </w:p>
    <w:p>
      <w:pPr>
        <w:numPr>
          <w:ilvl w:val="0"/>
          <w:numId w:val="0"/>
        </w:numPr>
        <w:spacing w:before="156" w:beforeLines="50" w:after="156" w:afterLines="50"/>
        <w:ind w:firstLine="560" w:firstLineChars="200"/>
        <w:jc w:val="left"/>
        <w:outlineLvl w:val="2"/>
        <w:rPr>
          <w:rFonts w:hint="eastAsia" w:ascii="宋体" w:hAnsi="宋体" w:eastAsia="宋体" w:cs="宋体"/>
          <w:sz w:val="28"/>
          <w:szCs w:val="28"/>
        </w:rPr>
      </w:pPr>
      <w:r>
        <w:rPr>
          <w:rFonts w:hint="eastAsia" w:ascii="宋体" w:hAnsi="宋体" w:eastAsia="宋体" w:cs="宋体"/>
          <w:sz w:val="28"/>
          <w:szCs w:val="28"/>
        </w:rPr>
        <w:t>202</w:t>
      </w:r>
      <w:r>
        <w:rPr>
          <w:rFonts w:hint="eastAsia" w:ascii="宋体" w:hAnsi="宋体" w:eastAsia="宋体" w:cs="宋体"/>
          <w:sz w:val="28"/>
          <w:szCs w:val="28"/>
          <w:lang w:val="en-US" w:eastAsia="zh-CN"/>
        </w:rPr>
        <w:t>2</w:t>
      </w:r>
      <w:r>
        <w:rPr>
          <w:rFonts w:hint="eastAsia" w:ascii="宋体" w:hAnsi="宋体" w:eastAsia="宋体" w:cs="宋体"/>
          <w:sz w:val="28"/>
          <w:szCs w:val="28"/>
        </w:rPr>
        <w:t>年，我部门机关运行经费共计安排</w:t>
      </w:r>
      <w:r>
        <w:rPr>
          <w:rFonts w:hint="eastAsia" w:ascii="宋体" w:hAnsi="宋体" w:eastAsia="宋体" w:cs="宋体"/>
          <w:sz w:val="28"/>
          <w:szCs w:val="28"/>
          <w:lang w:val="en-US" w:eastAsia="zh-CN"/>
        </w:rPr>
        <w:t>33.19</w:t>
      </w:r>
      <w:r>
        <w:rPr>
          <w:rFonts w:hint="eastAsia" w:ascii="宋体" w:hAnsi="宋体" w:eastAsia="宋体" w:cs="宋体"/>
          <w:sz w:val="28"/>
          <w:szCs w:val="28"/>
        </w:rPr>
        <w:t>万元，主要用于保证机关正常运转的办公及印刷费、邮电费、差旅费、会议费、福利费</w:t>
      </w:r>
      <w:r>
        <w:rPr>
          <w:rFonts w:hint="eastAsia" w:ascii="宋体" w:hAnsi="宋体" w:eastAsia="宋体" w:cs="宋体"/>
          <w:sz w:val="28"/>
          <w:szCs w:val="28"/>
          <w:lang w:eastAsia="zh-CN"/>
        </w:rPr>
        <w:t>、党组织活动、</w:t>
      </w:r>
      <w:r>
        <w:rPr>
          <w:rFonts w:hint="eastAsia" w:ascii="宋体" w:hAnsi="宋体" w:eastAsia="宋体" w:cs="宋体"/>
          <w:sz w:val="28"/>
          <w:szCs w:val="28"/>
        </w:rPr>
        <w:t>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autoSpaceDE w:val="0"/>
        <w:autoSpaceDN w:val="0"/>
        <w:adjustRightInd w:val="0"/>
        <w:ind w:left="198" w:firstLine="560" w:firstLineChars="200"/>
        <w:jc w:val="left"/>
        <w:rPr>
          <w:rFonts w:hint="eastAsia" w:ascii="新宋体" w:hAnsi="新宋体" w:eastAsia="新宋体" w:cs="新宋体"/>
          <w:sz w:val="28"/>
          <w:szCs w:val="28"/>
        </w:rPr>
      </w:pPr>
      <w:r>
        <w:rPr>
          <w:rFonts w:hint="eastAsia" w:ascii="新宋体" w:hAnsi="新宋体" w:eastAsia="新宋体" w:cs="新宋体"/>
          <w:sz w:val="28"/>
          <w:szCs w:val="28"/>
        </w:rPr>
        <w:t>202</w:t>
      </w:r>
      <w:r>
        <w:rPr>
          <w:rFonts w:hint="eastAsia" w:ascii="新宋体" w:hAnsi="新宋体" w:eastAsia="新宋体" w:cs="新宋体"/>
          <w:sz w:val="28"/>
          <w:szCs w:val="28"/>
          <w:lang w:val="en-US" w:eastAsia="zh-CN"/>
        </w:rPr>
        <w:t>2</w:t>
      </w:r>
      <w:r>
        <w:rPr>
          <w:rFonts w:hint="eastAsia" w:ascii="新宋体" w:hAnsi="新宋体" w:eastAsia="新宋体" w:cs="新宋体"/>
          <w:sz w:val="28"/>
          <w:szCs w:val="28"/>
        </w:rPr>
        <w:t>年，我部门财政拨款“三公”经费预算安排</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万元，其中：因公出国（境）费</w:t>
      </w:r>
      <w:r>
        <w:rPr>
          <w:rFonts w:hint="eastAsia" w:ascii="新宋体" w:hAnsi="新宋体" w:eastAsia="新宋体" w:cs="新宋体"/>
          <w:sz w:val="28"/>
          <w:szCs w:val="28"/>
          <w:lang w:val="en-US" w:eastAsia="zh-CN"/>
        </w:rPr>
        <w:t>0</w:t>
      </w:r>
      <w:r>
        <w:rPr>
          <w:rFonts w:hint="eastAsia" w:ascii="新宋体" w:hAnsi="新宋体" w:eastAsia="新宋体" w:cs="新宋体"/>
          <w:sz w:val="28"/>
          <w:szCs w:val="28"/>
        </w:rPr>
        <w:t>万元；公务用车购置及运维费</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万元（其中：公务用车购置费0万元，公务用车运行维护费</w:t>
      </w:r>
      <w:r>
        <w:rPr>
          <w:rFonts w:hint="eastAsia" w:ascii="新宋体" w:hAnsi="新宋体" w:eastAsia="新宋体" w:cs="新宋体"/>
          <w:sz w:val="28"/>
          <w:szCs w:val="28"/>
          <w:lang w:val="en-US" w:eastAsia="zh-CN"/>
        </w:rPr>
        <w:t>2.7</w:t>
      </w:r>
      <w:r>
        <w:rPr>
          <w:rFonts w:hint="eastAsia" w:ascii="新宋体" w:hAnsi="新宋体" w:eastAsia="新宋体" w:cs="新宋体"/>
          <w:sz w:val="28"/>
          <w:szCs w:val="28"/>
        </w:rPr>
        <w:t>万元)；公务接待费</w:t>
      </w:r>
      <w:r>
        <w:rPr>
          <w:rFonts w:hint="eastAsia" w:ascii="新宋体" w:hAnsi="新宋体" w:eastAsia="新宋体" w:cs="新宋体"/>
          <w:sz w:val="28"/>
          <w:szCs w:val="28"/>
          <w:lang w:val="en-US" w:eastAsia="zh-CN"/>
        </w:rPr>
        <w:t>0</w:t>
      </w:r>
      <w:r>
        <w:rPr>
          <w:rFonts w:hint="eastAsia" w:ascii="新宋体" w:hAnsi="新宋体" w:eastAsia="新宋体" w:cs="新宋体"/>
          <w:sz w:val="28"/>
          <w:szCs w:val="28"/>
        </w:rPr>
        <w:t>万元。“三公”经费与上年持平，无增减变化。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3"/>
      </w:pPr>
      <w: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2022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line="500" w:lineRule="exact"/>
        <w:ind w:firstLine="560"/>
      </w:pPr>
      <w:r>
        <w:rPr>
          <w:rFonts w:eastAsia="方正仿宋_GBK"/>
          <w:color w:val="000000"/>
          <w:sz w:val="28"/>
        </w:rPr>
        <w:t>（二）分项绩效目标</w:t>
      </w:r>
    </w:p>
    <w:p>
      <w:pPr>
        <w:pStyle w:val="24"/>
      </w:pPr>
      <w:r>
        <w:t>（一）加强学习培训，着力提升统一战线各界人士的思想政治素质。以学习宣传贯彻习近平新时代中国特色社会主义思想和党的十九届六中全会精神为主要内容，加强统战成员的教育培训，深刻感悟“两个确立”的决定性意义，着力提升广大统战干部和统战成员的思想政治素质，迎接党的二十大胜利召开。</w:t>
      </w:r>
    </w:p>
    <w:p>
      <w:pPr>
        <w:pStyle w:val="24"/>
      </w:pPr>
      <w:r>
        <w:t>（二）强化系统治理，切实维护宗教领域的和谐稳定。巩固宗教领域专项整治成果，防范各类非法宗教活动的反弹。深入开展“双创四进”，严格落实三项制度，积极发挥基层治理工作队作用，深入开展宗教领域系统治理，坚持</w:t>
      </w:r>
      <w:r>
        <w:rPr>
          <w:rFonts w:hint="eastAsia"/>
          <w:lang w:eastAsia="zh-CN"/>
        </w:rPr>
        <w:t>我国</w:t>
      </w:r>
      <w:r>
        <w:t>宗教中国化方向。</w:t>
      </w:r>
    </w:p>
    <w:p>
      <w:pPr>
        <w:pStyle w:val="24"/>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的优势，开展服务群众活动。持续做好新时代民营经济统战工作和侨务工作，不断提升统战工作的科学化水平。</w:t>
      </w:r>
    </w:p>
    <w:p>
      <w:pPr>
        <w:pStyle w:val="24"/>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spacing w:line="500" w:lineRule="exact"/>
        <w:ind w:firstLine="560"/>
      </w:pPr>
      <w:r>
        <w:rPr>
          <w:rFonts w:eastAsia="方正仿宋_GBK"/>
          <w:color w:val="000000"/>
          <w:sz w:val="28"/>
        </w:rPr>
        <w:t>（三）工作保障措施</w:t>
      </w:r>
    </w:p>
    <w:p>
      <w:pPr>
        <w:pStyle w:val="25"/>
      </w:pPr>
      <w:r>
        <w:t>1.加强和完善制度建设，不断夯实制度基础。不断加强和完善预算绩效管理制度、资金管理办法，工作保障制度等，为全年预算绩效目标的实现奠定制度基础；</w:t>
      </w:r>
    </w:p>
    <w:p>
      <w:pPr>
        <w:pStyle w:val="25"/>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5"/>
      </w:pPr>
      <w:r>
        <w:t>3、做好绩效自评。按要求开展上年度部门预算绩效自评工作，对评价中发现的问题及时整改，调整优化支出结构，提高财政拨付项目资金的使用效益。</w:t>
      </w:r>
    </w:p>
    <w:p>
      <w:pPr>
        <w:pStyle w:val="25"/>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pPr>
      <w:r>
        <w:t>5、加强宣传培训调研等。通过开展专题培训、宣传政策、观摩交流等形式，提高本部门职工业务素质；加大宣传力度，强化预算绩效管理意识，促进统战各项工作开展。</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5"/>
        <w:rPr>
          <w:rFonts w:hint="eastAsia"/>
          <w:lang w:val="en-US" w:eastAsia="zh-CN"/>
        </w:rPr>
      </w:pPr>
      <w:r>
        <w:rPr>
          <w:rFonts w:hint="eastAsia"/>
          <w:lang w:val="en-US" w:eastAsia="zh-CN"/>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1、2021年省级基层宗教事务管理补助经费绩效目标表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1.在宗教界开展党的政策宣传，为全区宗教场所统一制作和更换社会主义核心价值观、宪法等宣传展牌，促进宗教场所进一步规范化，宗教界人士综合素质进一步提高，宗教关系进一步和谐。</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为宗教场所制作展牌数量</w:t>
            </w:r>
          </w:p>
        </w:tc>
        <w:tc>
          <w:tcPr>
            <w:tcW w:w="2835" w:type="dxa"/>
            <w:vAlign w:val="center"/>
          </w:tcPr>
          <w:p>
            <w:pPr>
              <w:pStyle w:val="14"/>
            </w:pPr>
            <w:r>
              <w:t>为宗教场所制作展牌数量</w:t>
            </w:r>
          </w:p>
        </w:tc>
        <w:tc>
          <w:tcPr>
            <w:tcW w:w="2551" w:type="dxa"/>
            <w:vAlign w:val="center"/>
          </w:tcPr>
          <w:p>
            <w:pPr>
              <w:pStyle w:val="14"/>
            </w:pPr>
            <w:r>
              <w:t>≥250块</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展牌制作合格率</w:t>
            </w:r>
          </w:p>
        </w:tc>
        <w:tc>
          <w:tcPr>
            <w:tcW w:w="2835" w:type="dxa"/>
            <w:vAlign w:val="center"/>
          </w:tcPr>
          <w:p>
            <w:pPr>
              <w:pStyle w:val="14"/>
            </w:pPr>
            <w:r>
              <w:t>制作合格的展牌占所有制作的展牌的比例</w:t>
            </w:r>
          </w:p>
        </w:tc>
        <w:tc>
          <w:tcPr>
            <w:tcW w:w="2551" w:type="dxa"/>
            <w:vAlign w:val="center"/>
          </w:tcPr>
          <w:p>
            <w:pPr>
              <w:pStyle w:val="14"/>
            </w:pPr>
            <w:r>
              <w:t>100%</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展牌制作完成及时率</w:t>
            </w:r>
          </w:p>
        </w:tc>
        <w:tc>
          <w:tcPr>
            <w:tcW w:w="2835" w:type="dxa"/>
            <w:vAlign w:val="center"/>
          </w:tcPr>
          <w:p>
            <w:pPr>
              <w:pStyle w:val="14"/>
            </w:pPr>
            <w:r>
              <w:t>所有场所展牌制作完成及时率</w:t>
            </w:r>
          </w:p>
        </w:tc>
        <w:tc>
          <w:tcPr>
            <w:tcW w:w="2551" w:type="dxa"/>
            <w:vAlign w:val="center"/>
          </w:tcPr>
          <w:p>
            <w:pPr>
              <w:pStyle w:val="14"/>
            </w:pPr>
            <w:r>
              <w:t>≥100%</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展牌制作成本</w:t>
            </w:r>
          </w:p>
        </w:tc>
        <w:tc>
          <w:tcPr>
            <w:tcW w:w="2835" w:type="dxa"/>
            <w:vAlign w:val="center"/>
          </w:tcPr>
          <w:p>
            <w:pPr>
              <w:pStyle w:val="14"/>
            </w:pPr>
            <w:r>
              <w:t>宣传展牌制作平均成本</w:t>
            </w:r>
          </w:p>
        </w:tc>
        <w:tc>
          <w:tcPr>
            <w:tcW w:w="2551" w:type="dxa"/>
            <w:vAlign w:val="center"/>
          </w:tcPr>
          <w:p>
            <w:pPr>
              <w:pStyle w:val="14"/>
            </w:pPr>
            <w:r>
              <w:t>≤200元/块</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维护和保持宗教领域和谐稳定</w:t>
            </w:r>
          </w:p>
        </w:tc>
        <w:tc>
          <w:tcPr>
            <w:tcW w:w="2268" w:type="dxa"/>
            <w:vAlign w:val="center"/>
          </w:tcPr>
          <w:p>
            <w:pPr>
              <w:pStyle w:val="14"/>
            </w:pPr>
            <w:r>
              <w:t>石财行【2021】8号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石财行【2021】8号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2、2021年市级基层宗教工作专项经费绩效目标表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举办宗教干部培训班和宗教教职人员培训班，通过相关培训，进一步提高宗教干部依法管理水平；提高宗教教职人员的法律意识，贯彻执行行政法规，引领信教群众与社会主义社会相适应。切实维护宗教领域和谐稳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组织培训班次</w:t>
            </w:r>
          </w:p>
        </w:tc>
        <w:tc>
          <w:tcPr>
            <w:tcW w:w="2835" w:type="dxa"/>
            <w:vAlign w:val="center"/>
          </w:tcPr>
          <w:p>
            <w:pPr>
              <w:pStyle w:val="14"/>
            </w:pPr>
            <w:r>
              <w:t>组织培训宗教工作班次</w:t>
            </w:r>
          </w:p>
        </w:tc>
        <w:tc>
          <w:tcPr>
            <w:tcW w:w="2551" w:type="dxa"/>
            <w:vAlign w:val="center"/>
          </w:tcPr>
          <w:p>
            <w:pPr>
              <w:pStyle w:val="14"/>
            </w:pPr>
            <w:r>
              <w:t>≥2次</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培训班通知、签到表</w:t>
            </w:r>
          </w:p>
        </w:tc>
        <w:tc>
          <w:tcPr>
            <w:tcW w:w="2835" w:type="dxa"/>
            <w:vAlign w:val="center"/>
          </w:tcPr>
          <w:p>
            <w:pPr>
              <w:pStyle w:val="14"/>
            </w:pPr>
            <w:r>
              <w:t>培训班通知、签到表等资料齐全</w:t>
            </w:r>
          </w:p>
        </w:tc>
        <w:tc>
          <w:tcPr>
            <w:tcW w:w="2551" w:type="dxa"/>
            <w:vAlign w:val="center"/>
          </w:tcPr>
          <w:p>
            <w:pPr>
              <w:pStyle w:val="14"/>
            </w:pPr>
            <w:r>
              <w:t>培训班通知、签到表等资料齐全</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宗教工作培训班完成及时率</w:t>
            </w:r>
          </w:p>
        </w:tc>
        <w:tc>
          <w:tcPr>
            <w:tcW w:w="2551" w:type="dxa"/>
            <w:vAlign w:val="center"/>
          </w:tcPr>
          <w:p>
            <w:pPr>
              <w:pStyle w:val="14"/>
            </w:pPr>
            <w:r>
              <w:t>≥100%</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宗教工作培训班平均成本</w:t>
            </w:r>
          </w:p>
        </w:tc>
        <w:tc>
          <w:tcPr>
            <w:tcW w:w="2551" w:type="dxa"/>
            <w:vAlign w:val="center"/>
          </w:tcPr>
          <w:p>
            <w:pPr>
              <w:pStyle w:val="14"/>
            </w:pPr>
            <w:r>
              <w:t>≤15000元/次</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维护宗教领域社会稳定</w:t>
            </w:r>
          </w:p>
        </w:tc>
        <w:tc>
          <w:tcPr>
            <w:tcW w:w="2551" w:type="dxa"/>
            <w:vAlign w:val="center"/>
          </w:tcPr>
          <w:p>
            <w:pPr>
              <w:pStyle w:val="14"/>
            </w:pPr>
            <w:r>
              <w:t>维护宗教领域社会稳定</w:t>
            </w:r>
          </w:p>
        </w:tc>
        <w:tc>
          <w:tcPr>
            <w:tcW w:w="2268" w:type="dxa"/>
            <w:vAlign w:val="center"/>
          </w:tcPr>
          <w:p>
            <w:pPr>
              <w:pStyle w:val="14"/>
            </w:pPr>
            <w:r>
              <w:t>石财行[2021]36号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石财行[2021]36号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3、2022年党外知识分子工作经费绩效目标表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1.目标内容1通过组织相关党外知识分子培训班2次，召开”感受制度优势增强制度自信“等座谈会2次，进一步落实习近平总书记提出的”找出最大公约数、画出最大同心圆“的重要指示。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全年开展党外知识分子培训班数量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党外知识培训班平均成本</w:t>
            </w:r>
          </w:p>
        </w:tc>
        <w:tc>
          <w:tcPr>
            <w:tcW w:w="2551" w:type="dxa"/>
            <w:vAlign w:val="center"/>
          </w:tcPr>
          <w:p>
            <w:pPr>
              <w:pStyle w:val="14"/>
            </w:pPr>
            <w:r>
              <w:t>≤10000元/次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全年开展相关座谈会数量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党外知识分子培训参与率</w:t>
            </w:r>
          </w:p>
        </w:tc>
        <w:tc>
          <w:tcPr>
            <w:tcW w:w="2835" w:type="dxa"/>
            <w:vAlign w:val="center"/>
          </w:tcPr>
          <w:p>
            <w:pPr>
              <w:pStyle w:val="14"/>
            </w:pPr>
            <w:r>
              <w:t>参加党外知识分子培训占应参加培训人数的比例</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召开座谈会平均成本</w:t>
            </w:r>
          </w:p>
        </w:tc>
        <w:tc>
          <w:tcPr>
            <w:tcW w:w="2551" w:type="dxa"/>
            <w:vAlign w:val="center"/>
          </w:tcPr>
          <w:p>
            <w:pPr>
              <w:pStyle w:val="14"/>
            </w:pPr>
            <w:r>
              <w:t>≤5000元/次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开展相关党外知识分子培训班培训班，进一步落实习近平总书记提出的”找出最大公约数、画出最大同心圆“的重要指示；组织参观学习重大项目、科研成果，召开”感受制度优势增强制度自信“等座谈会。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4、2022年民主党派工作经费绩效目标表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组织民主党派学习教育相关培训班2次，召开相关座谈会1次，组织调研2次，完成调研报告2篇，保障民主党派工作正常开展，并进一步贯彻落实习近平总书记提出的“找出最大公约数、画出最大同心圆”的重要指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全年开展民主党派相关培训班数量</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座谈会数量</w:t>
            </w:r>
          </w:p>
        </w:tc>
        <w:tc>
          <w:tcPr>
            <w:tcW w:w="2835" w:type="dxa"/>
            <w:vAlign w:val="center"/>
          </w:tcPr>
          <w:p>
            <w:pPr>
              <w:pStyle w:val="14"/>
            </w:pPr>
            <w:r>
              <w:t>全年开展民主党派座谈会数量</w:t>
            </w:r>
          </w:p>
        </w:tc>
        <w:tc>
          <w:tcPr>
            <w:tcW w:w="2551" w:type="dxa"/>
            <w:vAlign w:val="center"/>
          </w:tcPr>
          <w:p>
            <w:pPr>
              <w:pStyle w:val="14"/>
            </w:pPr>
            <w:r>
              <w:t>≥1次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调研次数</w:t>
            </w:r>
          </w:p>
        </w:tc>
        <w:tc>
          <w:tcPr>
            <w:tcW w:w="2835" w:type="dxa"/>
            <w:vAlign w:val="center"/>
          </w:tcPr>
          <w:p>
            <w:pPr>
              <w:pStyle w:val="14"/>
            </w:pPr>
            <w:r>
              <w:t>组织调研次数</w:t>
            </w:r>
          </w:p>
        </w:tc>
        <w:tc>
          <w:tcPr>
            <w:tcW w:w="2551" w:type="dxa"/>
            <w:vAlign w:val="center"/>
          </w:tcPr>
          <w:p>
            <w:pPr>
              <w:pStyle w:val="14"/>
            </w:pPr>
            <w:r>
              <w:t>≥2次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调研报告数量</w:t>
            </w:r>
          </w:p>
        </w:tc>
        <w:tc>
          <w:tcPr>
            <w:tcW w:w="2835" w:type="dxa"/>
            <w:vAlign w:val="center"/>
          </w:tcPr>
          <w:p>
            <w:pPr>
              <w:pStyle w:val="14"/>
            </w:pPr>
            <w:r>
              <w:t>完成调研报告数量</w:t>
            </w:r>
          </w:p>
        </w:tc>
        <w:tc>
          <w:tcPr>
            <w:tcW w:w="2551" w:type="dxa"/>
            <w:vAlign w:val="center"/>
          </w:tcPr>
          <w:p>
            <w:pPr>
              <w:pStyle w:val="14"/>
            </w:pPr>
            <w:r>
              <w:t>≥2篇</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民主党派工作培训班平均成本</w:t>
            </w:r>
          </w:p>
        </w:tc>
        <w:tc>
          <w:tcPr>
            <w:tcW w:w="2551" w:type="dxa"/>
            <w:vAlign w:val="center"/>
          </w:tcPr>
          <w:p>
            <w:pPr>
              <w:pStyle w:val="14"/>
            </w:pPr>
            <w:r>
              <w:t>≤10000元/次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座谈会成本</w:t>
            </w:r>
          </w:p>
        </w:tc>
        <w:tc>
          <w:tcPr>
            <w:tcW w:w="2835" w:type="dxa"/>
            <w:vAlign w:val="center"/>
          </w:tcPr>
          <w:p>
            <w:pPr>
              <w:pStyle w:val="14"/>
            </w:pPr>
            <w:r>
              <w:t>座谈会平均成本</w:t>
            </w:r>
          </w:p>
        </w:tc>
        <w:tc>
          <w:tcPr>
            <w:tcW w:w="2551" w:type="dxa"/>
            <w:vAlign w:val="center"/>
          </w:tcPr>
          <w:p>
            <w:pPr>
              <w:pStyle w:val="14"/>
            </w:pPr>
            <w:r>
              <w:t>≤6000元/次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调研成本</w:t>
            </w:r>
          </w:p>
        </w:tc>
        <w:tc>
          <w:tcPr>
            <w:tcW w:w="2835" w:type="dxa"/>
            <w:vAlign w:val="center"/>
          </w:tcPr>
          <w:p>
            <w:pPr>
              <w:pStyle w:val="14"/>
            </w:pPr>
            <w:r>
              <w:t>每次调研平均成本</w:t>
            </w:r>
          </w:p>
        </w:tc>
        <w:tc>
          <w:tcPr>
            <w:tcW w:w="2551" w:type="dxa"/>
            <w:vAlign w:val="center"/>
          </w:tcPr>
          <w:p>
            <w:pPr>
              <w:pStyle w:val="14"/>
            </w:pPr>
            <w:r>
              <w:t>≤2000元/次</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增强政策影响力</w:t>
            </w:r>
          </w:p>
        </w:tc>
        <w:tc>
          <w:tcPr>
            <w:tcW w:w="2551" w:type="dxa"/>
            <w:vAlign w:val="center"/>
          </w:tcPr>
          <w:p>
            <w:pPr>
              <w:pStyle w:val="14"/>
            </w:pPr>
            <w:r>
              <w:t>开展民主党派学习教育相关培训班，进一步贯彻落实习近平总书记提出的“找出最大公约数、画出最大同心圆”的重要指示。组织参观学习重大项目、科研成果，召开相关座谈会、开展相关调研工作。</w:t>
            </w:r>
          </w:p>
        </w:tc>
        <w:tc>
          <w:tcPr>
            <w:tcW w:w="2268" w:type="dxa"/>
            <w:vAlign w:val="center"/>
          </w:tcPr>
          <w:p>
            <w:pPr>
              <w:pStyle w:val="14"/>
            </w:pPr>
            <w:r>
              <w:t>冀发[2012]9号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参加培训人员对培训效果满意程度</w:t>
            </w:r>
          </w:p>
        </w:tc>
        <w:tc>
          <w:tcPr>
            <w:tcW w:w="2551" w:type="dxa"/>
            <w:vAlign w:val="center"/>
          </w:tcPr>
          <w:p>
            <w:pPr>
              <w:pStyle w:val="14"/>
            </w:pPr>
            <w:r>
              <w:t>≥90%</w:t>
            </w:r>
          </w:p>
        </w:tc>
        <w:tc>
          <w:tcPr>
            <w:tcW w:w="2268" w:type="dxa"/>
            <w:vAlign w:val="center"/>
          </w:tcPr>
          <w:p>
            <w:pPr>
              <w:pStyle w:val="14"/>
            </w:pPr>
            <w:r>
              <w:t>冀发[2012]9号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5、2022年民族宗教工作专项经费绩效目标表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1.目标内容1切实维护宗教领域的和谐稳定。主要用于全区宗教活动场制财务审计；“双创四进”活动提档升级作宣传展板、宣传条幅等；开展全区宗教工作培训班等费用，部分涉密。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完成集中审计宗教场所数量</w:t>
            </w:r>
          </w:p>
        </w:tc>
        <w:tc>
          <w:tcPr>
            <w:tcW w:w="2835" w:type="dxa"/>
            <w:vAlign w:val="center"/>
          </w:tcPr>
          <w:p>
            <w:pPr>
              <w:pStyle w:val="14"/>
            </w:pPr>
            <w:r>
              <w:t>完成集中财务审计的宗教场所和团体数量</w:t>
            </w:r>
          </w:p>
        </w:tc>
        <w:tc>
          <w:tcPr>
            <w:tcW w:w="2551" w:type="dxa"/>
            <w:vAlign w:val="center"/>
          </w:tcPr>
          <w:p>
            <w:pPr>
              <w:pStyle w:val="14"/>
            </w:pPr>
            <w:r>
              <w:t>19个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审计成本</w:t>
            </w:r>
          </w:p>
        </w:tc>
        <w:tc>
          <w:tcPr>
            <w:tcW w:w="2835" w:type="dxa"/>
            <w:vAlign w:val="center"/>
          </w:tcPr>
          <w:p>
            <w:pPr>
              <w:pStyle w:val="14"/>
            </w:pPr>
            <w:r>
              <w:t>宗教场所财务审计平均成本</w:t>
            </w:r>
          </w:p>
        </w:tc>
        <w:tc>
          <w:tcPr>
            <w:tcW w:w="2551" w:type="dxa"/>
            <w:vAlign w:val="center"/>
          </w:tcPr>
          <w:p>
            <w:pPr>
              <w:pStyle w:val="14"/>
            </w:pPr>
            <w:r>
              <w:t>≤1500元/个</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“双创四进”展牌条幅制作</w:t>
            </w:r>
          </w:p>
        </w:tc>
        <w:tc>
          <w:tcPr>
            <w:tcW w:w="2835" w:type="dxa"/>
            <w:vAlign w:val="center"/>
          </w:tcPr>
          <w:p>
            <w:pPr>
              <w:pStyle w:val="14"/>
            </w:pPr>
            <w:r>
              <w:t>“双创四进”活动提档升级制作牌匾条幅总数量</w:t>
            </w:r>
          </w:p>
        </w:tc>
        <w:tc>
          <w:tcPr>
            <w:tcW w:w="2551" w:type="dxa"/>
            <w:vAlign w:val="center"/>
          </w:tcPr>
          <w:p>
            <w:pPr>
              <w:pStyle w:val="14"/>
            </w:pPr>
            <w:r>
              <w:t>≥95块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牌匾制作成本</w:t>
            </w:r>
          </w:p>
        </w:tc>
        <w:tc>
          <w:tcPr>
            <w:tcW w:w="2835" w:type="dxa"/>
            <w:vAlign w:val="center"/>
          </w:tcPr>
          <w:p>
            <w:pPr>
              <w:pStyle w:val="14"/>
            </w:pPr>
            <w:r>
              <w:t>“双创四进”活动提档升级制作牌匾条幅平均成本</w:t>
            </w:r>
          </w:p>
        </w:tc>
        <w:tc>
          <w:tcPr>
            <w:tcW w:w="2551" w:type="dxa"/>
            <w:vAlign w:val="center"/>
          </w:tcPr>
          <w:p>
            <w:pPr>
              <w:pStyle w:val="14"/>
            </w:pPr>
            <w:r>
              <w:t>≤200元/块</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培训班数量</w:t>
            </w:r>
          </w:p>
        </w:tc>
        <w:tc>
          <w:tcPr>
            <w:tcW w:w="2835" w:type="dxa"/>
            <w:vAlign w:val="center"/>
          </w:tcPr>
          <w:p>
            <w:pPr>
              <w:pStyle w:val="14"/>
            </w:pPr>
            <w:r>
              <w:t>宗教工作培训班数量</w:t>
            </w:r>
          </w:p>
        </w:tc>
        <w:tc>
          <w:tcPr>
            <w:tcW w:w="2551" w:type="dxa"/>
            <w:vAlign w:val="center"/>
          </w:tcPr>
          <w:p>
            <w:pPr>
              <w:pStyle w:val="14"/>
            </w:pPr>
            <w:r>
              <w:t>≥2次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宗教工作相关培训班平均成本</w:t>
            </w:r>
          </w:p>
        </w:tc>
        <w:tc>
          <w:tcPr>
            <w:tcW w:w="2551" w:type="dxa"/>
            <w:vAlign w:val="center"/>
          </w:tcPr>
          <w:p>
            <w:pPr>
              <w:pStyle w:val="14"/>
            </w:pPr>
            <w:r>
              <w:t>≤14250元/次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审计报告合格率</w:t>
            </w:r>
          </w:p>
        </w:tc>
        <w:tc>
          <w:tcPr>
            <w:tcW w:w="2835" w:type="dxa"/>
            <w:vAlign w:val="center"/>
          </w:tcPr>
          <w:p>
            <w:pPr>
              <w:pStyle w:val="14"/>
            </w:pPr>
            <w:r>
              <w:t>审计项目报告合格率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切实维护宗教领域的和谐稳定</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参加培训人员对培训效果满意率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6、2022年台侨工作经费绩效目标表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台侨培训班座谈会数量</w:t>
            </w:r>
          </w:p>
        </w:tc>
        <w:tc>
          <w:tcPr>
            <w:tcW w:w="2835" w:type="dxa"/>
            <w:vAlign w:val="center"/>
          </w:tcPr>
          <w:p>
            <w:pPr>
              <w:pStyle w:val="14"/>
            </w:pPr>
            <w:r>
              <w:t>全年开展台侨工作相关培训班座谈会次数</w:t>
            </w:r>
          </w:p>
        </w:tc>
        <w:tc>
          <w:tcPr>
            <w:tcW w:w="2551" w:type="dxa"/>
            <w:vAlign w:val="center"/>
          </w:tcPr>
          <w:p>
            <w:pPr>
              <w:pStyle w:val="14"/>
            </w:pPr>
            <w:r>
              <w:t>≥3次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所有工作任务完成及时率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购买复印件数量</w:t>
            </w:r>
          </w:p>
        </w:tc>
        <w:tc>
          <w:tcPr>
            <w:tcW w:w="2835" w:type="dxa"/>
            <w:vAlign w:val="center"/>
          </w:tcPr>
          <w:p>
            <w:pPr>
              <w:pStyle w:val="14"/>
            </w:pPr>
            <w:r>
              <w:t>购买复印件数量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购买复印件总成本</w:t>
            </w:r>
          </w:p>
        </w:tc>
        <w:tc>
          <w:tcPr>
            <w:tcW w:w="2835" w:type="dxa"/>
            <w:vAlign w:val="center"/>
          </w:tcPr>
          <w:p>
            <w:pPr>
              <w:pStyle w:val="14"/>
            </w:pPr>
            <w:r>
              <w:t>购买复印件总成本</w:t>
            </w:r>
          </w:p>
        </w:tc>
        <w:tc>
          <w:tcPr>
            <w:tcW w:w="2551" w:type="dxa"/>
            <w:vAlign w:val="center"/>
          </w:tcPr>
          <w:p>
            <w:pPr>
              <w:pStyle w:val="14"/>
            </w:pPr>
            <w:r>
              <w:t>≤17000元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培训成本</w:t>
            </w:r>
          </w:p>
        </w:tc>
        <w:tc>
          <w:tcPr>
            <w:tcW w:w="2835" w:type="dxa"/>
            <w:vAlign w:val="center"/>
          </w:tcPr>
          <w:p>
            <w:pPr>
              <w:pStyle w:val="14"/>
            </w:pPr>
            <w:r>
              <w:t>台侨工作相关培训班平均成本</w:t>
            </w:r>
          </w:p>
        </w:tc>
        <w:tc>
          <w:tcPr>
            <w:tcW w:w="2551" w:type="dxa"/>
            <w:vAlign w:val="center"/>
          </w:tcPr>
          <w:p>
            <w:pPr>
              <w:pStyle w:val="14"/>
            </w:pPr>
            <w:r>
              <w:t>≤11000元/次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机关运转率（%）</w:t>
            </w:r>
          </w:p>
        </w:tc>
        <w:tc>
          <w:tcPr>
            <w:tcW w:w="2835" w:type="dxa"/>
            <w:vAlign w:val="center"/>
          </w:tcPr>
          <w:p>
            <w:pPr>
              <w:pStyle w:val="14"/>
            </w:pPr>
            <w:r>
              <w:t>机关运转率（%）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走访慰问台侨侨眷</w:t>
            </w:r>
          </w:p>
        </w:tc>
        <w:tc>
          <w:tcPr>
            <w:tcW w:w="2835" w:type="dxa"/>
            <w:vAlign w:val="center"/>
          </w:tcPr>
          <w:p>
            <w:pPr>
              <w:pStyle w:val="14"/>
            </w:pPr>
            <w:r>
              <w:t>走访慰问台侨侨眷次数</w:t>
            </w:r>
          </w:p>
        </w:tc>
        <w:tc>
          <w:tcPr>
            <w:tcW w:w="2551" w:type="dxa"/>
            <w:vAlign w:val="center"/>
          </w:tcPr>
          <w:p>
            <w:pPr>
              <w:pStyle w:val="14"/>
            </w:pPr>
            <w:r>
              <w:t>≥1次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社会影响力</w:t>
            </w:r>
          </w:p>
        </w:tc>
        <w:tc>
          <w:tcPr>
            <w:tcW w:w="2835" w:type="dxa"/>
            <w:vAlign w:val="center"/>
          </w:tcPr>
          <w:p>
            <w:pPr>
              <w:pStyle w:val="14"/>
            </w:pPr>
            <w:r>
              <w:t>通过宣传是否加强了对台和对海外的影响力</w:t>
            </w:r>
          </w:p>
        </w:tc>
        <w:tc>
          <w:tcPr>
            <w:tcW w:w="2551" w:type="dxa"/>
            <w:vAlign w:val="center"/>
          </w:tcPr>
          <w:p>
            <w:pPr>
              <w:pStyle w:val="14"/>
            </w:pPr>
            <w:r>
              <w:t>通过印制发放宣传资料和联系宣传文化媒体等方式，加强对台和对海外的统战政策宣传工作；走访慰问台侨侨眷；举办台侨相关培训班，进行思想政治引导，掌握工作政策法规，加强为台侨服务意识。及时掌握台侨界人士思想动态，适时引领。</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被慰问人员满意度</w:t>
            </w:r>
          </w:p>
        </w:tc>
        <w:tc>
          <w:tcPr>
            <w:tcW w:w="2835" w:type="dxa"/>
            <w:vAlign w:val="center"/>
          </w:tcPr>
          <w:p>
            <w:pPr>
              <w:pStyle w:val="14"/>
            </w:pPr>
            <w:r>
              <w:t>被慰问人员满意度</w:t>
            </w:r>
          </w:p>
        </w:tc>
        <w:tc>
          <w:tcPr>
            <w:tcW w:w="2551" w:type="dxa"/>
            <w:vAlign w:val="center"/>
          </w:tcPr>
          <w:p>
            <w:pPr>
              <w:pStyle w:val="14"/>
            </w:pPr>
            <w:r>
              <w:t>≥95%</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7、2022年统战工作协调机制专项经费绩效目标表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1.目标内容1保障统战部协调各部门各单位统战相关工作全年5次以上，保证党委领导，政府支持，统战部协调抓总体，各部门密切配合，全社会参与统战工作的新机制进一步完善.</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购买速印机数量</w:t>
            </w:r>
          </w:p>
        </w:tc>
        <w:tc>
          <w:tcPr>
            <w:tcW w:w="2835" w:type="dxa"/>
            <w:vAlign w:val="center"/>
          </w:tcPr>
          <w:p>
            <w:pPr>
              <w:pStyle w:val="14"/>
            </w:pPr>
            <w:r>
              <w:t>购买速印机数量</w:t>
            </w:r>
          </w:p>
        </w:tc>
        <w:tc>
          <w:tcPr>
            <w:tcW w:w="2551" w:type="dxa"/>
            <w:vAlign w:val="center"/>
          </w:tcPr>
          <w:p>
            <w:pPr>
              <w:pStyle w:val="14"/>
            </w:pPr>
            <w:r>
              <w:t>1台</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协调事项完成率</w:t>
            </w:r>
          </w:p>
        </w:tc>
        <w:tc>
          <w:tcPr>
            <w:tcW w:w="2835" w:type="dxa"/>
            <w:vAlign w:val="center"/>
          </w:tcPr>
          <w:p>
            <w:pPr>
              <w:pStyle w:val="14"/>
            </w:pPr>
            <w:r>
              <w:t>协调事项完成率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工作任务完成及时率</w:t>
            </w:r>
          </w:p>
        </w:tc>
        <w:tc>
          <w:tcPr>
            <w:tcW w:w="2835" w:type="dxa"/>
            <w:vAlign w:val="center"/>
          </w:tcPr>
          <w:p>
            <w:pPr>
              <w:pStyle w:val="14"/>
            </w:pPr>
            <w:r>
              <w:t>工作任务完成及时率</w:t>
            </w:r>
          </w:p>
        </w:tc>
        <w:tc>
          <w:tcPr>
            <w:tcW w:w="2551" w:type="dxa"/>
            <w:vAlign w:val="center"/>
          </w:tcPr>
          <w:p>
            <w:pPr>
              <w:pStyle w:val="14"/>
            </w:pPr>
            <w:r>
              <w:t>≥100%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购买速印机总成本</w:t>
            </w:r>
          </w:p>
        </w:tc>
        <w:tc>
          <w:tcPr>
            <w:tcW w:w="2835" w:type="dxa"/>
            <w:vAlign w:val="center"/>
          </w:tcPr>
          <w:p>
            <w:pPr>
              <w:pStyle w:val="14"/>
            </w:pPr>
            <w:r>
              <w:t>购买速印机总成本</w:t>
            </w:r>
          </w:p>
        </w:tc>
        <w:tc>
          <w:tcPr>
            <w:tcW w:w="2551" w:type="dxa"/>
            <w:vAlign w:val="center"/>
          </w:tcPr>
          <w:p>
            <w:pPr>
              <w:pStyle w:val="14"/>
            </w:pPr>
            <w:r>
              <w:t>≤2万元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协调事项完成次数</w:t>
            </w:r>
          </w:p>
        </w:tc>
        <w:tc>
          <w:tcPr>
            <w:tcW w:w="2835" w:type="dxa"/>
            <w:vAlign w:val="center"/>
          </w:tcPr>
          <w:p>
            <w:pPr>
              <w:pStyle w:val="14"/>
            </w:pPr>
            <w:r>
              <w:t>协调事项完成次数</w:t>
            </w:r>
          </w:p>
        </w:tc>
        <w:tc>
          <w:tcPr>
            <w:tcW w:w="2551" w:type="dxa"/>
            <w:vAlign w:val="center"/>
          </w:tcPr>
          <w:p>
            <w:pPr>
              <w:pStyle w:val="14"/>
            </w:pPr>
            <w:r>
              <w:t>≥5次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协调事项资料费用平均成本</w:t>
            </w:r>
          </w:p>
        </w:tc>
        <w:tc>
          <w:tcPr>
            <w:tcW w:w="2835" w:type="dxa"/>
            <w:vAlign w:val="center"/>
          </w:tcPr>
          <w:p>
            <w:pPr>
              <w:pStyle w:val="14"/>
            </w:pPr>
            <w:r>
              <w:t>协调事项资料费用平均成本</w:t>
            </w:r>
          </w:p>
        </w:tc>
        <w:tc>
          <w:tcPr>
            <w:tcW w:w="2551" w:type="dxa"/>
            <w:vAlign w:val="center"/>
          </w:tcPr>
          <w:p>
            <w:pPr>
              <w:pStyle w:val="14"/>
            </w:pPr>
            <w:r>
              <w:t>≤2000元/次</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持续发展作用力</w:t>
            </w:r>
          </w:p>
        </w:tc>
        <w:tc>
          <w:tcPr>
            <w:tcW w:w="2835" w:type="dxa"/>
            <w:vAlign w:val="center"/>
          </w:tcPr>
          <w:p>
            <w:pPr>
              <w:pStyle w:val="14"/>
            </w:pPr>
            <w:r>
              <w:t>持续发展作用力</w:t>
            </w:r>
          </w:p>
        </w:tc>
        <w:tc>
          <w:tcPr>
            <w:tcW w:w="2551" w:type="dxa"/>
            <w:vAlign w:val="center"/>
          </w:tcPr>
          <w:p>
            <w:pPr>
              <w:pStyle w:val="14"/>
            </w:pPr>
            <w:r>
              <w:t>建立党委领导，政府支持，统战部协调抓总体，各部门密切配合，全社会参与统战工作的新机制。</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8、2022年退役军人公益岗工资绩效目标表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1.目标内容1鹿办文【2017】31号文件，对符合就业困难且符合政府安排工作条件的退役士兵三名，实行</w:t>
            </w:r>
            <w:r>
              <w:rPr>
                <w:rFonts w:hint="eastAsia"/>
                <w:lang w:eastAsia="zh-CN"/>
              </w:rPr>
              <w:t>公益性岗位</w:t>
            </w:r>
            <w:r>
              <w:t>托管安置，帮扶救助到位，加大就业援助工作，实现就业。</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退役军人人数</w:t>
            </w:r>
          </w:p>
        </w:tc>
        <w:tc>
          <w:tcPr>
            <w:tcW w:w="2835" w:type="dxa"/>
            <w:vAlign w:val="center"/>
          </w:tcPr>
          <w:p>
            <w:pPr>
              <w:pStyle w:val="14"/>
            </w:pPr>
            <w:r>
              <w:t>安排退役军人人数</w:t>
            </w:r>
          </w:p>
        </w:tc>
        <w:tc>
          <w:tcPr>
            <w:tcW w:w="2551" w:type="dxa"/>
            <w:vAlign w:val="center"/>
          </w:tcPr>
          <w:p>
            <w:pPr>
              <w:pStyle w:val="14"/>
            </w:pPr>
            <w:r>
              <w:t>3人</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工资按时发放完成率</w:t>
            </w:r>
          </w:p>
        </w:tc>
        <w:tc>
          <w:tcPr>
            <w:tcW w:w="2835" w:type="dxa"/>
            <w:vAlign w:val="center"/>
          </w:tcPr>
          <w:p>
            <w:pPr>
              <w:pStyle w:val="14"/>
            </w:pPr>
            <w:r>
              <w:t>按时足额发放工资补的次数占总发的次数</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工资发放准时率</w:t>
            </w:r>
          </w:p>
        </w:tc>
        <w:tc>
          <w:tcPr>
            <w:tcW w:w="2835" w:type="dxa"/>
            <w:vAlign w:val="center"/>
          </w:tcPr>
          <w:p>
            <w:pPr>
              <w:pStyle w:val="14"/>
            </w:pPr>
            <w:r>
              <w:t>工资发放准时率</w:t>
            </w:r>
          </w:p>
        </w:tc>
        <w:tc>
          <w:tcPr>
            <w:tcW w:w="2551" w:type="dxa"/>
            <w:vAlign w:val="center"/>
          </w:tcPr>
          <w:p>
            <w:pPr>
              <w:pStyle w:val="14"/>
            </w:pPr>
            <w:r>
              <w:t>≥100%</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人均发放水平</w:t>
            </w:r>
          </w:p>
        </w:tc>
        <w:tc>
          <w:tcPr>
            <w:tcW w:w="2835" w:type="dxa"/>
            <w:vAlign w:val="center"/>
          </w:tcPr>
          <w:p>
            <w:pPr>
              <w:pStyle w:val="14"/>
            </w:pPr>
            <w:r>
              <w:t>人均发放水平</w:t>
            </w:r>
          </w:p>
        </w:tc>
        <w:tc>
          <w:tcPr>
            <w:tcW w:w="2551" w:type="dxa"/>
            <w:vAlign w:val="center"/>
          </w:tcPr>
          <w:p>
            <w:pPr>
              <w:pStyle w:val="14"/>
            </w:pPr>
            <w:r>
              <w:t>3人取暖费5700元，工资合计107800元，社保缴费37279.64元，总计150779.64元。</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实行</w:t>
            </w:r>
            <w:r>
              <w:rPr>
                <w:rFonts w:hint="eastAsia"/>
                <w:lang w:eastAsia="zh-CN"/>
              </w:rPr>
              <w:t>公益性岗位</w:t>
            </w:r>
            <w:r>
              <w:t>托管安置，帮扶救助到位，加大就业援助工作，实现就业。</w:t>
            </w:r>
          </w:p>
        </w:tc>
        <w:tc>
          <w:tcPr>
            <w:tcW w:w="2268" w:type="dxa"/>
            <w:vAlign w:val="center"/>
          </w:tcPr>
          <w:p>
            <w:pPr>
              <w:pStyle w:val="14"/>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退役安置满意度</w:t>
            </w:r>
          </w:p>
        </w:tc>
        <w:tc>
          <w:tcPr>
            <w:tcW w:w="2835" w:type="dxa"/>
            <w:vAlign w:val="center"/>
          </w:tcPr>
          <w:p>
            <w:pPr>
              <w:pStyle w:val="14"/>
            </w:pPr>
            <w:r>
              <w:t>对退役安置满意度和较满意人数</w:t>
            </w:r>
          </w:p>
        </w:tc>
        <w:tc>
          <w:tcPr>
            <w:tcW w:w="2551" w:type="dxa"/>
            <w:vAlign w:val="center"/>
          </w:tcPr>
          <w:p>
            <w:pPr>
              <w:pStyle w:val="14"/>
            </w:pPr>
            <w:r>
              <w:t>≥90%</w:t>
            </w:r>
          </w:p>
        </w:tc>
        <w:tc>
          <w:tcPr>
            <w:tcW w:w="2268" w:type="dxa"/>
            <w:vAlign w:val="center"/>
          </w:tcPr>
          <w:p>
            <w:pPr>
              <w:pStyle w:val="14"/>
            </w:pPr>
            <w:r>
              <w:t>鹿办文【2017】31号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9、2022年宗教基层治理工作队经费绩效目标表</w:t>
      </w:r>
    </w:p>
    <w:tbl>
      <w:tblPr>
        <w:tblStyle w:val="6"/>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1.目标内容1保障8个驻村工作队24人日常工作经费，根据省委安排继续开展基督教私设聚会点和各类非法宗教活动专项治理工作，深化宗教领域专项整治和系统治理。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驻村工作队数量</w:t>
            </w:r>
          </w:p>
        </w:tc>
        <w:tc>
          <w:tcPr>
            <w:tcW w:w="2835" w:type="dxa"/>
            <w:vAlign w:val="center"/>
          </w:tcPr>
          <w:p>
            <w:pPr>
              <w:pStyle w:val="14"/>
            </w:pPr>
            <w:r>
              <w:t>驻村工作队数量</w:t>
            </w:r>
          </w:p>
        </w:tc>
        <w:tc>
          <w:tcPr>
            <w:tcW w:w="2551" w:type="dxa"/>
            <w:vAlign w:val="center"/>
          </w:tcPr>
          <w:p>
            <w:pPr>
              <w:pStyle w:val="14"/>
            </w:pPr>
            <w:r>
              <w:t>8个</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工作队派驻完成率</w:t>
            </w:r>
          </w:p>
        </w:tc>
        <w:tc>
          <w:tcPr>
            <w:tcW w:w="2835" w:type="dxa"/>
            <w:vAlign w:val="center"/>
          </w:tcPr>
          <w:p>
            <w:pPr>
              <w:pStyle w:val="14"/>
            </w:pPr>
            <w:r>
              <w:t>工作队派驻完成率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工作队经费拨付及时率</w:t>
            </w:r>
          </w:p>
        </w:tc>
        <w:tc>
          <w:tcPr>
            <w:tcW w:w="2835" w:type="dxa"/>
            <w:vAlign w:val="center"/>
          </w:tcPr>
          <w:p>
            <w:pPr>
              <w:pStyle w:val="14"/>
            </w:pPr>
            <w:r>
              <w:t>工作队经费拨付及时率</w:t>
            </w:r>
          </w:p>
        </w:tc>
        <w:tc>
          <w:tcPr>
            <w:tcW w:w="2551" w:type="dxa"/>
            <w:vAlign w:val="center"/>
          </w:tcPr>
          <w:p>
            <w:pPr>
              <w:pStyle w:val="14"/>
            </w:pPr>
            <w:r>
              <w:t>≥100%</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2835" w:type="dxa"/>
            <w:vAlign w:val="center"/>
          </w:tcPr>
          <w:p>
            <w:pPr>
              <w:pStyle w:val="14"/>
            </w:pPr>
            <w:r>
              <w:t>驻村工作队经费平均成本</w:t>
            </w:r>
          </w:p>
        </w:tc>
        <w:tc>
          <w:tcPr>
            <w:tcW w:w="2551" w:type="dxa"/>
            <w:vAlign w:val="center"/>
          </w:tcPr>
          <w:p>
            <w:pPr>
              <w:pStyle w:val="14"/>
            </w:pPr>
            <w:r>
              <w:t>≤8万</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增强影响力</w:t>
            </w:r>
          </w:p>
        </w:tc>
        <w:tc>
          <w:tcPr>
            <w:tcW w:w="2835" w:type="dxa"/>
            <w:vAlign w:val="center"/>
          </w:tcPr>
          <w:p>
            <w:pPr>
              <w:pStyle w:val="14"/>
            </w:pPr>
            <w:r>
              <w:t>增强影响力</w:t>
            </w:r>
          </w:p>
        </w:tc>
        <w:tc>
          <w:tcPr>
            <w:tcW w:w="2551" w:type="dxa"/>
            <w:vAlign w:val="center"/>
          </w:tcPr>
          <w:p>
            <w:pPr>
              <w:pStyle w:val="14"/>
            </w:pPr>
            <w:r>
              <w:t>对信教群众加强宣传，持续增强党的宗教政策影响力</w:t>
            </w:r>
          </w:p>
        </w:tc>
        <w:tc>
          <w:tcPr>
            <w:tcW w:w="2268" w:type="dxa"/>
            <w:vAlign w:val="center"/>
          </w:tcPr>
          <w:p>
            <w:pPr>
              <w:pStyle w:val="14"/>
            </w:pPr>
            <w:r>
              <w:t>石统发[2021]13号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政策知晓率</w:t>
            </w:r>
          </w:p>
        </w:tc>
        <w:tc>
          <w:tcPr>
            <w:tcW w:w="2835" w:type="dxa"/>
            <w:vAlign w:val="center"/>
          </w:tcPr>
          <w:p>
            <w:pPr>
              <w:pStyle w:val="14"/>
            </w:pPr>
            <w:r>
              <w:t>政策知晓率</w:t>
            </w:r>
          </w:p>
        </w:tc>
        <w:tc>
          <w:tcPr>
            <w:tcW w:w="2551" w:type="dxa"/>
            <w:vAlign w:val="center"/>
          </w:tcPr>
          <w:p>
            <w:pPr>
              <w:pStyle w:val="14"/>
            </w:pPr>
            <w:r>
              <w:t>≥90%</w:t>
            </w:r>
          </w:p>
        </w:tc>
        <w:tc>
          <w:tcPr>
            <w:tcW w:w="2268" w:type="dxa"/>
            <w:vAlign w:val="center"/>
          </w:tcPr>
          <w:p>
            <w:pPr>
              <w:pStyle w:val="14"/>
            </w:pPr>
            <w:r>
              <w:t>石统发[2021]13号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2022年，中共石家庄市鹿泉区委统一战线工作部安排政府采购预算</w:t>
      </w:r>
      <w:r>
        <w:rPr>
          <w:rFonts w:hint="eastAsia" w:eastAsia="方正仿宋_GBK"/>
          <w:color w:val="000000"/>
          <w:sz w:val="28"/>
          <w:lang w:val="en-US" w:eastAsia="zh-CN"/>
        </w:rPr>
        <w:t>6.10</w:t>
      </w:r>
      <w:r>
        <w:rPr>
          <w:rFonts w:eastAsia="方正仿宋_GBK"/>
          <w:color w:val="000000"/>
          <w:sz w:val="28"/>
        </w:rPr>
        <w:t>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2022年台侨工作经费</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1.7</w:t>
            </w:r>
          </w:p>
        </w:tc>
        <w:tc>
          <w:tcPr>
            <w:tcW w:w="1134" w:type="dxa"/>
            <w:vAlign w:val="center"/>
          </w:tcPr>
          <w:p>
            <w:pPr>
              <w:pStyle w:val="14"/>
              <w:rPr>
                <w:rFonts w:hint="eastAsia" w:ascii="方正书宋_GBK" w:hAnsi="方正书宋_GBK" w:eastAsia="方正书宋_GBK" w:cs="方正书宋_GBK"/>
                <w:sz w:val="21"/>
                <w:szCs w:val="24"/>
                <w:lang w:val="en-US" w:eastAsia="zh-CN" w:bidi="ar-SA"/>
              </w:rPr>
            </w:pPr>
            <w:r>
              <w:rPr>
                <w:rFonts w:hint="eastAsia"/>
                <w:lang w:val="en-US" w:eastAsia="zh-CN"/>
              </w:rPr>
              <w:t>复印件</w:t>
            </w:r>
          </w:p>
        </w:tc>
        <w:tc>
          <w:tcPr>
            <w:tcW w:w="1134"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2020100</w:t>
            </w:r>
          </w:p>
        </w:tc>
        <w:tc>
          <w:tcPr>
            <w:tcW w:w="709"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850"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1.7</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1.7</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1.7</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2022统战工作协调机制专项经费</w:t>
            </w:r>
          </w:p>
        </w:tc>
        <w:tc>
          <w:tcPr>
            <w:tcW w:w="964"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1134" w:type="dxa"/>
            <w:vAlign w:val="center"/>
          </w:tcPr>
          <w:p>
            <w:pPr>
              <w:pStyle w:val="14"/>
              <w:rPr>
                <w:rFonts w:hint="eastAsia" w:ascii="方正书宋_GBK" w:hAnsi="方正书宋_GBK" w:eastAsia="方正书宋_GBK" w:cs="方正书宋_GBK"/>
                <w:sz w:val="21"/>
                <w:szCs w:val="24"/>
                <w:lang w:val="en-US" w:eastAsia="zh-CN" w:bidi="ar-SA"/>
              </w:rPr>
            </w:pPr>
            <w:r>
              <w:rPr>
                <w:rFonts w:hint="eastAsia"/>
                <w:lang w:val="en-US" w:eastAsia="zh-CN"/>
              </w:rPr>
              <w:t>速印机</w:t>
            </w:r>
          </w:p>
        </w:tc>
        <w:tc>
          <w:tcPr>
            <w:tcW w:w="1134"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2020900</w:t>
            </w:r>
          </w:p>
        </w:tc>
        <w:tc>
          <w:tcPr>
            <w:tcW w:w="709"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850"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964"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964"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2022民族宗教工作专项经费</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1134"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笔记本电脑</w:t>
            </w:r>
          </w:p>
        </w:tc>
        <w:tc>
          <w:tcPr>
            <w:tcW w:w="1134"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2010105</w:t>
            </w:r>
          </w:p>
        </w:tc>
        <w:tc>
          <w:tcPr>
            <w:tcW w:w="709"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850"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0.6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rPr>
                <w:rFonts w:ascii="方正书宋_GBK" w:hAnsi="方正书宋_GBK" w:eastAsia="方正书宋_GBK" w:cs="方正书宋_GBK"/>
                <w:sz w:val="21"/>
                <w:szCs w:val="24"/>
                <w:lang w:val="en-US" w:eastAsia="uk-UA" w:bidi="ar-SA"/>
              </w:rPr>
            </w:pPr>
            <w:r>
              <w:rPr>
                <w:rFonts w:hint="eastAsia"/>
                <w:lang w:val="en-US" w:eastAsia="zh-CN"/>
              </w:rPr>
              <w:t>2022民族宗教工作专项经费</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1.8</w:t>
            </w:r>
          </w:p>
        </w:tc>
        <w:tc>
          <w:tcPr>
            <w:tcW w:w="1134" w:type="dxa"/>
            <w:vAlign w:val="center"/>
          </w:tcPr>
          <w:p>
            <w:pPr>
              <w:pStyle w:val="14"/>
              <w:rPr>
                <w:rFonts w:hint="eastAsia" w:ascii="方正书宋_GBK" w:hAnsi="方正书宋_GBK" w:eastAsia="方正书宋_GBK" w:cs="方正书宋_GBK"/>
                <w:sz w:val="21"/>
                <w:szCs w:val="24"/>
                <w:lang w:val="en-US" w:eastAsia="zh-CN" w:bidi="ar-SA"/>
              </w:rPr>
            </w:pPr>
            <w:r>
              <w:rPr>
                <w:rFonts w:hint="eastAsia"/>
                <w:lang w:val="en-US" w:eastAsia="zh-CN"/>
              </w:rPr>
              <w:t>复印件</w:t>
            </w:r>
          </w:p>
        </w:tc>
        <w:tc>
          <w:tcPr>
            <w:tcW w:w="1134" w:type="dxa"/>
            <w:vAlign w:val="center"/>
          </w:tcPr>
          <w:p>
            <w:pPr>
              <w:pStyle w:val="14"/>
              <w:rPr>
                <w:rFonts w:hint="default" w:ascii="方正书宋_GBK" w:hAnsi="方正书宋_GBK" w:eastAsia="方正书宋_GBK" w:cs="方正书宋_GBK"/>
                <w:sz w:val="21"/>
                <w:szCs w:val="24"/>
                <w:lang w:val="en-US" w:eastAsia="zh-CN" w:bidi="ar-SA"/>
              </w:rPr>
            </w:pPr>
            <w:r>
              <w:rPr>
                <w:rFonts w:hint="eastAsia"/>
                <w:lang w:val="en-US" w:eastAsia="zh-CN"/>
              </w:rPr>
              <w:t>2020100</w:t>
            </w:r>
          </w:p>
        </w:tc>
        <w:tc>
          <w:tcPr>
            <w:tcW w:w="709"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台</w:t>
            </w:r>
          </w:p>
        </w:tc>
        <w:tc>
          <w:tcPr>
            <w:tcW w:w="850" w:type="dxa"/>
            <w:vAlign w:val="center"/>
          </w:tcPr>
          <w:p>
            <w:pPr>
              <w:pStyle w:val="13"/>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1.8</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1.8</w:t>
            </w:r>
          </w:p>
        </w:tc>
        <w:tc>
          <w:tcPr>
            <w:tcW w:w="964" w:type="dxa"/>
            <w:vAlign w:val="center"/>
          </w:tcPr>
          <w:p>
            <w:pPr>
              <w:pStyle w:val="13"/>
              <w:rPr>
                <w:rFonts w:hint="default" w:ascii="方正书宋_GBK" w:hAnsi="方正书宋_GBK" w:eastAsia="方正书宋_GBK" w:cs="方正书宋_GBK"/>
                <w:sz w:val="21"/>
                <w:szCs w:val="24"/>
                <w:lang w:val="en-US" w:eastAsia="zh-CN" w:bidi="ar-SA"/>
              </w:rPr>
            </w:pPr>
            <w:r>
              <w:rPr>
                <w:rFonts w:hint="eastAsia"/>
                <w:lang w:val="en-US" w:eastAsia="zh-CN"/>
              </w:rPr>
              <w:t>1.8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中共石家庄市鹿泉区委统一战线工作部（含所属单位）上年末固定资产金额为32.65万元（详见下表）。本年度拟购置固定资产总额为6.10万元，已按要求列入政府采购预算，详见政府采购预算表。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213中共石家庄市鹿泉区委统一战线工作部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32.65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169</w:t>
            </w:r>
          </w:p>
        </w:tc>
        <w:tc>
          <w:tcPr>
            <w:tcW w:w="2835" w:type="dxa"/>
            <w:vAlign w:val="center"/>
          </w:tcPr>
          <w:p>
            <w:pPr>
              <w:pStyle w:val="13"/>
            </w:pPr>
            <w:r>
              <w:t>26.15</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w:t>
      </w:r>
      <w:r>
        <w:rPr>
          <w:rFonts w:hint="eastAsia" w:eastAsia="方正仿宋_GBK"/>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仿宋_GBK">
    <w:panose1 w:val="02000000000000000000"/>
    <w:charset w:val="86"/>
    <w:family w:val="decorative"/>
    <w:pitch w:val="default"/>
    <w:sig w:usb0="A00002BF" w:usb1="38CF7CFA" w:usb2="00082016" w:usb3="00000000" w:csb0="00040001" w:csb1="00000000"/>
  </w:font>
  <w:font w:name="方正小标宋_GBK">
    <w:panose1 w:val="02000000000000000000"/>
    <w:charset w:val="86"/>
    <w:family w:val="decorative"/>
    <w:pitch w:val="default"/>
    <w:sig w:usb0="A00002BF" w:usb1="38CF7CFA" w:usb2="00082016" w:usb3="00000000" w:csb0="00040001" w:csb1="00000000"/>
  </w:font>
  <w:font w:name="方正书宋_GBK">
    <w:panose1 w:val="02000000000000000000"/>
    <w:charset w:val="86"/>
    <w:family w:val="decorative"/>
    <w:pitch w:val="default"/>
    <w:sig w:usb0="A00002BF" w:usb1="38CF7CFA" w:usb2="00082016" w:usb3="00000000" w:csb0="00040001" w:csb1="00000000"/>
  </w:font>
  <w:font w:name="方正楷体_GBK">
    <w:panose1 w:val="02000000000000000000"/>
    <w:charset w:val="86"/>
    <w:family w:val="decorative"/>
    <w:pitch w:val="default"/>
    <w:sig w:usb0="A00002BF" w:usb1="38CF7CFA" w:usb2="00082016" w:usb3="00000000" w:csb0="00040001" w:csb1="00000000"/>
  </w:font>
  <w:font w:name="新宋体">
    <w:panose1 w:val="02010609030101010101"/>
    <w:charset w:val="86"/>
    <w:family w:val="auto"/>
    <w:pitch w:val="default"/>
    <w:sig w:usb0="0000028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F3CC7C"/>
    <w:multiLevelType w:val="singleLevel"/>
    <w:tmpl w:val="92F3CC7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E3Njk2YzU5MWFmMmZjYzgzN2Q3MWZjODk1ZGE2YWEifQ=="/>
  </w:docVars>
  <w:rsids>
    <w:rsidRoot w:val="00925503"/>
    <w:rsid w:val="00894C2A"/>
    <w:rsid w:val="00925503"/>
    <w:rsid w:val="00953D7B"/>
    <w:rsid w:val="14FD7F4E"/>
    <w:rsid w:val="152E2343"/>
    <w:rsid w:val="15EF2296"/>
    <w:rsid w:val="26A36CE1"/>
    <w:rsid w:val="3B502DF1"/>
    <w:rsid w:val="3CED477C"/>
    <w:rsid w:val="44086070"/>
    <w:rsid w:val="44D018B1"/>
    <w:rsid w:val="53C131B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3" Type="http://schemas.openxmlformats.org/officeDocument/2006/relationships/fontTable" Target="fontTable.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2022-06-07T15:39:27Z</dcterms:created>
  <dcterms:modified xsi:type="dcterms:W3CDTF">2022-06-07T07:39:27Z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2022-06-07T15:39:29Z</dcterms:created>
  <dcterms:modified xsi:type="dcterms:W3CDTF">2022-06-07T07:39:29Z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2022-06-07T15:39:36Z</dcterms:created>
  <dcterms:modified xsi:type="dcterms:W3CDTF">2022-06-07T07:39:36Z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2022-06-07T15:39:41Z</dcterms:created>
  <dcterms:modified xsi:type="dcterms:W3CDTF">2022-06-07T07:39:41Z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2022-06-07T15:39:32Z</dcterms:created>
  <dcterms:modified xsi:type="dcterms:W3CDTF">2022-06-07T07:39:32Z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2022-06-07T15:39:39Z</dcterms:created>
  <dcterms:modified xsi:type="dcterms:W3CDTF">2022-06-07T07:39:39Z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2022-06-07T15:39:40Z</dcterms:created>
  <dcterms:modified xsi:type="dcterms:W3CDTF">2022-06-07T07:39:40Z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2022-06-07T15:39:31Z</dcterms:created>
  <dcterms:modified xsi:type="dcterms:W3CDTF">2022-06-07T07:39:31Z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2022-06-07T15:39:30Z</dcterms:created>
  <dcterms:modified xsi:type="dcterms:W3CDTF">2022-06-07T07:39:30Z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C938BDD-34E8-4D19-8A5B-91D0A9FCA92A}">
  <ds:schemaRefs/>
</ds:datastoreItem>
</file>

<file path=customXml/itemProps10.xml><?xml version="1.0" encoding="utf-8"?>
<ds:datastoreItem xmlns:ds="http://schemas.openxmlformats.org/officeDocument/2006/customXml" ds:itemID="{574976E2-9AE8-41DF-8884-19B9BD54770F}">
  <ds:schemaRefs/>
</ds:datastoreItem>
</file>

<file path=customXml/itemProps11.xml><?xml version="1.0" encoding="utf-8"?>
<ds:datastoreItem xmlns:ds="http://schemas.openxmlformats.org/officeDocument/2006/customXml" ds:itemID="{4BAC3489-C280-4677-9200-8B3DFD69A238}">
  <ds:schemaRefs/>
</ds:datastoreItem>
</file>

<file path=customXml/itemProps12.xml><?xml version="1.0" encoding="utf-8"?>
<ds:datastoreItem xmlns:ds="http://schemas.openxmlformats.org/officeDocument/2006/customXml" ds:itemID="{B985F2B6-CA5D-405F-B1CF-44AB1EB95EE3}">
  <ds:schemaRefs/>
</ds:datastoreItem>
</file>

<file path=customXml/itemProps13.xml><?xml version="1.0" encoding="utf-8"?>
<ds:datastoreItem xmlns:ds="http://schemas.openxmlformats.org/officeDocument/2006/customXml" ds:itemID="{D15E9480-5916-4CE8-8575-A0097B48B2ED}">
  <ds:schemaRefs/>
</ds:datastoreItem>
</file>

<file path=customXml/itemProps14.xml><?xml version="1.0" encoding="utf-8"?>
<ds:datastoreItem xmlns:ds="http://schemas.openxmlformats.org/officeDocument/2006/customXml" ds:itemID="{7459170B-FAA0-48B5-A0E6-883D299229D4}">
  <ds:schemaRefs/>
</ds:datastoreItem>
</file>

<file path=customXml/itemProps15.xml><?xml version="1.0" encoding="utf-8"?>
<ds:datastoreItem xmlns:ds="http://schemas.openxmlformats.org/officeDocument/2006/customXml" ds:itemID="{850C2C3C-D23F-4FA5-903A-617A28EA0DF6}">
  <ds:schemaRefs/>
</ds:datastoreItem>
</file>

<file path=customXml/itemProps16.xml><?xml version="1.0" encoding="utf-8"?>
<ds:datastoreItem xmlns:ds="http://schemas.openxmlformats.org/officeDocument/2006/customXml" ds:itemID="{EED13914-97D9-446D-9C37-23A058D69C0F}">
  <ds:schemaRefs/>
</ds:datastoreItem>
</file>

<file path=customXml/itemProps17.xml><?xml version="1.0" encoding="utf-8"?>
<ds:datastoreItem xmlns:ds="http://schemas.openxmlformats.org/officeDocument/2006/customXml" ds:itemID="{C7A44A04-0C01-4904-A35B-053E98702A07}">
  <ds:schemaRefs/>
</ds:datastoreItem>
</file>

<file path=customXml/itemProps18.xml><?xml version="1.0" encoding="utf-8"?>
<ds:datastoreItem xmlns:ds="http://schemas.openxmlformats.org/officeDocument/2006/customXml" ds:itemID="{16EA4EFB-EA56-4C94-A1D3-9953195D6BD1}">
  <ds:schemaRefs/>
</ds:datastoreItem>
</file>

<file path=customXml/itemProps19.xml><?xml version="1.0" encoding="utf-8"?>
<ds:datastoreItem xmlns:ds="http://schemas.openxmlformats.org/officeDocument/2006/customXml" ds:itemID="{0082389B-D9B7-49CC-B778-3472C199F8B8}">
  <ds:schemaRefs/>
</ds:datastoreItem>
</file>

<file path=customXml/itemProps2.xml><?xml version="1.0" encoding="utf-8"?>
<ds:datastoreItem xmlns:ds="http://schemas.openxmlformats.org/officeDocument/2006/customXml" ds:itemID="{841FE3A9-47B5-4CD9-A9CC-221156549BC2}">
  <ds:schemaRefs/>
</ds:datastoreItem>
</file>

<file path=customXml/itemProps20.xml><?xml version="1.0" encoding="utf-8"?>
<ds:datastoreItem xmlns:ds="http://schemas.openxmlformats.org/officeDocument/2006/customXml" ds:itemID="{71C83E37-191E-4758-9D14-CF6AA51906B8}">
  <ds:schemaRefs/>
</ds:datastoreItem>
</file>

<file path=customXml/itemProps21.xml><?xml version="1.0" encoding="utf-8"?>
<ds:datastoreItem xmlns:ds="http://schemas.openxmlformats.org/officeDocument/2006/customXml" ds:itemID="{BEDA4B99-92D2-4B75-88D9-C0E2CC267B49}">
  <ds:schemaRefs/>
</ds:datastoreItem>
</file>

<file path=customXml/itemProps22.xml><?xml version="1.0" encoding="utf-8"?>
<ds:datastoreItem xmlns:ds="http://schemas.openxmlformats.org/officeDocument/2006/customXml" ds:itemID="{8404F1C9-DF73-4BA3-9A79-ED6C37B51FCC}">
  <ds:schemaRefs/>
</ds:datastoreItem>
</file>

<file path=customXml/itemProps23.xml><?xml version="1.0" encoding="utf-8"?>
<ds:datastoreItem xmlns:ds="http://schemas.openxmlformats.org/officeDocument/2006/customXml" ds:itemID="{D65861D3-35BE-434A-B820-C68DD4A6C24C}">
  <ds:schemaRefs/>
</ds:datastoreItem>
</file>

<file path=customXml/itemProps24.xml><?xml version="1.0" encoding="utf-8"?>
<ds:datastoreItem xmlns:ds="http://schemas.openxmlformats.org/officeDocument/2006/customXml" ds:itemID="{B8407D5A-DFEC-4000-91CC-11769AF74766}">
  <ds:schemaRefs/>
</ds:datastoreItem>
</file>

<file path=customXml/itemProps25.xml><?xml version="1.0" encoding="utf-8"?>
<ds:datastoreItem xmlns:ds="http://schemas.openxmlformats.org/officeDocument/2006/customXml" ds:itemID="{BFD49714-421A-4059-BD31-36BA54517341}">
  <ds:schemaRefs/>
</ds:datastoreItem>
</file>

<file path=customXml/itemProps26.xml><?xml version="1.0" encoding="utf-8"?>
<ds:datastoreItem xmlns:ds="http://schemas.openxmlformats.org/officeDocument/2006/customXml" ds:itemID="{10EF1C84-3B40-4A89-A459-3AAD9DFB3508}">
  <ds:schemaRefs/>
</ds:datastoreItem>
</file>

<file path=customXml/itemProps27.xml><?xml version="1.0" encoding="utf-8"?>
<ds:datastoreItem xmlns:ds="http://schemas.openxmlformats.org/officeDocument/2006/customXml" ds:itemID="{5E8E988C-C9FB-4ADA-BE95-FE89496361D9}">
  <ds:schemaRefs/>
</ds:datastoreItem>
</file>

<file path=customXml/itemProps28.xml><?xml version="1.0" encoding="utf-8"?>
<ds:datastoreItem xmlns:ds="http://schemas.openxmlformats.org/officeDocument/2006/customXml" ds:itemID="{E81F88B7-2E25-4461-AF72-A5A78372A6AD}">
  <ds:schemaRefs/>
</ds:datastoreItem>
</file>

<file path=customXml/itemProps29.xml><?xml version="1.0" encoding="utf-8"?>
<ds:datastoreItem xmlns:ds="http://schemas.openxmlformats.org/officeDocument/2006/customXml" ds:itemID="{E556292C-8E63-4C6D-9386-968833734F6B}">
  <ds:schemaRefs/>
</ds:datastoreItem>
</file>

<file path=customXml/itemProps3.xml><?xml version="1.0" encoding="utf-8"?>
<ds:datastoreItem xmlns:ds="http://schemas.openxmlformats.org/officeDocument/2006/customXml" ds:itemID="{A1984129-8D69-41B1-994F-F815E40B7513}">
  <ds:schemaRefs/>
</ds:datastoreItem>
</file>

<file path=customXml/itemProps30.xml><?xml version="1.0" encoding="utf-8"?>
<ds:datastoreItem xmlns:ds="http://schemas.openxmlformats.org/officeDocument/2006/customXml" ds:itemID="{8EE21B07-52AB-4F45-850C-15DADEDAFE85}">
  <ds:schemaRefs/>
</ds:datastoreItem>
</file>

<file path=customXml/itemProps31.xml><?xml version="1.0" encoding="utf-8"?>
<ds:datastoreItem xmlns:ds="http://schemas.openxmlformats.org/officeDocument/2006/customXml" ds:itemID="{28A681F8-9952-4CDB-BAE2-C78522BA918B}">
  <ds:schemaRefs/>
</ds:datastoreItem>
</file>

<file path=customXml/itemProps32.xml><?xml version="1.0" encoding="utf-8"?>
<ds:datastoreItem xmlns:ds="http://schemas.openxmlformats.org/officeDocument/2006/customXml" ds:itemID="{BF50F89E-628F-4581-B1C5-8B067D8C2430}">
  <ds:schemaRefs/>
</ds:datastoreItem>
</file>

<file path=customXml/itemProps33.xml><?xml version="1.0" encoding="utf-8"?>
<ds:datastoreItem xmlns:ds="http://schemas.openxmlformats.org/officeDocument/2006/customXml" ds:itemID="{BB9516F8-1FF5-4CD6-8721-48C5BF02EF42}">
  <ds:schemaRefs/>
</ds:datastoreItem>
</file>

<file path=customXml/itemProps34.xml><?xml version="1.0" encoding="utf-8"?>
<ds:datastoreItem xmlns:ds="http://schemas.openxmlformats.org/officeDocument/2006/customXml" ds:itemID="{34069F39-5553-411D-91FE-F1F5AF129263}">
  <ds:schemaRefs/>
</ds:datastoreItem>
</file>

<file path=customXml/itemProps35.xml><?xml version="1.0" encoding="utf-8"?>
<ds:datastoreItem xmlns:ds="http://schemas.openxmlformats.org/officeDocument/2006/customXml" ds:itemID="{ECD5D2BD-4A10-4CA9-B12F-9C1DCDF37D0E}">
  <ds:schemaRefs/>
</ds:datastoreItem>
</file>

<file path=customXml/itemProps36.xml><?xml version="1.0" encoding="utf-8"?>
<ds:datastoreItem xmlns:ds="http://schemas.openxmlformats.org/officeDocument/2006/customXml" ds:itemID="{2D04C40F-114B-4333-B490-8E2949F7DFD6}">
  <ds:schemaRefs/>
</ds:datastoreItem>
</file>

<file path=customXml/itemProps37.xml><?xml version="1.0" encoding="utf-8"?>
<ds:datastoreItem xmlns:ds="http://schemas.openxmlformats.org/officeDocument/2006/customXml" ds:itemID="{32C8EA97-6A74-4D22-9B1C-83A99C09DBEF}">
  <ds:schemaRefs/>
</ds:datastoreItem>
</file>

<file path=customXml/itemProps38.xml><?xml version="1.0" encoding="utf-8"?>
<ds:datastoreItem xmlns:ds="http://schemas.openxmlformats.org/officeDocument/2006/customXml" ds:itemID="{C5FEC8A5-9C12-4DFD-BBAA-17FE2308B8F8}">
  <ds:schemaRefs/>
</ds:datastoreItem>
</file>

<file path=customXml/itemProps39.xml><?xml version="1.0" encoding="utf-8"?>
<ds:datastoreItem xmlns:ds="http://schemas.openxmlformats.org/officeDocument/2006/customXml" ds:itemID="{96909E9B-49AE-4262-B58D-9589FAA153CC}">
  <ds:schemaRefs/>
</ds:datastoreItem>
</file>

<file path=customXml/itemProps4.xml><?xml version="1.0" encoding="utf-8"?>
<ds:datastoreItem xmlns:ds="http://schemas.openxmlformats.org/officeDocument/2006/customXml" ds:itemID="{FB951C64-4FE1-4840-B21C-29A1070E996E}">
  <ds:schemaRefs/>
</ds:datastoreItem>
</file>

<file path=customXml/itemProps40.xml><?xml version="1.0" encoding="utf-8"?>
<ds:datastoreItem xmlns:ds="http://schemas.openxmlformats.org/officeDocument/2006/customXml" ds:itemID="{E19F842B-49E2-4F16-818B-B1E8F0CBC088}">
  <ds:schemaRefs/>
</ds:datastoreItem>
</file>

<file path=customXml/itemProps41.xml><?xml version="1.0" encoding="utf-8"?>
<ds:datastoreItem xmlns:ds="http://schemas.openxmlformats.org/officeDocument/2006/customXml" ds:itemID="{5386C248-71B3-4926-819D-7DFE2D87DC16}">
  <ds:schemaRefs/>
</ds:datastoreItem>
</file>

<file path=customXml/itemProps42.xml><?xml version="1.0" encoding="utf-8"?>
<ds:datastoreItem xmlns:ds="http://schemas.openxmlformats.org/officeDocument/2006/customXml" ds:itemID="{3C5251CB-47DC-4875-99F6-556C96F6D971}">
  <ds:schemaRefs/>
</ds:datastoreItem>
</file>

<file path=customXml/itemProps43.xml><?xml version="1.0" encoding="utf-8"?>
<ds:datastoreItem xmlns:ds="http://schemas.openxmlformats.org/officeDocument/2006/customXml" ds:itemID="{F7F6138E-1F87-4F16-B390-0E768BD3B708}">
  <ds:schemaRefs/>
</ds:datastoreItem>
</file>

<file path=customXml/itemProps44.xml><?xml version="1.0" encoding="utf-8"?>
<ds:datastoreItem xmlns:ds="http://schemas.openxmlformats.org/officeDocument/2006/customXml" ds:itemID="{6B51B979-ECF8-4287-97E2-001C56C37FA6}">
  <ds:schemaRefs/>
</ds:datastoreItem>
</file>

<file path=customXml/itemProps45.xml><?xml version="1.0" encoding="utf-8"?>
<ds:datastoreItem xmlns:ds="http://schemas.openxmlformats.org/officeDocument/2006/customXml" ds:itemID="{BDA5DD96-5423-4598-A94C-6D0328EC57ED}">
  <ds:schemaRefs/>
</ds:datastoreItem>
</file>

<file path=customXml/itemProps46.xml><?xml version="1.0" encoding="utf-8"?>
<ds:datastoreItem xmlns:ds="http://schemas.openxmlformats.org/officeDocument/2006/customXml" ds:itemID="{39EC6BE8-D974-4E0F-B66A-A675C01B1AA1}">
  <ds:schemaRefs/>
</ds:datastoreItem>
</file>

<file path=customXml/itemProps5.xml><?xml version="1.0" encoding="utf-8"?>
<ds:datastoreItem xmlns:ds="http://schemas.openxmlformats.org/officeDocument/2006/customXml" ds:itemID="{A05DDEA4-F80F-4AB3-8C93-1089AEF84109}">
  <ds:schemaRefs/>
</ds:datastoreItem>
</file>

<file path=customXml/itemProps6.xml><?xml version="1.0" encoding="utf-8"?>
<ds:datastoreItem xmlns:ds="http://schemas.openxmlformats.org/officeDocument/2006/customXml" ds:itemID="{8EAF87C6-0340-4F0E-8A17-D9B14A420AAC}">
  <ds:schemaRefs/>
</ds:datastoreItem>
</file>

<file path=customXml/itemProps7.xml><?xml version="1.0" encoding="utf-8"?>
<ds:datastoreItem xmlns:ds="http://schemas.openxmlformats.org/officeDocument/2006/customXml" ds:itemID="{3E5AE1BF-F123-4816-99E2-AAE9F6A2857C}">
  <ds:schemaRefs/>
</ds:datastoreItem>
</file>

<file path=customXml/itemProps8.xml><?xml version="1.0" encoding="utf-8"?>
<ds:datastoreItem xmlns:ds="http://schemas.openxmlformats.org/officeDocument/2006/customXml" ds:itemID="{CDBAC10B-3745-4FD2-A488-F321A9E74469}">
  <ds:schemaRefs/>
</ds:datastoreItem>
</file>

<file path=customXml/itemProps9.xml><?xml version="1.0" encoding="utf-8"?>
<ds:datastoreItem xmlns:ds="http://schemas.openxmlformats.org/officeDocument/2006/customXml" ds:itemID="{E308A263-18CF-4D77-98B9-86741BE1D9C0}">
  <ds:schemaRefs/>
</ds:datastoreItem>
</file>

<file path=docProps/app.xml><?xml version="1.0" encoding="utf-8"?>
<Properties xmlns="http://schemas.openxmlformats.org/officeDocument/2006/extended-properties" xmlns:vt="http://schemas.openxmlformats.org/officeDocument/2006/docPropsVTypes">
  <Template>Normal</Template>
  <Pages>35</Pages>
  <Words>21355</Words>
  <Characters>25286</Characters>
  <Lines>209</Lines>
  <Paragraphs>59</Paragraphs>
  <TotalTime>0</TotalTime>
  <ScaleCrop>false</ScaleCrop>
  <LinksUpToDate>false</LinksUpToDate>
  <CharactersWithSpaces>25635</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2022-06-07T07:59:00Z</dcterms:created>
  <dc:creator>Administrator</dc:creator>
  <cp:lastModifiedBy>Administrator</cp:lastModifiedBy>
  <dcterms:modified xsi:type="dcterms:W3CDTF">2025-08-04T00:58:10Z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FDA9C0FDDAD643F79CD7622A3EB99D0A</vt:lpwstr>
  </property>
</Properties>
</file>