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石家庄市鹿泉区民政局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2025年涉企行政检查工作计划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为贯彻落实涉企行政检查相关工作要求，依据有关法律法规以及上级文件指示，结合民政工作实际，特制定本年度涉企行政检查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计划。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　　一、总体目标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贯彻落实涉企行政检查相关工作要求，依法规范养老服务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殡葬服务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等涉企主体行为，优化营商环境，防范重大风险，促进行业健康有序发展。</w:t>
      </w:r>
      <w:bookmarkStart w:id="0" w:name="_GoBack"/>
      <w:bookmarkEnd w:id="0"/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0"/>
        <w:jc w:val="left"/>
        <w:textAlignment w:val="center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二、检查事项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0"/>
        <w:jc w:val="left"/>
        <w:textAlignment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1.对养老机构服务和运营进行行政检查；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0"/>
        <w:jc w:val="left"/>
        <w:textAlignment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2.对殡葬服务机构服务和经营进行行政检查。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、执法检查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安排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楷体" w:hAnsi="楷体" w:eastAsia="楷体" w:cs="楷体"/>
          <w:sz w:val="32"/>
          <w:szCs w:val="32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一</w:t>
      </w:r>
      <w:r>
        <w:rPr>
          <w:rFonts w:hint="eastAsia" w:ascii="楷体" w:hAnsi="楷体" w:eastAsia="楷体" w:cs="楷体"/>
          <w:sz w:val="32"/>
          <w:szCs w:val="32"/>
        </w:rPr>
        <w:t>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对养老机构服务和运营进行行政检查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1、检查主体：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、检查依据：</w:t>
      </w:r>
      <w:r>
        <w:rPr>
          <w:rFonts w:hint="eastAsia" w:ascii="仿宋_GB2312" w:hAnsi="仿宋_GB2312" w:eastAsia="仿宋_GB2312" w:cs="仿宋_GB2312"/>
          <w:sz w:val="32"/>
          <w:szCs w:val="32"/>
        </w:rPr>
        <w:t>《养老机构管理办法》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、检查对象：</w:t>
      </w:r>
      <w:r>
        <w:rPr>
          <w:rFonts w:hint="eastAsia" w:ascii="仿宋_GB2312" w:hAnsi="仿宋_GB2312" w:eastAsia="仿宋_GB2312" w:cs="仿宋_GB2312"/>
          <w:sz w:val="32"/>
          <w:szCs w:val="32"/>
        </w:rPr>
        <w:t>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养老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1）</w:t>
      </w:r>
      <w:r>
        <w:rPr>
          <w:rFonts w:hint="eastAsia" w:ascii="仿宋_GB2312" w:hAnsi="仿宋_GB2312" w:eastAsia="仿宋_GB2312" w:cs="仿宋_GB2312"/>
          <w:sz w:val="32"/>
          <w:szCs w:val="32"/>
        </w:rPr>
        <w:t>养老机构日常监管。机构资质合法性检查，包括备案登记、经营资质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有效性；服务质量监管，重点核查服务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质量</w:t>
      </w:r>
      <w:r>
        <w:rPr>
          <w:rFonts w:hint="eastAsia" w:ascii="仿宋_GB2312" w:hAnsi="仿宋_GB2312" w:eastAsia="仿宋_GB2312" w:cs="仿宋_GB2312"/>
          <w:sz w:val="32"/>
          <w:szCs w:val="32"/>
        </w:rPr>
        <w:t>、人员持证上岗、老年人权益保障等情况；安全管理检查，涵盖消防安全、食品安全、设施设备安全及应急预案落实情况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2）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检查重点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重点检查机构是否存在超范围经营、无证执业、擅自变更登记事项等问题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核查服务人员培训记录、健康档案管理、生活照料及医疗护理服务质量达标情况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突出消防安全日常管理规范性、消防设施完好率、应急预案实操性、食品安全追溯及日常安全巡查记录完整性。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、检查方式：</w:t>
      </w:r>
      <w:r>
        <w:rPr>
          <w:rFonts w:hint="eastAsia" w:ascii="仿宋_GB2312" w:hAnsi="仿宋_GB2312" w:eastAsia="仿宋_GB2312" w:cs="仿宋_GB2312"/>
          <w:sz w:val="32"/>
          <w:szCs w:val="32"/>
        </w:rPr>
        <w:t>现场检查与非现场检查相结合。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二）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对殡葬服务机构服务和经营进行行政检查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1、检查主体：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、检查依据：</w:t>
      </w:r>
      <w:r>
        <w:rPr>
          <w:rFonts w:hint="eastAsia" w:ascii="仿宋_GB2312" w:hAnsi="仿宋_GB2312" w:eastAsia="仿宋_GB2312" w:cs="仿宋_GB2312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殡葬管理条例</w:t>
      </w:r>
      <w:r>
        <w:rPr>
          <w:rFonts w:hint="eastAsia" w:ascii="仿宋_GB2312" w:hAnsi="仿宋_GB2312" w:eastAsia="仿宋_GB2312" w:cs="仿宋_GB2312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河北省殡葬管理办法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公墓暂行管理办法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、检查对象</w:t>
      </w:r>
      <w:r>
        <w:rPr>
          <w:rFonts w:hint="eastAsia" w:ascii="仿宋_GB2312" w:hAnsi="仿宋_GB2312" w:eastAsia="仿宋_GB2312" w:cs="仿宋_GB2312"/>
          <w:sz w:val="32"/>
          <w:szCs w:val="32"/>
        </w:rPr>
        <w:t>：全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区殡葬服务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机构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、检查内容：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对殡葬设施建设和审批经营情况、配套设施建设情况、内部管理与队伍建设情况、公墓日常运营服务情况、殡葬服务信息化建设情况、公墓经营涉及重大违规问题。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、检查方式：</w:t>
      </w:r>
      <w:r>
        <w:rPr>
          <w:rFonts w:hint="eastAsia" w:ascii="仿宋_GB2312" w:hAnsi="仿宋_GB2312" w:eastAsia="仿宋_GB2312" w:cs="仿宋_GB2312"/>
          <w:sz w:val="32"/>
          <w:szCs w:val="32"/>
        </w:rPr>
        <w:t>现场检查与非现场检查相结合。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楷体" w:hAnsi="楷体" w:eastAsia="楷体" w:cs="楷体"/>
          <w:sz w:val="32"/>
          <w:szCs w:val="32"/>
        </w:rPr>
        <w:t>（一）强化组织领导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成立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涉企行政执法检查工作专班，由局长担任组长，分管副局长担任副组长，相关股室负责人为成员。领导小组下设办公室，负责统筹协调日常工作。各相关股室务必高度重视，明确职责分工，加强协同配合，形成工作合力，确保涉企行政执法检查工作高效推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　　</w:t>
      </w:r>
      <w:r>
        <w:rPr>
          <w:rFonts w:hint="eastAsia" w:ascii="楷体" w:hAnsi="楷体" w:eastAsia="楷体" w:cs="楷体"/>
          <w:sz w:val="32"/>
          <w:szCs w:val="32"/>
        </w:rPr>
        <w:t>（二）规范执法流程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检查人员必须严格依照法律法规开展检查工作，全面落实行政执法制度、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做到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执法过程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</w:t>
      </w:r>
      <w:r>
        <w:rPr>
          <w:rFonts w:hint="eastAsia" w:ascii="仿宋_GB2312" w:hAnsi="仿宋_GB2312" w:eastAsia="仿宋_GB2312" w:cs="仿宋_GB2312"/>
          <w:sz w:val="32"/>
          <w:szCs w:val="32"/>
        </w:rPr>
        <w:t>记录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规范执法行为，确保执法过程公正、公平、公开。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（三）加强宣传引导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充分利用多种渠道，广泛宣传涉企行政执法检查工作相关政策法规，引导企业增强法治意识，依法开展经营活动，积极营造良好的舆论氛围和执法环境。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石家庄市鹿泉区民政局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2025年4月27日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0F3B30"/>
    <w:rsid w:val="1C95748F"/>
    <w:rsid w:val="2D71004F"/>
    <w:rsid w:val="54BA197C"/>
    <w:rsid w:val="7DF73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2025-04-27T03:04:13Z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8FFF49F979E04D3F8BBC1D2159E4A48F</vt:lpwstr>
  </property>
</Properties>
</file>