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94A13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300" w:beforeAutospacing="0" w:after="60" w:afterAutospacing="0" w:line="570" w:lineRule="exact"/>
        <w:ind w:left="0" w:leftChars="0" w:right="0" w:firstLine="0" w:firstLineChars="0"/>
        <w:jc w:val="center"/>
        <w:textAlignment w:val="auto"/>
        <w:rPr>
          <w:rFonts w:hint="eastAsia" w:ascii="方正小标宋简体" w:hAnsi="方正小标宋简体" w:eastAsia="方正小标宋简体" w:cs="方正小标宋简体"/>
          <w:i w:val="0"/>
          <w:caps w:val="0"/>
          <w:color w:val="444444"/>
          <w:spacing w:val="0"/>
          <w:sz w:val="44"/>
          <w:szCs w:val="44"/>
        </w:rPr>
      </w:pPr>
      <w:r>
        <w:rPr>
          <w:rFonts w:hint="eastAsia" w:ascii="方正小标宋简体" w:hAnsi="方正小标宋简体" w:eastAsia="方正小标宋简体" w:cs="方正小标宋简体"/>
          <w:i w:val="0"/>
          <w:caps w:val="0"/>
          <w:color w:val="444444"/>
          <w:spacing w:val="0"/>
          <w:sz w:val="44"/>
          <w:szCs w:val="44"/>
          <w:lang w:val="en-US" w:eastAsia="zh-CN"/>
        </w:rPr>
        <w:t>石家庄市鹿泉区</w:t>
      </w:r>
      <w:r>
        <w:rPr>
          <w:rFonts w:hint="eastAsia" w:ascii="方正小标宋简体" w:hAnsi="方正小标宋简体" w:eastAsia="方正小标宋简体" w:cs="方正小标宋简体"/>
          <w:i w:val="0"/>
          <w:caps w:val="0"/>
          <w:color w:val="444444"/>
          <w:spacing w:val="0"/>
          <w:sz w:val="44"/>
          <w:szCs w:val="44"/>
        </w:rPr>
        <w:t>医疗保障局</w:t>
      </w:r>
    </w:p>
    <w:p w14:paraId="28BA0F0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300" w:beforeAutospacing="0" w:after="60" w:afterAutospacing="0" w:line="570" w:lineRule="exact"/>
        <w:ind w:left="0" w:leftChars="0" w:right="0" w:firstLine="0" w:firstLineChars="0"/>
        <w:jc w:val="center"/>
        <w:textAlignment w:val="auto"/>
        <w:rPr>
          <w:rFonts w:hint="eastAsia" w:ascii="方正小标宋简体" w:hAnsi="方正小标宋简体" w:eastAsia="方正小标宋简体" w:cs="方正小标宋简体"/>
          <w:i w:val="0"/>
          <w:caps w:val="0"/>
          <w:color w:val="444444"/>
          <w:spacing w:val="0"/>
          <w:sz w:val="44"/>
          <w:szCs w:val="44"/>
        </w:rPr>
      </w:pPr>
      <w:r>
        <w:rPr>
          <w:rFonts w:hint="eastAsia" w:ascii="方正小标宋简体" w:hAnsi="方正小标宋简体" w:eastAsia="方正小标宋简体" w:cs="方正小标宋简体"/>
          <w:i w:val="0"/>
          <w:caps w:val="0"/>
          <w:color w:val="444444"/>
          <w:spacing w:val="0"/>
          <w:sz w:val="44"/>
          <w:szCs w:val="44"/>
        </w:rPr>
        <w:t>20</w:t>
      </w:r>
      <w:r>
        <w:rPr>
          <w:rFonts w:hint="eastAsia" w:ascii="方正小标宋简体" w:hAnsi="方正小标宋简体" w:eastAsia="方正小标宋简体" w:cs="方正小标宋简体"/>
          <w:i w:val="0"/>
          <w:caps w:val="0"/>
          <w:color w:val="444444"/>
          <w:spacing w:val="0"/>
          <w:sz w:val="44"/>
          <w:szCs w:val="44"/>
          <w:lang w:val="en-US" w:eastAsia="zh-CN"/>
        </w:rPr>
        <w:t>25</w:t>
      </w:r>
      <w:r>
        <w:rPr>
          <w:rFonts w:hint="eastAsia" w:ascii="方正小标宋简体" w:hAnsi="方正小标宋简体" w:eastAsia="方正小标宋简体" w:cs="方正小标宋简体"/>
          <w:i w:val="0"/>
          <w:caps w:val="0"/>
          <w:color w:val="444444"/>
          <w:spacing w:val="0"/>
          <w:sz w:val="44"/>
          <w:szCs w:val="44"/>
        </w:rPr>
        <w:t>年度</w:t>
      </w:r>
      <w:r>
        <w:rPr>
          <w:rFonts w:hint="eastAsia" w:ascii="方正小标宋简体" w:hAnsi="方正小标宋简体" w:eastAsia="方正小标宋简体" w:cs="方正小标宋简体"/>
          <w:i w:val="0"/>
          <w:caps w:val="0"/>
          <w:color w:val="444444"/>
          <w:spacing w:val="0"/>
          <w:sz w:val="44"/>
          <w:szCs w:val="44"/>
          <w:lang w:val="en-US" w:eastAsia="zh-CN"/>
        </w:rPr>
        <w:t>涉企</w:t>
      </w:r>
      <w:r>
        <w:rPr>
          <w:rFonts w:hint="eastAsia" w:ascii="方正小标宋简体" w:hAnsi="方正小标宋简体" w:eastAsia="方正小标宋简体" w:cs="方正小标宋简体"/>
          <w:i w:val="0"/>
          <w:caps w:val="0"/>
          <w:color w:val="444444"/>
          <w:spacing w:val="0"/>
          <w:sz w:val="44"/>
          <w:szCs w:val="44"/>
        </w:rPr>
        <w:t>行政检查工作计划</w:t>
      </w:r>
    </w:p>
    <w:p w14:paraId="1B4E4A5F">
      <w:pPr>
        <w:rPr>
          <w:rFonts w:hint="eastAsia" w:ascii="仿宋_GB2312" w:hAnsi="仿宋_GB2312" w:eastAsia="仿宋_GB2312" w:cs="仿宋_GB2312"/>
          <w:sz w:val="32"/>
          <w:szCs w:val="32"/>
        </w:rPr>
      </w:pPr>
    </w:p>
    <w:p w14:paraId="780846B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70" w:lineRule="exact"/>
        <w:ind w:left="0" w:leftChars="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iCs w:val="0"/>
          <w:caps w:val="0"/>
          <w:color w:val="auto"/>
          <w:spacing w:val="0"/>
          <w:sz w:val="32"/>
          <w:szCs w:val="32"/>
          <w:shd w:val="clear" w:fill="FFFFFF"/>
        </w:rPr>
        <w:t>为进一步规范涉企检查行为，维护企业合法权益，优化营商环境，</w:t>
      </w:r>
      <w:r>
        <w:rPr>
          <w:rFonts w:hint="eastAsia" w:ascii="仿宋_GB2312" w:hAnsi="仿宋_GB2312" w:eastAsia="仿宋_GB2312" w:cs="仿宋_GB2312"/>
          <w:i w:val="0"/>
          <w:caps w:val="0"/>
          <w:color w:val="auto"/>
          <w:spacing w:val="0"/>
          <w:sz w:val="32"/>
          <w:szCs w:val="32"/>
        </w:rPr>
        <w:t>结合我局工作实际，现制定</w:t>
      </w:r>
      <w:r>
        <w:rPr>
          <w:rFonts w:hint="eastAsia" w:ascii="仿宋_GB2312" w:hAnsi="仿宋_GB2312" w:eastAsia="仿宋_GB2312" w:cs="仿宋_GB2312"/>
          <w:i w:val="0"/>
          <w:caps w:val="0"/>
          <w:color w:val="auto"/>
          <w:spacing w:val="0"/>
          <w:sz w:val="32"/>
          <w:szCs w:val="32"/>
          <w:lang w:val="en-US" w:eastAsia="zh-CN"/>
        </w:rPr>
        <w:t>2025</w:t>
      </w:r>
      <w:r>
        <w:rPr>
          <w:rFonts w:hint="eastAsia" w:ascii="仿宋_GB2312" w:hAnsi="仿宋_GB2312" w:eastAsia="仿宋_GB2312" w:cs="仿宋_GB2312"/>
          <w:i w:val="0"/>
          <w:caps w:val="0"/>
          <w:color w:val="auto"/>
          <w:spacing w:val="0"/>
          <w:sz w:val="32"/>
          <w:szCs w:val="32"/>
        </w:rPr>
        <w:t>年度</w:t>
      </w:r>
      <w:r>
        <w:rPr>
          <w:rFonts w:hint="eastAsia" w:ascii="仿宋_GB2312" w:hAnsi="仿宋_GB2312" w:eastAsia="仿宋_GB2312" w:cs="仿宋_GB2312"/>
          <w:i w:val="0"/>
          <w:caps w:val="0"/>
          <w:color w:val="auto"/>
          <w:spacing w:val="0"/>
          <w:sz w:val="32"/>
          <w:szCs w:val="32"/>
          <w:lang w:val="en-US" w:eastAsia="zh-CN"/>
        </w:rPr>
        <w:t>涉企行政检查工作计划</w:t>
      </w:r>
      <w:r>
        <w:rPr>
          <w:rFonts w:hint="eastAsia" w:ascii="仿宋_GB2312" w:hAnsi="仿宋_GB2312" w:eastAsia="仿宋_GB2312" w:cs="仿宋_GB2312"/>
          <w:i w:val="0"/>
          <w:caps w:val="0"/>
          <w:color w:val="auto"/>
          <w:spacing w:val="0"/>
          <w:sz w:val="32"/>
          <w:szCs w:val="32"/>
        </w:rPr>
        <w:t>：</w:t>
      </w:r>
    </w:p>
    <w:p w14:paraId="0C8548A1">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leftChars="0" w:right="0" w:firstLine="0" w:firstLineChars="0"/>
        <w:jc w:val="left"/>
        <w:textAlignment w:val="auto"/>
        <w:rPr>
          <w:rFonts w:hint="eastAsia" w:ascii="黑体" w:hAnsi="黑体" w:eastAsia="黑体" w:cs="黑体"/>
          <w:i w:val="0"/>
          <w:caps w:val="0"/>
          <w:color w:val="auto"/>
          <w:spacing w:val="0"/>
          <w:sz w:val="32"/>
          <w:szCs w:val="32"/>
        </w:rPr>
      </w:pPr>
      <w:r>
        <w:rPr>
          <w:rFonts w:hint="eastAsia" w:ascii="黑体" w:hAnsi="黑体" w:eastAsia="黑体" w:cs="黑体"/>
          <w:i w:val="0"/>
          <w:caps w:val="0"/>
          <w:color w:val="auto"/>
          <w:spacing w:val="0"/>
          <w:sz w:val="32"/>
          <w:szCs w:val="32"/>
        </w:rPr>
        <w:t>指导思想</w:t>
      </w:r>
    </w:p>
    <w:p w14:paraId="24F9EACD">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rPr>
        <w:t>认真贯彻落实</w:t>
      </w:r>
      <w:r>
        <w:rPr>
          <w:rFonts w:hint="eastAsia" w:ascii="仿宋_GB2312" w:hAnsi="仿宋_GB2312" w:eastAsia="仿宋_GB2312" w:cs="仿宋_GB2312"/>
          <w:i w:val="0"/>
          <w:caps w:val="0"/>
          <w:color w:val="auto"/>
          <w:spacing w:val="0"/>
          <w:sz w:val="32"/>
          <w:szCs w:val="32"/>
          <w:lang w:eastAsia="zh-CN"/>
        </w:rPr>
        <w:t>《</w:t>
      </w:r>
      <w:r>
        <w:rPr>
          <w:rFonts w:hint="eastAsia" w:ascii="仿宋_GB2312" w:hAnsi="仿宋_GB2312" w:eastAsia="仿宋_GB2312" w:cs="仿宋_GB2312"/>
          <w:i w:val="0"/>
          <w:caps w:val="0"/>
          <w:color w:val="auto"/>
          <w:spacing w:val="0"/>
          <w:sz w:val="32"/>
          <w:szCs w:val="32"/>
        </w:rPr>
        <w:t>国务院办公厅关于严格规范涉企行政检查的意见</w:t>
      </w:r>
      <w:r>
        <w:rPr>
          <w:rFonts w:hint="eastAsia" w:ascii="仿宋_GB2312" w:hAnsi="仿宋_GB2312" w:eastAsia="仿宋_GB2312" w:cs="仿宋_GB2312"/>
          <w:i w:val="0"/>
          <w:caps w:val="0"/>
          <w:color w:val="auto"/>
          <w:spacing w:val="0"/>
          <w:sz w:val="32"/>
          <w:szCs w:val="32"/>
          <w:lang w:eastAsia="zh-CN"/>
        </w:rPr>
        <w:t>》，周密组织开展规范涉企执法专项行动，严肃查处各类违法违规行为。确保涉企执法专项行动于法有据，严格规范，公正文明，精准高效，为</w:t>
      </w:r>
      <w:r>
        <w:rPr>
          <w:rFonts w:hint="eastAsia" w:ascii="仿宋_GB2312" w:hAnsi="仿宋_GB2312" w:eastAsia="仿宋_GB2312" w:cs="仿宋_GB2312"/>
          <w:i w:val="0"/>
          <w:caps w:val="0"/>
          <w:color w:val="auto"/>
          <w:spacing w:val="0"/>
          <w:sz w:val="32"/>
          <w:szCs w:val="32"/>
          <w:lang w:val="en-US" w:eastAsia="zh-CN"/>
        </w:rPr>
        <w:t>推动鹿泉区</w:t>
      </w:r>
      <w:r>
        <w:rPr>
          <w:rFonts w:hint="eastAsia" w:ascii="仿宋_GB2312" w:hAnsi="仿宋_GB2312" w:eastAsia="仿宋_GB2312" w:cs="仿宋_GB2312"/>
          <w:i w:val="0"/>
          <w:caps w:val="0"/>
          <w:color w:val="auto"/>
          <w:spacing w:val="0"/>
          <w:sz w:val="32"/>
          <w:szCs w:val="32"/>
          <w:lang w:eastAsia="zh-CN"/>
        </w:rPr>
        <w:t>优化法治营商环境提供保障。</w:t>
      </w:r>
    </w:p>
    <w:p w14:paraId="73CC6C77">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leftChars="0" w:right="0" w:firstLine="0" w:firstLineChars="0"/>
        <w:jc w:val="left"/>
        <w:textAlignment w:val="auto"/>
        <w:rPr>
          <w:rFonts w:hint="eastAsia" w:ascii="黑体" w:hAnsi="黑体" w:eastAsia="黑体" w:cs="黑体"/>
          <w:i w:val="0"/>
          <w:caps w:val="0"/>
          <w:color w:val="auto"/>
          <w:spacing w:val="0"/>
          <w:sz w:val="32"/>
          <w:szCs w:val="32"/>
          <w:lang w:val="en-US" w:eastAsia="zh-CN"/>
        </w:rPr>
      </w:pPr>
      <w:r>
        <w:rPr>
          <w:rFonts w:hint="eastAsia" w:ascii="黑体" w:hAnsi="黑体" w:eastAsia="黑体" w:cs="黑体"/>
          <w:i w:val="0"/>
          <w:caps w:val="0"/>
          <w:color w:val="auto"/>
          <w:spacing w:val="0"/>
          <w:sz w:val="32"/>
          <w:szCs w:val="32"/>
          <w:lang w:val="en-US" w:eastAsia="zh-CN"/>
        </w:rPr>
        <w:t>检查事项</w:t>
      </w:r>
    </w:p>
    <w:p w14:paraId="3635EBC7">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jc w:val="left"/>
        <w:textAlignment w:val="auto"/>
        <w:rPr>
          <w:rFonts w:hint="eastAsia" w:ascii="楷体" w:hAnsi="楷体" w:eastAsia="楷体" w:cs="楷体"/>
          <w:i w:val="0"/>
          <w:caps w:val="0"/>
          <w:color w:val="auto"/>
          <w:spacing w:val="0"/>
          <w:sz w:val="32"/>
          <w:szCs w:val="32"/>
          <w:lang w:val="en-US" w:eastAsia="zh-CN"/>
        </w:rPr>
      </w:pPr>
      <w:r>
        <w:rPr>
          <w:rFonts w:hint="eastAsia" w:ascii="楷体" w:hAnsi="楷体" w:eastAsia="楷体" w:cs="楷体"/>
          <w:i w:val="0"/>
          <w:caps w:val="0"/>
          <w:color w:val="auto"/>
          <w:spacing w:val="0"/>
          <w:sz w:val="32"/>
          <w:szCs w:val="32"/>
          <w:lang w:val="en-US" w:eastAsia="zh-CN"/>
        </w:rPr>
        <w:t>（一）行政检查事项清单（5项）</w:t>
      </w:r>
    </w:p>
    <w:p w14:paraId="34FAD8F7">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i w:val="0"/>
          <w:caps w:val="0"/>
          <w:color w:val="auto"/>
          <w:spacing w:val="0"/>
          <w:sz w:val="32"/>
          <w:szCs w:val="32"/>
          <w:lang w:val="en-US" w:eastAsia="zh-CN"/>
        </w:rPr>
      </w:pPr>
      <w:r>
        <w:rPr>
          <w:rFonts w:hint="eastAsia" w:ascii="仿宋_GB2312" w:hAnsi="仿宋_GB2312" w:eastAsia="仿宋_GB2312" w:cs="仿宋_GB2312"/>
          <w:i w:val="0"/>
          <w:caps w:val="0"/>
          <w:color w:val="auto"/>
          <w:spacing w:val="0"/>
          <w:sz w:val="32"/>
          <w:szCs w:val="32"/>
          <w:lang w:val="en-US" w:eastAsia="zh-CN"/>
        </w:rPr>
        <w:t>1、对用人单位和个人遵守医疗保障法律、法规情况的监督检查。</w:t>
      </w:r>
    </w:p>
    <w:p w14:paraId="6910A608">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i w:val="0"/>
          <w:caps w:val="0"/>
          <w:color w:val="auto"/>
          <w:spacing w:val="0"/>
          <w:sz w:val="32"/>
          <w:szCs w:val="32"/>
          <w:lang w:val="en-US" w:eastAsia="zh-CN"/>
        </w:rPr>
      </w:pPr>
      <w:r>
        <w:rPr>
          <w:rFonts w:hint="eastAsia" w:ascii="仿宋_GB2312" w:hAnsi="仿宋_GB2312" w:eastAsia="仿宋_GB2312" w:cs="仿宋_GB2312"/>
          <w:i w:val="0"/>
          <w:caps w:val="0"/>
          <w:color w:val="auto"/>
          <w:spacing w:val="0"/>
          <w:sz w:val="32"/>
          <w:szCs w:val="32"/>
          <w:lang w:val="en-US" w:eastAsia="zh-CN"/>
        </w:rPr>
        <w:t>2、对纳入医疗保障基金支付范围的医疗服务行为和医疗费用的监督。</w:t>
      </w:r>
    </w:p>
    <w:p w14:paraId="755928B8">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i w:val="0"/>
          <w:caps w:val="0"/>
          <w:color w:val="auto"/>
          <w:spacing w:val="0"/>
          <w:sz w:val="32"/>
          <w:szCs w:val="32"/>
          <w:lang w:val="en-US" w:eastAsia="zh-CN"/>
        </w:rPr>
      </w:pPr>
      <w:r>
        <w:rPr>
          <w:rFonts w:hint="eastAsia" w:ascii="仿宋_GB2312" w:hAnsi="仿宋_GB2312" w:eastAsia="仿宋_GB2312" w:cs="仿宋_GB2312"/>
          <w:i w:val="0"/>
          <w:caps w:val="0"/>
          <w:color w:val="auto"/>
          <w:spacing w:val="0"/>
          <w:sz w:val="32"/>
          <w:szCs w:val="32"/>
          <w:lang w:val="en-US" w:eastAsia="zh-CN"/>
        </w:rPr>
        <w:t>3、医疗保险稽核。</w:t>
      </w:r>
    </w:p>
    <w:p w14:paraId="1809E8BE">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i w:val="0"/>
          <w:caps w:val="0"/>
          <w:color w:val="auto"/>
          <w:spacing w:val="0"/>
          <w:sz w:val="32"/>
          <w:szCs w:val="32"/>
          <w:lang w:val="en-US" w:eastAsia="zh-CN"/>
        </w:rPr>
      </w:pPr>
      <w:r>
        <w:rPr>
          <w:rFonts w:hint="eastAsia" w:ascii="仿宋_GB2312" w:hAnsi="仿宋_GB2312" w:eastAsia="仿宋_GB2312" w:cs="仿宋_GB2312"/>
          <w:i w:val="0"/>
          <w:caps w:val="0"/>
          <w:color w:val="auto"/>
          <w:spacing w:val="0"/>
          <w:sz w:val="32"/>
          <w:szCs w:val="32"/>
          <w:lang w:val="en-US" w:eastAsia="zh-CN"/>
        </w:rPr>
        <w:t>4、对药品、医用耗材价格进行监测和成本调查。</w:t>
      </w:r>
    </w:p>
    <w:p w14:paraId="1B0FF970">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i w:val="0"/>
          <w:caps w:val="0"/>
          <w:color w:val="auto"/>
          <w:spacing w:val="0"/>
          <w:sz w:val="32"/>
          <w:szCs w:val="32"/>
          <w:lang w:val="en-US" w:eastAsia="zh-CN"/>
        </w:rPr>
      </w:pPr>
      <w:r>
        <w:rPr>
          <w:rFonts w:hint="eastAsia" w:ascii="仿宋_GB2312" w:hAnsi="仿宋_GB2312" w:eastAsia="仿宋_GB2312" w:cs="仿宋_GB2312"/>
          <w:i w:val="0"/>
          <w:caps w:val="0"/>
          <w:color w:val="auto"/>
          <w:spacing w:val="0"/>
          <w:sz w:val="32"/>
          <w:szCs w:val="32"/>
          <w:lang w:val="en-US" w:eastAsia="zh-CN"/>
        </w:rPr>
        <w:t>5、对药品上市许可持有人、药品和医用耗材生产企业、药品经营企业和医疗机构向医药价格主管部门提供其药品、医用耗材的实际购销价格和购销数量等资料的监督检查。</w:t>
      </w:r>
    </w:p>
    <w:p w14:paraId="4ECBB54D">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jc w:val="left"/>
        <w:textAlignment w:val="auto"/>
        <w:rPr>
          <w:rFonts w:hint="eastAsia" w:ascii="楷体" w:hAnsi="楷体" w:eastAsia="楷体" w:cs="楷体"/>
          <w:i w:val="0"/>
          <w:caps w:val="0"/>
          <w:color w:val="auto"/>
          <w:spacing w:val="0"/>
          <w:sz w:val="32"/>
          <w:szCs w:val="32"/>
          <w:lang w:val="en-US" w:eastAsia="zh-CN"/>
        </w:rPr>
      </w:pPr>
      <w:r>
        <w:rPr>
          <w:rFonts w:hint="eastAsia" w:ascii="楷体" w:hAnsi="楷体" w:eastAsia="楷体" w:cs="楷体"/>
          <w:i w:val="0"/>
          <w:caps w:val="0"/>
          <w:color w:val="auto"/>
          <w:spacing w:val="0"/>
          <w:sz w:val="32"/>
          <w:szCs w:val="32"/>
          <w:lang w:val="en-US" w:eastAsia="zh-CN"/>
        </w:rPr>
        <w:t>（二）“双随机、一公开”检查事项清单</w:t>
      </w:r>
    </w:p>
    <w:p w14:paraId="446A92B5">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1、对公立医疗机构药品和高值医用耗材集中采购行为合规性的监督检查。</w:t>
      </w:r>
    </w:p>
    <w:p w14:paraId="43EE37E5">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2、对定点医药机构基金使用情况日常监督检查。</w:t>
      </w:r>
    </w:p>
    <w:p w14:paraId="5FB10332">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leftChars="0" w:right="0" w:firstLine="0" w:firstLineChars="0"/>
        <w:jc w:val="left"/>
        <w:textAlignment w:val="auto"/>
        <w:rPr>
          <w:rFonts w:hint="eastAsia" w:ascii="黑体" w:hAnsi="黑体" w:eastAsia="黑体" w:cs="黑体"/>
          <w:i w:val="0"/>
          <w:caps w:val="0"/>
          <w:color w:val="auto"/>
          <w:spacing w:val="0"/>
          <w:sz w:val="32"/>
          <w:szCs w:val="32"/>
          <w:lang w:val="en-US" w:eastAsia="zh-CN"/>
        </w:rPr>
      </w:pPr>
      <w:bookmarkStart w:id="0" w:name="_GoBack"/>
      <w:bookmarkEnd w:id="0"/>
      <w:r>
        <w:rPr>
          <w:rFonts w:hint="eastAsia" w:ascii="黑体" w:hAnsi="黑体" w:eastAsia="黑体" w:cs="黑体"/>
          <w:i w:val="0"/>
          <w:caps w:val="0"/>
          <w:color w:val="auto"/>
          <w:spacing w:val="0"/>
          <w:sz w:val="32"/>
          <w:szCs w:val="32"/>
        </w:rPr>
        <w:t>检查对象</w:t>
      </w:r>
      <w:r>
        <w:rPr>
          <w:rFonts w:hint="eastAsia" w:ascii="黑体" w:hAnsi="黑体" w:eastAsia="黑体" w:cs="黑体"/>
          <w:i w:val="0"/>
          <w:caps w:val="0"/>
          <w:color w:val="auto"/>
          <w:spacing w:val="0"/>
          <w:sz w:val="32"/>
          <w:szCs w:val="32"/>
          <w:lang w:val="en-US" w:eastAsia="zh-CN"/>
        </w:rPr>
        <w:t>范围</w:t>
      </w:r>
    </w:p>
    <w:p w14:paraId="73196A0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lang w:eastAsia="zh-CN"/>
        </w:rPr>
      </w:pPr>
      <w:r>
        <w:rPr>
          <w:rFonts w:hint="eastAsia" w:ascii="仿宋_GB2312" w:hAnsi="仿宋_GB2312" w:eastAsia="仿宋_GB2312" w:cs="仿宋_GB2312"/>
          <w:i w:val="0"/>
          <w:caps w:val="0"/>
          <w:color w:val="auto"/>
          <w:spacing w:val="0"/>
          <w:sz w:val="32"/>
          <w:szCs w:val="32"/>
          <w:lang w:val="en-US" w:eastAsia="zh-CN"/>
        </w:rPr>
        <w:t>鹿泉区区域内所有医保</w:t>
      </w:r>
      <w:r>
        <w:rPr>
          <w:rFonts w:hint="eastAsia" w:ascii="仿宋_GB2312" w:hAnsi="仿宋_GB2312" w:eastAsia="仿宋_GB2312" w:cs="仿宋_GB2312"/>
          <w:i w:val="0"/>
          <w:caps w:val="0"/>
          <w:color w:val="auto"/>
          <w:spacing w:val="0"/>
          <w:sz w:val="32"/>
          <w:szCs w:val="32"/>
        </w:rPr>
        <w:t>定点医药机构</w:t>
      </w:r>
      <w:r>
        <w:rPr>
          <w:rFonts w:hint="eastAsia" w:ascii="仿宋_GB2312" w:hAnsi="仿宋_GB2312" w:eastAsia="仿宋_GB2312" w:cs="仿宋_GB2312"/>
          <w:i w:val="0"/>
          <w:caps w:val="0"/>
          <w:color w:val="auto"/>
          <w:spacing w:val="0"/>
          <w:sz w:val="32"/>
          <w:szCs w:val="32"/>
          <w:lang w:eastAsia="zh-CN"/>
        </w:rPr>
        <w:t>。</w:t>
      </w:r>
    </w:p>
    <w:p w14:paraId="4128BEBC">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leftChars="0" w:right="0" w:firstLine="0" w:firstLineChars="0"/>
        <w:jc w:val="left"/>
        <w:textAlignment w:val="auto"/>
        <w:rPr>
          <w:rFonts w:hint="eastAsia" w:ascii="黑体" w:hAnsi="黑体" w:eastAsia="黑体" w:cs="黑体"/>
          <w:i w:val="0"/>
          <w:caps w:val="0"/>
          <w:color w:val="auto"/>
          <w:spacing w:val="0"/>
          <w:sz w:val="32"/>
          <w:szCs w:val="32"/>
          <w:lang w:val="en-US" w:eastAsia="zh-CN"/>
        </w:rPr>
      </w:pPr>
      <w:r>
        <w:rPr>
          <w:rFonts w:hint="eastAsia" w:ascii="黑体" w:hAnsi="黑体" w:eastAsia="黑体" w:cs="黑体"/>
          <w:i w:val="0"/>
          <w:caps w:val="0"/>
          <w:color w:val="auto"/>
          <w:spacing w:val="0"/>
          <w:sz w:val="32"/>
          <w:szCs w:val="32"/>
        </w:rPr>
        <w:t>检查</w:t>
      </w:r>
      <w:r>
        <w:rPr>
          <w:rFonts w:hint="eastAsia" w:ascii="黑体" w:hAnsi="黑体" w:eastAsia="黑体" w:cs="黑体"/>
          <w:i w:val="0"/>
          <w:caps w:val="0"/>
          <w:color w:val="auto"/>
          <w:spacing w:val="0"/>
          <w:sz w:val="32"/>
          <w:szCs w:val="32"/>
          <w:lang w:val="en-US" w:eastAsia="zh-CN"/>
        </w:rPr>
        <w:t>时间</w:t>
      </w:r>
    </w:p>
    <w:p w14:paraId="05C7329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rPr>
        <w:t>202</w:t>
      </w:r>
      <w:r>
        <w:rPr>
          <w:rFonts w:hint="eastAsia" w:ascii="仿宋_GB2312" w:hAnsi="仿宋_GB2312" w:eastAsia="仿宋_GB2312" w:cs="仿宋_GB2312"/>
          <w:i w:val="0"/>
          <w:caps w:val="0"/>
          <w:color w:val="auto"/>
          <w:spacing w:val="0"/>
          <w:sz w:val="32"/>
          <w:szCs w:val="32"/>
          <w:lang w:val="en-US" w:eastAsia="zh-CN"/>
        </w:rPr>
        <w:t>5</w:t>
      </w:r>
      <w:r>
        <w:rPr>
          <w:rFonts w:hint="eastAsia" w:ascii="仿宋_GB2312" w:hAnsi="仿宋_GB2312" w:eastAsia="仿宋_GB2312" w:cs="仿宋_GB2312"/>
          <w:i w:val="0"/>
          <w:caps w:val="0"/>
          <w:color w:val="auto"/>
          <w:spacing w:val="0"/>
          <w:sz w:val="32"/>
          <w:szCs w:val="32"/>
        </w:rPr>
        <w:t>年</w:t>
      </w:r>
      <w:r>
        <w:rPr>
          <w:rFonts w:hint="eastAsia" w:ascii="仿宋_GB2312" w:hAnsi="仿宋_GB2312" w:eastAsia="仿宋_GB2312" w:cs="仿宋_GB2312"/>
          <w:i w:val="0"/>
          <w:caps w:val="0"/>
          <w:color w:val="auto"/>
          <w:spacing w:val="0"/>
          <w:sz w:val="32"/>
          <w:szCs w:val="32"/>
          <w:lang w:val="en-US" w:eastAsia="zh-CN"/>
        </w:rPr>
        <w:t>1</w:t>
      </w:r>
      <w:r>
        <w:rPr>
          <w:rFonts w:hint="eastAsia" w:ascii="仿宋_GB2312" w:hAnsi="仿宋_GB2312" w:eastAsia="仿宋_GB2312" w:cs="仿宋_GB2312"/>
          <w:i w:val="0"/>
          <w:caps w:val="0"/>
          <w:color w:val="auto"/>
          <w:spacing w:val="0"/>
          <w:sz w:val="32"/>
          <w:szCs w:val="32"/>
        </w:rPr>
        <w:t>月1日至202</w:t>
      </w:r>
      <w:r>
        <w:rPr>
          <w:rFonts w:hint="eastAsia" w:ascii="仿宋_GB2312" w:hAnsi="仿宋_GB2312" w:eastAsia="仿宋_GB2312" w:cs="仿宋_GB2312"/>
          <w:i w:val="0"/>
          <w:caps w:val="0"/>
          <w:color w:val="auto"/>
          <w:spacing w:val="0"/>
          <w:sz w:val="32"/>
          <w:szCs w:val="32"/>
          <w:lang w:val="en-US" w:eastAsia="zh-CN"/>
        </w:rPr>
        <w:t>5</w:t>
      </w:r>
      <w:r>
        <w:rPr>
          <w:rFonts w:hint="eastAsia" w:ascii="仿宋_GB2312" w:hAnsi="仿宋_GB2312" w:eastAsia="仿宋_GB2312" w:cs="仿宋_GB2312"/>
          <w:i w:val="0"/>
          <w:caps w:val="0"/>
          <w:color w:val="auto"/>
          <w:spacing w:val="0"/>
          <w:sz w:val="32"/>
          <w:szCs w:val="32"/>
        </w:rPr>
        <w:t>年12月3</w:t>
      </w:r>
      <w:r>
        <w:rPr>
          <w:rFonts w:hint="eastAsia" w:ascii="仿宋_GB2312" w:hAnsi="仿宋_GB2312" w:eastAsia="仿宋_GB2312" w:cs="仿宋_GB2312"/>
          <w:i w:val="0"/>
          <w:caps w:val="0"/>
          <w:color w:val="auto"/>
          <w:spacing w:val="0"/>
          <w:sz w:val="32"/>
          <w:szCs w:val="32"/>
          <w:lang w:val="en-US" w:eastAsia="zh-CN"/>
        </w:rPr>
        <w:t>1</w:t>
      </w:r>
      <w:r>
        <w:rPr>
          <w:rFonts w:hint="eastAsia" w:ascii="仿宋_GB2312" w:hAnsi="仿宋_GB2312" w:eastAsia="仿宋_GB2312" w:cs="仿宋_GB2312"/>
          <w:i w:val="0"/>
          <w:caps w:val="0"/>
          <w:color w:val="auto"/>
          <w:spacing w:val="0"/>
          <w:sz w:val="32"/>
          <w:szCs w:val="32"/>
        </w:rPr>
        <w:t>日</w:t>
      </w:r>
      <w:r>
        <w:rPr>
          <w:rFonts w:hint="eastAsia" w:ascii="仿宋_GB2312" w:hAnsi="仿宋_GB2312" w:eastAsia="仿宋_GB2312" w:cs="仿宋_GB2312"/>
          <w:i w:val="0"/>
          <w:caps w:val="0"/>
          <w:color w:val="auto"/>
          <w:spacing w:val="0"/>
          <w:sz w:val="32"/>
          <w:szCs w:val="32"/>
          <w:lang w:val="en-US" w:eastAsia="zh-CN"/>
        </w:rPr>
        <w:t>。</w:t>
      </w:r>
    </w:p>
    <w:p w14:paraId="1513D283">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leftChars="0" w:right="0" w:firstLine="0" w:firstLineChars="0"/>
        <w:jc w:val="left"/>
        <w:textAlignment w:val="auto"/>
        <w:rPr>
          <w:rFonts w:hint="eastAsia" w:ascii="黑体" w:hAnsi="黑体" w:eastAsia="黑体" w:cs="黑体"/>
          <w:i w:val="0"/>
          <w:caps w:val="0"/>
          <w:color w:val="auto"/>
          <w:spacing w:val="0"/>
          <w:sz w:val="32"/>
          <w:szCs w:val="32"/>
          <w:lang w:val="en-US" w:eastAsia="zh-CN"/>
        </w:rPr>
      </w:pPr>
      <w:r>
        <w:rPr>
          <w:rFonts w:hint="eastAsia" w:ascii="黑体" w:hAnsi="黑体" w:eastAsia="黑体" w:cs="黑体"/>
          <w:i w:val="0"/>
          <w:caps w:val="0"/>
          <w:color w:val="auto"/>
          <w:spacing w:val="0"/>
          <w:sz w:val="32"/>
          <w:szCs w:val="32"/>
        </w:rPr>
        <w:t>检查</w:t>
      </w:r>
      <w:r>
        <w:rPr>
          <w:rFonts w:hint="eastAsia" w:ascii="黑体" w:hAnsi="黑体" w:eastAsia="黑体" w:cs="黑体"/>
          <w:i w:val="0"/>
          <w:caps w:val="0"/>
          <w:color w:val="auto"/>
          <w:spacing w:val="0"/>
          <w:sz w:val="32"/>
          <w:szCs w:val="32"/>
          <w:lang w:val="en-US" w:eastAsia="zh-CN"/>
        </w:rPr>
        <w:t>方式</w:t>
      </w:r>
    </w:p>
    <w:p w14:paraId="24F14013">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i w:val="0"/>
          <w:caps w:val="0"/>
          <w:color w:val="auto"/>
          <w:spacing w:val="0"/>
          <w:sz w:val="32"/>
          <w:szCs w:val="32"/>
          <w:lang w:val="en-US" w:eastAsia="zh-CN"/>
        </w:rPr>
      </w:pPr>
      <w:r>
        <w:rPr>
          <w:rFonts w:hint="eastAsia" w:ascii="仿宋_GB2312" w:hAnsi="仿宋_GB2312" w:eastAsia="仿宋_GB2312" w:cs="仿宋_GB2312"/>
          <w:i w:val="0"/>
          <w:caps w:val="0"/>
          <w:color w:val="auto"/>
          <w:spacing w:val="0"/>
          <w:sz w:val="32"/>
          <w:szCs w:val="32"/>
          <w:lang w:val="en-US" w:eastAsia="zh-CN"/>
        </w:rPr>
        <w:t>1、日常监督</w:t>
      </w:r>
      <w:r>
        <w:rPr>
          <w:rFonts w:hint="eastAsia" w:ascii="仿宋_GB2312" w:hAnsi="仿宋_GB2312" w:eastAsia="仿宋_GB2312" w:cs="仿宋_GB2312"/>
          <w:i w:val="0"/>
          <w:caps w:val="0"/>
          <w:color w:val="auto"/>
          <w:spacing w:val="0"/>
          <w:sz w:val="32"/>
          <w:szCs w:val="32"/>
        </w:rPr>
        <w:t>检查活动采取现场检查的方式</w:t>
      </w:r>
      <w:r>
        <w:rPr>
          <w:rFonts w:hint="eastAsia" w:ascii="仿宋_GB2312" w:hAnsi="仿宋_GB2312" w:eastAsia="仿宋_GB2312" w:cs="仿宋_GB2312"/>
          <w:i w:val="0"/>
          <w:caps w:val="0"/>
          <w:color w:val="auto"/>
          <w:spacing w:val="0"/>
          <w:sz w:val="32"/>
          <w:szCs w:val="32"/>
          <w:lang w:eastAsia="zh-CN"/>
        </w:rPr>
        <w:t>，</w:t>
      </w:r>
      <w:r>
        <w:rPr>
          <w:rFonts w:hint="eastAsia" w:ascii="仿宋_GB2312" w:hAnsi="仿宋_GB2312" w:eastAsia="仿宋_GB2312" w:cs="仿宋_GB2312"/>
          <w:i w:val="0"/>
          <w:caps w:val="0"/>
          <w:color w:val="auto"/>
          <w:spacing w:val="0"/>
          <w:sz w:val="32"/>
          <w:szCs w:val="32"/>
        </w:rPr>
        <w:t>坚持公开公正原则，严格依法行政</w:t>
      </w:r>
      <w:r>
        <w:rPr>
          <w:rFonts w:hint="eastAsia" w:ascii="仿宋_GB2312" w:hAnsi="仿宋_GB2312" w:eastAsia="仿宋_GB2312" w:cs="仿宋_GB2312"/>
          <w:i w:val="0"/>
          <w:caps w:val="0"/>
          <w:color w:val="auto"/>
          <w:spacing w:val="0"/>
          <w:sz w:val="32"/>
          <w:szCs w:val="32"/>
          <w:lang w:eastAsia="zh-CN"/>
        </w:rPr>
        <w:t>。</w:t>
      </w:r>
    </w:p>
    <w:p w14:paraId="046E3D50">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i w:val="0"/>
          <w:caps w:val="0"/>
          <w:color w:val="auto"/>
          <w:spacing w:val="0"/>
          <w:sz w:val="32"/>
          <w:szCs w:val="32"/>
          <w:lang w:val="en-US" w:eastAsia="zh-CN"/>
        </w:rPr>
        <w:t>2、2025年度</w:t>
      </w:r>
      <w:r>
        <w:rPr>
          <w:rFonts w:hint="eastAsia" w:ascii="仿宋_GB2312" w:hAnsi="仿宋_GB2312" w:eastAsia="仿宋_GB2312" w:cs="仿宋_GB2312"/>
          <w:color w:val="auto"/>
          <w:sz w:val="32"/>
          <w:szCs w:val="32"/>
        </w:rPr>
        <w:t> “双随机、一公开”</w:t>
      </w:r>
      <w:r>
        <w:rPr>
          <w:rFonts w:hint="eastAsia" w:ascii="仿宋_GB2312" w:hAnsi="仿宋_GB2312" w:eastAsia="仿宋_GB2312" w:cs="仿宋_GB2312"/>
          <w:color w:val="auto"/>
          <w:sz w:val="32"/>
          <w:szCs w:val="32"/>
          <w:lang w:val="en-US" w:eastAsia="zh-CN"/>
        </w:rPr>
        <w:t>监管工作将</w:t>
      </w:r>
      <w:r>
        <w:rPr>
          <w:rFonts w:hint="eastAsia" w:ascii="仿宋_GB2312" w:hAnsi="仿宋_GB2312" w:eastAsia="仿宋_GB2312" w:cs="仿宋_GB2312"/>
          <w:color w:val="auto"/>
          <w:sz w:val="32"/>
          <w:szCs w:val="32"/>
        </w:rPr>
        <w:t>由</w:t>
      </w:r>
      <w:r>
        <w:rPr>
          <w:rFonts w:hint="eastAsia" w:ascii="仿宋_GB2312" w:hAnsi="仿宋_GB2312" w:eastAsia="仿宋_GB2312" w:cs="仿宋_GB2312"/>
          <w:color w:val="auto"/>
          <w:sz w:val="32"/>
          <w:szCs w:val="32"/>
          <w:lang w:val="en-US" w:eastAsia="zh-CN"/>
        </w:rPr>
        <w:t>区卫生健康局</w:t>
      </w:r>
      <w:r>
        <w:rPr>
          <w:rFonts w:hint="eastAsia" w:ascii="仿宋_GB2312" w:hAnsi="仿宋_GB2312" w:eastAsia="仿宋_GB2312" w:cs="仿宋_GB2312"/>
          <w:color w:val="auto"/>
          <w:sz w:val="32"/>
          <w:szCs w:val="32"/>
        </w:rPr>
        <w:t>牵头联合</w:t>
      </w:r>
      <w:r>
        <w:rPr>
          <w:rFonts w:hint="eastAsia" w:ascii="仿宋_GB2312" w:hAnsi="仿宋_GB2312" w:eastAsia="仿宋_GB2312" w:cs="仿宋_GB2312"/>
          <w:color w:val="auto"/>
          <w:sz w:val="32"/>
          <w:szCs w:val="32"/>
          <w:lang w:val="en-US" w:eastAsia="zh-CN"/>
        </w:rPr>
        <w:t>进行</w:t>
      </w:r>
      <w:r>
        <w:rPr>
          <w:rFonts w:hint="eastAsia" w:ascii="仿宋_GB2312" w:hAnsi="仿宋_GB2312" w:eastAsia="仿宋_GB2312" w:cs="仿宋_GB2312"/>
          <w:color w:val="auto"/>
          <w:sz w:val="32"/>
          <w:szCs w:val="32"/>
        </w:rPr>
        <w:t>抽查</w:t>
      </w:r>
      <w:r>
        <w:rPr>
          <w:rFonts w:hint="eastAsia" w:ascii="仿宋_GB2312" w:hAnsi="仿宋_GB2312" w:eastAsia="仿宋_GB2312" w:cs="仿宋_GB2312"/>
          <w:color w:val="auto"/>
          <w:sz w:val="32"/>
          <w:szCs w:val="32"/>
          <w:lang w:val="en-US" w:eastAsia="zh-CN"/>
        </w:rPr>
        <w:t>检查工作</w:t>
      </w:r>
      <w:r>
        <w:rPr>
          <w:rFonts w:hint="eastAsia" w:ascii="仿宋_GB2312" w:hAnsi="仿宋_GB2312" w:eastAsia="仿宋_GB2312" w:cs="仿宋_GB2312"/>
          <w:color w:val="auto"/>
          <w:sz w:val="32"/>
          <w:szCs w:val="32"/>
        </w:rPr>
        <w:t>，按照清单和计划明确的要求，有序推进落实联合抽查任务。</w:t>
      </w:r>
    </w:p>
    <w:p w14:paraId="453E1BB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jc w:val="left"/>
        <w:textAlignment w:val="auto"/>
        <w:rPr>
          <w:rFonts w:hint="eastAsia" w:ascii="黑体" w:hAnsi="黑体" w:eastAsia="黑体" w:cs="黑体"/>
          <w:color w:val="auto"/>
          <w:sz w:val="32"/>
          <w:szCs w:val="32"/>
        </w:rPr>
      </w:pPr>
      <w:r>
        <w:rPr>
          <w:rFonts w:hint="eastAsia" w:ascii="黑体" w:hAnsi="黑体" w:eastAsia="黑体" w:cs="黑体"/>
          <w:i w:val="0"/>
          <w:caps w:val="0"/>
          <w:color w:val="auto"/>
          <w:spacing w:val="0"/>
          <w:sz w:val="32"/>
          <w:szCs w:val="32"/>
          <w:lang w:val="en-US" w:eastAsia="zh-CN"/>
        </w:rPr>
        <w:t>六、</w:t>
      </w:r>
      <w:r>
        <w:rPr>
          <w:rFonts w:hint="eastAsia" w:ascii="黑体" w:hAnsi="黑体" w:eastAsia="黑体" w:cs="黑体"/>
          <w:i w:val="0"/>
          <w:caps w:val="0"/>
          <w:color w:val="auto"/>
          <w:spacing w:val="0"/>
          <w:sz w:val="32"/>
          <w:szCs w:val="32"/>
        </w:rPr>
        <w:t>工作要求</w:t>
      </w:r>
    </w:p>
    <w:p w14:paraId="4C42843E">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jc w:val="left"/>
        <w:textAlignment w:val="auto"/>
        <w:rPr>
          <w:rFonts w:hint="eastAsia" w:ascii="楷体" w:hAnsi="楷体" w:eastAsia="楷体" w:cs="楷体"/>
          <w:i w:val="0"/>
          <w:caps w:val="0"/>
          <w:color w:val="auto"/>
          <w:spacing w:val="0"/>
          <w:sz w:val="32"/>
          <w:szCs w:val="32"/>
          <w:lang w:val="en-US" w:eastAsia="zh-CN"/>
        </w:rPr>
      </w:pPr>
      <w:r>
        <w:rPr>
          <w:rFonts w:hint="eastAsia" w:ascii="楷体" w:hAnsi="楷体" w:eastAsia="楷体" w:cs="楷体"/>
          <w:i w:val="0"/>
          <w:caps w:val="0"/>
          <w:color w:val="auto"/>
          <w:spacing w:val="0"/>
          <w:sz w:val="32"/>
          <w:szCs w:val="32"/>
          <w:lang w:val="en-US" w:eastAsia="zh-CN"/>
        </w:rPr>
        <w:t>（一）高度重视，统一思想，加强领导</w:t>
      </w:r>
    </w:p>
    <w:p w14:paraId="6028875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rPr>
        <w:t>提高政治站位，高度重视医保基金日常监管工作，进一步提高认识，统一思想，加强组织领导，积极稳妥推进，确保各项措施落地实施。</w:t>
      </w:r>
    </w:p>
    <w:p w14:paraId="3E49251E">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jc w:val="left"/>
        <w:textAlignment w:val="auto"/>
        <w:rPr>
          <w:rFonts w:hint="eastAsia" w:ascii="楷体" w:hAnsi="楷体" w:eastAsia="楷体" w:cs="楷体"/>
          <w:i w:val="0"/>
          <w:caps w:val="0"/>
          <w:color w:val="auto"/>
          <w:spacing w:val="0"/>
          <w:sz w:val="32"/>
          <w:szCs w:val="32"/>
          <w:lang w:val="en-US" w:eastAsia="zh-CN"/>
        </w:rPr>
      </w:pPr>
      <w:r>
        <w:rPr>
          <w:rFonts w:hint="eastAsia" w:ascii="楷体" w:hAnsi="楷体" w:eastAsia="楷体" w:cs="楷体"/>
          <w:i w:val="0"/>
          <w:caps w:val="0"/>
          <w:color w:val="auto"/>
          <w:spacing w:val="0"/>
          <w:sz w:val="32"/>
          <w:szCs w:val="32"/>
          <w:lang w:val="en-US" w:eastAsia="zh-CN"/>
        </w:rPr>
        <w:t>（二）密切配合，形成基金监管合力</w:t>
      </w:r>
    </w:p>
    <w:p w14:paraId="5987A0C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rPr>
        <w:t>医保行政机关、经办机构、第三方保险公司等基金监管力量要统筹管理，协调配合，形成合力，按照中央、省、市决策部署，共同提高医保基金使用监管水平，确保医保基金安全和有效监管。</w:t>
      </w:r>
    </w:p>
    <w:p w14:paraId="5F6EE55A">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right="0" w:rightChars="0"/>
        <w:jc w:val="left"/>
        <w:textAlignment w:val="auto"/>
        <w:rPr>
          <w:rFonts w:hint="eastAsia" w:ascii="楷体" w:hAnsi="楷体" w:eastAsia="楷体" w:cs="楷体"/>
          <w:i w:val="0"/>
          <w:caps w:val="0"/>
          <w:color w:val="auto"/>
          <w:spacing w:val="0"/>
          <w:sz w:val="32"/>
          <w:szCs w:val="32"/>
          <w:lang w:val="en-US" w:eastAsia="zh-CN"/>
        </w:rPr>
      </w:pPr>
      <w:r>
        <w:rPr>
          <w:rFonts w:hint="eastAsia" w:ascii="楷体" w:hAnsi="楷体" w:eastAsia="楷体" w:cs="楷体"/>
          <w:i w:val="0"/>
          <w:caps w:val="0"/>
          <w:color w:val="auto"/>
          <w:spacing w:val="0"/>
          <w:sz w:val="32"/>
          <w:szCs w:val="32"/>
          <w:lang w:val="en-US" w:eastAsia="zh-CN"/>
        </w:rPr>
        <w:t>（三）积极推行“双随机、一公开”多部门联合执法工作机制</w:t>
      </w:r>
    </w:p>
    <w:p w14:paraId="3F72023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val="0"/>
        <w:snapToGrid w:val="0"/>
        <w:spacing w:before="0" w:beforeAutospacing="0" w:after="0" w:afterAutospacing="0" w:line="570"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rPr>
        <w:t>优化行政检查方式</w:t>
      </w:r>
      <w:r>
        <w:rPr>
          <w:rFonts w:hint="eastAsia" w:ascii="仿宋_GB2312" w:hAnsi="仿宋_GB2312" w:eastAsia="仿宋_GB2312" w:cs="仿宋_GB2312"/>
          <w:i w:val="0"/>
          <w:caps w:val="0"/>
          <w:color w:val="auto"/>
          <w:spacing w:val="0"/>
          <w:sz w:val="32"/>
          <w:szCs w:val="32"/>
          <w:lang w:eastAsia="zh-CN"/>
        </w:rPr>
        <w:t>，</w:t>
      </w:r>
      <w:r>
        <w:rPr>
          <w:rFonts w:hint="eastAsia" w:ascii="仿宋_GB2312" w:hAnsi="仿宋_GB2312" w:eastAsia="仿宋_GB2312" w:cs="仿宋_GB2312"/>
          <w:i w:val="0"/>
          <w:caps w:val="0"/>
          <w:color w:val="auto"/>
          <w:spacing w:val="0"/>
          <w:sz w:val="32"/>
          <w:szCs w:val="32"/>
          <w:lang w:val="en-US" w:eastAsia="zh-CN"/>
        </w:rPr>
        <w:t>推进</w:t>
      </w:r>
      <w:r>
        <w:rPr>
          <w:rFonts w:hint="eastAsia" w:ascii="仿宋_GB2312" w:hAnsi="仿宋_GB2312" w:eastAsia="仿宋_GB2312" w:cs="仿宋_GB2312"/>
          <w:i w:val="0"/>
          <w:caps w:val="0"/>
          <w:color w:val="auto"/>
          <w:spacing w:val="0"/>
          <w:sz w:val="32"/>
          <w:szCs w:val="32"/>
        </w:rPr>
        <w:t>多</w:t>
      </w:r>
      <w:r>
        <w:rPr>
          <w:rFonts w:hint="eastAsia" w:ascii="仿宋_GB2312" w:hAnsi="仿宋_GB2312" w:eastAsia="仿宋_GB2312" w:cs="仿宋_GB2312"/>
          <w:i w:val="0"/>
          <w:caps w:val="0"/>
          <w:color w:val="auto"/>
          <w:spacing w:val="0"/>
          <w:sz w:val="32"/>
          <w:szCs w:val="32"/>
          <w:lang w:val="en-US" w:eastAsia="zh-CN"/>
        </w:rPr>
        <w:t>个</w:t>
      </w:r>
      <w:r>
        <w:rPr>
          <w:rFonts w:hint="eastAsia" w:ascii="仿宋_GB2312" w:hAnsi="仿宋_GB2312" w:eastAsia="仿宋_GB2312" w:cs="仿宋_GB2312"/>
          <w:i w:val="0"/>
          <w:caps w:val="0"/>
          <w:color w:val="auto"/>
          <w:spacing w:val="0"/>
          <w:sz w:val="32"/>
          <w:szCs w:val="32"/>
        </w:rPr>
        <w:t>行政执法部门</w:t>
      </w:r>
      <w:r>
        <w:rPr>
          <w:rFonts w:hint="eastAsia" w:ascii="仿宋_GB2312" w:hAnsi="仿宋_GB2312" w:eastAsia="仿宋_GB2312" w:cs="仿宋_GB2312"/>
          <w:i w:val="0"/>
          <w:caps w:val="0"/>
          <w:color w:val="auto"/>
          <w:spacing w:val="0"/>
          <w:sz w:val="32"/>
          <w:szCs w:val="32"/>
          <w:lang w:val="en-US" w:eastAsia="zh-CN"/>
        </w:rPr>
        <w:t>联合</w:t>
      </w:r>
      <w:r>
        <w:rPr>
          <w:rFonts w:hint="eastAsia" w:ascii="仿宋_GB2312" w:hAnsi="仿宋_GB2312" w:eastAsia="仿宋_GB2312" w:cs="仿宋_GB2312"/>
          <w:i w:val="0"/>
          <w:caps w:val="0"/>
          <w:color w:val="auto"/>
          <w:spacing w:val="0"/>
          <w:sz w:val="32"/>
          <w:szCs w:val="32"/>
        </w:rPr>
        <w:t>涉企检查，提升监管效能。同时针对督查发现问题与监管执法工作高效结合，以查促改，着力提高监管执法的有效性、精准性</w:t>
      </w:r>
      <w:r>
        <w:rPr>
          <w:rFonts w:hint="eastAsia" w:ascii="仿宋_GB2312" w:hAnsi="仿宋_GB2312" w:eastAsia="仿宋_GB2312" w:cs="仿宋_GB2312"/>
          <w:i w:val="0"/>
          <w:caps w:val="0"/>
          <w:color w:val="auto"/>
          <w:spacing w:val="0"/>
          <w:sz w:val="32"/>
          <w:szCs w:val="32"/>
          <w:lang w:eastAsia="zh-CN"/>
        </w:rPr>
        <w:t>。</w:t>
      </w:r>
      <w:r>
        <w:rPr>
          <w:rFonts w:hint="eastAsia" w:ascii="仿宋_GB2312" w:hAnsi="仿宋_GB2312" w:eastAsia="仿宋_GB2312" w:cs="仿宋_GB2312"/>
          <w:i w:val="0"/>
          <w:caps w:val="0"/>
          <w:color w:val="auto"/>
          <w:spacing w:val="0"/>
          <w:sz w:val="32"/>
          <w:szCs w:val="32"/>
          <w:lang w:val="en-US" w:eastAsia="zh-CN"/>
        </w:rPr>
        <w:t>及时</w:t>
      </w:r>
      <w:r>
        <w:rPr>
          <w:rFonts w:hint="eastAsia" w:ascii="仿宋_GB2312" w:hAnsi="仿宋_GB2312" w:eastAsia="仿宋_GB2312" w:cs="仿宋_GB2312"/>
          <w:i w:val="0"/>
          <w:caps w:val="0"/>
          <w:color w:val="auto"/>
          <w:spacing w:val="0"/>
          <w:sz w:val="32"/>
          <w:szCs w:val="32"/>
        </w:rPr>
        <w:t>跟进整改进展情况，确保“双随机、一公开”监管持续有效推进落实。 </w:t>
      </w:r>
    </w:p>
    <w:p w14:paraId="637C3B3A">
      <w:pPr>
        <w:keepNext w:val="0"/>
        <w:keepLines w:val="0"/>
        <w:pageBreakBefore w:val="0"/>
        <w:kinsoku/>
        <w:wordWrap w:val="0"/>
        <w:overflowPunct/>
        <w:topLinePunct w:val="0"/>
        <w:autoSpaceDE/>
        <w:autoSpaceDN/>
        <w:bidi w:val="0"/>
        <w:adjustRightInd w:val="0"/>
        <w:snapToGrid w:val="0"/>
        <w:spacing w:line="570" w:lineRule="exact"/>
        <w:ind w:firstLine="640" w:firstLineChars="200"/>
        <w:jc w:val="right"/>
        <w:textAlignment w:val="auto"/>
        <w:rPr>
          <w:rFonts w:hint="eastAsia" w:ascii="仿宋_GB2312" w:hAnsi="仿宋_GB2312" w:eastAsia="仿宋_GB2312" w:cs="仿宋_GB2312"/>
          <w:color w:val="auto"/>
          <w:sz w:val="32"/>
          <w:szCs w:val="32"/>
          <w:lang w:val="en-US" w:eastAsia="zh-CN"/>
        </w:rPr>
      </w:pPr>
    </w:p>
    <w:p w14:paraId="11231BA8">
      <w:pPr>
        <w:keepNext w:val="0"/>
        <w:keepLines w:val="0"/>
        <w:pageBreakBefore w:val="0"/>
        <w:kinsoku/>
        <w:wordWrap w:val="0"/>
        <w:overflowPunct/>
        <w:topLinePunct w:val="0"/>
        <w:autoSpaceDE/>
        <w:autoSpaceDN/>
        <w:bidi w:val="0"/>
        <w:adjustRightInd w:val="0"/>
        <w:snapToGrid w:val="0"/>
        <w:spacing w:line="570" w:lineRule="exact"/>
        <w:ind w:firstLine="640" w:firstLineChars="200"/>
        <w:jc w:val="right"/>
        <w:textAlignment w:val="auto"/>
        <w:rPr>
          <w:rFonts w:hint="eastAsia" w:ascii="仿宋_GB2312" w:hAnsi="仿宋_GB2312" w:eastAsia="仿宋_GB2312" w:cs="仿宋_GB2312"/>
          <w:color w:val="auto"/>
          <w:sz w:val="32"/>
          <w:szCs w:val="32"/>
          <w:lang w:val="en-US" w:eastAsia="zh-CN"/>
        </w:rPr>
      </w:pPr>
    </w:p>
    <w:p w14:paraId="1C1EE11A">
      <w:pPr>
        <w:keepNext w:val="0"/>
        <w:keepLines w:val="0"/>
        <w:pageBreakBefore w:val="0"/>
        <w:kinsoku/>
        <w:wordWrap w:val="0"/>
        <w:overflowPunct/>
        <w:topLinePunct w:val="0"/>
        <w:autoSpaceDE/>
        <w:autoSpaceDN/>
        <w:bidi w:val="0"/>
        <w:adjustRightInd w:val="0"/>
        <w:snapToGrid w:val="0"/>
        <w:spacing w:line="570" w:lineRule="exact"/>
        <w:ind w:firstLine="640" w:firstLineChars="200"/>
        <w:jc w:val="righ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石家庄市鹿泉区医疗保障局    </w:t>
      </w:r>
    </w:p>
    <w:p w14:paraId="7F915CEB">
      <w:pPr>
        <w:keepNext w:val="0"/>
        <w:keepLines w:val="0"/>
        <w:pageBreakBefore w:val="0"/>
        <w:kinsoku/>
        <w:wordWrap w:val="0"/>
        <w:overflowPunct/>
        <w:topLinePunct w:val="0"/>
        <w:autoSpaceDE/>
        <w:autoSpaceDN/>
        <w:bidi w:val="0"/>
        <w:adjustRightInd w:val="0"/>
        <w:snapToGrid w:val="0"/>
        <w:spacing w:line="570" w:lineRule="exact"/>
        <w:ind w:firstLine="640" w:firstLineChars="200"/>
        <w:jc w:val="righ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2025年4月28日       </w:t>
      </w:r>
    </w:p>
    <w:p w14:paraId="02367365">
      <w:pPr>
        <w:keepNext w:val="0"/>
        <w:keepLines w:val="0"/>
        <w:pageBreakBefore w:val="0"/>
        <w:kinsoku/>
        <w:wordWrap/>
        <w:overflowPunct/>
        <w:topLinePunct w:val="0"/>
        <w:autoSpaceDE/>
        <w:autoSpaceDN/>
        <w:bidi w:val="0"/>
        <w:adjustRightInd w:val="0"/>
        <w:snapToGrid w:val="0"/>
        <w:spacing w:line="570" w:lineRule="exact"/>
        <w:ind w:left="0" w:leftChars="0" w:firstLine="0" w:firstLineChars="0"/>
        <w:jc w:val="right"/>
        <w:textAlignment w:val="auto"/>
        <w:rPr>
          <w:rFonts w:hint="default"/>
          <w:lang w:val="en-US"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C3395">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023569">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E023569">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F7DF65"/>
    <w:multiLevelType w:val="singleLevel"/>
    <w:tmpl w:val="BEF7DF6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BF3B30"/>
    <w:rsid w:val="01E1406F"/>
    <w:rsid w:val="02714437"/>
    <w:rsid w:val="04367F4D"/>
    <w:rsid w:val="04CB4069"/>
    <w:rsid w:val="0635393E"/>
    <w:rsid w:val="09BF3B30"/>
    <w:rsid w:val="0CEE0BF3"/>
    <w:rsid w:val="10785446"/>
    <w:rsid w:val="13E04201"/>
    <w:rsid w:val="16B87A51"/>
    <w:rsid w:val="19761CE3"/>
    <w:rsid w:val="1BB821EA"/>
    <w:rsid w:val="1C4549CD"/>
    <w:rsid w:val="1EFF6B9E"/>
    <w:rsid w:val="21985047"/>
    <w:rsid w:val="250D7689"/>
    <w:rsid w:val="263221A4"/>
    <w:rsid w:val="2817193A"/>
    <w:rsid w:val="28E4289D"/>
    <w:rsid w:val="29DB0733"/>
    <w:rsid w:val="2C1C76EB"/>
    <w:rsid w:val="2CDF11E0"/>
    <w:rsid w:val="2D517551"/>
    <w:rsid w:val="2DC82969"/>
    <w:rsid w:val="2E551197"/>
    <w:rsid w:val="315A0424"/>
    <w:rsid w:val="31807FCD"/>
    <w:rsid w:val="322265B1"/>
    <w:rsid w:val="396F5D25"/>
    <w:rsid w:val="3C6050FE"/>
    <w:rsid w:val="473A39F7"/>
    <w:rsid w:val="4AF66EA5"/>
    <w:rsid w:val="4D062959"/>
    <w:rsid w:val="520416A4"/>
    <w:rsid w:val="525F399C"/>
    <w:rsid w:val="547F3CBD"/>
    <w:rsid w:val="5A6C10B0"/>
    <w:rsid w:val="5E473B23"/>
    <w:rsid w:val="5FAC7761"/>
    <w:rsid w:val="605F38FD"/>
    <w:rsid w:val="617C7B23"/>
    <w:rsid w:val="62632AD7"/>
    <w:rsid w:val="62E0001C"/>
    <w:rsid w:val="6CA13C22"/>
    <w:rsid w:val="6FAC0F82"/>
    <w:rsid w:val="73645E6A"/>
    <w:rsid w:val="776E0A9E"/>
    <w:rsid w:val="7DE83B81"/>
    <w:rsid w:val="7FE524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981</Words>
  <Characters>1002</Characters>
  <Lines>0</Lines>
  <Paragraphs>0</Paragraphs>
  <TotalTime>5</TotalTime>
  <ScaleCrop>false</ScaleCrop>
  <LinksUpToDate>false</LinksUpToDate>
  <CharactersWithSpaces>1014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2025-03-24T05:45:00Z</dcterms:created>
  <dc:creator>206-1</dc:creator>
  <cp:lastModifiedBy>明明</cp:lastModifiedBy>
  <cp:lastPrinted>2025-04-30T01:26:00Z</cp:lastPrinted>
  <dcterms:modified xsi:type="dcterms:W3CDTF">2025-04-30T03:25:28Z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eyJoZGlkIjoiZjhlMGM2NDVkNWU2NTYyMmRiYjQ3MTlmZTdjNDI4OGEiLCJ1c2VySWQiOiIzOTY2NDMwMjgifQ==</vt:lpwstr>
  </property>
  <property fmtid="{D5CDD505-2E9C-101B-9397-08002B2CF9AE}" pid="4" name="ICV">
    <vt:lpwstr>5BD69DEF4E274B5DBF7D8E78B633EAFA_12</vt:lpwstr>
  </property>
</Properties>
</file>