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both"/>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both"/>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中共石家庄市鹿泉区委统一战线工作部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both"/>
        <w:rPr>
          <w:rFonts w:ascii="华文楷体" w:eastAsia="华文楷体"/>
          <w:sz w:val="32"/>
          <w:szCs w:val="32"/>
        </w:rPr>
      </w:pP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中共石家庄市鹿泉区委统战部</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ind w:firstLine="640" w:firstLineChars="200"/>
        <w:jc w:val="both"/>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（一）部门概况</w:t>
      </w:r>
    </w:p>
    <w:p>
      <w:pPr>
        <w:spacing w:before="0" w:after="0" w:line="240" w:lineRule="auto"/>
        <w:ind w:firstLine="640"/>
        <w:jc w:val="both"/>
        <w:outlineLvl w:val="9"/>
        <w:rPr>
          <w:rFonts w:hint="eastAsia" w:ascii="仿宋" w:hAnsi="仿宋" w:eastAsia="仿宋"/>
          <w:b/>
          <w:bCs/>
          <w:sz w:val="32"/>
          <w:szCs w:val="32"/>
        </w:rPr>
      </w:pPr>
      <w:r>
        <w:rPr>
          <w:rFonts w:hint="eastAsia" w:ascii="仿宋" w:hAnsi="仿宋" w:eastAsia="仿宋"/>
          <w:b/>
          <w:bCs/>
          <w:sz w:val="32"/>
          <w:szCs w:val="32"/>
        </w:rPr>
        <w:t>部门职</w:t>
      </w:r>
      <w:r>
        <w:rPr>
          <w:rFonts w:hint="eastAsia" w:ascii="仿宋" w:hAnsi="仿宋" w:eastAsia="仿宋"/>
          <w:b/>
          <w:bCs/>
          <w:sz w:val="32"/>
          <w:szCs w:val="32"/>
          <w:lang w:val="en-US" w:eastAsia="zh-CN"/>
        </w:rPr>
        <w:t>能</w:t>
      </w:r>
      <w:r>
        <w:rPr>
          <w:rFonts w:hint="eastAsia" w:ascii="仿宋" w:hAnsi="仿宋" w:eastAsia="仿宋"/>
          <w:b/>
          <w:bCs/>
          <w:sz w:val="32"/>
          <w:szCs w:val="32"/>
        </w:rPr>
        <w:t>：</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（二）开展统一战线理论研究，贯彻落实统一战线工作的政策、地方性法规等，深入调查研究，及时向区委报告统一战线工作情况并提出建议，统筹协调和指导各乡镇（区）各部门各单位统一战线工作。</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spacing w:before="0" w:after="0" w:line="240" w:lineRule="auto"/>
        <w:ind w:firstLine="640"/>
        <w:jc w:val="both"/>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（四）贯彻落实党的宣传工作方针，统筹推进全区统一战线宣传工作，拟订全区统一战线宣传工作规划并组织实施，研判涉及统一战线的舆情并协调有关部门应对处置</w:t>
      </w:r>
      <w:r>
        <w:rPr>
          <w:rFonts w:hint="eastAsia" w:ascii="仿宋" w:hAnsi="仿宋" w:eastAsia="仿宋"/>
          <w:b w:val="0"/>
          <w:bCs w:val="0"/>
          <w:sz w:val="32"/>
          <w:szCs w:val="32"/>
          <w:lang w:eastAsia="zh-CN"/>
        </w:rPr>
        <w:t>。</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（七）负责联系、培养无党派代表人士，支持、帮助无党派人士发挥作用，调查研究党外知识分子和新的社会阶层</w:t>
      </w:r>
      <w:r>
        <w:rPr>
          <w:rFonts w:hint="eastAsia" w:ascii="仿宋" w:hAnsi="仿宋" w:eastAsia="仿宋"/>
          <w:b w:val="0"/>
          <w:bCs w:val="0"/>
          <w:sz w:val="32"/>
          <w:szCs w:val="32"/>
          <w:lang w:val="en-US" w:eastAsia="zh-CN"/>
        </w:rPr>
        <w:t>人</w:t>
      </w:r>
      <w:r>
        <w:rPr>
          <w:rFonts w:hint="eastAsia" w:ascii="仿宋" w:hAnsi="仿宋" w:eastAsia="仿宋"/>
          <w:b w:val="0"/>
          <w:bCs w:val="0"/>
          <w:sz w:val="32"/>
          <w:szCs w:val="32"/>
        </w:rPr>
        <w:t>士情况并提出政策建议，联系、培养党外知识分子和新的社会阶层代表人士，开展思想政治工作，指导企业和社会组织开展党外知识分子和新的社会阶层人士统战工作。</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ascii="仿宋" w:hAnsi="仿宋" w:eastAsia="仿宋"/>
          <w:b w:val="0"/>
          <w:bCs w:val="0"/>
          <w:sz w:val="32"/>
          <w:szCs w:val="32"/>
          <w:lang w:val="en-US" w:eastAsia="zh-CN"/>
        </w:rPr>
        <w:t>士</w:t>
      </w:r>
      <w:r>
        <w:rPr>
          <w:rFonts w:hint="eastAsia" w:ascii="仿宋" w:hAnsi="仿宋" w:eastAsia="仿宋"/>
          <w:b w:val="0"/>
          <w:bCs w:val="0"/>
          <w:sz w:val="32"/>
          <w:szCs w:val="32"/>
        </w:rPr>
        <w:t>健康成长。</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（九）统一领导全区海外统战工作，牵头开展港澳统战工作。贯彻落实党的海外统战工作政策，联系香港、澳门有关党派、团体及代表人士，联系海外有关社团及代表人士。</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（十）统一管理全区侨务工作，贯彻落实党的侨务工作方针政策并组织协调、督促检查落实，调查研究侨情和侨务工作情况，管理侨务工作，保护华侨和归侨侨眷在区内的合法权利和利益。</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spacing w:before="0" w:after="0" w:line="240" w:lineRule="auto"/>
        <w:ind w:firstLine="640"/>
        <w:jc w:val="both"/>
        <w:outlineLvl w:val="9"/>
        <w:rPr>
          <w:rFonts w:hint="eastAsia" w:ascii="仿宋" w:hAnsi="仿宋" w:eastAsia="仿宋"/>
          <w:b/>
          <w:bCs/>
          <w:sz w:val="32"/>
          <w:szCs w:val="32"/>
        </w:rPr>
      </w:pPr>
      <w:r>
        <w:rPr>
          <w:rFonts w:hint="eastAsia" w:ascii="仿宋" w:hAnsi="仿宋" w:eastAsia="仿宋"/>
          <w:b w:val="0"/>
          <w:bCs w:val="0"/>
          <w:sz w:val="32"/>
          <w:szCs w:val="32"/>
        </w:rPr>
        <w:t>（十三）完成区委交办的其他任务。</w:t>
      </w:r>
      <w:r>
        <w:rPr>
          <w:rFonts w:hint="eastAsia" w:ascii="仿宋" w:hAnsi="仿宋" w:eastAsia="仿宋"/>
          <w:b/>
          <w:bCs/>
          <w:sz w:val="32"/>
          <w:szCs w:val="32"/>
        </w:rPr>
        <w:t>　</w:t>
      </w:r>
    </w:p>
    <w:tbl>
      <w:tblPr>
        <w:tblStyle w:val="5"/>
        <w:tblpPr w:leftFromText="180" w:rightFromText="180" w:vertAnchor="text" w:horzAnchor="page" w:tblpX="1673" w:tblpY="590"/>
        <w:tblOverlap w:val="never"/>
        <w:tblW w:w="8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58"/>
        <w:gridCol w:w="1369"/>
        <w:gridCol w:w="1553"/>
        <w:gridCol w:w="2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858"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369"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553"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159"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58"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中共石家庄市鹿泉区委统一战线工作部</w:t>
            </w:r>
          </w:p>
        </w:tc>
        <w:tc>
          <w:tcPr>
            <w:tcW w:w="1369"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553"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159"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pPr>
        <w:adjustRightInd w:val="0"/>
        <w:snapToGrid w:val="0"/>
        <w:spacing w:line="560" w:lineRule="exact"/>
        <w:ind w:firstLine="643" w:firstLineChars="200"/>
        <w:jc w:val="both"/>
        <w:rPr>
          <w:rFonts w:hint="eastAsia" w:ascii="仿宋" w:hAnsi="仿宋" w:eastAsia="仿宋"/>
          <w:b/>
          <w:bCs/>
          <w:sz w:val="32"/>
          <w:szCs w:val="32"/>
          <w:lang w:eastAsia="zh-CN"/>
        </w:rPr>
      </w:pPr>
      <w:r>
        <w:rPr>
          <w:rFonts w:hint="eastAsia" w:ascii="仿宋" w:hAnsi="仿宋" w:eastAsia="仿宋"/>
          <w:b/>
          <w:bCs/>
          <w:sz w:val="32"/>
          <w:szCs w:val="32"/>
        </w:rPr>
        <w:t>部门机构设置情况</w:t>
      </w:r>
      <w:r>
        <w:rPr>
          <w:rFonts w:hint="eastAsia" w:ascii="仿宋" w:hAnsi="仿宋" w:eastAsia="仿宋"/>
          <w:b/>
          <w:bCs/>
          <w:sz w:val="32"/>
          <w:szCs w:val="32"/>
          <w:lang w:eastAsia="zh-CN"/>
        </w:rPr>
        <w:t>：</w:t>
      </w:r>
    </w:p>
    <w:p>
      <w:pPr>
        <w:numPr>
          <w:ilvl w:val="0"/>
          <w:numId w:val="1"/>
        </w:numPr>
        <w:adjustRightInd w:val="0"/>
        <w:snapToGrid w:val="0"/>
        <w:spacing w:line="560" w:lineRule="exact"/>
        <w:ind w:firstLine="640" w:firstLineChars="200"/>
        <w:jc w:val="both"/>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13"/>
        <w:jc w:val="both"/>
        <w:rPr>
          <w:rFonts w:hint="eastAsia" w:ascii="仿宋" w:hAnsi="仿宋" w:eastAsia="仿宋" w:cs="仿宋"/>
          <w:sz w:val="32"/>
          <w:szCs w:val="32"/>
          <w:lang w:eastAsia="zh-CN"/>
        </w:rPr>
      </w:pPr>
      <w:r>
        <w:rPr>
          <w:rFonts w:hint="eastAsia" w:ascii="仿宋" w:hAnsi="仿宋" w:eastAsia="仿宋" w:cs="黑体"/>
          <w:kern w:val="2"/>
          <w:sz w:val="32"/>
          <w:szCs w:val="32"/>
          <w:lang w:val="en-US" w:eastAsia="uk-UA" w:bidi="ar-SA"/>
        </w:rPr>
        <w:t>202</w:t>
      </w:r>
      <w:r>
        <w:rPr>
          <w:rFonts w:hint="eastAsia" w:ascii="仿宋" w:hAnsi="仿宋" w:eastAsia="仿宋" w:cs="黑体"/>
          <w:kern w:val="2"/>
          <w:sz w:val="32"/>
          <w:szCs w:val="32"/>
          <w:lang w:val="en-US" w:eastAsia="zh-CN" w:bidi="ar-SA"/>
        </w:rPr>
        <w:t>4</w:t>
      </w:r>
      <w:r>
        <w:rPr>
          <w:rFonts w:hint="eastAsia" w:ascii="仿宋" w:hAnsi="仿宋" w:eastAsia="仿宋" w:cs="黑体"/>
          <w:kern w:val="2"/>
          <w:sz w:val="32"/>
          <w:szCs w:val="32"/>
          <w:lang w:val="en-US" w:eastAsia="uk-UA" w:bidi="ar-SA"/>
        </w:rPr>
        <w:t>年预算收入</w:t>
      </w:r>
      <w:r>
        <w:rPr>
          <w:rFonts w:hint="eastAsia" w:ascii="仿宋" w:hAnsi="仿宋" w:eastAsia="仿宋" w:cs="黑体"/>
          <w:kern w:val="2"/>
          <w:sz w:val="32"/>
          <w:szCs w:val="32"/>
          <w:lang w:val="en-US" w:eastAsia="zh-CN" w:bidi="ar-SA"/>
        </w:rPr>
        <w:t>428.62万元，</w:t>
      </w:r>
      <w:r>
        <w:rPr>
          <w:rFonts w:hint="eastAsia" w:ascii="仿宋" w:hAnsi="仿宋" w:eastAsia="仿宋" w:cs="仿宋"/>
          <w:sz w:val="32"/>
          <w:szCs w:val="32"/>
        </w:rPr>
        <w:t>其中:一般公共预算</w:t>
      </w:r>
      <w:r>
        <w:rPr>
          <w:rFonts w:hint="eastAsia" w:ascii="仿宋" w:hAnsi="仿宋" w:eastAsia="仿宋" w:cs="仿宋"/>
          <w:sz w:val="32"/>
          <w:szCs w:val="32"/>
          <w:lang w:val="en-US" w:eastAsia="zh-CN"/>
        </w:rPr>
        <w:t>财政拨款</w:t>
      </w:r>
      <w:r>
        <w:rPr>
          <w:rFonts w:hint="eastAsia" w:ascii="仿宋" w:hAnsi="仿宋" w:eastAsia="仿宋" w:cs="仿宋"/>
          <w:sz w:val="32"/>
          <w:szCs w:val="32"/>
        </w:rPr>
        <w:t>收入</w:t>
      </w:r>
      <w:r>
        <w:rPr>
          <w:rFonts w:hint="eastAsia" w:ascii="仿宋" w:hAnsi="仿宋" w:eastAsia="仿宋" w:cs="仿宋"/>
          <w:sz w:val="32"/>
          <w:szCs w:val="32"/>
          <w:lang w:val="en-US" w:eastAsia="zh-CN"/>
        </w:rPr>
        <w:t>422.62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上年结转结余6万元</w:t>
      </w:r>
      <w:r>
        <w:rPr>
          <w:rFonts w:hint="eastAsia" w:ascii="仿宋" w:hAnsi="仿宋" w:eastAsia="仿宋" w:cs="仿宋"/>
          <w:sz w:val="32"/>
          <w:szCs w:val="32"/>
          <w:lang w:eastAsia="zh-CN"/>
        </w:rPr>
        <w:t>。</w:t>
      </w:r>
    </w:p>
    <w:p>
      <w:pPr>
        <w:pStyle w:val="13"/>
        <w:jc w:val="both"/>
        <w:rPr>
          <w:rFonts w:hint="eastAsia" w:ascii="仿宋" w:hAnsi="仿宋" w:eastAsia="仿宋" w:cs="仿宋"/>
          <w:sz w:val="32"/>
          <w:szCs w:val="32"/>
          <w:highlight w:val="none"/>
          <w:lang w:eastAsia="zh-CN"/>
        </w:rPr>
      </w:pPr>
      <w:r>
        <w:rPr>
          <w:rFonts w:hint="eastAsia" w:ascii="仿宋" w:hAnsi="仿宋" w:eastAsia="仿宋" w:cs="黑体"/>
          <w:kern w:val="2"/>
          <w:sz w:val="32"/>
          <w:szCs w:val="32"/>
          <w:highlight w:val="none"/>
          <w:lang w:val="en-US" w:eastAsia="zh-CN" w:bidi="ar-SA"/>
        </w:rPr>
        <w:t>2024年决算收入523.13万元，其中：一般公共预算收入523.13万元</w:t>
      </w:r>
      <w:r>
        <w:rPr>
          <w:rFonts w:hint="eastAsia" w:ascii="仿宋" w:hAnsi="仿宋" w:eastAsia="仿宋" w:cs="仿宋"/>
          <w:sz w:val="32"/>
          <w:szCs w:val="32"/>
          <w:highlight w:val="none"/>
          <w:lang w:eastAsia="zh-CN"/>
        </w:rPr>
        <w:t>。</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支出预算428.62万元，其中：基本支出367.89万元，包括人员经费327.37万元和日常公用经费40.52万元；项目支出60.73万元，主要为统战工作协调机制专项经费、台侨工作经费、民宗宗教工作专项经费、民主党派工作经费、</w:t>
      </w:r>
      <w:bookmarkStart w:id="0" w:name="OLE_LINK1"/>
      <w:r>
        <w:rPr>
          <w:rFonts w:hint="eastAsia" w:ascii="仿宋" w:hAnsi="仿宋" w:eastAsia="仿宋" w:cs="黑体"/>
          <w:kern w:val="2"/>
          <w:sz w:val="32"/>
          <w:szCs w:val="32"/>
          <w:lang w:val="en-US" w:eastAsia="zh-CN" w:bidi="ar-SA"/>
        </w:rPr>
        <w:t>党外知识分子工作经费、</w:t>
      </w:r>
      <w:r>
        <w:rPr>
          <w:rFonts w:hint="eastAsia" w:ascii="仿宋" w:hAnsi="仿宋" w:eastAsia="仿宋" w:cs="黑体"/>
          <w:kern w:val="2"/>
          <w:sz w:val="32"/>
          <w:szCs w:val="32"/>
          <w:highlight w:val="none"/>
          <w:lang w:val="en-US" w:eastAsia="zh-CN" w:bidi="ar-SA"/>
        </w:rPr>
        <w:t>欧美同学会“双创”大赛全国总决赛承办费</w:t>
      </w:r>
      <w:r>
        <w:rPr>
          <w:rFonts w:hint="eastAsia" w:ascii="仿宋" w:hAnsi="仿宋" w:eastAsia="仿宋" w:cs="黑体"/>
          <w:kern w:val="2"/>
          <w:sz w:val="32"/>
          <w:szCs w:val="32"/>
          <w:lang w:val="en-US" w:eastAsia="zh-CN" w:bidi="ar-SA"/>
        </w:rPr>
        <w:t>等</w:t>
      </w:r>
      <w:bookmarkEnd w:id="0"/>
      <w:r>
        <w:rPr>
          <w:rFonts w:hint="eastAsia" w:ascii="仿宋" w:hAnsi="仿宋" w:eastAsia="仿宋" w:cs="黑体"/>
          <w:kern w:val="2"/>
          <w:sz w:val="32"/>
          <w:szCs w:val="32"/>
          <w:lang w:val="en-US" w:eastAsia="zh-CN" w:bidi="ar-SA"/>
        </w:rPr>
        <w:t>；</w:t>
      </w:r>
    </w:p>
    <w:p>
      <w:pPr>
        <w:pStyle w:val="8"/>
        <w:ind w:firstLine="640" w:firstLineChars="200"/>
        <w:jc w:val="both"/>
        <w:rPr>
          <w:rFonts w:hint="eastAsia" w:ascii="楷体" w:hAnsi="楷体" w:eastAsia="楷体" w:cs="楷体_GB2312"/>
          <w:bCs/>
          <w:kern w:val="2"/>
          <w:sz w:val="32"/>
          <w:szCs w:val="32"/>
          <w:highlight w:val="yellow"/>
          <w:lang w:val="en-US" w:eastAsia="zh-CN" w:bidi="ar-SA"/>
        </w:rPr>
      </w:pPr>
      <w:r>
        <w:rPr>
          <w:rFonts w:hint="eastAsia" w:ascii="仿宋" w:hAnsi="仿宋" w:eastAsia="仿宋" w:cs="黑体"/>
          <w:kern w:val="2"/>
          <w:sz w:val="32"/>
          <w:szCs w:val="32"/>
          <w:highlight w:val="none"/>
          <w:lang w:val="en-US" w:eastAsia="zh-CN" w:bidi="ar-SA"/>
        </w:rPr>
        <w:t>2024年支出决算523.13万元，其中：基本支出366.84万元，包括人员经费329.31万元和日常公用经费</w:t>
      </w:r>
      <w:r>
        <w:rPr>
          <w:rFonts w:hint="eastAsia" w:ascii="仿宋" w:hAnsi="仿宋" w:eastAsia="仿宋" w:cs="仿宋"/>
          <w:sz w:val="32"/>
          <w:szCs w:val="32"/>
          <w:highlight w:val="none"/>
          <w:lang w:val="en-US" w:eastAsia="zh-CN"/>
        </w:rPr>
        <w:t>37.53</w:t>
      </w:r>
      <w:r>
        <w:rPr>
          <w:rFonts w:hint="eastAsia" w:ascii="仿宋" w:hAnsi="仿宋" w:eastAsia="仿宋" w:cs="黑体"/>
          <w:kern w:val="2"/>
          <w:sz w:val="32"/>
          <w:szCs w:val="32"/>
          <w:highlight w:val="none"/>
          <w:lang w:val="en-US" w:eastAsia="zh-CN" w:bidi="ar-SA"/>
        </w:rPr>
        <w:t>万元；项目156.29万元，主要为统战工作协调机制专项经费、台侨工作经费、民宗宗教工作专项经费、民主党派工作经费、</w:t>
      </w:r>
      <w:r>
        <w:rPr>
          <w:rFonts w:hint="eastAsia" w:ascii="仿宋" w:hAnsi="仿宋" w:eastAsia="仿宋" w:cs="黑体"/>
          <w:kern w:val="2"/>
          <w:sz w:val="32"/>
          <w:szCs w:val="32"/>
          <w:lang w:val="en-US" w:eastAsia="zh-CN" w:bidi="ar-SA"/>
        </w:rPr>
        <w:t>党外知识分子工作经费，</w:t>
      </w:r>
      <w:bookmarkStart w:id="1" w:name="OLE_LINK2"/>
      <w:r>
        <w:rPr>
          <w:rFonts w:hint="eastAsia" w:ascii="仿宋" w:hAnsi="仿宋" w:eastAsia="仿宋" w:cs="黑体"/>
          <w:kern w:val="2"/>
          <w:sz w:val="32"/>
          <w:szCs w:val="32"/>
          <w:highlight w:val="none"/>
          <w:lang w:val="en-US" w:eastAsia="zh-CN" w:bidi="ar-SA"/>
        </w:rPr>
        <w:t>欧美同学会“双创”大赛全国总决赛承办费</w:t>
      </w:r>
      <w:bookmarkEnd w:id="1"/>
      <w:r>
        <w:rPr>
          <w:rFonts w:hint="eastAsia" w:ascii="仿宋" w:hAnsi="仿宋" w:eastAsia="仿宋" w:cs="黑体"/>
          <w:kern w:val="2"/>
          <w:sz w:val="32"/>
          <w:szCs w:val="32"/>
          <w:lang w:val="en-US" w:eastAsia="zh-CN" w:bidi="ar-SA"/>
        </w:rPr>
        <w:t>等</w:t>
      </w:r>
      <w:r>
        <w:rPr>
          <w:rFonts w:hint="eastAsia" w:ascii="仿宋" w:hAnsi="仿宋" w:eastAsia="仿宋" w:cs="黑体"/>
          <w:kern w:val="2"/>
          <w:sz w:val="32"/>
          <w:szCs w:val="32"/>
          <w:highlight w:val="none"/>
          <w:lang w:val="en-US" w:eastAsia="zh-CN" w:bidi="ar-SA"/>
        </w:rPr>
        <w:t>。</w:t>
      </w:r>
    </w:p>
    <w:p>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8"/>
        <w:ind w:firstLine="640" w:firstLineChars="200"/>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2024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仿宋"/>
          <w:sz w:val="32"/>
          <w:szCs w:val="32"/>
        </w:rPr>
        <w:t>（一）</w:t>
      </w:r>
      <w:r>
        <w:rPr>
          <w:rFonts w:hint="eastAsia" w:ascii="仿宋" w:hAnsi="仿宋" w:eastAsia="仿宋" w:cs="黑体"/>
          <w:kern w:val="2"/>
          <w:sz w:val="32"/>
          <w:szCs w:val="32"/>
          <w:highlight w:val="none"/>
          <w:lang w:val="en-US" w:eastAsia="zh-CN" w:bidi="ar-SA"/>
        </w:rPr>
        <w:t>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（二）强化系统治理，切实维护宗教领域的和谐稳定。巩固宗教领域专项整治成果，防范各类非法宗教活动的反弹。深入开展“双创四进”，深入开展宗教领域系统治理，坚持宗教中国化方向。</w:t>
      </w:r>
    </w:p>
    <w:p>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三）健全工作机制，提升党外代表人士工作水平。加强党外后备人才数据库动态管理，做好党外干部的储备和推荐使用工作。支持民主党派通过政党协商、主题调研等形式发挥积极作用。发挥党外知识分子和新的社会阶层人</w:t>
      </w:r>
      <w:r>
        <w:rPr>
          <w:rFonts w:hint="eastAsia" w:ascii="仿宋" w:hAnsi="仿宋" w:eastAsia="仿宋" w:cs="仿宋"/>
          <w:sz w:val="32"/>
          <w:szCs w:val="32"/>
          <w:lang w:val="en-US" w:eastAsia="zh-CN"/>
        </w:rPr>
        <w:t>士</w:t>
      </w:r>
      <w:r>
        <w:rPr>
          <w:rFonts w:hint="eastAsia" w:ascii="仿宋" w:hAnsi="仿宋" w:eastAsia="仿宋" w:cs="仿宋"/>
          <w:sz w:val="32"/>
          <w:szCs w:val="32"/>
        </w:rPr>
        <w:t>的优势，开展服务群众活动。持续做好新时代民营经济统战工作和侨务工作，不断提升统战工作的科学化水平。</w:t>
      </w:r>
    </w:p>
    <w:p>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adjustRightInd w:val="0"/>
        <w:snapToGrid w:val="0"/>
        <w:spacing w:line="560" w:lineRule="exact"/>
        <w:ind w:firstLine="640" w:firstLineChars="200"/>
        <w:jc w:val="both"/>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jc w:val="both"/>
        <w:rPr>
          <w:rFonts w:ascii="楷体" w:hAnsi="楷体" w:eastAsia="楷体" w:cs="楷体_GB2312"/>
          <w:sz w:val="32"/>
          <w:szCs w:val="32"/>
        </w:rPr>
      </w:pPr>
      <w:r>
        <w:rPr>
          <w:rFonts w:hint="eastAsia" w:ascii="楷体" w:hAnsi="楷体" w:eastAsia="楷体" w:cs="楷体_GB2312"/>
          <w:bCs/>
          <w:sz w:val="32"/>
          <w:szCs w:val="32"/>
        </w:rPr>
        <w:t>（一）自评的组织工作</w:t>
      </w:r>
    </w:p>
    <w:p>
      <w:pPr>
        <w:pStyle w:val="4"/>
        <w:keepNext w:val="0"/>
        <w:keepLines w:val="0"/>
        <w:pageBreakBefore w:val="0"/>
        <w:widowControl/>
        <w:suppressLineNumbers w:val="0"/>
        <w:kinsoku/>
        <w:wordWrap/>
        <w:overflowPunct/>
        <w:topLinePunct w:val="0"/>
        <w:autoSpaceDE/>
        <w:autoSpaceDN/>
        <w:bidi w:val="0"/>
        <w:spacing w:beforeAutospacing="0" w:afterAutospacing="0" w:line="578"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pPr>
        <w:numPr>
          <w:ilvl w:val="0"/>
          <w:numId w:val="2"/>
        </w:numPr>
        <w:spacing w:line="560" w:lineRule="exact"/>
        <w:jc w:val="both"/>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0" w:leftChars="0" w:firstLine="640" w:firstLineChars="200"/>
        <w:jc w:val="both"/>
        <w:rPr>
          <w:rFonts w:ascii="楷体" w:hAnsi="楷体" w:eastAsia="楷体" w:cs="楷体_GB2312"/>
          <w:bCs/>
          <w:sz w:val="32"/>
          <w:szCs w:val="32"/>
        </w:rPr>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pPr>
        <w:spacing w:line="560" w:lineRule="exact"/>
        <w:ind w:firstLine="640" w:firstLineChars="200"/>
        <w:jc w:val="both"/>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pPr>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w:t>
      </w:r>
    </w:p>
    <w:p>
      <w:pPr>
        <w:spacing w:line="560" w:lineRule="exact"/>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lang w:val="en-US" w:eastAsia="zh-CN" w:bidi="ar-SA"/>
        </w:rPr>
        <w:t>基本完成，</w:t>
      </w:r>
      <w:r>
        <w:rPr>
          <w:rFonts w:hint="eastAsia" w:ascii="仿宋" w:hAnsi="仿宋" w:eastAsia="仿宋" w:cs="黑体"/>
          <w:kern w:val="2"/>
          <w:sz w:val="32"/>
          <w:szCs w:val="32"/>
          <w:highlight w:val="none"/>
          <w:lang w:val="en-US" w:eastAsia="zh-CN" w:bidi="ar-SA"/>
        </w:rPr>
        <w:t>9个项目中绩效评价均为优秀。</w:t>
      </w:r>
    </w:p>
    <w:p>
      <w:pPr>
        <w:spacing w:line="560" w:lineRule="exact"/>
        <w:ind w:firstLine="640" w:firstLineChars="200"/>
        <w:jc w:val="both"/>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pStyle w:val="15"/>
        <w:jc w:val="both"/>
        <w:rPr>
          <w:rFonts w:hint="default" w:ascii="仿宋" w:hAnsi="仿宋" w:eastAsia="仿宋"/>
          <w:sz w:val="32"/>
          <w:szCs w:val="32"/>
          <w:lang w:val="en-US" w:eastAsia="zh-CN"/>
        </w:rPr>
      </w:pPr>
      <w:r>
        <w:rPr>
          <w:rFonts w:hint="eastAsia" w:ascii="仿宋" w:hAnsi="仿宋" w:eastAsia="仿宋" w:cs="黑体"/>
          <w:kern w:val="2"/>
          <w:sz w:val="32"/>
          <w:szCs w:val="32"/>
          <w:highlight w:val="none"/>
          <w:lang w:val="en-US" w:eastAsia="zh-CN" w:bidi="ar-SA"/>
        </w:rPr>
        <w:t>1、</w:t>
      </w:r>
      <w:r>
        <w:rPr>
          <w:rFonts w:hint="eastAsia" w:ascii="仿宋" w:hAnsi="仿宋" w:eastAsia="仿宋"/>
          <w:sz w:val="32"/>
          <w:szCs w:val="32"/>
          <w:lang w:val="en-US" w:eastAsia="zh-CN"/>
        </w:rPr>
        <w:t>协调抓总体，</w:t>
      </w:r>
      <w:r>
        <w:rPr>
          <w:rFonts w:hint="eastAsia" w:ascii="仿宋" w:hAnsi="仿宋" w:eastAsia="仿宋" w:cs="黑体"/>
          <w:kern w:val="2"/>
          <w:sz w:val="32"/>
          <w:szCs w:val="32"/>
          <w:highlight w:val="none"/>
          <w:lang w:val="en-US" w:eastAsia="zh-CN" w:bidi="ar-SA"/>
        </w:rPr>
        <w:t>保证</w:t>
      </w:r>
      <w:r>
        <w:rPr>
          <w:rFonts w:hint="eastAsia" w:ascii="仿宋" w:hAnsi="仿宋" w:eastAsia="仿宋"/>
          <w:sz w:val="32"/>
          <w:szCs w:val="32"/>
          <w:lang w:val="en-US" w:eastAsia="zh-CN"/>
        </w:rPr>
        <w:t>统战工作协调机制运转</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落实协调联席会机制，协调机制会议、专题会议，观摩交流，运转协调等，保证党委领导，政府支持，统战部协调抓总体，各部门协调配合，全社会参与统战工作的新机制进一步完善，保证统战工作协调机制运行。</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eastAsia="zh-CN"/>
        </w:rPr>
        <w:t>绩效指标：召开统一战线工作领导小组会议1次，协调机制会议5次，解决有关事项10次，观摩交流2次，</w:t>
      </w:r>
      <w:r>
        <w:rPr>
          <w:rFonts w:hint="eastAsia" w:ascii="仿宋" w:hAnsi="仿宋" w:eastAsia="仿宋"/>
          <w:sz w:val="32"/>
          <w:szCs w:val="32"/>
          <w:lang w:val="en-US" w:eastAsia="zh-CN"/>
        </w:rPr>
        <w:t>活动完成率达到100%；</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default" w:ascii="仿宋" w:hAnsi="仿宋" w:eastAsia="仿宋"/>
          <w:sz w:val="32"/>
          <w:szCs w:val="32"/>
          <w:lang w:val="en-US" w:eastAsia="zh-CN"/>
        </w:rPr>
      </w:pPr>
      <w:bookmarkStart w:id="2" w:name="OLE_LINK3"/>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2.275384万元，区财政拨付2.25万元，使用资金1.525384万元</w:t>
      </w:r>
      <w:r>
        <w:rPr>
          <w:rFonts w:hint="eastAsia" w:ascii="仿宋" w:hAnsi="仿宋" w:eastAsia="仿宋"/>
          <w:sz w:val="32"/>
          <w:szCs w:val="32"/>
        </w:rPr>
        <w:t>。</w:t>
      </w:r>
      <w:r>
        <w:rPr>
          <w:rFonts w:hint="eastAsia" w:ascii="仿宋" w:hAnsi="仿宋" w:eastAsia="仿宋"/>
          <w:sz w:val="32"/>
          <w:szCs w:val="32"/>
          <w:lang w:eastAsia="zh-CN"/>
        </w:rPr>
        <w:t>在完成任务的情况下，节省了资金</w:t>
      </w:r>
      <w:r>
        <w:rPr>
          <w:rFonts w:hint="eastAsia" w:ascii="仿宋" w:hAnsi="仿宋" w:eastAsia="仿宋"/>
          <w:sz w:val="32"/>
          <w:szCs w:val="32"/>
          <w:lang w:val="en-US" w:eastAsia="zh-CN"/>
        </w:rPr>
        <w:t>0.7万元。</w:t>
      </w:r>
    </w:p>
    <w:bookmarkEnd w:id="2"/>
    <w:p>
      <w:pPr>
        <w:pStyle w:val="15"/>
        <w:numPr>
          <w:ilvl w:val="0"/>
          <w:numId w:val="4"/>
        </w:numPr>
        <w:jc w:val="both"/>
        <w:rPr>
          <w:rFonts w:hint="eastAsia" w:ascii="仿宋" w:hAnsi="仿宋" w:eastAsia="仿宋"/>
          <w:sz w:val="32"/>
          <w:szCs w:val="32"/>
          <w:lang w:val="en-US" w:eastAsia="zh-CN"/>
        </w:rPr>
      </w:pPr>
      <w:r>
        <w:rPr>
          <w:rFonts w:hint="eastAsia" w:ascii="仿宋" w:hAnsi="仿宋" w:eastAsia="仿宋"/>
          <w:sz w:val="32"/>
          <w:szCs w:val="32"/>
          <w:lang w:val="en-US" w:eastAsia="zh-CN"/>
        </w:rPr>
        <w:t>加强对台和对海外的统战政策宣传工作</w:t>
      </w:r>
    </w:p>
    <w:p>
      <w:pPr>
        <w:keepNext w:val="0"/>
        <w:keepLines w:val="0"/>
        <w:pageBreakBefore w:val="0"/>
        <w:kinsoku/>
        <w:wordWrap/>
        <w:overflowPunct/>
        <w:topLinePunct w:val="0"/>
        <w:autoSpaceDE/>
        <w:autoSpaceDN/>
        <w:bidi w:val="0"/>
        <w:adjustRightInd w:val="0"/>
        <w:snapToGrid w:val="0"/>
        <w:spacing w:beforeAutospacing="0" w:afterAutospacing="0"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印制发放宣传法规政策有关资料和联系宣传文化媒体等方式，加强对台和对海外的统战政策宣传工作，掌握工作政策法规；走访慰问台属、归侨侨眷，建设侨胞之家，加强为台侨服务意识；举办台侨人士学习培训班，进行思想政治引导，及时掌握台侨界人士思想动态，适时开展思想引领活动等费用。</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绩效指标：台侨培训班座谈会数量2次，建设侨胞之家数量4个，走访慰问台属、归侨侨眷2次3</w:t>
      </w:r>
      <w:r>
        <w:rPr>
          <w:rFonts w:hint="eastAsia" w:ascii="仿宋" w:hAnsi="仿宋" w:eastAsia="仿宋"/>
          <w:sz w:val="32"/>
          <w:szCs w:val="32"/>
          <w:lang w:val="en-US" w:eastAsia="zh-CN"/>
        </w:rPr>
        <w:t>户</w:t>
      </w:r>
      <w:r>
        <w:rPr>
          <w:rFonts w:hint="eastAsia" w:ascii="仿宋" w:hAnsi="仿宋" w:eastAsia="仿宋"/>
          <w:sz w:val="32"/>
          <w:szCs w:val="32"/>
          <w:lang w:eastAsia="zh-CN"/>
        </w:rPr>
        <w:t>以上；侨胞之家2个进行提升和建设，印制发放侨联宣传材料。</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bookmarkStart w:id="3" w:name="OLE_LINK4"/>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3.032万元，区财政拨付3万元，使用资金2.032万元</w:t>
      </w:r>
      <w:r>
        <w:rPr>
          <w:rFonts w:hint="eastAsia" w:ascii="仿宋" w:hAnsi="仿宋" w:eastAsia="仿宋"/>
          <w:sz w:val="32"/>
          <w:szCs w:val="32"/>
        </w:rPr>
        <w:t>。</w:t>
      </w:r>
      <w:r>
        <w:rPr>
          <w:rFonts w:hint="eastAsia" w:ascii="仿宋" w:hAnsi="仿宋" w:eastAsia="仿宋"/>
          <w:sz w:val="32"/>
          <w:szCs w:val="32"/>
          <w:lang w:val="en-US" w:eastAsia="zh-CN"/>
        </w:rPr>
        <w:t>节省了慰问资金和侨胞之家建设成本。</w:t>
      </w:r>
    </w:p>
    <w:bookmarkEnd w:id="3"/>
    <w:p>
      <w:pPr>
        <w:pStyle w:val="15"/>
        <w:jc w:val="both"/>
        <w:rPr>
          <w:rFonts w:hint="eastAsia" w:ascii="仿宋" w:hAnsi="仿宋" w:eastAsia="仿宋" w:cs="黑体"/>
          <w:kern w:val="2"/>
          <w:sz w:val="32"/>
          <w:szCs w:val="32"/>
          <w:highlight w:val="none"/>
          <w:lang w:val="en-US" w:eastAsia="zh-CN" w:bidi="ar-SA"/>
        </w:rPr>
      </w:pPr>
      <w:bookmarkStart w:id="4" w:name="OLE_LINK7"/>
      <w:r>
        <w:rPr>
          <w:rFonts w:hint="eastAsia" w:ascii="仿宋" w:hAnsi="仿宋" w:eastAsia="仿宋" w:cs="黑体"/>
          <w:kern w:val="2"/>
          <w:sz w:val="32"/>
          <w:szCs w:val="32"/>
          <w:highlight w:val="none"/>
          <w:lang w:val="en-US" w:eastAsia="zh-CN" w:bidi="ar-SA"/>
        </w:rPr>
        <w:t>3、</w:t>
      </w:r>
      <w:r>
        <w:rPr>
          <w:rFonts w:hint="eastAsia" w:ascii="仿宋" w:hAnsi="仿宋" w:eastAsia="仿宋"/>
          <w:sz w:val="32"/>
          <w:szCs w:val="32"/>
          <w:highlight w:val="none"/>
          <w:lang w:val="en-US" w:eastAsia="zh-CN"/>
        </w:rPr>
        <w:t>坚持我国宗教中国化方向，切实维护宗教领域的和谐稳定。</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rPr>
        <w:t>绩效目标</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坚持我国宗教中国化方向，切实维护宗教领域的和谐稳定。主要用于全区宗教活动场所财务审计；深化“双创四进”创建提档升级，完成宗教场所和团体“双创四进”建设，制作宣传栏；开展全区宗教工作培训班和宗教人士政策法规培训；宗教场所及人士走访慰问等，部分涉密。</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highlight w:val="none"/>
          <w:vertAlign w:val="baseline"/>
          <w:lang w:val="en-US" w:eastAsia="zh-CN"/>
        </w:rPr>
      </w:pPr>
      <w:r>
        <w:rPr>
          <w:rFonts w:hint="eastAsia" w:ascii="仿宋" w:hAnsi="仿宋" w:eastAsia="仿宋"/>
          <w:sz w:val="32"/>
          <w:szCs w:val="32"/>
          <w:highlight w:val="none"/>
          <w:lang w:eastAsia="zh-CN"/>
        </w:rPr>
        <w:t>绩效指标：</w:t>
      </w:r>
      <w:r>
        <w:rPr>
          <w:rFonts w:hint="eastAsia" w:ascii="仿宋" w:hAnsi="仿宋" w:eastAsia="仿宋"/>
          <w:sz w:val="32"/>
          <w:szCs w:val="32"/>
          <w:highlight w:val="none"/>
          <w:vertAlign w:val="baseline"/>
          <w:lang w:val="en-US" w:eastAsia="zh-CN"/>
        </w:rPr>
        <w:t>审计宗教场所数量19个，审计报告合格率</w:t>
      </w:r>
      <w:r>
        <w:rPr>
          <w:rFonts w:hint="eastAsia" w:ascii="仿宋" w:hAnsi="仿宋" w:eastAsia="仿宋"/>
          <w:sz w:val="32"/>
          <w:szCs w:val="32"/>
          <w:highlight w:val="none"/>
          <w:lang w:val="en-US" w:eastAsia="zh-CN"/>
        </w:rPr>
        <w:t>达到100%</w:t>
      </w:r>
      <w:r>
        <w:rPr>
          <w:rFonts w:hint="eastAsia" w:ascii="仿宋" w:hAnsi="仿宋" w:eastAsia="仿宋"/>
          <w:sz w:val="32"/>
          <w:szCs w:val="32"/>
          <w:highlight w:val="none"/>
          <w:vertAlign w:val="baseline"/>
          <w:lang w:val="en-US" w:eastAsia="zh-CN"/>
        </w:rPr>
        <w:t>；宣传栏展板制作数量260块</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vertAlign w:val="baseline"/>
          <w:lang w:val="en-US" w:eastAsia="zh-CN"/>
        </w:rPr>
        <w:t>开展培训班数量4次</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vertAlign w:val="baseline"/>
          <w:lang w:val="en-US" w:eastAsia="zh-CN"/>
        </w:rPr>
        <w:t>走访慰问宗教团体宗教场所数量10个。</w:t>
      </w:r>
    </w:p>
    <w:bookmarkEnd w:id="4"/>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4、</w:t>
      </w:r>
      <w:r>
        <w:rPr>
          <w:rFonts w:hint="eastAsia" w:ascii="仿宋" w:hAnsi="仿宋" w:eastAsia="仿宋"/>
          <w:sz w:val="32"/>
          <w:szCs w:val="32"/>
          <w:highlight w:val="none"/>
          <w:lang w:val="en-US" w:eastAsia="zh-CN"/>
        </w:rPr>
        <w:t>进一步加强党外知识分子的思想政治引领</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rPr>
        <w:t>绩效目标</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举办党外知识分子开展党的二十大精神辅导和专题培训班，召开理论学习和座谈会，开展社会服务，不断加强党外知识分子的思想政治引领。</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sz w:val="32"/>
          <w:szCs w:val="32"/>
          <w:highlight w:val="none"/>
          <w:lang w:eastAsia="zh-CN"/>
        </w:rPr>
        <w:t>绩效指标：</w:t>
      </w:r>
      <w:r>
        <w:rPr>
          <w:rFonts w:hint="eastAsia" w:ascii="仿宋" w:hAnsi="仿宋" w:eastAsia="仿宋"/>
          <w:sz w:val="32"/>
          <w:szCs w:val="32"/>
          <w:highlight w:val="none"/>
          <w:lang w:val="en-US" w:eastAsia="zh-CN"/>
        </w:rPr>
        <w:t>举办党外知识分子开展党的二十大精神辅导和专题培训班2次，召开理论学习和座谈会3次，开展社会服务3次，不断加强党外知识分子的思想政治引领。</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黑体"/>
          <w:kern w:val="2"/>
          <w:sz w:val="32"/>
          <w:szCs w:val="32"/>
          <w:highlight w:val="none"/>
          <w:lang w:val="en-US" w:eastAsia="zh-CN" w:bidi="ar-SA"/>
        </w:rPr>
      </w:pPr>
      <w:bookmarkStart w:id="5" w:name="OLE_LINK9"/>
      <w:r>
        <w:rPr>
          <w:rFonts w:hint="eastAsia" w:ascii="仿宋" w:hAnsi="仿宋" w:eastAsia="仿宋" w:cs="黑体"/>
          <w:kern w:val="2"/>
          <w:sz w:val="32"/>
          <w:szCs w:val="32"/>
          <w:highlight w:val="none"/>
          <w:lang w:val="en-US" w:eastAsia="zh-CN" w:bidi="ar-SA"/>
        </w:rPr>
        <w:t>5、加强宗教工作队伍建设及宗教领域排查整治工作，维护宗教领域和谐稳定。</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绩效目标：</w:t>
      </w:r>
      <w:bookmarkStart w:id="6" w:name="OLE_LINK8"/>
      <w:r>
        <w:rPr>
          <w:rFonts w:hint="eastAsia" w:ascii="仿宋" w:hAnsi="仿宋" w:eastAsia="仿宋" w:cs="黑体"/>
          <w:kern w:val="2"/>
          <w:sz w:val="32"/>
          <w:szCs w:val="32"/>
          <w:highlight w:val="none"/>
          <w:lang w:val="en-US" w:eastAsia="zh-CN" w:bidi="ar-SA"/>
        </w:rPr>
        <w:t>主要开展全区宗教界人士培训班，对我区宗教干部及教职人员开展政策技能培训，不断加强宗教中国化的政策理论培训；在宗教场所积极开展坚持我国宗教中国化方向示范场所创建活动，更新宪法和法律法规、社会主义核心价值观、中华优秀传统文化和民族团结进步宣传展牌；开展“政策法规学习月”宣传，为各场所累计发放宗教政策法规等学习资料等。</w:t>
      </w:r>
      <w:bookmarkEnd w:id="6"/>
    </w:p>
    <w:p>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绩效指标：开展2次全区宗教界人士培训班，对全区宗教界人士开展全员轮训，更新宪法和法律法规、社会主义核心价值观、中华优秀传统文化和民族团结进步宣传展牌40个，印发宣传资料1000余份等。</w:t>
      </w:r>
    </w:p>
    <w:bookmarkEnd w:id="5"/>
    <w:p>
      <w:pPr>
        <w:spacing w:line="560" w:lineRule="exact"/>
        <w:ind w:firstLine="640" w:firstLineChars="200"/>
        <w:jc w:val="both"/>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6"/>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highlight w:val="none"/>
                <w:vertAlign w:val="baseline"/>
              </w:rPr>
            </w:pPr>
            <w:r>
              <w:rPr>
                <w:rFonts w:hint="eastAsia"/>
                <w:highlight w:val="none"/>
                <w:vertAlign w:val="baseline"/>
              </w:rPr>
              <w:t>项目名称</w:t>
            </w:r>
          </w:p>
        </w:tc>
        <w:tc>
          <w:tcPr>
            <w:tcW w:w="2415" w:type="dxa"/>
            <w:vAlign w:val="center"/>
          </w:tcPr>
          <w:p>
            <w:pPr>
              <w:pStyle w:val="8"/>
              <w:jc w:val="both"/>
              <w:rPr>
                <w:highlight w:val="none"/>
                <w:vertAlign w:val="baseline"/>
              </w:rPr>
            </w:pPr>
            <w:r>
              <w:rPr>
                <w:rFonts w:hint="eastAsia"/>
                <w:highlight w:val="none"/>
                <w:vertAlign w:val="baseline"/>
              </w:rPr>
              <w:t>自评得分</w:t>
            </w:r>
          </w:p>
        </w:tc>
        <w:tc>
          <w:tcPr>
            <w:tcW w:w="2097" w:type="dxa"/>
            <w:vAlign w:val="center"/>
          </w:tcPr>
          <w:p>
            <w:pPr>
              <w:pStyle w:val="8"/>
              <w:jc w:val="both"/>
              <w:rPr>
                <w:highlight w:val="none"/>
                <w:vertAlign w:val="baseline"/>
              </w:rPr>
            </w:pPr>
            <w:r>
              <w:rPr>
                <w:rFonts w:hint="eastAsia"/>
                <w:highlight w:val="none"/>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eastAsia" w:ascii="仿宋" w:hAnsi="仿宋" w:eastAsia="仿宋" w:cs="仿宋"/>
                <w:i w:val="0"/>
                <w:color w:val="000000"/>
                <w:kern w:val="0"/>
                <w:sz w:val="20"/>
                <w:szCs w:val="20"/>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统战工作协调机制专项经费</w:t>
            </w:r>
          </w:p>
        </w:tc>
        <w:tc>
          <w:tcPr>
            <w:tcW w:w="2415" w:type="dxa"/>
            <w:vAlign w:val="center"/>
          </w:tcPr>
          <w:p>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97</w:t>
            </w:r>
          </w:p>
        </w:tc>
        <w:tc>
          <w:tcPr>
            <w:tcW w:w="2097" w:type="dxa"/>
            <w:vAlign w:val="center"/>
          </w:tcPr>
          <w:p>
            <w:pPr>
              <w:pStyle w:val="8"/>
              <w:jc w:val="both"/>
              <w:rPr>
                <w:rFonts w:hint="eastAsia" w:ascii="仿宋" w:hAnsi="仿宋" w:eastAsia="仿宋" w:cs="仿宋"/>
                <w:highlight w:val="none"/>
                <w:vertAlign w:val="baseline"/>
                <w:lang w:eastAsia="zh-CN"/>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台侨工作经费</w:t>
            </w:r>
          </w:p>
        </w:tc>
        <w:tc>
          <w:tcPr>
            <w:tcW w:w="2415" w:type="dxa"/>
            <w:vAlign w:val="center"/>
          </w:tcPr>
          <w:p>
            <w:pPr>
              <w:pStyle w:val="8"/>
              <w:jc w:val="both"/>
              <w:rPr>
                <w:rFonts w:hint="default" w:ascii="仿宋" w:hAnsi="仿宋" w:eastAsia="仿宋" w:cs="仿宋"/>
                <w:highlight w:val="none"/>
                <w:vertAlign w:val="baseline"/>
                <w:lang w:val="en-US"/>
              </w:rPr>
            </w:pPr>
            <w:r>
              <w:rPr>
                <w:rFonts w:hint="eastAsia" w:ascii="仿宋" w:hAnsi="仿宋" w:eastAsia="仿宋" w:cs="仿宋"/>
                <w:highlight w:val="none"/>
                <w:vertAlign w:val="baseline"/>
                <w:lang w:val="en-US" w:eastAsia="zh-CN"/>
              </w:rPr>
              <w:t>97</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default"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数字统战平台建设费</w:t>
            </w:r>
          </w:p>
        </w:tc>
        <w:tc>
          <w:tcPr>
            <w:tcW w:w="2415" w:type="dxa"/>
            <w:vAlign w:val="center"/>
          </w:tcPr>
          <w:p>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97</w:t>
            </w:r>
          </w:p>
        </w:tc>
        <w:tc>
          <w:tcPr>
            <w:tcW w:w="2097" w:type="dxa"/>
            <w:vAlign w:val="center"/>
          </w:tcPr>
          <w:p>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民宗宗教工作专项经费</w:t>
            </w:r>
          </w:p>
        </w:tc>
        <w:tc>
          <w:tcPr>
            <w:tcW w:w="2415" w:type="dxa"/>
            <w:vAlign w:val="center"/>
          </w:tcPr>
          <w:p>
            <w:pPr>
              <w:pStyle w:val="8"/>
              <w:jc w:val="both"/>
              <w:rPr>
                <w:rFonts w:hint="default" w:ascii="仿宋" w:hAnsi="仿宋" w:eastAsia="仿宋" w:cs="仿宋"/>
                <w:highlight w:val="none"/>
                <w:vertAlign w:val="baseline"/>
                <w:lang w:val="en-US"/>
              </w:rPr>
            </w:pPr>
            <w:r>
              <w:rPr>
                <w:rFonts w:hint="eastAsia" w:ascii="仿宋" w:hAnsi="仿宋" w:eastAsia="仿宋" w:cs="仿宋"/>
                <w:highlight w:val="none"/>
                <w:vertAlign w:val="baseline"/>
                <w:lang w:val="en-US" w:eastAsia="zh-CN"/>
              </w:rPr>
              <w:t>100</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民主党派工作经费</w:t>
            </w:r>
          </w:p>
        </w:tc>
        <w:tc>
          <w:tcPr>
            <w:tcW w:w="2415"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8"/>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退役军</w:t>
            </w:r>
            <w:bookmarkStart w:id="9" w:name="_GoBack"/>
            <w:bookmarkEnd w:id="9"/>
            <w:r>
              <w:rPr>
                <w:rFonts w:hint="eastAsia" w:ascii="仿宋" w:hAnsi="仿宋" w:eastAsia="仿宋" w:cs="仿宋"/>
                <w:i w:val="0"/>
                <w:color w:val="000000"/>
                <w:kern w:val="0"/>
                <w:sz w:val="32"/>
                <w:szCs w:val="32"/>
                <w:highlight w:val="none"/>
                <w:u w:val="none"/>
                <w:lang w:val="en-US" w:eastAsia="zh-CN" w:bidi="ar"/>
              </w:rPr>
              <w:t>人公益岗工资</w:t>
            </w:r>
          </w:p>
        </w:tc>
        <w:tc>
          <w:tcPr>
            <w:tcW w:w="2415"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党外知识分子工作经费</w:t>
            </w:r>
          </w:p>
        </w:tc>
        <w:tc>
          <w:tcPr>
            <w:tcW w:w="2415"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关于下达2023年省市级宗教事务管理补助经费</w:t>
            </w:r>
          </w:p>
        </w:tc>
        <w:tc>
          <w:tcPr>
            <w:tcW w:w="2415" w:type="dxa"/>
            <w:vAlign w:val="center"/>
          </w:tcPr>
          <w:p>
            <w:pPr>
              <w:pStyle w:val="8"/>
              <w:jc w:val="both"/>
              <w:rPr>
                <w:rFonts w:hint="default" w:ascii="仿宋" w:hAnsi="仿宋" w:eastAsia="仿宋" w:cs="仿宋"/>
                <w:highlight w:val="none"/>
                <w:vertAlign w:val="baseline"/>
                <w:lang w:val="en-US"/>
              </w:rPr>
            </w:pPr>
            <w:r>
              <w:rPr>
                <w:rFonts w:hint="eastAsia" w:ascii="仿宋" w:hAnsi="仿宋" w:eastAsia="仿宋" w:cs="仿宋"/>
                <w:highlight w:val="none"/>
                <w:vertAlign w:val="baseline"/>
                <w:lang w:val="en-US" w:eastAsia="zh-CN"/>
              </w:rPr>
              <w:t>98</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承办欧美同学会“双创”大赛全国总决赛承办费</w:t>
            </w:r>
          </w:p>
        </w:tc>
        <w:tc>
          <w:tcPr>
            <w:tcW w:w="2415"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bl>
    <w:p>
      <w:pPr>
        <w:spacing w:line="560" w:lineRule="exact"/>
        <w:ind w:firstLine="640" w:firstLineChars="200"/>
        <w:jc w:val="both"/>
        <w:rPr>
          <w:rFonts w:hint="default" w:ascii="黑体" w:hAnsi="黑体" w:eastAsia="黑体"/>
          <w:sz w:val="32"/>
          <w:szCs w:val="32"/>
          <w:lang w:val="en-US" w:eastAsia="zh-CN"/>
        </w:rPr>
      </w:pPr>
      <w:r>
        <w:rPr>
          <w:rFonts w:hint="eastAsia" w:ascii="黑体" w:hAnsi="黑体" w:eastAsia="黑体"/>
          <w:sz w:val="32"/>
          <w:szCs w:val="32"/>
          <w:lang w:val="en-US" w:eastAsia="zh-CN"/>
        </w:rPr>
        <w:t>五、存在的问题及改进措施</w:t>
      </w:r>
    </w:p>
    <w:p>
      <w:pPr>
        <w:spacing w:line="560" w:lineRule="exact"/>
        <w:ind w:firstLine="640" w:firstLineChars="200"/>
        <w:jc w:val="both"/>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adjustRightInd/>
        <w:snapToGrid w:val="0"/>
        <w:spacing w:line="560" w:lineRule="exact"/>
        <w:ind w:left="0" w:leftChars="0" w:right="0" w:firstLine="640" w:firstLineChars="200"/>
        <w:jc w:val="both"/>
        <w:textAlignment w:val="auto"/>
        <w:outlineLvl w:val="9"/>
        <w:rPr>
          <w:rFonts w:hint="default" w:ascii="仿宋" w:hAnsi="仿宋" w:eastAsia="仿宋" w:cs="仿宋"/>
          <w:sz w:val="32"/>
          <w:szCs w:val="32"/>
          <w:lang w:val="en-US" w:eastAsia="zh-CN"/>
        </w:rPr>
      </w:pPr>
      <w:bookmarkStart w:id="7" w:name="OLE_LINK5"/>
      <w:r>
        <w:rPr>
          <w:rFonts w:hint="eastAsia" w:ascii="仿宋" w:hAnsi="仿宋" w:eastAsia="仿宋" w:cs="仿宋"/>
          <w:sz w:val="32"/>
          <w:szCs w:val="32"/>
          <w:lang w:val="en-US" w:eastAsia="zh-CN"/>
        </w:rPr>
        <w:t>1、制度不完善，责任分工需进一步细化。</w:t>
      </w:r>
    </w:p>
    <w:p>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2、个别项目预算执行率未达到100%。</w:t>
      </w:r>
    </w:p>
    <w:bookmarkEnd w:id="7"/>
    <w:p>
      <w:pPr>
        <w:spacing w:line="560" w:lineRule="exact"/>
        <w:ind w:firstLine="640" w:firstLineChars="200"/>
        <w:jc w:val="both"/>
        <w:rPr>
          <w:rFonts w:hint="eastAsia" w:ascii="楷体" w:hAnsi="楷体" w:eastAsia="楷体"/>
          <w:bCs/>
          <w:sz w:val="32"/>
          <w:szCs w:val="32"/>
          <w:lang w:val="en-US" w:eastAsia="zh-CN"/>
        </w:rPr>
      </w:pPr>
      <w:r>
        <w:rPr>
          <w:rFonts w:hint="eastAsia" w:ascii="楷体" w:hAnsi="楷体" w:eastAsia="楷体"/>
          <w:bCs/>
          <w:sz w:val="32"/>
          <w:szCs w:val="32"/>
          <w:lang w:val="en-US" w:eastAsia="zh-CN"/>
        </w:rPr>
        <w:t>（二）针对问题提出具体的改进措施或建议</w:t>
      </w:r>
    </w:p>
    <w:p>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bookmarkStart w:id="8" w:name="OLE_LINK6"/>
      <w:r>
        <w:rPr>
          <w:rFonts w:hint="eastAsia" w:ascii="仿宋" w:hAnsi="仿宋" w:eastAsia="仿宋" w:cs="仿宋"/>
          <w:sz w:val="32"/>
          <w:szCs w:val="32"/>
          <w:lang w:val="en-US" w:eastAsia="zh-CN"/>
        </w:rPr>
        <w:t>1、加强绩效运行监控，拉出目标清单，细化责任分工，明确时间节点，按要求开展绩效运行监控，采取项目跟踪、数据核查和汇总分析等方式，动态了解和掌握项目绩效目标实现程度、资金支出进度和项目实施进度。</w:t>
      </w:r>
    </w:p>
    <w:p>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2、对评价中发现的问题及时整改，确保绩效目标如期保质实现。</w:t>
      </w:r>
    </w:p>
    <w:p>
      <w:pPr>
        <w:widowControl w:val="0"/>
        <w:wordWrap/>
        <w:adjustRightInd/>
        <w:snapToGrid w:val="0"/>
        <w:spacing w:line="560" w:lineRule="exact"/>
        <w:ind w:left="0" w:leftChars="0" w:right="0" w:firstLine="640" w:firstLineChars="200"/>
        <w:jc w:val="both"/>
        <w:textAlignment w:val="auto"/>
        <w:outlineLvl w:val="9"/>
        <w:rPr>
          <w:rFonts w:ascii="仿宋" w:hAnsi="仿宋" w:eastAsia="仿宋"/>
        </w:rPr>
      </w:pPr>
      <w:r>
        <w:rPr>
          <w:rFonts w:hint="eastAsia" w:ascii="仿宋" w:hAnsi="仿宋" w:eastAsia="仿宋" w:cs="仿宋"/>
          <w:sz w:val="32"/>
          <w:szCs w:val="32"/>
          <w:lang w:val="en-US" w:eastAsia="zh-CN"/>
        </w:rPr>
        <w:t>3、调整优化支出结构，做到早谋划早实施，提高财政资金使用效益。</w:t>
      </w:r>
      <w:bookmarkEnd w:id="8"/>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75D3313"/>
    <w:multiLevelType w:val="singleLevel"/>
    <w:tmpl w:val="075D3313"/>
    <w:lvl w:ilvl="0" w:tentative="0">
      <w:start w:val="2"/>
      <w:numFmt w:val="chineseCounting"/>
      <w:suff w:val="nothing"/>
      <w:lvlText w:val="（%1）"/>
      <w:lvlJc w:val="left"/>
      <w:rPr>
        <w:rFonts w:hint="eastAsia"/>
      </w:rPr>
    </w:lvl>
  </w:abstractNum>
  <w:abstractNum w:abstractNumId="2">
    <w:nsid w:val="34E301D6"/>
    <w:multiLevelType w:val="singleLevel"/>
    <w:tmpl w:val="34E301D6"/>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ZmM2U0ZmM2OTZmZDE4YTNkNDJmOGNhM2E0YmNiODAifQ=="/>
  </w:docVars>
  <w:rsids>
    <w:rsidRoot w:val="0EBD2122"/>
    <w:rsid w:val="000B0260"/>
    <w:rsid w:val="00566EC5"/>
    <w:rsid w:val="007E6C1F"/>
    <w:rsid w:val="00956A93"/>
    <w:rsid w:val="009E575C"/>
    <w:rsid w:val="00AF167E"/>
    <w:rsid w:val="00AF566A"/>
    <w:rsid w:val="00B478EA"/>
    <w:rsid w:val="00B6553A"/>
    <w:rsid w:val="00BC6576"/>
    <w:rsid w:val="00CE06BA"/>
    <w:rsid w:val="00F441CC"/>
    <w:rsid w:val="013E7870"/>
    <w:rsid w:val="01B104CA"/>
    <w:rsid w:val="02106AB0"/>
    <w:rsid w:val="02B43A28"/>
    <w:rsid w:val="046F331E"/>
    <w:rsid w:val="05EA4BBF"/>
    <w:rsid w:val="07956271"/>
    <w:rsid w:val="09721397"/>
    <w:rsid w:val="0BA454A2"/>
    <w:rsid w:val="0BB63BED"/>
    <w:rsid w:val="0D857B72"/>
    <w:rsid w:val="0EB97A43"/>
    <w:rsid w:val="0EBD2122"/>
    <w:rsid w:val="0F214EAE"/>
    <w:rsid w:val="0FD057C2"/>
    <w:rsid w:val="106D2640"/>
    <w:rsid w:val="11B71E6A"/>
    <w:rsid w:val="11F637F7"/>
    <w:rsid w:val="12B80D06"/>
    <w:rsid w:val="12CE651F"/>
    <w:rsid w:val="14F12106"/>
    <w:rsid w:val="17D64FA3"/>
    <w:rsid w:val="18BF4F1D"/>
    <w:rsid w:val="19694CBC"/>
    <w:rsid w:val="1A440622"/>
    <w:rsid w:val="1AAF0063"/>
    <w:rsid w:val="1B283ED2"/>
    <w:rsid w:val="1BE140DE"/>
    <w:rsid w:val="20DD7547"/>
    <w:rsid w:val="22560183"/>
    <w:rsid w:val="248C197D"/>
    <w:rsid w:val="24904E29"/>
    <w:rsid w:val="252959AF"/>
    <w:rsid w:val="25D77FC8"/>
    <w:rsid w:val="27246F92"/>
    <w:rsid w:val="277A6671"/>
    <w:rsid w:val="2826006E"/>
    <w:rsid w:val="292D35B7"/>
    <w:rsid w:val="29BB384C"/>
    <w:rsid w:val="2C037EE2"/>
    <w:rsid w:val="2C5719C4"/>
    <w:rsid w:val="2CF03080"/>
    <w:rsid w:val="2F000B4F"/>
    <w:rsid w:val="2F3F5AB6"/>
    <w:rsid w:val="2FC96480"/>
    <w:rsid w:val="311E57A3"/>
    <w:rsid w:val="315058D8"/>
    <w:rsid w:val="31A576C9"/>
    <w:rsid w:val="32817910"/>
    <w:rsid w:val="337A619E"/>
    <w:rsid w:val="33EB6CFF"/>
    <w:rsid w:val="343B071D"/>
    <w:rsid w:val="35A12947"/>
    <w:rsid w:val="37387040"/>
    <w:rsid w:val="3A307AF2"/>
    <w:rsid w:val="3B625C0A"/>
    <w:rsid w:val="3CEE1963"/>
    <w:rsid w:val="403558E9"/>
    <w:rsid w:val="403769F4"/>
    <w:rsid w:val="42E80B9C"/>
    <w:rsid w:val="436B78D3"/>
    <w:rsid w:val="485B097E"/>
    <w:rsid w:val="488D3490"/>
    <w:rsid w:val="4AE504B9"/>
    <w:rsid w:val="4B7919E0"/>
    <w:rsid w:val="4C9C27FE"/>
    <w:rsid w:val="4D561B21"/>
    <w:rsid w:val="4D9D4EC7"/>
    <w:rsid w:val="4E120129"/>
    <w:rsid w:val="4EF0512D"/>
    <w:rsid w:val="512260B4"/>
    <w:rsid w:val="52BD6ACB"/>
    <w:rsid w:val="55537534"/>
    <w:rsid w:val="561A74F1"/>
    <w:rsid w:val="56A83229"/>
    <w:rsid w:val="58EC27F2"/>
    <w:rsid w:val="59145F35"/>
    <w:rsid w:val="597244E8"/>
    <w:rsid w:val="5D965719"/>
    <w:rsid w:val="5E6747C3"/>
    <w:rsid w:val="5EB71C30"/>
    <w:rsid w:val="5F5C1187"/>
    <w:rsid w:val="6218439E"/>
    <w:rsid w:val="62F56DC5"/>
    <w:rsid w:val="63781452"/>
    <w:rsid w:val="64C31C21"/>
    <w:rsid w:val="650136CD"/>
    <w:rsid w:val="66AB239D"/>
    <w:rsid w:val="66AF0CE5"/>
    <w:rsid w:val="6841330B"/>
    <w:rsid w:val="69E653D0"/>
    <w:rsid w:val="6AC537CF"/>
    <w:rsid w:val="6CFC46B8"/>
    <w:rsid w:val="6D6B1AAA"/>
    <w:rsid w:val="6E5B14A6"/>
    <w:rsid w:val="711B255E"/>
    <w:rsid w:val="71796D64"/>
    <w:rsid w:val="737C3A67"/>
    <w:rsid w:val="75E152A0"/>
    <w:rsid w:val="79F755D4"/>
    <w:rsid w:val="7A097B4B"/>
    <w:rsid w:val="7AD642BD"/>
    <w:rsid w:val="7AE30A5B"/>
    <w:rsid w:val="7B457BB6"/>
    <w:rsid w:val="7BB51E06"/>
    <w:rsid w:val="7C387F7C"/>
    <w:rsid w:val="7E19381F"/>
    <w:rsid w:val="7E4D74AA"/>
    <w:rsid w:val="7E9A1DC5"/>
    <w:rsid w:val="7EBD0F17"/>
    <w:rsid w:val="7FB6335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无间隔1"/>
    <w:basedOn w:val="1"/>
    <w:qFormat/>
    <w:uiPriority w:val="0"/>
    <w:rPr>
      <w:rFonts w:ascii="宋体" w:hAnsi="宋体" w:eastAsia="仿宋_GB2312"/>
      <w:sz w:val="32"/>
      <w:szCs w:val="32"/>
    </w:r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100</Words>
  <Characters>570</Characters>
  <Lines>4</Lines>
  <Paragraphs>1</Paragraphs>
  <TotalTime>7</TotalTime>
  <ScaleCrop>false</ScaleCrop>
  <LinksUpToDate>false</LinksUpToDate>
  <CharactersWithSpaces>669</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2024-04-25T07:53:00Z</cp:lastPrinted>
  <dcterms:modified xsi:type="dcterms:W3CDTF">2025-04-28T00:47:20Z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96934721B1514D3FBAA28020338CE855_12</vt:lpwstr>
  </property>
</Properties>
</file>