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beforeAutospacing="0" w:afterAutospacing="0" w:line="578" w:lineRule="exact"/>
        <w:ind w:left="0" w:leftChars="0" w:right="0" w:rightChars="0" w:firstLine="880" w:firstLineChars="200"/>
        <w:jc w:val="center"/>
        <w:textAlignment w:val="auto"/>
        <w:rPr>
          <w:rFonts w:hint="eastAsia"/>
          <w:sz w:val="44"/>
          <w:szCs w:val="44"/>
        </w:rPr>
      </w:pPr>
    </w:p>
    <w:p>
      <w:pPr>
        <w:pStyle w:val="2"/>
        <w:keepNext w:val="0"/>
        <w:keepLines w:val="0"/>
        <w:pageBreakBefore w:val="0"/>
        <w:kinsoku/>
        <w:wordWrap/>
        <w:overflowPunct/>
        <w:topLinePunct w:val="0"/>
        <w:autoSpaceDE/>
        <w:autoSpaceDN/>
        <w:bidi w:val="0"/>
        <w:spacing w:beforeAutospacing="0" w:afterAutospacing="0" w:line="578" w:lineRule="exact"/>
        <w:ind w:left="0" w:leftChars="0" w:right="0" w:rightChars="0" w:firstLine="723" w:firstLineChars="200"/>
        <w:textAlignment w:val="auto"/>
      </w:pPr>
    </w:p>
    <w:p>
      <w:pPr>
        <w:keepNext w:val="0"/>
        <w:keepLines w:val="0"/>
        <w:pageBreakBefore w:val="0"/>
        <w:widowControl w:val="0"/>
        <w:kinsoku/>
        <w:wordWrap/>
        <w:overflowPunct/>
        <w:topLinePunct w:val="0"/>
        <w:autoSpaceDE/>
        <w:autoSpaceDN/>
        <w:bidi w:val="0"/>
        <w:spacing w:beforeAutospacing="0" w:afterAutospacing="0" w:line="578" w:lineRule="exact"/>
        <w:ind w:left="0" w:leftChars="0" w:right="0" w:rightChars="0" w:firstLine="420" w:firstLineChars="200"/>
        <w:textAlignment w:val="auto"/>
        <w:outlineLvl w:val="9"/>
        <w:rPr>
          <w:rFonts w:hint="eastAsia"/>
        </w:rPr>
      </w:pPr>
    </w:p>
    <w:p>
      <w:pPr>
        <w:keepNext w:val="0"/>
        <w:keepLines w:val="0"/>
        <w:pageBreakBefore w:val="0"/>
        <w:widowControl w:val="0"/>
        <w:kinsoku/>
        <w:wordWrap/>
        <w:overflowPunct/>
        <w:topLinePunct w:val="0"/>
        <w:autoSpaceDE/>
        <w:autoSpaceDN/>
        <w:bidi w:val="0"/>
        <w:adjustRightInd w:val="0"/>
        <w:snapToGrid w:val="0"/>
        <w:spacing w:beforeAutospacing="0" w:afterAutospacing="0" w:line="1320" w:lineRule="exact"/>
        <w:ind w:left="0" w:leftChars="0" w:right="0" w:rightChars="0" w:firstLine="880" w:firstLineChars="200"/>
        <w:jc w:val="both"/>
        <w:textAlignment w:val="auto"/>
        <w:outlineLvl w:val="9"/>
        <w:rPr>
          <w:rFonts w:hint="eastAsia" w:ascii="方正小标宋_GBK" w:eastAsia="方正小标宋_GBK"/>
          <w:sz w:val="44"/>
          <w:szCs w:val="44"/>
        </w:rPr>
      </w:pPr>
    </w:p>
    <w:p>
      <w:pPr>
        <w:keepNext w:val="0"/>
        <w:keepLines w:val="0"/>
        <w:pageBreakBefore w:val="0"/>
        <w:widowControl w:val="0"/>
        <w:kinsoku/>
        <w:wordWrap/>
        <w:overflowPunct/>
        <w:topLinePunct w:val="0"/>
        <w:autoSpaceDE/>
        <w:autoSpaceDN/>
        <w:bidi w:val="0"/>
        <w:adjustRightInd w:val="0"/>
        <w:snapToGrid w:val="0"/>
        <w:spacing w:beforeAutospacing="0" w:afterAutospacing="0" w:line="1320" w:lineRule="exact"/>
        <w:ind w:left="0" w:leftChars="0" w:right="0" w:rightChars="0"/>
        <w:jc w:val="center"/>
        <w:textAlignment w:val="auto"/>
        <w:outlineLvl w:val="9"/>
        <w:rPr>
          <w:rFonts w:hint="eastAsia" w:ascii="仿宋_GB2312" w:eastAsia="仿宋_GB2312"/>
          <w:snapToGrid w:val="0"/>
          <w:color w:val="000000"/>
          <w:spacing w:val="-4"/>
          <w:sz w:val="32"/>
          <w:szCs w:val="32"/>
        </w:rPr>
      </w:pPr>
      <w:r>
        <w:rPr>
          <w:rFonts w:hint="eastAsia" w:ascii="仿宋_GB2312" w:eastAsia="仿宋_GB2312"/>
          <w:snapToGrid w:val="0"/>
          <w:color w:val="000000"/>
          <w:spacing w:val="-4"/>
          <w:sz w:val="32"/>
          <w:szCs w:val="32"/>
        </w:rPr>
        <w:t>石鹿市监〔202</w:t>
      </w:r>
      <w:r>
        <w:rPr>
          <w:rFonts w:hint="eastAsia" w:ascii="仿宋_GB2312" w:eastAsia="仿宋_GB2312"/>
          <w:snapToGrid w:val="0"/>
          <w:color w:val="000000"/>
          <w:spacing w:val="-4"/>
          <w:sz w:val="32"/>
          <w:szCs w:val="32"/>
          <w:lang w:val="en-US" w:eastAsia="zh-CN"/>
        </w:rPr>
        <w:t>5</w:t>
      </w:r>
      <w:r>
        <w:rPr>
          <w:rFonts w:hint="eastAsia" w:ascii="仿宋_GB2312" w:eastAsia="仿宋_GB2312"/>
          <w:snapToGrid w:val="0"/>
          <w:color w:val="000000"/>
          <w:spacing w:val="-4"/>
          <w:sz w:val="32"/>
          <w:szCs w:val="32"/>
        </w:rPr>
        <w:t>〕</w:t>
      </w:r>
      <w:r>
        <w:rPr>
          <w:rFonts w:hint="eastAsia" w:ascii="仿宋_GB2312" w:eastAsia="仿宋_GB2312"/>
          <w:snapToGrid w:val="0"/>
          <w:color w:val="000000"/>
          <w:spacing w:val="-4"/>
          <w:sz w:val="32"/>
          <w:szCs w:val="32"/>
          <w:lang w:val="en-US" w:eastAsia="zh-CN"/>
        </w:rPr>
        <w:t>4</w:t>
      </w:r>
      <w:r>
        <w:rPr>
          <w:rFonts w:hint="eastAsia" w:ascii="仿宋_GB2312" w:eastAsia="仿宋_GB2312"/>
          <w:snapToGrid w:val="0"/>
          <w:color w:val="000000"/>
          <w:spacing w:val="-4"/>
          <w:sz w:val="32"/>
          <w:szCs w:val="32"/>
        </w:rPr>
        <w:t>号</w:t>
      </w:r>
    </w:p>
    <w:p>
      <w:pPr>
        <w:pStyle w:val="2"/>
        <w:keepNext w:val="0"/>
        <w:keepLines w:val="0"/>
        <w:pageBreakBefore w:val="0"/>
        <w:widowControl w:val="0"/>
        <w:kinsoku/>
        <w:wordWrap/>
        <w:overflowPunct/>
        <w:topLinePunct w:val="0"/>
        <w:autoSpaceDE/>
        <w:autoSpaceDN/>
        <w:bidi w:val="0"/>
        <w:spacing w:beforeAutospacing="0" w:afterAutospacing="0" w:line="620" w:lineRule="exact"/>
        <w:ind w:left="0" w:leftChars="0" w:right="0" w:rightChars="0" w:firstLine="723" w:firstLineChars="200"/>
        <w:textAlignment w:val="auto"/>
      </w:pPr>
      <w:bookmarkStart w:id="3" w:name="_GoBack"/>
      <w:bookmarkEnd w:id="3"/>
    </w:p>
    <w:p>
      <w:pPr>
        <w:keepNext w:val="0"/>
        <w:keepLines w:val="0"/>
        <w:pageBreakBefore w:val="0"/>
        <w:widowControl w:val="0"/>
        <w:kinsoku/>
        <w:wordWrap/>
        <w:overflowPunct/>
        <w:topLinePunct w:val="0"/>
        <w:autoSpaceDE/>
        <w:autoSpaceDN/>
        <w:bidi w:val="0"/>
        <w:adjustRightInd w:val="0"/>
        <w:snapToGrid w:val="0"/>
        <w:spacing w:beforeAutospacing="0" w:afterAutospacing="0" w:line="620" w:lineRule="exact"/>
        <w:ind w:left="0" w:leftChars="0"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石家庄市鹿泉区市场监督管理局</w:t>
      </w:r>
    </w:p>
    <w:p>
      <w:pPr>
        <w:keepNext w:val="0"/>
        <w:keepLines w:val="0"/>
        <w:pageBreakBefore w:val="0"/>
        <w:kinsoku/>
        <w:wordWrap/>
        <w:overflowPunct/>
        <w:topLinePunct w:val="0"/>
        <w:autoSpaceDE/>
        <w:autoSpaceDN/>
        <w:bidi w:val="0"/>
        <w:adjustRightInd w:val="0"/>
        <w:snapToGrid w:val="0"/>
        <w:spacing w:beforeAutospacing="0" w:afterAutospacing="0" w:line="578"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关于印发《石家庄市鹿泉区202</w:t>
      </w:r>
      <w:r>
        <w:rPr>
          <w:rFonts w:hint="eastAsia" w:ascii="方正小标宋简体" w:hAnsi="方正小标宋简体" w:eastAsia="方正小标宋简体" w:cs="方正小标宋简体"/>
          <w:sz w:val="44"/>
          <w:szCs w:val="44"/>
          <w:lang w:val="en-US" w:eastAsia="zh-CN"/>
        </w:rPr>
        <w:t>5</w:t>
      </w:r>
      <w:r>
        <w:rPr>
          <w:rFonts w:hint="eastAsia" w:ascii="方正小标宋简体" w:hAnsi="方正小标宋简体" w:eastAsia="方正小标宋简体" w:cs="方正小标宋简体"/>
          <w:sz w:val="44"/>
          <w:szCs w:val="44"/>
        </w:rPr>
        <w:t>年“双随机、一公开”监管工作实施方案》的通知</w:t>
      </w:r>
    </w:p>
    <w:p>
      <w:pPr>
        <w:keepNext w:val="0"/>
        <w:keepLines w:val="0"/>
        <w:pageBreakBefore w:val="0"/>
        <w:kinsoku/>
        <w:wordWrap/>
        <w:overflowPunct/>
        <w:topLinePunct w:val="0"/>
        <w:autoSpaceDE/>
        <w:autoSpaceDN/>
        <w:bidi w:val="0"/>
        <w:spacing w:beforeAutospacing="0" w:afterAutospacing="0" w:line="578" w:lineRule="exact"/>
        <w:ind w:left="0" w:leftChars="0" w:right="0" w:rightChars="0" w:firstLine="640" w:firstLineChars="200"/>
        <w:textAlignment w:val="auto"/>
        <w:rPr>
          <w:rFonts w:hint="eastAsia" w:ascii="仿宋_GB2312" w:hAnsi="仿宋" w:eastAsia="仿宋_GB2312"/>
          <w:bCs/>
          <w:color w:val="000000"/>
          <w:sz w:val="32"/>
          <w:szCs w:val="32"/>
        </w:rPr>
      </w:pPr>
      <w:bookmarkStart w:id="0" w:name="FUJIAN1TITLE"/>
      <w:bookmarkEnd w:id="0"/>
      <w:bookmarkStart w:id="1" w:name="FUJIAN0TITLE"/>
      <w:bookmarkEnd w:id="1"/>
      <w:bookmarkStart w:id="2" w:name="Content"/>
      <w:bookmarkEnd w:id="2"/>
    </w:p>
    <w:p>
      <w:pPr>
        <w:keepNext w:val="0"/>
        <w:keepLines w:val="0"/>
        <w:pageBreakBefore w:val="0"/>
        <w:kinsoku/>
        <w:wordWrap/>
        <w:overflowPunct/>
        <w:topLinePunct w:val="0"/>
        <w:autoSpaceDE/>
        <w:autoSpaceDN/>
        <w:bidi w:val="0"/>
        <w:spacing w:beforeAutospacing="0" w:afterAutospacing="0" w:line="578" w:lineRule="exact"/>
        <w:ind w:right="0" w:rightChars="0"/>
        <w:textAlignment w:val="auto"/>
        <w:rPr>
          <w:rFonts w:hint="eastAsia" w:ascii="仿宋_GB2312" w:hAnsi="仿宋" w:eastAsia="仿宋_GB2312"/>
          <w:bCs/>
          <w:color w:val="000000"/>
          <w:sz w:val="32"/>
          <w:szCs w:val="32"/>
        </w:rPr>
      </w:pPr>
      <w:r>
        <w:rPr>
          <w:rFonts w:hint="eastAsia" w:ascii="仿宋_GB2312" w:hAnsi="仿宋" w:eastAsia="仿宋_GB2312"/>
          <w:bCs/>
          <w:color w:val="000000"/>
          <w:sz w:val="32"/>
          <w:szCs w:val="32"/>
        </w:rPr>
        <w:t>区</w:t>
      </w:r>
      <w:r>
        <w:rPr>
          <w:rFonts w:hint="eastAsia" w:ascii="仿宋_GB2312" w:hAnsi="仿宋" w:eastAsia="仿宋_GB2312"/>
          <w:bCs/>
          <w:color w:val="000000"/>
          <w:sz w:val="32"/>
          <w:szCs w:val="32"/>
          <w:lang w:eastAsia="zh-CN"/>
        </w:rPr>
        <w:t>“</w:t>
      </w:r>
      <w:r>
        <w:rPr>
          <w:rFonts w:hint="eastAsia" w:ascii="仿宋_GB2312" w:hAnsi="仿宋" w:eastAsia="仿宋_GB2312"/>
          <w:bCs/>
          <w:color w:val="000000"/>
          <w:sz w:val="32"/>
          <w:szCs w:val="32"/>
        </w:rPr>
        <w:t>双随机、一公开</w:t>
      </w:r>
      <w:r>
        <w:rPr>
          <w:rFonts w:hint="eastAsia" w:ascii="仿宋_GB2312" w:hAnsi="仿宋" w:eastAsia="仿宋_GB2312"/>
          <w:bCs/>
          <w:color w:val="000000"/>
          <w:sz w:val="32"/>
          <w:szCs w:val="32"/>
          <w:lang w:eastAsia="zh-CN"/>
        </w:rPr>
        <w:t>”</w:t>
      </w:r>
      <w:r>
        <w:rPr>
          <w:rFonts w:hint="eastAsia" w:ascii="仿宋_GB2312" w:hAnsi="仿宋" w:eastAsia="仿宋_GB2312"/>
          <w:bCs/>
          <w:color w:val="000000"/>
          <w:sz w:val="32"/>
          <w:szCs w:val="32"/>
        </w:rPr>
        <w:t>监管工作领导小组各成员单位：</w:t>
      </w:r>
    </w:p>
    <w:p>
      <w:pPr>
        <w:keepNext w:val="0"/>
        <w:keepLines w:val="0"/>
        <w:pageBreakBefore w:val="0"/>
        <w:kinsoku/>
        <w:wordWrap/>
        <w:overflowPunct/>
        <w:topLinePunct w:val="0"/>
        <w:autoSpaceDE/>
        <w:autoSpaceDN/>
        <w:bidi w:val="0"/>
        <w:spacing w:beforeAutospacing="0" w:afterAutospacing="0" w:line="578" w:lineRule="exact"/>
        <w:ind w:left="0" w:leftChars="0" w:right="0" w:rightChars="0" w:firstLine="640" w:firstLineChars="200"/>
        <w:jc w:val="both"/>
        <w:textAlignment w:val="auto"/>
        <w:rPr>
          <w:rFonts w:hint="eastAsia" w:ascii="仿宋_GB2312" w:hAnsi="仿宋" w:eastAsia="仿宋_GB2312"/>
          <w:bCs/>
          <w:color w:val="000000"/>
          <w:sz w:val="32"/>
          <w:szCs w:val="32"/>
        </w:rPr>
      </w:pPr>
      <w:r>
        <w:rPr>
          <w:rFonts w:hint="eastAsia" w:ascii="仿宋_GB2312" w:hAnsi="仿宋" w:eastAsia="仿宋_GB2312"/>
          <w:bCs/>
          <w:color w:val="000000"/>
          <w:sz w:val="32"/>
          <w:szCs w:val="32"/>
        </w:rPr>
        <w:t>现将《石家庄市鹿泉区市场监管系统202</w:t>
      </w:r>
      <w:r>
        <w:rPr>
          <w:rFonts w:hint="eastAsia" w:ascii="仿宋_GB2312" w:hAnsi="仿宋" w:eastAsia="仿宋_GB2312"/>
          <w:bCs/>
          <w:color w:val="000000"/>
          <w:sz w:val="32"/>
          <w:szCs w:val="32"/>
          <w:lang w:val="en-US" w:eastAsia="zh-CN"/>
        </w:rPr>
        <w:t>5</w:t>
      </w:r>
      <w:r>
        <w:rPr>
          <w:rFonts w:hint="eastAsia" w:ascii="仿宋_GB2312" w:hAnsi="仿宋" w:eastAsia="仿宋_GB2312"/>
          <w:bCs/>
          <w:color w:val="000000"/>
          <w:sz w:val="32"/>
          <w:szCs w:val="32"/>
        </w:rPr>
        <w:t>年“双随机、一公开”监管工作实施方案》印发给你们，请结合实际，认真贯彻落实。</w:t>
      </w:r>
    </w:p>
    <w:p>
      <w:pPr>
        <w:pStyle w:val="2"/>
        <w:keepNext w:val="0"/>
        <w:keepLines w:val="0"/>
        <w:pageBreakBefore w:val="0"/>
        <w:kinsoku/>
        <w:wordWrap/>
        <w:overflowPunct/>
        <w:topLinePunct w:val="0"/>
        <w:autoSpaceDE/>
        <w:autoSpaceDN/>
        <w:bidi w:val="0"/>
        <w:spacing w:beforeAutospacing="0" w:afterAutospacing="0" w:line="578" w:lineRule="exact"/>
        <w:ind w:left="0" w:leftChars="0" w:right="0" w:rightChars="0" w:firstLine="723" w:firstLineChars="200"/>
        <w:textAlignment w:val="auto"/>
      </w:pPr>
    </w:p>
    <w:p>
      <w:pPr>
        <w:keepNext w:val="0"/>
        <w:keepLines w:val="0"/>
        <w:pageBreakBefore w:val="0"/>
        <w:kinsoku/>
        <w:wordWrap/>
        <w:overflowPunct/>
        <w:topLinePunct w:val="0"/>
        <w:autoSpaceDE/>
        <w:autoSpaceDN/>
        <w:bidi w:val="0"/>
        <w:spacing w:beforeAutospacing="0" w:afterAutospacing="0" w:line="578" w:lineRule="exact"/>
        <w:ind w:left="0" w:leftChars="0" w:right="0" w:rightChars="0" w:firstLine="3520" w:firstLineChars="1100"/>
        <w:textAlignment w:val="auto"/>
        <w:rPr>
          <w:rFonts w:hint="eastAsia" w:ascii="仿宋_GB2312" w:hAnsi="仿宋" w:eastAsia="仿宋_GB2312"/>
          <w:bCs/>
          <w:color w:val="000000"/>
          <w:sz w:val="32"/>
          <w:szCs w:val="32"/>
        </w:rPr>
      </w:pPr>
      <w:r>
        <w:rPr>
          <w:rFonts w:hint="eastAsia" w:ascii="仿宋_GB2312" w:hAnsi="仿宋" w:eastAsia="仿宋_GB2312"/>
          <w:bCs/>
          <w:color w:val="000000"/>
          <w:sz w:val="32"/>
          <w:szCs w:val="32"/>
        </w:rPr>
        <w:t>石家庄市鹿泉区市场监督管理局</w:t>
      </w:r>
    </w:p>
    <w:p>
      <w:pPr>
        <w:keepNext w:val="0"/>
        <w:keepLines w:val="0"/>
        <w:pageBreakBefore w:val="0"/>
        <w:kinsoku/>
        <w:wordWrap/>
        <w:overflowPunct/>
        <w:topLinePunct w:val="0"/>
        <w:autoSpaceDE/>
        <w:autoSpaceDN/>
        <w:bidi w:val="0"/>
        <w:spacing w:beforeAutospacing="0" w:afterAutospacing="0" w:line="578" w:lineRule="exact"/>
        <w:ind w:right="0" w:rightChars="0" w:firstLine="4480" w:firstLineChars="1400"/>
        <w:textAlignment w:val="auto"/>
        <w:rPr>
          <w:rFonts w:hint="eastAsia" w:ascii="仿宋_GB2312" w:hAnsi="仿宋" w:eastAsia="仿宋_GB2312"/>
          <w:bCs/>
          <w:color w:val="000000"/>
          <w:sz w:val="32"/>
          <w:szCs w:val="32"/>
        </w:rPr>
      </w:pPr>
      <w:r>
        <w:rPr>
          <w:rFonts w:hint="eastAsia" w:ascii="仿宋_GB2312" w:hAnsi="仿宋" w:eastAsia="仿宋_GB2312"/>
          <w:bCs/>
          <w:color w:val="000000"/>
          <w:sz w:val="32"/>
          <w:szCs w:val="32"/>
        </w:rPr>
        <w:t>202</w:t>
      </w:r>
      <w:r>
        <w:rPr>
          <w:rFonts w:hint="eastAsia" w:ascii="仿宋_GB2312" w:hAnsi="仿宋" w:eastAsia="仿宋_GB2312"/>
          <w:bCs/>
          <w:color w:val="000000"/>
          <w:sz w:val="32"/>
          <w:szCs w:val="32"/>
          <w:lang w:val="en-US" w:eastAsia="zh-CN"/>
        </w:rPr>
        <w:t>5</w:t>
      </w:r>
      <w:r>
        <w:rPr>
          <w:rFonts w:hint="eastAsia" w:ascii="仿宋_GB2312" w:hAnsi="仿宋" w:eastAsia="仿宋_GB2312"/>
          <w:bCs/>
          <w:color w:val="000000"/>
          <w:sz w:val="32"/>
          <w:szCs w:val="32"/>
        </w:rPr>
        <w:t>年2月</w:t>
      </w:r>
      <w:r>
        <w:rPr>
          <w:rFonts w:hint="eastAsia" w:ascii="仿宋_GB2312" w:hAnsi="仿宋" w:eastAsia="仿宋_GB2312"/>
          <w:bCs/>
          <w:color w:val="000000"/>
          <w:sz w:val="32"/>
          <w:szCs w:val="32"/>
          <w:lang w:val="en-US" w:eastAsia="zh-CN"/>
        </w:rPr>
        <w:t>14</w:t>
      </w:r>
      <w:r>
        <w:rPr>
          <w:rFonts w:hint="eastAsia" w:ascii="仿宋_GB2312" w:hAnsi="仿宋" w:eastAsia="仿宋_GB2312"/>
          <w:bCs/>
          <w:color w:val="000000"/>
          <w:sz w:val="32"/>
          <w:szCs w:val="32"/>
        </w:rPr>
        <w:t>日</w:t>
      </w:r>
    </w:p>
    <w:p>
      <w:pPr>
        <w:keepNext w:val="0"/>
        <w:keepLines w:val="0"/>
        <w:pageBreakBefore w:val="0"/>
        <w:kinsoku/>
        <w:wordWrap/>
        <w:overflowPunct/>
        <w:topLinePunct w:val="0"/>
        <w:autoSpaceDE/>
        <w:autoSpaceDN/>
        <w:bidi w:val="0"/>
        <w:spacing w:beforeAutospacing="0" w:afterAutospacing="0" w:line="578" w:lineRule="exact"/>
        <w:ind w:right="0" w:rightChars="0"/>
        <w:textAlignment w:val="auto"/>
        <w:rPr>
          <w:rFonts w:hint="eastAsia" w:ascii="方正小标宋简体" w:hAnsi="方正小标宋简体" w:eastAsia="方正小标宋简体" w:cs="方正小标宋简体"/>
          <w:b/>
          <w:i w:val="0"/>
          <w:caps w:val="0"/>
          <w:color w:val="000000"/>
          <w:spacing w:val="0"/>
          <w:sz w:val="44"/>
          <w:szCs w:val="44"/>
          <w:shd w:val="clear" w:color="auto" w:fill="FFFFFF"/>
        </w:rPr>
      </w:pPr>
      <w:r>
        <w:rPr>
          <w:rFonts w:hint="eastAsia" w:ascii="仿宋_GB2312" w:eastAsia="仿宋_GB2312"/>
          <w:sz w:val="32"/>
          <w:szCs w:val="32"/>
        </w:rPr>
        <w:t>（信息公开类型：主动公开）</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883" w:firstLineChars="200"/>
        <w:jc w:val="center"/>
        <w:textAlignment w:val="auto"/>
        <w:outlineLvl w:val="9"/>
        <w:rPr>
          <w:rFonts w:hint="eastAsia" w:ascii="方正小标宋简体" w:hAnsi="方正小标宋简体" w:eastAsia="方正小标宋简体" w:cs="方正小标宋简体"/>
          <w:b/>
          <w:i w:val="0"/>
          <w:caps w:val="0"/>
          <w:color w:val="000000"/>
          <w:spacing w:val="0"/>
          <w:sz w:val="44"/>
          <w:szCs w:val="44"/>
          <w:shd w:val="clear" w:color="auto" w:fill="FFFFFF"/>
        </w:rPr>
        <w:sectPr>
          <w:footerReference r:id="rId3" w:type="default"/>
          <w:pgSz w:w="11906" w:h="16838"/>
          <w:pgMar w:top="2098" w:right="1474" w:bottom="1984" w:left="1588" w:header="851" w:footer="992" w:gutter="0"/>
          <w:pgNumType w:fmt="numberInDash"/>
          <w:cols w:space="720" w:num="1"/>
          <w:rtlGutter w:val="0"/>
          <w:docGrid w:type="lines" w:linePitch="318" w:charSpace="0"/>
        </w:sect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right="0" w:rightChars="0"/>
        <w:jc w:val="center"/>
        <w:textAlignment w:val="auto"/>
        <w:outlineLvl w:val="9"/>
        <w:rPr>
          <w:rFonts w:hint="eastAsia" w:ascii="方正小标宋简体" w:hAnsi="方正小标宋简体" w:eastAsia="方正小标宋简体" w:cs="方正小标宋简体"/>
          <w:b w:val="0"/>
          <w:bCs/>
          <w:i w:val="0"/>
          <w:caps w:val="0"/>
          <w:color w:val="000000"/>
          <w:spacing w:val="0"/>
          <w:sz w:val="44"/>
          <w:szCs w:val="44"/>
          <w:shd w:val="clear" w:color="auto" w:fill="FFFFFF"/>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jc w:val="center"/>
        <w:textAlignment w:val="auto"/>
        <w:outlineLvl w:val="9"/>
        <w:rPr>
          <w:rFonts w:hint="eastAsia" w:ascii="方正小标宋简体" w:hAnsi="方正小标宋简体" w:eastAsia="方正小标宋简体" w:cs="方正小标宋简体"/>
          <w:b w:val="0"/>
          <w:bCs/>
          <w:i w:val="0"/>
          <w:caps w:val="0"/>
          <w:color w:val="000000"/>
          <w:spacing w:val="0"/>
          <w:sz w:val="44"/>
          <w:szCs w:val="44"/>
          <w:shd w:val="clear" w:color="auto" w:fill="FFFFFF"/>
        </w:rPr>
      </w:pPr>
      <w:r>
        <w:rPr>
          <w:rFonts w:hint="eastAsia" w:ascii="方正小标宋简体" w:hAnsi="方正小标宋简体" w:eastAsia="方正小标宋简体" w:cs="方正小标宋简体"/>
          <w:b w:val="0"/>
          <w:bCs/>
          <w:i w:val="0"/>
          <w:caps w:val="0"/>
          <w:color w:val="000000"/>
          <w:spacing w:val="0"/>
          <w:sz w:val="44"/>
          <w:szCs w:val="44"/>
          <w:shd w:val="clear" w:color="auto" w:fill="FFFFFF"/>
        </w:rPr>
        <w:t>202</w:t>
      </w:r>
      <w:r>
        <w:rPr>
          <w:rFonts w:hint="eastAsia" w:ascii="方正小标宋简体" w:hAnsi="方正小标宋简体" w:eastAsia="方正小标宋简体" w:cs="方正小标宋简体"/>
          <w:b w:val="0"/>
          <w:bCs/>
          <w:i w:val="0"/>
          <w:caps w:val="0"/>
          <w:color w:val="000000"/>
          <w:spacing w:val="0"/>
          <w:sz w:val="44"/>
          <w:szCs w:val="44"/>
          <w:shd w:val="clear" w:color="auto" w:fill="FFFFFF"/>
          <w:lang w:val="en-US" w:eastAsia="zh-CN"/>
        </w:rPr>
        <w:t>5</w:t>
      </w:r>
      <w:r>
        <w:rPr>
          <w:rFonts w:hint="eastAsia" w:ascii="方正小标宋简体" w:hAnsi="方正小标宋简体" w:eastAsia="方正小标宋简体" w:cs="方正小标宋简体"/>
          <w:b w:val="0"/>
          <w:bCs/>
          <w:i w:val="0"/>
          <w:caps w:val="0"/>
          <w:color w:val="000000"/>
          <w:spacing w:val="0"/>
          <w:sz w:val="44"/>
          <w:szCs w:val="44"/>
          <w:shd w:val="clear" w:color="auto" w:fill="FFFFFF"/>
        </w:rPr>
        <w:t>年石家庄市鹿泉区“双随机、一公开”监管工作实施方案</w:t>
      </w:r>
    </w:p>
    <w:p>
      <w:pPr>
        <w:pStyle w:val="2"/>
        <w:keepNext w:val="0"/>
        <w:keepLines w:val="0"/>
        <w:pageBreakBefore w:val="0"/>
        <w:kinsoku/>
        <w:wordWrap/>
        <w:overflowPunct/>
        <w:topLinePunct w:val="0"/>
        <w:autoSpaceDE/>
        <w:autoSpaceDN/>
        <w:bidi w:val="0"/>
        <w:adjustRightInd/>
        <w:snapToGrid/>
        <w:spacing w:beforeAutospacing="0" w:afterAutospacing="0" w:line="578" w:lineRule="exact"/>
        <w:ind w:left="0" w:leftChars="0" w:right="0" w:rightChars="0"/>
        <w:textAlignment w:val="auto"/>
        <w:rPr>
          <w:rFonts w:hint="eastAsia"/>
          <w:lang w:val="en-US" w:eastAsia="zh-CN"/>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为深入贯彻落实国务院、省委省政府和市委市政府关于深化“放管服”改革、优化营商环境部署要求，持续强化“双随机、一公开”监管，提升监管效能，根据《河北省人民政府关于在市场监管领域全面推行部门联合“双随机、一公开”监管的实施意见》(冀政字(2019)22号)、《河北省人民政府办公厅关于印发河北省“双随机、一公开”监管与企业信用风险分级分类相结合实施方案的通知》(冀政办字(2020)144号)、《石家庄市鹿泉区人民政府关于在市场监管领域全面推行部门联合“双随机、一公开”监管的实施意见》（鹿政函〔2019〕17号）等文件要求，制定本方案。</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黑体" w:hAnsi="黑体" w:eastAsia="黑体" w:cs="黑体"/>
          <w:i w:val="0"/>
          <w:caps w:val="0"/>
          <w:color w:val="000000"/>
          <w:spacing w:val="0"/>
          <w:sz w:val="32"/>
          <w:szCs w:val="32"/>
          <w:u w:val="none"/>
        </w:rPr>
      </w:pPr>
      <w:r>
        <w:rPr>
          <w:rFonts w:hint="eastAsia" w:ascii="黑体" w:hAnsi="黑体" w:eastAsia="黑体" w:cs="黑体"/>
          <w:i w:val="0"/>
          <w:caps w:val="0"/>
          <w:color w:val="000000"/>
          <w:spacing w:val="0"/>
          <w:kern w:val="0"/>
          <w:sz w:val="32"/>
          <w:szCs w:val="32"/>
          <w:u w:val="none"/>
          <w:shd w:val="clear" w:color="auto" w:fill="FFFFFF"/>
          <w:lang w:val="en-US" w:eastAsia="zh-CN" w:bidi="ar"/>
        </w:rPr>
        <w:t>一、工作思路及目标</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(一)完善工作机制，提升抽查工作规范化水平。</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(二)强化部门联合，提升联合抽查的地位和作用。</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(三)实施差异化监管，提升监管执法效能。</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(四)完善工作流程，实现抽查工作的闭环管理。</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(五)开展督查考核，提升工作质效。</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黑体" w:hAnsi="黑体" w:eastAsia="黑体" w:cs="黑体"/>
          <w:i w:val="0"/>
          <w:caps w:val="0"/>
          <w:color w:val="000000"/>
          <w:spacing w:val="0"/>
          <w:kern w:val="0"/>
          <w:sz w:val="32"/>
          <w:szCs w:val="32"/>
          <w:u w:val="none"/>
          <w:shd w:val="clear" w:color="auto" w:fill="FFFFFF"/>
          <w:lang w:val="en-US" w:eastAsia="zh-CN" w:bidi="ar"/>
        </w:rPr>
      </w:pPr>
      <w:r>
        <w:rPr>
          <w:rFonts w:hint="eastAsia" w:ascii="黑体" w:hAnsi="黑体" w:eastAsia="黑体" w:cs="黑体"/>
          <w:i w:val="0"/>
          <w:caps w:val="0"/>
          <w:color w:val="000000"/>
          <w:spacing w:val="0"/>
          <w:kern w:val="0"/>
          <w:sz w:val="32"/>
          <w:szCs w:val="32"/>
          <w:u w:val="none"/>
          <w:shd w:val="clear" w:color="auto" w:fill="FFFFFF"/>
          <w:lang w:val="en-US" w:eastAsia="zh-CN" w:bidi="ar"/>
        </w:rPr>
        <w:t>二、主要工作任务</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sectPr>
          <w:footerReference r:id="rId4" w:type="default"/>
          <w:pgSz w:w="11906" w:h="16838"/>
          <w:pgMar w:top="2098" w:right="1474" w:bottom="1984" w:left="1588" w:header="851" w:footer="992" w:gutter="0"/>
          <w:pgNumType w:fmt="numberInDash"/>
          <w:cols w:space="720" w:num="1"/>
          <w:rtlGutter w:val="0"/>
          <w:docGrid w:type="lines" w:linePitch="318" w:charSpace="0"/>
        </w:sect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t>(一)强化基础支撑。</w:t>
      </w: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依托河北省双随机执法监管平台(以下简称监管平台)，根据机构改革后部门和职能调整情况，要及时完成对领导小组成员单位的调整,并在平台中持续完善“一单两库”等基础信息。各成员单位根据法律法规规章立改废释情况，依据自身对应的上级部门、“三定”方案中的监管职责及时对涉及本单位监管事权的事项进行认领，形成本级的抽查事项清单。各成员单位要动态调整本单位检查对象名录库和执法检查人员名录库，确保本单位检查对象和执法人员“应纳尽纳”。各成员单位要利用分类标签库完成对本级检查对象和执法检查人员的分类标注，实现对检查对象的精准抽取、对执法人员的精准匹配，提升监管效能。(责任单位:区“双随机、一公开”监管工作领导小组各成员单位;完成时限:3月前)</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t>(二)强化联合监管。</w:t>
      </w: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进一步健全完善部门联合抽查工作机制，加强部门间的协调联动，全面推行“一业一查”部门联合抽查模式。要以省、市“一业一查”部门联合随机抽查事项清单为指导，以科学合理有效联合为前提，结合本地监管实际，不断充实、细化、完善本地“一业一查”部门联合随机抽查清单及抽查工作指引，制定本地“一业一查”部门联合随机抽查主体库及检查人员库。在兼顾成本与效能的前提下，不断扩大部门联合随机抽查的覆盖面、占比率。除特殊情况外，联合抽查次数占比、户数占比均实现100%，使部门联合抽查成为本地区日常监管的主要方式，切实压缩涉企检查数量，不断减少对企业正常经营活动的干扰。(责任单位:区“双随机、一公开”监管工作领导小组各成员单位；完成时限:全年)</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t>(三)着力提升监管效能。</w:t>
      </w: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各成员单位要认真落实《河北省人民政府办公厅关于印发河北省“双随机、一公开”监管与企业信用风险分级分类相结合实施方案的通知》(冀政办字(2020)144号)，积极推进“双随机、一公开”监管与企业信用风险分级分类相结合，以制定年度随机抽查计划为抓手，将企业信用风险分级分类结果与“双随机、一公开”监管深度融合，运用信用风险分级分类开展的抽查次数占抽查企业总次数的比例要达到100%。推动重点监管与“双随机、一公开”监管有效对接，对重点检查事项、重要监管领域及高风险主体要通过加大抽查比例和频次等监管措施，守住安全底线。充分利用信息化手段，通过大数据分析、重点指标监测等手段，加大对抽查检查结果的运用，探索推进企业信用风险监测预警，在预判式监管上实现新突破。(责任单位:区“双随机、一公开”监管工作领导小组各成员单位；完成时限:全年)</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sectPr>
          <w:footerReference r:id="rId5" w:type="default"/>
          <w:pgSz w:w="11906" w:h="16838"/>
          <w:pgMar w:top="2098" w:right="1474" w:bottom="1984" w:left="1588" w:header="851" w:footer="992" w:gutter="0"/>
          <w:pgNumType w:fmt="numberInDash"/>
          <w:cols w:space="720" w:num="1"/>
          <w:rtlGutter w:val="0"/>
          <w:docGrid w:type="lines" w:linePitch="318" w:charSpace="0"/>
        </w:sectPr>
      </w:pPr>
      <w:r>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t>(四)规范随机抽查工作程序。</w:t>
      </w: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各成员单位要认真落实《石家庄市“双随机、一公开”监管工作规范》，严格规范随机抽查工作程序，提高“双随机、一公开”监管规范化、标准化水平。2025年度，“双随机、一公开”抽查企业(含本地各部门抽取及上级各部门下派)数量占2024年底企业数量的比例要不低于3%。要严格按照部门年度随机抽查计划开展抽查，加大组织随机抽查前</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right="0" w:rightChars="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的业务培训力度，提升抽查效果;年度计划、实施方案、抽查结果及后续处理结果要及时向社会公开。对需调整的年度抽查计划必须严格履行相关工作程序，调整后的年度抽查计划要及时向社会公开。健全随机抽查后续处置机制，规范问题线索的转办、移送等工作，对抽查发现的各类问题，要按照“谁审批、谁监管，谁主管、谁监管”和“谁管辖、谁负责”的原则做好后续监管衔接，依法定程序及时移交有处置权限的机构和相关部门，依法加大惩处力度，涉嫌犯罪的及时移送司法机关，实现监管闭环。对查出问题的经营主体要积极立案查处，并及时将处罚结果对社会公开。加强与信用监管的衔接，加大对抽查发现的违法失信行为的信用惩戒力度，实施联合惩戒，增强随机抽查的震慑力，提升经营主体诚信守法经营自律意识，推动构建企业自律、行业自治、政府监管、社会监督的多元化共治格局。(责任单位:区“双随机、一公开”监管工作领导小组各成员单位；完成时限:全年)</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t>(五)加大宣传培训力度。</w:t>
      </w: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各成员单位要认真梳理总结随机抽查工作经验，加大宣传报道力度，不仅通过新闻媒体、广播电视、官方网站等方式加强宣传报道,还要寓服务于监管之中，在实地检查中宣讲政策、答疑解惑，不断增强企业、社会对双随机抽查监管方式的认知度，提升“双随机、一公开”监管的社会影响力和公众知晓度。各成员单位要将好经验、好做法固化为制度机制，不断提升“双随机、一公开”监管整体水平。要常态化开展随机抽查工作培训，既加强对执法人员的业务培训和管理人员的系统使用培训,又强化对随机抽查工作规范标准的培训，提高基层执法人员综合素质和执法能力,满足联合抽查工作需求，实现抽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right="0" w:rightChars="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工作规范有序、抽查结果认定统一。(责任单位:区“双随机、一公开”监管工作领导小组各成员单位；完成时限:全年)</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黑体" w:hAnsi="黑体" w:eastAsia="黑体" w:cs="黑体"/>
          <w:i w:val="0"/>
          <w:caps w:val="0"/>
          <w:color w:val="000000"/>
          <w:spacing w:val="0"/>
          <w:sz w:val="32"/>
          <w:szCs w:val="32"/>
          <w:u w:val="none"/>
        </w:rPr>
      </w:pPr>
      <w:r>
        <w:rPr>
          <w:rFonts w:hint="eastAsia" w:ascii="黑体" w:hAnsi="黑体" w:eastAsia="黑体" w:cs="黑体"/>
          <w:i w:val="0"/>
          <w:caps w:val="0"/>
          <w:color w:val="000000"/>
          <w:spacing w:val="0"/>
          <w:kern w:val="0"/>
          <w:sz w:val="32"/>
          <w:szCs w:val="32"/>
          <w:u w:val="none"/>
          <w:shd w:val="clear" w:color="auto" w:fill="FFFFFF"/>
          <w:lang w:val="en-US" w:eastAsia="zh-CN" w:bidi="ar"/>
        </w:rPr>
        <w:t>三、工作要求</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t>(一)提高政治站位，强化组织领导</w:t>
      </w: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各成员单位要充分认识“双随机、一公开”监管对于构建新型监管机制、提升监管效能、优化营商环境的重要作用，进一步加强组织领导和统筹协调，健全工作制度和运行机制，细化工作目标和推进举措，确保各项工作任务落到实处、取得实效，为全区进一步优化营商环境做出积极贡献。</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t>(二)认真履职尽责，强化责任担当。</w:t>
      </w: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市场监管部门要在本级政府的领导下，积极发挥领导小组办公室牵头抓总作用，既要先试先行、做好表率，又要在工作机制、组织协调、督导调度、推进落实上下功夫。各成员单位要认真落实主体责任，按照同级政府和上级主管部门的要求，主动开展工作，并做好对下级对口部门的指导、督促工作。各成员单位要牢固树立“一盘棋”思想，相互支持、密切配合、协同促进，合力推进各项工作任务落实。</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楷体_GB2312" w:hAnsi="楷体_GB2312" w:eastAsia="楷体_GB2312" w:cs="楷体_GB2312"/>
          <w:i w:val="0"/>
          <w:caps w:val="0"/>
          <w:color w:val="000000"/>
          <w:spacing w:val="0"/>
          <w:kern w:val="0"/>
          <w:sz w:val="32"/>
          <w:szCs w:val="32"/>
          <w:u w:val="none"/>
          <w:shd w:val="clear" w:color="auto" w:fill="FFFFFF"/>
          <w:lang w:val="en-US" w:eastAsia="zh-CN" w:bidi="ar"/>
        </w:rPr>
        <w:t>(三)加大督查力度，强化跟踪问效。</w:t>
      </w: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要健全完善“双随机、一公开”监管工作效果评估机制，不断强化对随机抽查工作全流程的管控，积极推行随机抽查回访机制，在提升随机抽查问题发现率上做文章，着力提升随机抽查工作效能。各成员单位要采取适当方式，运用好督导检查“指挥棒”作用，加强对本单位、本系统“双随机、一公开”监管工作的督促指导，以督查促问题发</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right="0" w:rightChars="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现、以督查促整改落实。各成员单位内部牵头机构要强化对抽查计划的制定与落实、按时限完成结果录入、发现问题后续处理等环节的督导检查，坚决克服方案制定不认真、现场检查走过场、结果录入审核把关不严等现象。区“双随机、一公开”监管工作领导小组办公室将适时开展专项督查和对被抽查主体的回访，督查情况将通报全区。</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区“双随机、一公开”监管工作领导小组办公室要认真执行信息联络员制度，按时报送“双随机、一公开”监管工作开展情况。各成员单位于每月23日前将月报表（附件2），3月28日、6月27日、9月30日、12月25日前将本部门“双随机、一公开”监管工作总结报区“双随机、一公开”监管工作领导小组办公室。</w:t>
      </w:r>
    </w:p>
    <w:p>
      <w:pPr>
        <w:pStyle w:val="2"/>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pPr>
    </w:p>
    <w:p>
      <w:pPr>
        <w:rPr>
          <w:rFonts w:hint="eastAsia"/>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640" w:firstLineChars="2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附件：1.区“双随机、一公开”监管工作月报表</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78" w:lineRule="exact"/>
        <w:ind w:left="0" w:leftChars="0" w:right="0" w:rightChars="0" w:firstLine="1600" w:firstLineChars="500"/>
        <w:jc w:val="left"/>
        <w:textAlignment w:val="auto"/>
        <w:outlineLvl w:val="9"/>
        <w:rPr>
          <w:rFonts w:hint="eastAsia" w:ascii="仿宋_GB2312" w:hAnsi="仿宋_GB2312" w:eastAsia="仿宋_GB2312" w:cs="仿宋_GB2312"/>
          <w:i w:val="0"/>
          <w:caps w:val="0"/>
          <w:color w:val="000000"/>
          <w:spacing w:val="0"/>
          <w:sz w:val="32"/>
          <w:szCs w:val="32"/>
          <w:u w:val="none"/>
        </w:rPr>
      </w:pPr>
      <w:r>
        <w:rPr>
          <w:rFonts w:hint="eastAsia" w:ascii="仿宋_GB2312" w:hAnsi="仿宋_GB2312" w:eastAsia="仿宋_GB2312" w:cs="仿宋_GB2312"/>
          <w:i w:val="0"/>
          <w:caps w:val="0"/>
          <w:color w:val="000000"/>
          <w:spacing w:val="0"/>
          <w:kern w:val="0"/>
          <w:sz w:val="32"/>
          <w:szCs w:val="32"/>
          <w:u w:val="none"/>
          <w:shd w:val="clear" w:color="auto" w:fill="FFFFFF"/>
          <w:lang w:val="en-US" w:eastAsia="zh-CN" w:bidi="ar"/>
        </w:rPr>
        <w:t>2.区有关部门“双随机、一公开”监管工作月报表</w:t>
      </w:r>
    </w:p>
    <w:p>
      <w:pPr>
        <w:keepNext w:val="0"/>
        <w:keepLines w:val="0"/>
        <w:pageBreakBefore w:val="0"/>
        <w:kinsoku/>
        <w:wordWrap/>
        <w:overflowPunct/>
        <w:topLinePunct w:val="0"/>
        <w:autoSpaceDE/>
        <w:autoSpaceDN/>
        <w:bidi w:val="0"/>
        <w:adjustRightInd/>
        <w:snapToGrid/>
        <w:spacing w:beforeAutospacing="0" w:afterAutospacing="0" w:line="578" w:lineRule="exact"/>
        <w:ind w:left="0" w:leftChars="0" w:right="0" w:rightChars="0" w:firstLine="640" w:firstLineChars="200"/>
        <w:textAlignment w:val="auto"/>
        <w:outlineLvl w:val="9"/>
        <w:rPr>
          <w:sz w:val="32"/>
          <w:szCs w:val="32"/>
        </w:rPr>
      </w:pPr>
    </w:p>
    <w:p>
      <w:pPr>
        <w:keepNext w:val="0"/>
        <w:keepLines w:val="0"/>
        <w:pageBreakBefore w:val="0"/>
        <w:kinsoku/>
        <w:wordWrap/>
        <w:overflowPunct/>
        <w:topLinePunct w:val="0"/>
        <w:autoSpaceDE/>
        <w:autoSpaceDN/>
        <w:bidi w:val="0"/>
        <w:adjustRightInd/>
        <w:snapToGrid/>
        <w:spacing w:beforeAutospacing="0" w:afterAutospacing="0" w:line="578" w:lineRule="exact"/>
        <w:ind w:left="0" w:leftChars="0" w:right="0" w:rightChars="0" w:firstLine="640" w:firstLineChars="200"/>
        <w:textAlignment w:val="auto"/>
        <w:outlineLvl w:val="9"/>
        <w:rPr>
          <w:sz w:val="32"/>
          <w:szCs w:val="32"/>
        </w:rPr>
        <w:sectPr>
          <w:footerReference r:id="rId6" w:type="default"/>
          <w:pgSz w:w="11906" w:h="16838"/>
          <w:pgMar w:top="2098" w:right="1474" w:bottom="1984" w:left="1588" w:header="851" w:footer="992" w:gutter="0"/>
          <w:pgNumType w:fmt="numberInDash"/>
          <w:cols w:space="720" w:num="1"/>
          <w:rtlGutter w:val="0"/>
          <w:docGrid w:type="lines" w:linePitch="318" w:charSpace="0"/>
        </w:sectPr>
      </w:pPr>
    </w:p>
    <w:p>
      <w:pPr>
        <w:keepNext w:val="0"/>
        <w:keepLines w:val="0"/>
        <w:pageBreakBefore w:val="0"/>
        <w:widowControl w:val="0"/>
        <w:kinsoku/>
        <w:wordWrap/>
        <w:overflowPunct/>
        <w:topLinePunct w:val="0"/>
        <w:autoSpaceDE/>
        <w:autoSpaceDN/>
        <w:bidi w:val="0"/>
        <w:adjustRightInd/>
        <w:snapToGrid/>
        <w:spacing w:beforeAutospacing="0" w:afterAutospacing="0" w:line="440" w:lineRule="exact"/>
        <w:ind w:left="0" w:leftChars="0" w:right="0" w:rightChars="0"/>
        <w:jc w:val="both"/>
        <w:textAlignment w:val="auto"/>
        <w:outlineLvl w:val="9"/>
        <w:rPr>
          <w:rFonts w:hint="eastAsia" w:ascii="黑体" w:hAnsi="黑体" w:eastAsia="黑体" w:cs="黑体"/>
          <w:color w:val="000000"/>
          <w:sz w:val="32"/>
          <w:szCs w:val="32"/>
        </w:rPr>
      </w:pPr>
      <w:r>
        <w:rPr>
          <w:rFonts w:hint="eastAsia" w:ascii="黑体" w:hAnsi="黑体" w:eastAsia="黑体" w:cs="黑体"/>
          <w:color w:val="000000"/>
          <w:sz w:val="32"/>
          <w:szCs w:val="32"/>
        </w:rPr>
        <w:t>附件1</w:t>
      </w:r>
    </w:p>
    <w:p>
      <w:pPr>
        <w:keepNext w:val="0"/>
        <w:keepLines w:val="0"/>
        <w:pageBreakBefore w:val="0"/>
        <w:widowControl w:val="0"/>
        <w:kinsoku/>
        <w:wordWrap/>
        <w:overflowPunct/>
        <w:topLinePunct w:val="0"/>
        <w:autoSpaceDE/>
        <w:autoSpaceDN/>
        <w:bidi w:val="0"/>
        <w:adjustRightInd/>
        <w:snapToGrid/>
        <w:spacing w:beforeAutospacing="0" w:afterAutospacing="0" w:line="440" w:lineRule="exact"/>
        <w:ind w:right="0" w:rightChars="0"/>
        <w:jc w:val="both"/>
        <w:textAlignment w:val="auto"/>
        <w:outlineLvl w:val="9"/>
        <w:rPr>
          <w:rFonts w:hint="eastAsia" w:ascii="方正小标宋_GBK" w:hAnsi="方正小标宋_GBK" w:eastAsia="方正小标宋_GBK" w:cs="方正小标宋_GBK"/>
          <w:bCs/>
          <w:color w:val="000000"/>
          <w:sz w:val="44"/>
          <w:szCs w:val="44"/>
        </w:rPr>
      </w:pPr>
      <w:r>
        <w:rPr>
          <w:rFonts w:hint="eastAsia" w:ascii="方正小标宋_GBK" w:hAnsi="方正小标宋_GBK" w:eastAsia="方正小标宋_GBK" w:cs="方正小标宋_GBK"/>
          <w:bCs/>
          <w:color w:val="000000"/>
          <w:sz w:val="44"/>
          <w:szCs w:val="44"/>
          <w:lang w:val="en-US" w:eastAsia="zh-CN"/>
        </w:rPr>
        <w:t>县（市、区）</w:t>
      </w:r>
      <w:r>
        <w:rPr>
          <w:rFonts w:hint="eastAsia" w:ascii="方正小标宋_GBK" w:hAnsi="方正小标宋_GBK" w:eastAsia="方正小标宋_GBK" w:cs="方正小标宋_GBK"/>
          <w:bCs/>
          <w:color w:val="000000"/>
          <w:sz w:val="44"/>
          <w:szCs w:val="44"/>
        </w:rPr>
        <w:t>“双随机、一公开”监管月报表</w:t>
      </w:r>
    </w:p>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right="0" w:rightChars="0"/>
        <w:jc w:val="center"/>
        <w:textAlignment w:val="auto"/>
        <w:outlineLvl w:val="9"/>
        <w:rPr>
          <w:rFonts w:hint="eastAsia" w:ascii="黑体" w:hAnsi="黑体" w:eastAsia="黑体" w:cs="黑体"/>
          <w:bCs/>
          <w:color w:val="000000"/>
          <w:sz w:val="32"/>
          <w:szCs w:val="32"/>
          <w:lang w:eastAsia="zh-CN"/>
        </w:rPr>
      </w:pPr>
      <w:r>
        <w:rPr>
          <w:rFonts w:hint="eastAsia" w:ascii="黑体" w:hAnsi="黑体" w:eastAsia="黑体" w:cs="黑体"/>
          <w:bCs/>
          <w:color w:val="000000"/>
          <w:sz w:val="32"/>
          <w:szCs w:val="32"/>
          <w:lang w:eastAsia="zh-CN"/>
        </w:rPr>
        <w:t>（本年度累计数据）</w:t>
      </w:r>
    </w:p>
    <w:p>
      <w:pPr>
        <w:keepNext w:val="0"/>
        <w:keepLines w:val="0"/>
        <w:pageBreakBefore w:val="0"/>
        <w:widowControl w:val="0"/>
        <w:kinsoku/>
        <w:wordWrap/>
        <w:overflowPunct/>
        <w:topLinePunct w:val="0"/>
        <w:autoSpaceDE/>
        <w:autoSpaceDN/>
        <w:bidi w:val="0"/>
        <w:adjustRightInd/>
        <w:snapToGrid/>
        <w:spacing w:beforeAutospacing="0" w:afterAutospacing="0" w:line="440" w:lineRule="exact"/>
        <w:ind w:left="0" w:leftChars="0" w:right="0" w:rightChars="0"/>
        <w:textAlignment w:val="auto"/>
        <w:outlineLvl w:val="9"/>
        <w:rPr>
          <w:rFonts w:hint="eastAsia" w:ascii="仿宋_GB2312" w:hAnsi="仿宋_GB2312" w:eastAsia="仿宋_GB2312" w:cs="仿宋_GB2312"/>
          <w:bCs/>
          <w:color w:val="000000"/>
          <w:sz w:val="30"/>
          <w:szCs w:val="30"/>
        </w:rPr>
      </w:pPr>
      <w:r>
        <w:rPr>
          <w:rFonts w:hint="eastAsia" w:ascii="仿宋_GB2312" w:hAnsi="仿宋_GB2312" w:eastAsia="仿宋_GB2312" w:cs="仿宋_GB2312"/>
          <w:color w:val="000000"/>
          <w:sz w:val="30"/>
          <w:szCs w:val="30"/>
        </w:rPr>
        <w:t>单位名称（盖章）：</w:t>
      </w:r>
      <w:r>
        <w:rPr>
          <w:rFonts w:hint="eastAsia" w:ascii="仿宋_GB2312" w:hAnsi="仿宋_GB2312" w:eastAsia="仿宋_GB2312" w:cs="仿宋_GB2312"/>
          <w:color w:val="000000"/>
          <w:sz w:val="30"/>
          <w:szCs w:val="30"/>
          <w:u w:val="single"/>
        </w:rPr>
        <w:t xml:space="preserve">      </w:t>
      </w:r>
      <w:r>
        <w:rPr>
          <w:rFonts w:hint="eastAsia" w:ascii="仿宋_GB2312" w:hAnsi="仿宋_GB2312" w:cs="仿宋_GB2312"/>
          <w:color w:val="000000"/>
          <w:sz w:val="30"/>
          <w:szCs w:val="30"/>
          <w:u w:val="single"/>
          <w:lang w:val="en-US" w:eastAsia="zh-CN"/>
        </w:rPr>
        <w:t xml:space="preserve">         </w:t>
      </w:r>
      <w:r>
        <w:rPr>
          <w:rFonts w:hint="eastAsia" w:ascii="仿宋_GB2312" w:hAnsi="仿宋_GB2312" w:eastAsia="仿宋_GB2312" w:cs="仿宋_GB2312"/>
          <w:color w:val="000000"/>
          <w:sz w:val="30"/>
          <w:szCs w:val="30"/>
          <w:u w:val="single"/>
        </w:rPr>
        <w:t xml:space="preserve"> </w:t>
      </w:r>
      <w:r>
        <w:rPr>
          <w:rFonts w:hint="eastAsia" w:ascii="仿宋_GB2312" w:hAnsi="仿宋_GB2312" w:cs="仿宋_GB2312"/>
          <w:color w:val="000000"/>
          <w:sz w:val="30"/>
          <w:szCs w:val="30"/>
          <w:u w:val="none"/>
          <w:lang w:val="en-US" w:eastAsia="zh-CN"/>
        </w:rPr>
        <w:t xml:space="preserve">  </w:t>
      </w:r>
      <w:r>
        <w:rPr>
          <w:rFonts w:hint="eastAsia" w:ascii="仿宋_GB2312" w:hAnsi="仿宋_GB2312" w:eastAsia="仿宋_GB2312" w:cs="仿宋_GB2312"/>
          <w:color w:val="000000"/>
          <w:sz w:val="30"/>
          <w:szCs w:val="30"/>
        </w:rPr>
        <w:t>填表时间：</w:t>
      </w:r>
      <w:r>
        <w:rPr>
          <w:rFonts w:hint="eastAsia" w:ascii="仿宋_GB2312" w:hAnsi="仿宋_GB2312" w:eastAsia="仿宋_GB2312" w:cs="仿宋_GB2312"/>
          <w:color w:val="000000"/>
          <w:sz w:val="30"/>
          <w:szCs w:val="30"/>
          <w:u w:val="single"/>
        </w:rPr>
        <w:t xml:space="preserve">    </w:t>
      </w:r>
      <w:r>
        <w:rPr>
          <w:rFonts w:hint="eastAsia" w:ascii="仿宋_GB2312" w:hAnsi="仿宋_GB2312" w:eastAsia="仿宋_GB2312" w:cs="仿宋_GB2312"/>
          <w:color w:val="000000"/>
          <w:sz w:val="30"/>
          <w:szCs w:val="30"/>
        </w:rPr>
        <w:t>年</w:t>
      </w:r>
      <w:r>
        <w:rPr>
          <w:rFonts w:hint="eastAsia" w:ascii="仿宋_GB2312" w:hAnsi="仿宋_GB2312" w:eastAsia="仿宋_GB2312" w:cs="仿宋_GB2312"/>
          <w:color w:val="000000"/>
          <w:sz w:val="30"/>
          <w:szCs w:val="30"/>
          <w:u w:val="single"/>
        </w:rPr>
        <w:t xml:space="preserve"> </w:t>
      </w:r>
      <w:r>
        <w:rPr>
          <w:rFonts w:hint="eastAsia" w:ascii="仿宋_GB2312" w:hAnsi="仿宋_GB2312" w:cs="仿宋_GB2312"/>
          <w:color w:val="000000"/>
          <w:sz w:val="30"/>
          <w:szCs w:val="30"/>
          <w:u w:val="single"/>
          <w:lang w:val="en-US" w:eastAsia="zh-CN"/>
        </w:rPr>
        <w:t xml:space="preserve"> </w:t>
      </w:r>
      <w:r>
        <w:rPr>
          <w:rFonts w:hint="eastAsia" w:ascii="仿宋_GB2312" w:hAnsi="仿宋_GB2312" w:eastAsia="仿宋_GB2312" w:cs="仿宋_GB2312"/>
          <w:color w:val="000000"/>
          <w:sz w:val="30"/>
          <w:szCs w:val="30"/>
          <w:u w:val="single"/>
        </w:rPr>
        <w:t xml:space="preserve"> </w:t>
      </w:r>
      <w:r>
        <w:rPr>
          <w:rFonts w:hint="eastAsia" w:ascii="仿宋_GB2312" w:hAnsi="仿宋_GB2312" w:eastAsia="仿宋_GB2312" w:cs="仿宋_GB2312"/>
          <w:color w:val="000000"/>
          <w:sz w:val="30"/>
          <w:szCs w:val="30"/>
        </w:rPr>
        <w:t>月</w:t>
      </w:r>
      <w:r>
        <w:rPr>
          <w:rFonts w:hint="eastAsia" w:ascii="仿宋_GB2312" w:hAnsi="仿宋_GB2312" w:eastAsia="仿宋_GB2312" w:cs="仿宋_GB2312"/>
          <w:color w:val="000000"/>
          <w:sz w:val="30"/>
          <w:szCs w:val="30"/>
          <w:u w:val="single"/>
        </w:rPr>
        <w:t xml:space="preserve">   </w:t>
      </w:r>
      <w:r>
        <w:rPr>
          <w:rFonts w:hint="eastAsia" w:ascii="仿宋_GB2312" w:hAnsi="仿宋_GB2312" w:eastAsia="仿宋_GB2312" w:cs="仿宋_GB2312"/>
          <w:color w:val="000000"/>
          <w:sz w:val="30"/>
          <w:szCs w:val="30"/>
        </w:rPr>
        <w:t>日</w:t>
      </w:r>
    </w:p>
    <w:tbl>
      <w:tblPr>
        <w:tblStyle w:val="6"/>
        <w:tblW w:w="92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37"/>
        <w:gridCol w:w="5110"/>
        <w:gridCol w:w="23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jc w:val="center"/>
        </w:trPr>
        <w:tc>
          <w:tcPr>
            <w:tcW w:w="1737"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right="0" w:rightChars="0"/>
              <w:jc w:val="both"/>
              <w:textAlignment w:val="auto"/>
              <w:outlineLvl w:val="9"/>
              <w:rPr>
                <w:rFonts w:hint="eastAsia" w:ascii="Times New Roman" w:hAnsi="Times New Roman" w:eastAsia="仿宋_GB2312" w:cs="Times New Roman"/>
                <w:color w:val="000000"/>
                <w:sz w:val="28"/>
                <w:szCs w:val="28"/>
                <w:vertAlign w:val="baseline"/>
              </w:rPr>
            </w:pPr>
            <w:r>
              <w:rPr>
                <w:rFonts w:hint="eastAsia" w:ascii="黑体" w:hAnsi="黑体" w:eastAsia="黑体" w:cs="黑体"/>
                <w:color w:val="000000"/>
                <w:sz w:val="28"/>
                <w:szCs w:val="28"/>
                <w:vertAlign w:val="baseline"/>
              </w:rPr>
              <w:t>通过</w:t>
            </w:r>
            <w:r>
              <w:rPr>
                <w:rFonts w:hint="eastAsia" w:ascii="黑体" w:hAnsi="黑体" w:eastAsia="黑体" w:cs="黑体"/>
                <w:color w:val="000000"/>
                <w:sz w:val="28"/>
                <w:szCs w:val="28"/>
                <w:vertAlign w:val="baseline"/>
                <w:lang w:eastAsia="zh-CN"/>
              </w:rPr>
              <w:t>河北</w:t>
            </w:r>
            <w:r>
              <w:rPr>
                <w:rFonts w:hint="eastAsia" w:ascii="黑体" w:hAnsi="黑体" w:eastAsia="黑体" w:cs="黑体"/>
                <w:color w:val="000000"/>
                <w:sz w:val="28"/>
                <w:szCs w:val="28"/>
                <w:vertAlign w:val="baseline"/>
              </w:rPr>
              <w:t>双随机</w:t>
            </w:r>
            <w:r>
              <w:rPr>
                <w:rFonts w:hint="eastAsia" w:ascii="黑体" w:hAnsi="黑体" w:eastAsia="黑体" w:cs="黑体"/>
                <w:color w:val="000000"/>
                <w:sz w:val="28"/>
                <w:szCs w:val="28"/>
                <w:vertAlign w:val="baseline"/>
                <w:lang w:eastAsia="zh-CN"/>
              </w:rPr>
              <w:t>执法</w:t>
            </w:r>
            <w:r>
              <w:rPr>
                <w:rFonts w:hint="eastAsia" w:ascii="黑体" w:hAnsi="黑体" w:eastAsia="黑体" w:cs="黑体"/>
                <w:color w:val="000000"/>
                <w:sz w:val="28"/>
                <w:szCs w:val="28"/>
                <w:vertAlign w:val="baseline"/>
              </w:rPr>
              <w:t>监管平台开展抽查情况</w:t>
            </w:r>
          </w:p>
        </w:tc>
        <w:tc>
          <w:tcPr>
            <w:tcW w:w="511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both"/>
              <w:textAlignment w:val="auto"/>
              <w:outlineLvl w:val="9"/>
              <w:rPr>
                <w:rFonts w:hint="eastAsia" w:ascii="Times New Roman" w:hAnsi="Times New Roman" w:eastAsia="仿宋_GB2312" w:cs="Times New Roman"/>
                <w:color w:val="000000"/>
                <w:sz w:val="28"/>
                <w:szCs w:val="28"/>
                <w:vertAlign w:val="baseline"/>
              </w:rPr>
            </w:pPr>
            <w:r>
              <w:rPr>
                <w:rFonts w:hint="eastAsia" w:ascii="Times New Roman" w:hAnsi="Times New Roman" w:eastAsia="仿宋_GB2312" w:cs="Times New Roman"/>
                <w:color w:val="000000"/>
                <w:sz w:val="28"/>
                <w:szCs w:val="28"/>
                <w:vertAlign w:val="baseline"/>
              </w:rPr>
              <w:t>本地区开展随机抽查次数</w:t>
            </w:r>
            <w:r>
              <w:rPr>
                <w:rFonts w:hint="eastAsia" w:ascii="Times New Roman" w:hAnsi="Times New Roman" w:eastAsia="仿宋_GB2312" w:cs="Times New Roman"/>
                <w:color w:val="000000"/>
                <w:sz w:val="28"/>
                <w:szCs w:val="28"/>
                <w:vertAlign w:val="baseline"/>
                <w:lang w:eastAsia="zh-CN"/>
              </w:rPr>
              <w:t>、</w:t>
            </w:r>
            <w:r>
              <w:rPr>
                <w:rFonts w:hint="eastAsia" w:ascii="Times New Roman" w:hAnsi="Times New Roman" w:eastAsia="仿宋_GB2312" w:cs="Times New Roman"/>
                <w:color w:val="000000"/>
                <w:sz w:val="28"/>
                <w:szCs w:val="28"/>
                <w:vertAlign w:val="baseline"/>
              </w:rPr>
              <w:t>户数</w:t>
            </w:r>
            <w:r>
              <w:rPr>
                <w:rFonts w:hint="eastAsia" w:ascii="Times New Roman" w:hAnsi="Times New Roman" w:eastAsia="仿宋_GB2312" w:cs="Times New Roman"/>
                <w:color w:val="000000"/>
                <w:sz w:val="28"/>
                <w:szCs w:val="28"/>
                <w:vertAlign w:val="baseline"/>
                <w:lang w:eastAsia="zh-CN"/>
              </w:rPr>
              <w:t>及发现问题户数</w:t>
            </w:r>
            <w:r>
              <w:rPr>
                <w:rFonts w:hint="eastAsia" w:ascii="Times New Roman" w:hAnsi="Times New Roman" w:eastAsia="仿宋_GB2312" w:cs="Times New Roman"/>
                <w:color w:val="000000"/>
                <w:sz w:val="28"/>
                <w:szCs w:val="28"/>
                <w:vertAlign w:val="baseline"/>
              </w:rPr>
              <w:t>（包含部门内部和部门联合）</w:t>
            </w:r>
          </w:p>
        </w:tc>
        <w:tc>
          <w:tcPr>
            <w:tcW w:w="23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both"/>
              <w:textAlignment w:val="auto"/>
              <w:outlineLvl w:val="9"/>
              <w:rPr>
                <w:rFonts w:hint="eastAsia" w:ascii="Times New Roman" w:hAnsi="Times New Roman" w:eastAsia="仿宋_GB2312" w:cs="Times New Roman"/>
                <w:color w:val="000000"/>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1737"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center"/>
              <w:textAlignment w:val="auto"/>
              <w:outlineLvl w:val="9"/>
              <w:rPr>
                <w:rFonts w:hint="eastAsia" w:ascii="Times New Roman" w:hAnsi="Times New Roman" w:eastAsia="仿宋_GB2312" w:cs="Times New Roman"/>
                <w:color w:val="000000"/>
                <w:sz w:val="28"/>
                <w:szCs w:val="28"/>
                <w:vertAlign w:val="baseline"/>
              </w:rPr>
            </w:pPr>
          </w:p>
        </w:tc>
        <w:tc>
          <w:tcPr>
            <w:tcW w:w="5110" w:type="dxa"/>
            <w:vMerge w:val="restart"/>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both"/>
              <w:textAlignment w:val="auto"/>
              <w:outlineLvl w:val="9"/>
              <w:rPr>
                <w:rFonts w:hint="eastAsia" w:ascii="Times New Roman" w:hAnsi="Times New Roman" w:eastAsia="仿宋_GB2312" w:cs="Times New Roman"/>
                <w:color w:val="000000"/>
                <w:sz w:val="28"/>
                <w:szCs w:val="28"/>
                <w:vertAlign w:val="baseline"/>
              </w:rPr>
            </w:pPr>
            <w:r>
              <w:rPr>
                <w:rFonts w:hint="eastAsia" w:ascii="Times New Roman" w:hAnsi="Times New Roman" w:eastAsia="仿宋_GB2312" w:cs="Times New Roman"/>
                <w:color w:val="000000"/>
                <w:sz w:val="28"/>
                <w:szCs w:val="28"/>
                <w:vertAlign w:val="baseline"/>
              </w:rPr>
              <w:t>本地区市场监管系统开展随机抽查次数</w:t>
            </w:r>
            <w:r>
              <w:rPr>
                <w:rFonts w:hint="eastAsia" w:ascii="Times New Roman" w:hAnsi="Times New Roman" w:eastAsia="仿宋_GB2312" w:cs="Times New Roman"/>
                <w:color w:val="000000"/>
                <w:sz w:val="28"/>
                <w:szCs w:val="28"/>
                <w:vertAlign w:val="baseline"/>
                <w:lang w:eastAsia="zh-CN"/>
              </w:rPr>
              <w:t>、</w:t>
            </w:r>
            <w:r>
              <w:rPr>
                <w:rFonts w:hint="eastAsia" w:ascii="Times New Roman" w:hAnsi="Times New Roman" w:eastAsia="仿宋_GB2312" w:cs="Times New Roman"/>
                <w:color w:val="000000"/>
                <w:sz w:val="28"/>
                <w:szCs w:val="28"/>
                <w:vertAlign w:val="baseline"/>
              </w:rPr>
              <w:t>户数</w:t>
            </w:r>
            <w:r>
              <w:rPr>
                <w:rFonts w:hint="eastAsia" w:ascii="Times New Roman" w:hAnsi="Times New Roman" w:eastAsia="仿宋_GB2312" w:cs="Times New Roman"/>
                <w:color w:val="000000"/>
                <w:sz w:val="28"/>
                <w:szCs w:val="28"/>
                <w:vertAlign w:val="baseline"/>
                <w:lang w:eastAsia="zh-CN"/>
              </w:rPr>
              <w:t>及发现问题户数</w:t>
            </w:r>
            <w:r>
              <w:rPr>
                <w:rFonts w:hint="eastAsia" w:ascii="Times New Roman" w:hAnsi="Times New Roman" w:eastAsia="仿宋_GB2312" w:cs="Times New Roman"/>
                <w:color w:val="000000"/>
                <w:sz w:val="28"/>
                <w:szCs w:val="28"/>
                <w:vertAlign w:val="baseline"/>
              </w:rPr>
              <w:t>（包含部门内部和部门联合，分别标注）</w:t>
            </w:r>
          </w:p>
        </w:tc>
        <w:tc>
          <w:tcPr>
            <w:tcW w:w="23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both"/>
              <w:textAlignment w:val="auto"/>
              <w:outlineLvl w:val="9"/>
              <w:rPr>
                <w:rFonts w:hint="eastAsia" w:ascii="Times New Roman" w:hAnsi="Times New Roman" w:eastAsia="仿宋_GB2312" w:cs="Times New Roman"/>
                <w:color w:val="000000"/>
                <w:sz w:val="28"/>
                <w:szCs w:val="28"/>
                <w:vertAlign w:val="baseline"/>
              </w:rPr>
            </w:pPr>
            <w:r>
              <w:rPr>
                <w:rFonts w:hint="eastAsia" w:cs="Times New Roman"/>
                <w:color w:val="000000"/>
                <w:sz w:val="28"/>
                <w:szCs w:val="28"/>
                <w:vertAlign w:val="baseline"/>
                <w:lang w:val="en-US" w:eastAsia="zh-CN"/>
              </w:rPr>
              <w:t>内部：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1737" w:type="dxa"/>
            <w:vMerge w:val="continue"/>
            <w:tcBorders>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420" w:firstLineChars="200"/>
              <w:jc w:val="both"/>
              <w:textAlignment w:val="auto"/>
              <w:outlineLvl w:val="9"/>
            </w:pPr>
          </w:p>
        </w:tc>
        <w:tc>
          <w:tcPr>
            <w:tcW w:w="5110" w:type="dxa"/>
            <w:vMerge w:val="continue"/>
            <w:tcBorders>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420" w:firstLineChars="200"/>
              <w:jc w:val="both"/>
              <w:textAlignment w:val="auto"/>
              <w:outlineLvl w:val="9"/>
            </w:pPr>
          </w:p>
        </w:tc>
        <w:tc>
          <w:tcPr>
            <w:tcW w:w="23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both"/>
              <w:textAlignment w:val="auto"/>
              <w:outlineLvl w:val="9"/>
              <w:rPr>
                <w:rFonts w:hint="eastAsia" w:cs="Times New Roman"/>
                <w:color w:val="000000"/>
                <w:sz w:val="28"/>
                <w:szCs w:val="28"/>
                <w:vertAlign w:val="baseline"/>
                <w:lang w:val="en-US" w:eastAsia="zh-CN"/>
              </w:rPr>
            </w:pPr>
            <w:r>
              <w:rPr>
                <w:rFonts w:hint="eastAsia" w:cs="Times New Roman"/>
                <w:color w:val="000000"/>
                <w:sz w:val="28"/>
                <w:szCs w:val="28"/>
                <w:vertAlign w:val="baseline"/>
                <w:lang w:val="en-US" w:eastAsia="zh-CN"/>
              </w:rPr>
              <w:t>联合：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6" w:hRule="atLeast"/>
          <w:jc w:val="center"/>
        </w:trPr>
        <w:tc>
          <w:tcPr>
            <w:tcW w:w="1737"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center"/>
              <w:textAlignment w:val="auto"/>
              <w:outlineLvl w:val="9"/>
              <w:rPr>
                <w:rFonts w:hint="eastAsia" w:ascii="Times New Roman" w:hAnsi="Times New Roman" w:eastAsia="仿宋_GB2312" w:cs="Times New Roman"/>
                <w:color w:val="000000"/>
                <w:sz w:val="28"/>
                <w:szCs w:val="28"/>
                <w:vertAlign w:val="baseline"/>
              </w:rPr>
            </w:pPr>
          </w:p>
        </w:tc>
        <w:tc>
          <w:tcPr>
            <w:tcW w:w="511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both"/>
              <w:textAlignment w:val="auto"/>
              <w:outlineLvl w:val="9"/>
              <w:rPr>
                <w:rFonts w:hint="eastAsia" w:ascii="Times New Roman" w:hAnsi="Times New Roman" w:eastAsia="仿宋_GB2312" w:cs="Times New Roman"/>
                <w:color w:val="000000"/>
                <w:sz w:val="28"/>
                <w:szCs w:val="28"/>
                <w:vertAlign w:val="baseline"/>
              </w:rPr>
            </w:pPr>
            <w:r>
              <w:rPr>
                <w:rFonts w:hint="eastAsia" w:ascii="Times New Roman" w:hAnsi="Times New Roman" w:eastAsia="仿宋_GB2312" w:cs="Times New Roman"/>
                <w:color w:val="000000"/>
                <w:sz w:val="28"/>
                <w:szCs w:val="28"/>
                <w:vertAlign w:val="baseline"/>
              </w:rPr>
              <w:t>本地区开展部门内部随机抽查次数</w:t>
            </w:r>
            <w:r>
              <w:rPr>
                <w:rFonts w:hint="eastAsia" w:ascii="Times New Roman" w:hAnsi="Times New Roman" w:eastAsia="仿宋_GB2312" w:cs="Times New Roman"/>
                <w:color w:val="000000"/>
                <w:sz w:val="28"/>
                <w:szCs w:val="28"/>
                <w:vertAlign w:val="baseline"/>
                <w:lang w:eastAsia="zh-CN"/>
              </w:rPr>
              <w:t>、</w:t>
            </w:r>
            <w:r>
              <w:rPr>
                <w:rFonts w:hint="eastAsia" w:ascii="Times New Roman" w:hAnsi="Times New Roman" w:eastAsia="仿宋_GB2312" w:cs="Times New Roman"/>
                <w:color w:val="000000"/>
                <w:sz w:val="28"/>
                <w:szCs w:val="28"/>
                <w:vertAlign w:val="baseline"/>
              </w:rPr>
              <w:t>户数</w:t>
            </w:r>
            <w:r>
              <w:rPr>
                <w:rFonts w:hint="eastAsia" w:ascii="Times New Roman" w:hAnsi="Times New Roman" w:eastAsia="仿宋_GB2312" w:cs="Times New Roman"/>
                <w:color w:val="000000"/>
                <w:sz w:val="28"/>
                <w:szCs w:val="28"/>
                <w:vertAlign w:val="baseline"/>
                <w:lang w:eastAsia="zh-CN"/>
              </w:rPr>
              <w:t>及发现问题户数</w:t>
            </w:r>
          </w:p>
        </w:tc>
        <w:tc>
          <w:tcPr>
            <w:tcW w:w="23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both"/>
              <w:textAlignment w:val="auto"/>
              <w:outlineLvl w:val="9"/>
              <w:rPr>
                <w:rFonts w:hint="eastAsia" w:ascii="Times New Roman" w:hAnsi="Times New Roman" w:eastAsia="仿宋_GB2312" w:cs="Times New Roman"/>
                <w:color w:val="000000"/>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jc w:val="center"/>
        </w:trPr>
        <w:tc>
          <w:tcPr>
            <w:tcW w:w="1737"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center"/>
              <w:textAlignment w:val="auto"/>
              <w:outlineLvl w:val="9"/>
              <w:rPr>
                <w:rFonts w:hint="eastAsia" w:ascii="Times New Roman" w:hAnsi="Times New Roman" w:eastAsia="仿宋_GB2312" w:cs="Times New Roman"/>
                <w:color w:val="000000"/>
                <w:sz w:val="28"/>
                <w:szCs w:val="28"/>
                <w:vertAlign w:val="baseline"/>
              </w:rPr>
            </w:pPr>
          </w:p>
        </w:tc>
        <w:tc>
          <w:tcPr>
            <w:tcW w:w="511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both"/>
              <w:textAlignment w:val="auto"/>
              <w:outlineLvl w:val="9"/>
              <w:rPr>
                <w:rFonts w:hint="eastAsia" w:ascii="Times New Roman" w:hAnsi="Times New Roman" w:eastAsia="仿宋_GB2312" w:cs="Times New Roman"/>
                <w:color w:val="000000"/>
                <w:sz w:val="28"/>
                <w:szCs w:val="28"/>
                <w:vertAlign w:val="baseline"/>
              </w:rPr>
            </w:pPr>
            <w:r>
              <w:rPr>
                <w:rFonts w:hint="eastAsia" w:ascii="Times New Roman" w:hAnsi="Times New Roman" w:eastAsia="仿宋_GB2312" w:cs="Times New Roman"/>
                <w:color w:val="000000"/>
                <w:sz w:val="28"/>
                <w:szCs w:val="28"/>
                <w:vertAlign w:val="baseline"/>
              </w:rPr>
              <w:t>本地区开展部门联合随机抽查次数</w:t>
            </w:r>
            <w:r>
              <w:rPr>
                <w:rFonts w:hint="eastAsia" w:ascii="Times New Roman" w:hAnsi="Times New Roman" w:eastAsia="仿宋_GB2312" w:cs="Times New Roman"/>
                <w:color w:val="000000"/>
                <w:sz w:val="28"/>
                <w:szCs w:val="28"/>
                <w:vertAlign w:val="baseline"/>
                <w:lang w:eastAsia="zh-CN"/>
              </w:rPr>
              <w:t>、</w:t>
            </w:r>
            <w:r>
              <w:rPr>
                <w:rFonts w:hint="eastAsia" w:ascii="Times New Roman" w:hAnsi="Times New Roman" w:eastAsia="仿宋_GB2312" w:cs="Times New Roman"/>
                <w:color w:val="000000"/>
                <w:sz w:val="28"/>
                <w:szCs w:val="28"/>
                <w:vertAlign w:val="baseline"/>
              </w:rPr>
              <w:t>户数</w:t>
            </w:r>
            <w:r>
              <w:rPr>
                <w:rFonts w:hint="eastAsia" w:ascii="Times New Roman" w:hAnsi="Times New Roman" w:eastAsia="仿宋_GB2312" w:cs="Times New Roman"/>
                <w:color w:val="000000"/>
                <w:sz w:val="28"/>
                <w:szCs w:val="28"/>
                <w:vertAlign w:val="baseline"/>
                <w:lang w:eastAsia="zh-CN"/>
              </w:rPr>
              <w:t>及发现问题户数</w:t>
            </w:r>
          </w:p>
        </w:tc>
        <w:tc>
          <w:tcPr>
            <w:tcW w:w="23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both"/>
              <w:textAlignment w:val="auto"/>
              <w:outlineLvl w:val="9"/>
              <w:rPr>
                <w:rFonts w:hint="eastAsia" w:ascii="Times New Roman" w:hAnsi="Times New Roman" w:eastAsia="仿宋_GB2312" w:cs="Times New Roman"/>
                <w:color w:val="000000"/>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6" w:hRule="atLeast"/>
          <w:jc w:val="center"/>
        </w:trPr>
        <w:tc>
          <w:tcPr>
            <w:tcW w:w="1737"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center"/>
              <w:textAlignment w:val="auto"/>
              <w:outlineLvl w:val="9"/>
              <w:rPr>
                <w:rFonts w:hint="eastAsia" w:ascii="Times New Roman" w:hAnsi="Times New Roman" w:eastAsia="仿宋_GB2312" w:cs="Times New Roman"/>
                <w:color w:val="000000"/>
                <w:sz w:val="28"/>
                <w:szCs w:val="28"/>
                <w:vertAlign w:val="baseline"/>
              </w:rPr>
            </w:pPr>
          </w:p>
        </w:tc>
        <w:tc>
          <w:tcPr>
            <w:tcW w:w="511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both"/>
              <w:textAlignment w:val="auto"/>
              <w:outlineLvl w:val="9"/>
              <w:rPr>
                <w:rFonts w:hint="eastAsia" w:ascii="Times New Roman" w:hAnsi="Times New Roman" w:eastAsia="仿宋_GB2312" w:cs="Times New Roman"/>
                <w:color w:val="000000"/>
                <w:sz w:val="28"/>
                <w:szCs w:val="28"/>
                <w:vertAlign w:val="baseline"/>
              </w:rPr>
            </w:pPr>
            <w:r>
              <w:rPr>
                <w:rFonts w:hint="eastAsia" w:ascii="Times New Roman" w:hAnsi="Times New Roman" w:eastAsia="仿宋_GB2312" w:cs="Times New Roman"/>
                <w:color w:val="000000"/>
                <w:sz w:val="28"/>
                <w:szCs w:val="28"/>
                <w:vertAlign w:val="baseline"/>
              </w:rPr>
              <w:t>本地区涉及企业的随机抽查的次数</w:t>
            </w:r>
            <w:r>
              <w:rPr>
                <w:rFonts w:hint="eastAsia" w:ascii="Times New Roman" w:hAnsi="Times New Roman" w:eastAsia="仿宋_GB2312" w:cs="Times New Roman"/>
                <w:color w:val="000000"/>
                <w:sz w:val="28"/>
                <w:szCs w:val="28"/>
                <w:vertAlign w:val="baseline"/>
                <w:lang w:eastAsia="zh-CN"/>
              </w:rPr>
              <w:t>、</w:t>
            </w:r>
            <w:r>
              <w:rPr>
                <w:rFonts w:hint="eastAsia" w:ascii="Times New Roman" w:hAnsi="Times New Roman" w:eastAsia="仿宋_GB2312" w:cs="Times New Roman"/>
                <w:color w:val="000000"/>
                <w:sz w:val="28"/>
                <w:szCs w:val="28"/>
                <w:vertAlign w:val="baseline"/>
              </w:rPr>
              <w:t>户数</w:t>
            </w:r>
            <w:r>
              <w:rPr>
                <w:rFonts w:hint="eastAsia" w:ascii="Times New Roman" w:hAnsi="Times New Roman" w:eastAsia="仿宋_GB2312" w:cs="Times New Roman"/>
                <w:color w:val="000000"/>
                <w:sz w:val="28"/>
                <w:szCs w:val="28"/>
                <w:vertAlign w:val="baseline"/>
                <w:lang w:eastAsia="zh-CN"/>
              </w:rPr>
              <w:t>及发现问题户数</w:t>
            </w:r>
            <w:r>
              <w:rPr>
                <w:rFonts w:hint="eastAsia" w:ascii="Times New Roman" w:hAnsi="Times New Roman" w:eastAsia="仿宋_GB2312" w:cs="Times New Roman"/>
                <w:color w:val="000000"/>
                <w:sz w:val="28"/>
                <w:szCs w:val="28"/>
                <w:vertAlign w:val="baseline"/>
              </w:rPr>
              <w:t>（抽查对象为企业）</w:t>
            </w:r>
          </w:p>
        </w:tc>
        <w:tc>
          <w:tcPr>
            <w:tcW w:w="23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both"/>
              <w:textAlignment w:val="auto"/>
              <w:outlineLvl w:val="9"/>
              <w:rPr>
                <w:rFonts w:hint="eastAsia" w:ascii="Times New Roman" w:hAnsi="Times New Roman" w:eastAsia="仿宋_GB2312" w:cs="Times New Roman"/>
                <w:color w:val="000000"/>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5" w:hRule="atLeast"/>
          <w:jc w:val="center"/>
        </w:trPr>
        <w:tc>
          <w:tcPr>
            <w:tcW w:w="1737"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center"/>
              <w:textAlignment w:val="auto"/>
              <w:outlineLvl w:val="9"/>
              <w:rPr>
                <w:rFonts w:hint="eastAsia" w:ascii="Times New Roman" w:hAnsi="Times New Roman" w:eastAsia="仿宋_GB2312" w:cs="Times New Roman"/>
                <w:color w:val="000000"/>
                <w:sz w:val="28"/>
                <w:szCs w:val="28"/>
                <w:vertAlign w:val="baseline"/>
              </w:rPr>
            </w:pPr>
          </w:p>
        </w:tc>
        <w:tc>
          <w:tcPr>
            <w:tcW w:w="511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both"/>
              <w:textAlignment w:val="auto"/>
              <w:outlineLvl w:val="9"/>
              <w:rPr>
                <w:rFonts w:hint="eastAsia" w:ascii="Times New Roman" w:hAnsi="Times New Roman" w:eastAsia="仿宋_GB2312" w:cs="Times New Roman"/>
                <w:color w:val="000000"/>
                <w:sz w:val="28"/>
                <w:szCs w:val="28"/>
                <w:vertAlign w:val="baseline"/>
              </w:rPr>
            </w:pPr>
            <w:r>
              <w:rPr>
                <w:rFonts w:hint="eastAsia" w:ascii="Times New Roman" w:hAnsi="Times New Roman" w:eastAsia="仿宋_GB2312" w:cs="Times New Roman"/>
                <w:color w:val="000000"/>
                <w:sz w:val="28"/>
                <w:szCs w:val="28"/>
                <w:vertAlign w:val="baseline"/>
              </w:rPr>
              <w:t>本地区利用企业信用风险分级分类开展随机抽查的次数</w:t>
            </w:r>
            <w:r>
              <w:rPr>
                <w:rFonts w:hint="eastAsia" w:ascii="Times New Roman" w:hAnsi="Times New Roman" w:eastAsia="仿宋_GB2312" w:cs="Times New Roman"/>
                <w:color w:val="000000"/>
                <w:sz w:val="28"/>
                <w:szCs w:val="28"/>
                <w:vertAlign w:val="baseline"/>
                <w:lang w:eastAsia="zh-CN"/>
              </w:rPr>
              <w:t>、</w:t>
            </w:r>
            <w:r>
              <w:rPr>
                <w:rFonts w:hint="eastAsia" w:ascii="Times New Roman" w:hAnsi="Times New Roman" w:eastAsia="仿宋_GB2312" w:cs="Times New Roman"/>
                <w:color w:val="000000"/>
                <w:sz w:val="28"/>
                <w:szCs w:val="28"/>
                <w:vertAlign w:val="baseline"/>
              </w:rPr>
              <w:t>户数</w:t>
            </w:r>
            <w:r>
              <w:rPr>
                <w:rFonts w:hint="eastAsia" w:ascii="Times New Roman" w:hAnsi="Times New Roman" w:eastAsia="仿宋_GB2312" w:cs="Times New Roman"/>
                <w:color w:val="000000"/>
                <w:sz w:val="28"/>
                <w:szCs w:val="28"/>
                <w:vertAlign w:val="baseline"/>
                <w:lang w:eastAsia="zh-CN"/>
              </w:rPr>
              <w:t>及发现问题户数</w:t>
            </w:r>
          </w:p>
        </w:tc>
        <w:tc>
          <w:tcPr>
            <w:tcW w:w="23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both"/>
              <w:textAlignment w:val="auto"/>
              <w:outlineLvl w:val="9"/>
              <w:rPr>
                <w:rFonts w:hint="eastAsia" w:ascii="Times New Roman" w:hAnsi="Times New Roman" w:eastAsia="仿宋_GB2312" w:cs="Times New Roman"/>
                <w:color w:val="000000"/>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737"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center"/>
              <w:textAlignment w:val="auto"/>
              <w:outlineLvl w:val="9"/>
              <w:rPr>
                <w:rFonts w:hint="eastAsia" w:ascii="Times New Roman" w:hAnsi="Times New Roman" w:eastAsia="仿宋_GB2312" w:cs="Times New Roman"/>
                <w:color w:val="000000"/>
                <w:sz w:val="28"/>
                <w:szCs w:val="28"/>
                <w:vertAlign w:val="baseline"/>
              </w:rPr>
            </w:pPr>
            <w:r>
              <w:rPr>
                <w:rFonts w:hint="eastAsia" w:ascii="黑体" w:hAnsi="黑体" w:eastAsia="黑体" w:cs="黑体"/>
                <w:color w:val="000000"/>
                <w:sz w:val="28"/>
                <w:szCs w:val="28"/>
                <w:vertAlign w:val="baseline"/>
              </w:rPr>
              <w:t>通过其他平台开展抽查情况</w:t>
            </w:r>
          </w:p>
        </w:tc>
        <w:tc>
          <w:tcPr>
            <w:tcW w:w="511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both"/>
              <w:textAlignment w:val="auto"/>
              <w:outlineLvl w:val="9"/>
              <w:rPr>
                <w:rFonts w:hint="eastAsia" w:ascii="Times New Roman" w:hAnsi="Times New Roman" w:eastAsia="仿宋_GB2312" w:cs="Times New Roman"/>
                <w:color w:val="000000"/>
                <w:sz w:val="28"/>
                <w:szCs w:val="28"/>
                <w:vertAlign w:val="baseline"/>
              </w:rPr>
            </w:pPr>
            <w:r>
              <w:rPr>
                <w:rFonts w:hint="eastAsia" w:ascii="Times New Roman" w:hAnsi="Times New Roman" w:eastAsia="仿宋_GB2312" w:cs="Times New Roman"/>
                <w:color w:val="000000"/>
                <w:sz w:val="28"/>
                <w:szCs w:val="28"/>
                <w:vertAlign w:val="baseline"/>
              </w:rPr>
              <w:t>本地区开展抽查次数</w:t>
            </w:r>
            <w:r>
              <w:rPr>
                <w:rFonts w:hint="eastAsia" w:ascii="Times New Roman" w:hAnsi="Times New Roman" w:eastAsia="仿宋_GB2312" w:cs="Times New Roman"/>
                <w:color w:val="000000"/>
                <w:sz w:val="28"/>
                <w:szCs w:val="28"/>
                <w:vertAlign w:val="baseline"/>
                <w:lang w:eastAsia="zh-CN"/>
              </w:rPr>
              <w:t>、</w:t>
            </w:r>
            <w:r>
              <w:rPr>
                <w:rFonts w:hint="eastAsia" w:ascii="Times New Roman" w:hAnsi="Times New Roman" w:eastAsia="仿宋_GB2312" w:cs="Times New Roman"/>
                <w:color w:val="000000"/>
                <w:sz w:val="28"/>
                <w:szCs w:val="28"/>
                <w:vertAlign w:val="baseline"/>
              </w:rPr>
              <w:t>户数</w:t>
            </w:r>
            <w:r>
              <w:rPr>
                <w:rFonts w:hint="eastAsia" w:ascii="Times New Roman" w:hAnsi="Times New Roman" w:eastAsia="仿宋_GB2312" w:cs="Times New Roman"/>
                <w:color w:val="000000"/>
                <w:sz w:val="28"/>
                <w:szCs w:val="28"/>
                <w:vertAlign w:val="baseline"/>
                <w:lang w:eastAsia="zh-CN"/>
              </w:rPr>
              <w:t>及发现问题户数</w:t>
            </w:r>
          </w:p>
        </w:tc>
        <w:tc>
          <w:tcPr>
            <w:tcW w:w="23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both"/>
              <w:textAlignment w:val="auto"/>
              <w:outlineLvl w:val="9"/>
              <w:rPr>
                <w:rFonts w:hint="eastAsia" w:ascii="Times New Roman" w:hAnsi="Times New Roman" w:eastAsia="仿宋_GB2312" w:cs="Times New Roman"/>
                <w:color w:val="000000"/>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1" w:hRule="atLeast"/>
          <w:jc w:val="center"/>
        </w:trPr>
        <w:tc>
          <w:tcPr>
            <w:tcW w:w="1737"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center"/>
              <w:textAlignment w:val="auto"/>
              <w:outlineLvl w:val="9"/>
              <w:rPr>
                <w:rFonts w:hint="eastAsia" w:ascii="Times New Roman" w:hAnsi="Times New Roman" w:eastAsia="仿宋_GB2312" w:cs="Times New Roman"/>
                <w:color w:val="000000"/>
                <w:sz w:val="28"/>
                <w:szCs w:val="28"/>
                <w:vertAlign w:val="baseline"/>
              </w:rPr>
            </w:pPr>
          </w:p>
        </w:tc>
        <w:tc>
          <w:tcPr>
            <w:tcW w:w="511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both"/>
              <w:textAlignment w:val="auto"/>
              <w:outlineLvl w:val="9"/>
              <w:rPr>
                <w:rFonts w:hint="eastAsia" w:ascii="Times New Roman" w:hAnsi="Times New Roman" w:eastAsia="仿宋_GB2312" w:cs="Times New Roman"/>
                <w:color w:val="000000"/>
                <w:sz w:val="28"/>
                <w:szCs w:val="28"/>
                <w:vertAlign w:val="baseline"/>
              </w:rPr>
            </w:pPr>
            <w:r>
              <w:rPr>
                <w:rFonts w:hint="eastAsia" w:ascii="Times New Roman" w:hAnsi="Times New Roman" w:eastAsia="仿宋_GB2312" w:cs="Times New Roman"/>
                <w:color w:val="000000"/>
                <w:sz w:val="28"/>
                <w:szCs w:val="28"/>
                <w:vertAlign w:val="baseline"/>
              </w:rPr>
              <w:t>本地区涉及企业的随机抽查次数</w:t>
            </w:r>
            <w:r>
              <w:rPr>
                <w:rFonts w:hint="eastAsia" w:ascii="Times New Roman" w:hAnsi="Times New Roman" w:eastAsia="仿宋_GB2312" w:cs="Times New Roman"/>
                <w:color w:val="000000"/>
                <w:sz w:val="28"/>
                <w:szCs w:val="28"/>
                <w:vertAlign w:val="baseline"/>
                <w:lang w:eastAsia="zh-CN"/>
              </w:rPr>
              <w:t>、</w:t>
            </w:r>
            <w:r>
              <w:rPr>
                <w:rFonts w:hint="eastAsia" w:ascii="Times New Roman" w:hAnsi="Times New Roman" w:eastAsia="仿宋_GB2312" w:cs="Times New Roman"/>
                <w:color w:val="000000"/>
                <w:sz w:val="28"/>
                <w:szCs w:val="28"/>
                <w:vertAlign w:val="baseline"/>
              </w:rPr>
              <w:t>户数</w:t>
            </w:r>
            <w:r>
              <w:rPr>
                <w:rFonts w:hint="eastAsia" w:ascii="Times New Roman" w:hAnsi="Times New Roman" w:eastAsia="仿宋_GB2312" w:cs="Times New Roman"/>
                <w:color w:val="000000"/>
                <w:sz w:val="28"/>
                <w:szCs w:val="28"/>
                <w:vertAlign w:val="baseline"/>
                <w:lang w:eastAsia="zh-CN"/>
              </w:rPr>
              <w:t>及发现问题户数</w:t>
            </w:r>
            <w:r>
              <w:rPr>
                <w:rFonts w:hint="eastAsia" w:ascii="Times New Roman" w:hAnsi="Times New Roman" w:eastAsia="仿宋_GB2312" w:cs="Times New Roman"/>
                <w:color w:val="000000"/>
                <w:sz w:val="28"/>
                <w:szCs w:val="28"/>
                <w:vertAlign w:val="baseline"/>
              </w:rPr>
              <w:t>（抽查对象为企业）</w:t>
            </w:r>
          </w:p>
        </w:tc>
        <w:tc>
          <w:tcPr>
            <w:tcW w:w="23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both"/>
              <w:textAlignment w:val="auto"/>
              <w:outlineLvl w:val="9"/>
              <w:rPr>
                <w:rFonts w:hint="eastAsia" w:ascii="Times New Roman" w:hAnsi="Times New Roman" w:eastAsia="仿宋_GB2312" w:cs="Times New Roman"/>
                <w:color w:val="000000"/>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1" w:hRule="atLeast"/>
          <w:jc w:val="center"/>
        </w:trPr>
        <w:tc>
          <w:tcPr>
            <w:tcW w:w="1737" w:type="dxa"/>
            <w:tcBorders>
              <w:top w:val="single" w:color="auto" w:sz="4" w:space="0"/>
              <w:left w:val="single" w:color="auto" w:sz="4" w:space="0"/>
              <w:bottom w:val="single" w:color="auto" w:sz="4" w:space="0"/>
              <w:right w:val="single" w:color="auto" w:sz="4" w:space="0"/>
            </w:tcBorders>
            <w:vAlign w:val="center"/>
          </w:tcPr>
          <w:p>
            <w:pPr>
              <w:pStyle w:val="2"/>
              <w:rPr>
                <w:rFonts w:hint="eastAsia" w:ascii="Times New Roman" w:hAnsi="Times New Roman" w:eastAsia="仿宋_GB2312" w:cs="Times New Roman"/>
                <w:color w:val="000000"/>
                <w:sz w:val="28"/>
                <w:szCs w:val="28"/>
                <w:vertAlign w:val="baseline"/>
              </w:rPr>
            </w:pPr>
          </w:p>
        </w:tc>
        <w:tc>
          <w:tcPr>
            <w:tcW w:w="511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both"/>
              <w:textAlignment w:val="auto"/>
              <w:outlineLvl w:val="9"/>
              <w:rPr>
                <w:rFonts w:hint="eastAsia" w:ascii="Times New Roman" w:hAnsi="Times New Roman" w:eastAsia="仿宋_GB2312" w:cs="Times New Roman"/>
                <w:color w:val="000000"/>
                <w:sz w:val="28"/>
                <w:szCs w:val="28"/>
                <w:vertAlign w:val="baseline"/>
              </w:rPr>
            </w:pPr>
            <w:r>
              <w:rPr>
                <w:rFonts w:hint="eastAsia" w:ascii="Times New Roman" w:hAnsi="Times New Roman" w:eastAsia="仿宋_GB2312" w:cs="Times New Roman"/>
                <w:color w:val="000000"/>
                <w:sz w:val="28"/>
                <w:szCs w:val="28"/>
                <w:vertAlign w:val="baseline"/>
              </w:rPr>
              <w:t>本地区利用企业信用风险分级分类开展随机抽查的次数</w:t>
            </w:r>
            <w:r>
              <w:rPr>
                <w:rFonts w:hint="eastAsia" w:ascii="Times New Roman" w:hAnsi="Times New Roman" w:eastAsia="仿宋_GB2312" w:cs="Times New Roman"/>
                <w:color w:val="000000"/>
                <w:sz w:val="28"/>
                <w:szCs w:val="28"/>
                <w:vertAlign w:val="baseline"/>
                <w:lang w:eastAsia="zh-CN"/>
              </w:rPr>
              <w:t>、</w:t>
            </w:r>
            <w:r>
              <w:rPr>
                <w:rFonts w:hint="eastAsia" w:ascii="Times New Roman" w:hAnsi="Times New Roman" w:eastAsia="仿宋_GB2312" w:cs="Times New Roman"/>
                <w:color w:val="000000"/>
                <w:sz w:val="28"/>
                <w:szCs w:val="28"/>
                <w:vertAlign w:val="baseline"/>
              </w:rPr>
              <w:t>户数</w:t>
            </w:r>
            <w:r>
              <w:rPr>
                <w:rFonts w:hint="eastAsia" w:ascii="Times New Roman" w:hAnsi="Times New Roman" w:eastAsia="仿宋_GB2312" w:cs="Times New Roman"/>
                <w:color w:val="000000"/>
                <w:sz w:val="28"/>
                <w:szCs w:val="28"/>
                <w:vertAlign w:val="baseline"/>
                <w:lang w:eastAsia="zh-CN"/>
              </w:rPr>
              <w:t>及发现问题户数</w:t>
            </w:r>
          </w:p>
        </w:tc>
        <w:tc>
          <w:tcPr>
            <w:tcW w:w="23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both"/>
              <w:textAlignment w:val="auto"/>
              <w:outlineLvl w:val="9"/>
              <w:rPr>
                <w:rFonts w:hint="eastAsia" w:ascii="Times New Roman" w:hAnsi="Times New Roman" w:eastAsia="仿宋_GB2312" w:cs="Times New Roman"/>
                <w:color w:val="000000"/>
                <w:sz w:val="28"/>
                <w:szCs w:val="28"/>
                <w:vertAlign w:val="baseline"/>
              </w:rPr>
            </w:pPr>
          </w:p>
        </w:tc>
      </w:tr>
    </w:tbl>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both"/>
        <w:textAlignment w:val="auto"/>
        <w:outlineLvl w:val="9"/>
        <w:rPr>
          <w:rFonts w:hint="eastAsia" w:ascii="Times New Roman" w:hAnsi="Times New Roman" w:eastAsia="仿宋_GB2312" w:cs="Times New Roman"/>
          <w:color w:val="000000"/>
          <w:sz w:val="28"/>
          <w:szCs w:val="28"/>
          <w:u w:val="single"/>
        </w:rPr>
      </w:pPr>
      <w:r>
        <w:rPr>
          <w:rFonts w:hint="eastAsia" w:ascii="Times New Roman" w:hAnsi="Times New Roman" w:eastAsia="仿宋_GB2312" w:cs="Times New Roman"/>
          <w:color w:val="000000"/>
          <w:sz w:val="28"/>
          <w:szCs w:val="28"/>
        </w:rPr>
        <w:t>联系人：</w:t>
      </w:r>
      <w:r>
        <w:rPr>
          <w:rFonts w:hint="eastAsia" w:ascii="Times New Roman" w:hAnsi="Times New Roman" w:eastAsia="仿宋_GB2312" w:cs="Times New Roman"/>
          <w:color w:val="000000"/>
          <w:sz w:val="28"/>
          <w:szCs w:val="28"/>
          <w:u w:val="single"/>
        </w:rPr>
        <w:t xml:space="preserve">     </w:t>
      </w:r>
      <w:r>
        <w:rPr>
          <w:rFonts w:ascii="Times New Roman" w:hAnsi="Times New Roman" w:eastAsia="仿宋_GB2312" w:cs="Times New Roman"/>
          <w:color w:val="000000"/>
          <w:sz w:val="28"/>
          <w:szCs w:val="28"/>
          <w:u w:val="single"/>
        </w:rPr>
        <w:t xml:space="preserve"> </w:t>
      </w:r>
      <w:r>
        <w:rPr>
          <w:rFonts w:hint="eastAsia" w:ascii="Times New Roman" w:hAnsi="Times New Roman" w:eastAsia="仿宋_GB2312" w:cs="Times New Roman"/>
          <w:color w:val="000000"/>
          <w:sz w:val="28"/>
          <w:szCs w:val="28"/>
          <w:u w:val="single"/>
        </w:rPr>
        <w:t xml:space="preserve">   </w:t>
      </w:r>
      <w:r>
        <w:rPr>
          <w:rFonts w:hint="eastAsia" w:ascii="Times New Roman" w:hAnsi="Times New Roman" w:eastAsia="仿宋_GB2312" w:cs="Times New Roman"/>
          <w:color w:val="000000"/>
          <w:sz w:val="28"/>
          <w:szCs w:val="28"/>
        </w:rPr>
        <w:t xml:space="preserve">  联系电话：</w:t>
      </w:r>
      <w:r>
        <w:rPr>
          <w:rFonts w:hint="eastAsia" w:ascii="Times New Roman" w:hAnsi="Times New Roman" w:eastAsia="仿宋_GB2312" w:cs="Times New Roman"/>
          <w:color w:val="000000"/>
          <w:sz w:val="28"/>
          <w:szCs w:val="28"/>
          <w:u w:val="single"/>
        </w:rPr>
        <w:t xml:space="preserve">      </w:t>
      </w:r>
      <w:r>
        <w:rPr>
          <w:rFonts w:ascii="Times New Roman" w:hAnsi="Times New Roman" w:eastAsia="仿宋_GB2312" w:cs="Times New Roman"/>
          <w:color w:val="000000"/>
          <w:sz w:val="28"/>
          <w:szCs w:val="28"/>
          <w:u w:val="single"/>
        </w:rPr>
        <w:t xml:space="preserve"> </w:t>
      </w:r>
      <w:r>
        <w:rPr>
          <w:rFonts w:hint="eastAsia" w:ascii="Times New Roman" w:hAnsi="Times New Roman" w:eastAsia="仿宋_GB2312" w:cs="Times New Roman"/>
          <w:color w:val="000000"/>
          <w:sz w:val="28"/>
          <w:szCs w:val="28"/>
          <w:u w:val="single"/>
        </w:rPr>
        <w:t xml:space="preserve">   </w:t>
      </w:r>
      <w:r>
        <w:rPr>
          <w:rFonts w:hint="eastAsia" w:ascii="Times New Roman" w:hAnsi="Times New Roman" w:eastAsia="仿宋_GB2312" w:cs="Times New Roman"/>
          <w:color w:val="000000"/>
          <w:sz w:val="28"/>
          <w:szCs w:val="28"/>
        </w:rPr>
        <w:t xml:space="preserve"> </w:t>
      </w:r>
      <w:r>
        <w:rPr>
          <w:rFonts w:hint="eastAsia" w:ascii="Times New Roman" w:hAnsi="Times New Roman" w:cs="Times New Roman"/>
          <w:color w:val="000000"/>
          <w:sz w:val="28"/>
          <w:szCs w:val="28"/>
          <w:lang w:val="en-US" w:eastAsia="zh-CN"/>
        </w:rPr>
        <w:t xml:space="preserve"> </w:t>
      </w:r>
      <w:r>
        <w:rPr>
          <w:rFonts w:hint="eastAsia" w:ascii="Times New Roman" w:hAnsi="Times New Roman" w:eastAsia="仿宋_GB2312" w:cs="Times New Roman"/>
          <w:color w:val="000000"/>
          <w:sz w:val="28"/>
          <w:szCs w:val="28"/>
        </w:rPr>
        <w:t>手机：</w:t>
      </w:r>
      <w:r>
        <w:rPr>
          <w:rFonts w:hint="eastAsia" w:ascii="Times New Roman" w:hAnsi="Times New Roman" w:eastAsia="仿宋_GB2312" w:cs="Times New Roman"/>
          <w:color w:val="000000"/>
          <w:sz w:val="28"/>
          <w:szCs w:val="28"/>
          <w:u w:val="single"/>
        </w:rPr>
        <w:t xml:space="preserve">           </w:t>
      </w:r>
    </w:p>
    <w:p>
      <w:pPr>
        <w:keepNext w:val="0"/>
        <w:keepLines w:val="0"/>
        <w:pageBreakBefore w:val="0"/>
        <w:widowControl w:val="0"/>
        <w:kinsoku/>
        <w:wordWrap/>
        <w:overflowPunct/>
        <w:topLinePunct w:val="0"/>
        <w:autoSpaceDE/>
        <w:autoSpaceDN/>
        <w:bidi w:val="0"/>
        <w:adjustRightInd/>
        <w:snapToGrid/>
        <w:spacing w:beforeAutospacing="0" w:afterAutospacing="0" w:line="440" w:lineRule="exact"/>
        <w:ind w:right="0" w:rightChars="0"/>
        <w:jc w:val="both"/>
        <w:textAlignment w:val="auto"/>
        <w:outlineLvl w:val="9"/>
        <w:rPr>
          <w:rFonts w:hint="eastAsia" w:ascii="方正小标宋简体" w:hAnsi="方正小标宋简体" w:eastAsia="方正小标宋简体" w:cs="方正小标宋简体"/>
          <w:bCs/>
          <w:color w:val="000000"/>
          <w:spacing w:val="-8"/>
          <w:sz w:val="44"/>
          <w:szCs w:val="44"/>
          <w:lang w:eastAsia="zh-CN"/>
        </w:rPr>
      </w:pPr>
      <w:r>
        <w:rPr>
          <w:rFonts w:hint="eastAsia" w:ascii="黑体" w:hAnsi="黑体" w:eastAsia="黑体" w:cs="黑体"/>
          <w:color w:val="000000"/>
          <w:sz w:val="32"/>
          <w:szCs w:val="32"/>
        </w:rPr>
        <w:t>附件</w:t>
      </w:r>
      <w:r>
        <w:rPr>
          <w:rFonts w:hint="eastAsia" w:ascii="黑体" w:hAnsi="黑体" w:eastAsia="黑体" w:cs="黑体"/>
          <w:color w:val="000000"/>
          <w:sz w:val="32"/>
          <w:szCs w:val="32"/>
          <w:lang w:val="en-US" w:eastAsia="zh-CN"/>
        </w:rPr>
        <w:t>2</w:t>
      </w:r>
    </w:p>
    <w:p>
      <w:pPr>
        <w:keepNext w:val="0"/>
        <w:keepLines w:val="0"/>
        <w:pageBreakBefore w:val="0"/>
        <w:widowControl w:val="0"/>
        <w:kinsoku/>
        <w:wordWrap/>
        <w:overflowPunct/>
        <w:topLinePunct w:val="0"/>
        <w:autoSpaceDE/>
        <w:autoSpaceDN/>
        <w:bidi w:val="0"/>
        <w:adjustRightInd/>
        <w:snapToGrid/>
        <w:spacing w:beforeAutospacing="0" w:afterAutospacing="0" w:line="440" w:lineRule="exact"/>
        <w:ind w:right="0" w:rightChars="0"/>
        <w:jc w:val="both"/>
        <w:textAlignment w:val="auto"/>
        <w:rPr>
          <w:rFonts w:hint="eastAsia" w:ascii="方正小标宋简体" w:hAnsi="方正小标宋简体" w:eastAsia="方正小标宋简体" w:cs="方正小标宋简体"/>
          <w:bCs/>
          <w:color w:val="000000"/>
          <w:spacing w:val="-8"/>
          <w:sz w:val="44"/>
          <w:szCs w:val="44"/>
        </w:rPr>
      </w:pPr>
      <w:r>
        <w:rPr>
          <w:rFonts w:hint="eastAsia" w:ascii="方正小标宋简体" w:hAnsi="方正小标宋简体" w:eastAsia="方正小标宋简体" w:cs="方正小标宋简体"/>
          <w:bCs/>
          <w:color w:val="000000"/>
          <w:spacing w:val="-8"/>
          <w:sz w:val="44"/>
          <w:szCs w:val="44"/>
          <w:lang w:eastAsia="zh-CN"/>
        </w:rPr>
        <w:t>市</w:t>
      </w:r>
      <w:r>
        <w:rPr>
          <w:rFonts w:hint="eastAsia" w:ascii="方正小标宋简体" w:hAnsi="方正小标宋简体" w:eastAsia="方正小标宋简体" w:cs="方正小标宋简体"/>
          <w:bCs/>
          <w:color w:val="000000"/>
          <w:spacing w:val="-8"/>
          <w:sz w:val="44"/>
          <w:szCs w:val="44"/>
        </w:rPr>
        <w:t>有关部门“双随机、一公开”监管工作月报表</w:t>
      </w:r>
    </w:p>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right="0" w:rightChars="0"/>
        <w:jc w:val="center"/>
        <w:textAlignment w:val="auto"/>
        <w:outlineLvl w:val="9"/>
        <w:rPr>
          <w:rFonts w:hint="eastAsia" w:ascii="仿宋_GB2312" w:hAnsi="仿宋_GB2312" w:eastAsia="仿宋_GB2312" w:cs="仿宋_GB2312"/>
          <w:color w:val="000000"/>
          <w:sz w:val="28"/>
          <w:szCs w:val="28"/>
        </w:rPr>
      </w:pPr>
      <w:r>
        <w:rPr>
          <w:rFonts w:hint="eastAsia" w:ascii="黑体" w:hAnsi="黑体" w:eastAsia="黑体" w:cs="黑体"/>
          <w:bCs/>
          <w:color w:val="000000"/>
          <w:sz w:val="32"/>
          <w:szCs w:val="32"/>
          <w:lang w:eastAsia="zh-CN"/>
        </w:rPr>
        <w:t>（本年度累计数据）</w:t>
      </w:r>
    </w:p>
    <w:p>
      <w:pPr>
        <w:keepNext w:val="0"/>
        <w:keepLines w:val="0"/>
        <w:pageBreakBefore w:val="0"/>
        <w:widowControl w:val="0"/>
        <w:kinsoku/>
        <w:wordWrap/>
        <w:overflowPunct/>
        <w:topLinePunct w:val="0"/>
        <w:autoSpaceDE/>
        <w:autoSpaceDN/>
        <w:bidi w:val="0"/>
        <w:spacing w:beforeAutospacing="0" w:afterAutospacing="0" w:line="440" w:lineRule="exact"/>
        <w:ind w:right="0" w:rightChars="0"/>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单位名称：</w:t>
      </w:r>
      <w:r>
        <w:rPr>
          <w:rFonts w:hint="eastAsia" w:ascii="仿宋_GB2312" w:hAnsi="仿宋_GB2312" w:eastAsia="仿宋_GB2312" w:cs="仿宋_GB2312"/>
          <w:sz w:val="28"/>
          <w:szCs w:val="28"/>
          <w:u w:val="single"/>
          <w:lang w:val="en-US" w:eastAsia="zh-CN"/>
        </w:rPr>
        <w:t xml:space="preserve">                      </w:t>
      </w:r>
      <w:r>
        <w:rPr>
          <w:rFonts w:hint="eastAsia" w:ascii="仿宋_GB2312" w:hAnsi="仿宋_GB2312" w:eastAsia="仿宋_GB2312" w:cs="仿宋_GB2312"/>
          <w:sz w:val="28"/>
          <w:szCs w:val="28"/>
          <w:u w:val="none"/>
          <w:lang w:val="en-US" w:eastAsia="zh-CN"/>
        </w:rPr>
        <w:t xml:space="preserve">  </w:t>
      </w:r>
      <w:r>
        <w:rPr>
          <w:rFonts w:hint="eastAsia" w:ascii="仿宋_GB2312" w:hAnsi="仿宋_GB2312" w:eastAsia="仿宋_GB2312" w:cs="仿宋_GB2312"/>
          <w:color w:val="000000"/>
          <w:sz w:val="28"/>
          <w:szCs w:val="28"/>
        </w:rPr>
        <w:t xml:space="preserve"> 填表时间：</w:t>
      </w:r>
      <w:r>
        <w:rPr>
          <w:rFonts w:hint="eastAsia" w:ascii="仿宋_GB2312" w:hAnsi="仿宋_GB2312" w:cs="仿宋_GB2312"/>
          <w:color w:val="000000"/>
          <w:sz w:val="28"/>
          <w:szCs w:val="28"/>
          <w:u w:val="single"/>
          <w:lang w:val="en-US" w:eastAsia="zh-CN"/>
        </w:rPr>
        <w:t xml:space="preserve">  </w:t>
      </w:r>
      <w:r>
        <w:rPr>
          <w:rFonts w:hint="eastAsia" w:ascii="仿宋_GB2312" w:hAnsi="仿宋_GB2312" w:eastAsia="仿宋_GB2312" w:cs="仿宋_GB2312"/>
          <w:color w:val="000000"/>
          <w:sz w:val="28"/>
          <w:szCs w:val="28"/>
        </w:rPr>
        <w:t>年</w:t>
      </w:r>
      <w:r>
        <w:rPr>
          <w:rFonts w:hint="eastAsia" w:ascii="仿宋_GB2312" w:hAnsi="仿宋_GB2312" w:eastAsia="仿宋_GB2312" w:cs="仿宋_GB2312"/>
          <w:color w:val="000000"/>
          <w:sz w:val="28"/>
          <w:szCs w:val="28"/>
          <w:u w:val="single"/>
          <w:lang w:val="en-US" w:eastAsia="zh-CN"/>
        </w:rPr>
        <w:t xml:space="preserve">  </w:t>
      </w:r>
      <w:r>
        <w:rPr>
          <w:rFonts w:hint="eastAsia" w:ascii="仿宋_GB2312" w:hAnsi="仿宋_GB2312" w:eastAsia="仿宋_GB2312" w:cs="仿宋_GB2312"/>
          <w:color w:val="000000"/>
          <w:sz w:val="28"/>
          <w:szCs w:val="28"/>
        </w:rPr>
        <w:t>月</w:t>
      </w:r>
      <w:r>
        <w:rPr>
          <w:rFonts w:hint="eastAsia" w:ascii="仿宋_GB2312" w:hAnsi="仿宋_GB2312" w:eastAsia="仿宋_GB2312" w:cs="仿宋_GB2312"/>
          <w:color w:val="000000"/>
          <w:sz w:val="28"/>
          <w:szCs w:val="28"/>
          <w:u w:val="single"/>
          <w:lang w:val="en-US" w:eastAsia="zh-CN"/>
        </w:rPr>
        <w:t xml:space="preserve">  </w:t>
      </w:r>
      <w:r>
        <w:rPr>
          <w:rFonts w:hint="eastAsia" w:ascii="仿宋_GB2312" w:hAnsi="仿宋_GB2312" w:eastAsia="仿宋_GB2312" w:cs="仿宋_GB2312"/>
          <w:color w:val="000000"/>
          <w:sz w:val="28"/>
          <w:szCs w:val="28"/>
        </w:rPr>
        <w:t>日</w:t>
      </w:r>
    </w:p>
    <w:tbl>
      <w:tblPr>
        <w:tblStyle w:val="6"/>
        <w:tblW w:w="90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23"/>
        <w:gridCol w:w="354"/>
        <w:gridCol w:w="4771"/>
        <w:gridCol w:w="2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1023"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center"/>
              <w:textAlignment w:val="auto"/>
              <w:outlineLvl w:val="9"/>
              <w:rPr>
                <w:rFonts w:hint="eastAsia" w:ascii="仿宋_GB2312" w:hAnsi="宋体" w:eastAsia="仿宋_GB2312" w:cs="宋体"/>
                <w:color w:val="000000"/>
                <w:sz w:val="28"/>
                <w:szCs w:val="28"/>
                <w:lang w:val="en-US" w:eastAsia="zh-CN"/>
              </w:rPr>
            </w:pPr>
            <w:r>
              <w:rPr>
                <w:rFonts w:hint="eastAsia" w:ascii="仿宋_GB2312" w:hAnsi="宋体" w:cs="宋体"/>
                <w:color w:val="000000"/>
                <w:sz w:val="28"/>
                <w:szCs w:val="28"/>
                <w:lang w:val="en-US" w:eastAsia="zh-CN"/>
              </w:rPr>
              <w:t>通过河北双随机执法监管平台开展抽查情况</w:t>
            </w:r>
          </w:p>
        </w:tc>
        <w:tc>
          <w:tcPr>
            <w:tcW w:w="354" w:type="dxa"/>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center"/>
              <w:textAlignment w:val="auto"/>
              <w:outlineLvl w:val="9"/>
              <w:rPr>
                <w:rFonts w:hint="default" w:ascii="仿宋_GB2312" w:hAnsi="宋体" w:cs="宋体"/>
                <w:color w:val="000000"/>
                <w:sz w:val="28"/>
                <w:szCs w:val="28"/>
                <w:lang w:val="en-US" w:eastAsia="zh-CN"/>
              </w:rPr>
            </w:pPr>
            <w:r>
              <w:rPr>
                <w:rFonts w:hint="eastAsia" w:ascii="仿宋_GB2312" w:hAnsi="宋体" w:cs="宋体"/>
                <w:color w:val="000000"/>
                <w:sz w:val="28"/>
                <w:szCs w:val="28"/>
                <w:lang w:val="en-US" w:eastAsia="zh-CN"/>
              </w:rPr>
              <w:t>1</w:t>
            </w:r>
          </w:p>
        </w:tc>
        <w:tc>
          <w:tcPr>
            <w:tcW w:w="4771" w:type="dxa"/>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textAlignment w:val="auto"/>
              <w:outlineLvl w:val="9"/>
              <w:rPr>
                <w:rFonts w:hint="eastAsia" w:ascii="仿宋_GB2312" w:hAnsi="宋体" w:eastAsia="仿宋_GB2312" w:cs="宋体"/>
                <w:color w:val="000000"/>
                <w:sz w:val="28"/>
                <w:szCs w:val="28"/>
                <w:lang w:eastAsia="zh-CN"/>
              </w:rPr>
            </w:pPr>
            <w:r>
              <w:rPr>
                <w:rFonts w:hint="eastAsia" w:ascii="仿宋_GB2312" w:hAnsi="宋体" w:cs="宋体"/>
                <w:color w:val="000000"/>
                <w:sz w:val="28"/>
                <w:szCs w:val="28"/>
                <w:lang w:eastAsia="zh-CN"/>
              </w:rPr>
              <w:t>市</w:t>
            </w:r>
            <w:r>
              <w:rPr>
                <w:rFonts w:hint="eastAsia" w:ascii="仿宋_GB2312" w:hAnsi="宋体" w:eastAsia="仿宋_GB2312" w:cs="宋体"/>
                <w:color w:val="000000"/>
                <w:sz w:val="28"/>
                <w:szCs w:val="28"/>
              </w:rPr>
              <w:t>本级开展随机抽查次数、户数及发现问题户数</w:t>
            </w:r>
          </w:p>
        </w:tc>
        <w:tc>
          <w:tcPr>
            <w:tcW w:w="2907" w:type="dxa"/>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left"/>
              <w:textAlignment w:val="auto"/>
              <w:outlineLvl w:val="9"/>
              <w:rPr>
                <w:rFonts w:hint="eastAsia" w:ascii="仿宋_GB2312" w:hAnsi="宋体" w:eastAsia="仿宋_GB2312" w:cs="宋体"/>
                <w:color w:val="000000"/>
                <w:sz w:val="28"/>
                <w:szCs w:val="2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1023"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center"/>
              <w:textAlignment w:val="auto"/>
              <w:outlineLvl w:val="9"/>
              <w:rPr>
                <w:rFonts w:hint="eastAsia" w:ascii="仿宋_GB2312" w:hAnsi="宋体" w:eastAsia="仿宋_GB2312" w:cs="宋体"/>
                <w:color w:val="000000"/>
                <w:sz w:val="28"/>
                <w:szCs w:val="28"/>
                <w:lang w:val="en-US" w:eastAsia="zh-CN"/>
              </w:rPr>
            </w:pPr>
          </w:p>
        </w:tc>
        <w:tc>
          <w:tcPr>
            <w:tcW w:w="354"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center"/>
              <w:textAlignment w:val="auto"/>
              <w:outlineLvl w:val="9"/>
              <w:rPr>
                <w:rFonts w:hint="default" w:ascii="仿宋_GB2312" w:hAnsi="宋体" w:eastAsia="仿宋_GB2312" w:cs="宋体"/>
                <w:color w:val="000000"/>
                <w:sz w:val="28"/>
                <w:szCs w:val="28"/>
                <w:lang w:val="en-US" w:eastAsia="zh-CN"/>
              </w:rPr>
            </w:pPr>
            <w:r>
              <w:rPr>
                <w:rFonts w:hint="eastAsia" w:ascii="仿宋_GB2312" w:hAnsi="宋体" w:cs="宋体"/>
                <w:color w:val="000000"/>
                <w:sz w:val="28"/>
                <w:szCs w:val="28"/>
                <w:lang w:val="en-US" w:eastAsia="zh-CN"/>
              </w:rPr>
              <w:t>2</w:t>
            </w:r>
          </w:p>
        </w:tc>
        <w:tc>
          <w:tcPr>
            <w:tcW w:w="4771"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textAlignment w:val="auto"/>
              <w:outlineLvl w:val="9"/>
              <w:rPr>
                <w:rFonts w:hint="eastAsia" w:ascii="仿宋_GB2312" w:hAnsi="宋体" w:eastAsia="仿宋_GB2312" w:cs="宋体"/>
                <w:color w:val="000000"/>
                <w:sz w:val="28"/>
                <w:szCs w:val="28"/>
              </w:rPr>
            </w:pPr>
            <w:r>
              <w:rPr>
                <w:rFonts w:hint="eastAsia" w:ascii="仿宋_GB2312" w:hAnsi="宋体" w:cs="宋体"/>
                <w:color w:val="000000"/>
                <w:sz w:val="28"/>
                <w:szCs w:val="28"/>
                <w:lang w:eastAsia="zh-CN"/>
              </w:rPr>
              <w:t>市</w:t>
            </w:r>
            <w:r>
              <w:rPr>
                <w:rFonts w:hint="eastAsia" w:ascii="仿宋_GB2312" w:hAnsi="宋体" w:eastAsia="仿宋_GB2312" w:cs="宋体"/>
                <w:color w:val="000000"/>
                <w:sz w:val="28"/>
                <w:szCs w:val="28"/>
              </w:rPr>
              <w:t>本级开展</w:t>
            </w:r>
            <w:r>
              <w:rPr>
                <w:rFonts w:hint="eastAsia" w:ascii="仿宋_GB2312" w:hAnsi="宋体" w:cs="宋体"/>
                <w:color w:val="000000"/>
                <w:sz w:val="28"/>
                <w:szCs w:val="28"/>
                <w:lang w:eastAsia="zh-CN"/>
              </w:rPr>
              <w:t>省级</w:t>
            </w:r>
            <w:r>
              <w:rPr>
                <w:rFonts w:hint="eastAsia" w:ascii="仿宋_GB2312" w:hAnsi="宋体" w:eastAsia="仿宋_GB2312" w:cs="宋体"/>
                <w:color w:val="000000"/>
                <w:sz w:val="28"/>
                <w:szCs w:val="28"/>
              </w:rPr>
              <w:t>随机抽查次数、户数及发现问题户数</w:t>
            </w:r>
            <w:r>
              <w:rPr>
                <w:rFonts w:hint="eastAsia" w:ascii="Times New Roman" w:hAnsi="Times New Roman" w:eastAsia="仿宋_GB2312" w:cs="Times New Roman"/>
                <w:color w:val="000000"/>
                <w:sz w:val="28"/>
                <w:szCs w:val="28"/>
                <w:vertAlign w:val="baseline"/>
              </w:rPr>
              <w:t>（包含部门内部和部门联合，分别标注）</w:t>
            </w:r>
          </w:p>
        </w:tc>
        <w:tc>
          <w:tcPr>
            <w:tcW w:w="2907" w:type="dxa"/>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left"/>
              <w:textAlignment w:val="auto"/>
              <w:outlineLvl w:val="9"/>
              <w:rPr>
                <w:rFonts w:hint="eastAsia" w:ascii="仿宋_GB2312" w:hAnsi="宋体" w:eastAsia="仿宋_GB2312" w:cs="宋体"/>
                <w:color w:val="000000"/>
                <w:sz w:val="28"/>
                <w:szCs w:val="28"/>
                <w:lang w:eastAsia="zh-CN"/>
              </w:rPr>
            </w:pPr>
            <w:r>
              <w:rPr>
                <w:rFonts w:hint="eastAsia" w:ascii="仿宋_GB2312" w:hAnsi="宋体" w:cs="宋体"/>
                <w:color w:val="000000"/>
                <w:sz w:val="28"/>
                <w:szCs w:val="28"/>
                <w:lang w:eastAsia="zh-CN"/>
              </w:rPr>
              <w:t>内部：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1023"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420" w:firstLineChars="200"/>
              <w:jc w:val="left"/>
              <w:textAlignment w:val="auto"/>
              <w:outlineLvl w:val="9"/>
            </w:pPr>
          </w:p>
        </w:tc>
        <w:tc>
          <w:tcPr>
            <w:tcW w:w="354"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420" w:firstLineChars="200"/>
              <w:jc w:val="left"/>
              <w:textAlignment w:val="auto"/>
              <w:outlineLvl w:val="9"/>
            </w:pPr>
          </w:p>
        </w:tc>
        <w:tc>
          <w:tcPr>
            <w:tcW w:w="4771"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420" w:firstLineChars="200"/>
              <w:jc w:val="left"/>
              <w:textAlignment w:val="auto"/>
              <w:outlineLvl w:val="9"/>
            </w:pPr>
          </w:p>
        </w:tc>
        <w:tc>
          <w:tcPr>
            <w:tcW w:w="2907" w:type="dxa"/>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left"/>
              <w:textAlignment w:val="auto"/>
              <w:outlineLvl w:val="9"/>
              <w:rPr>
                <w:rFonts w:hint="eastAsia" w:ascii="仿宋_GB2312" w:hAnsi="宋体" w:eastAsia="仿宋_GB2312" w:cs="宋体"/>
                <w:color w:val="000000"/>
                <w:sz w:val="28"/>
                <w:szCs w:val="28"/>
                <w:lang w:eastAsia="zh-CN"/>
              </w:rPr>
            </w:pPr>
            <w:r>
              <w:rPr>
                <w:rFonts w:hint="eastAsia" w:ascii="仿宋_GB2312" w:hAnsi="宋体" w:cs="宋体"/>
                <w:color w:val="000000"/>
                <w:sz w:val="28"/>
                <w:szCs w:val="28"/>
                <w:lang w:eastAsia="zh-CN"/>
              </w:rPr>
              <w:t>联合：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9" w:hRule="atLeast"/>
          <w:jc w:val="center"/>
        </w:trPr>
        <w:tc>
          <w:tcPr>
            <w:tcW w:w="1023"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center"/>
              <w:textAlignment w:val="auto"/>
              <w:outlineLvl w:val="9"/>
              <w:rPr>
                <w:rFonts w:hint="eastAsia" w:ascii="仿宋_GB2312" w:hAnsi="宋体" w:cs="宋体"/>
                <w:color w:val="000000"/>
                <w:sz w:val="28"/>
                <w:szCs w:val="28"/>
                <w:lang w:val="en-US" w:eastAsia="zh-CN"/>
              </w:rPr>
            </w:pPr>
          </w:p>
        </w:tc>
        <w:tc>
          <w:tcPr>
            <w:tcW w:w="354" w:type="dxa"/>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center"/>
              <w:textAlignment w:val="auto"/>
              <w:outlineLvl w:val="9"/>
              <w:rPr>
                <w:rFonts w:hint="default" w:ascii="仿宋_GB2312" w:hAnsi="宋体" w:cs="宋体"/>
                <w:color w:val="000000"/>
                <w:sz w:val="28"/>
                <w:szCs w:val="28"/>
                <w:lang w:val="en-US" w:eastAsia="zh-CN"/>
              </w:rPr>
            </w:pPr>
            <w:r>
              <w:rPr>
                <w:rFonts w:hint="eastAsia" w:ascii="仿宋_GB2312" w:hAnsi="宋体" w:cs="宋体"/>
                <w:color w:val="000000"/>
                <w:sz w:val="28"/>
                <w:szCs w:val="28"/>
                <w:lang w:val="en-US" w:eastAsia="zh-CN"/>
              </w:rPr>
              <w:t>3</w:t>
            </w:r>
          </w:p>
        </w:tc>
        <w:tc>
          <w:tcPr>
            <w:tcW w:w="4771" w:type="dxa"/>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textAlignment w:val="auto"/>
              <w:outlineLvl w:val="9"/>
              <w:rPr>
                <w:rFonts w:hint="eastAsia" w:ascii="仿宋_GB2312" w:hAnsi="宋体" w:eastAsia="仿宋_GB2312" w:cs="宋体"/>
                <w:color w:val="000000"/>
                <w:sz w:val="28"/>
                <w:szCs w:val="28"/>
              </w:rPr>
            </w:pPr>
            <w:r>
              <w:rPr>
                <w:rFonts w:hint="eastAsia" w:ascii="仿宋_GB2312" w:hAnsi="宋体" w:cs="宋体"/>
                <w:color w:val="000000"/>
                <w:sz w:val="28"/>
                <w:szCs w:val="28"/>
                <w:lang w:eastAsia="zh-CN"/>
              </w:rPr>
              <w:t>市</w:t>
            </w:r>
            <w:r>
              <w:rPr>
                <w:rFonts w:hint="eastAsia" w:ascii="仿宋_GB2312" w:hAnsi="宋体" w:eastAsia="仿宋_GB2312" w:cs="宋体"/>
                <w:color w:val="000000"/>
                <w:sz w:val="28"/>
                <w:szCs w:val="28"/>
              </w:rPr>
              <w:t>本级</w:t>
            </w:r>
            <w:r>
              <w:rPr>
                <w:rFonts w:hint="eastAsia" w:ascii="仿宋_GB2312" w:hAnsi="宋体" w:cs="宋体"/>
                <w:color w:val="000000"/>
                <w:sz w:val="28"/>
                <w:szCs w:val="28"/>
                <w:lang w:eastAsia="zh-CN"/>
              </w:rPr>
              <w:t>牵头</w:t>
            </w:r>
            <w:r>
              <w:rPr>
                <w:rFonts w:hint="eastAsia" w:ascii="仿宋_GB2312" w:hAnsi="宋体" w:eastAsia="仿宋_GB2312" w:cs="宋体"/>
                <w:color w:val="000000"/>
                <w:sz w:val="28"/>
                <w:szCs w:val="28"/>
              </w:rPr>
              <w:t>开展跨部门联合随机抽查次数、户数及发现问题户数</w:t>
            </w:r>
          </w:p>
        </w:tc>
        <w:tc>
          <w:tcPr>
            <w:tcW w:w="2907" w:type="dxa"/>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left"/>
              <w:textAlignment w:val="auto"/>
              <w:outlineLvl w:val="9"/>
              <w:rPr>
                <w:rFonts w:hint="eastAsia" w:ascii="仿宋_GB2312" w:hAnsi="宋体" w:eastAsia="仿宋_GB2312" w:cs="宋体"/>
                <w:color w:val="000000"/>
                <w:sz w:val="28"/>
                <w:szCs w:val="2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023"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center"/>
              <w:textAlignment w:val="auto"/>
              <w:outlineLvl w:val="9"/>
              <w:rPr>
                <w:rFonts w:ascii="仿宋_GB2312" w:hAnsi="宋体" w:eastAsia="仿宋_GB2312" w:cs="宋体"/>
                <w:color w:val="000000"/>
                <w:sz w:val="28"/>
                <w:szCs w:val="28"/>
              </w:rPr>
            </w:pPr>
          </w:p>
        </w:tc>
        <w:tc>
          <w:tcPr>
            <w:tcW w:w="354" w:type="dxa"/>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center"/>
              <w:textAlignment w:val="auto"/>
              <w:outlineLvl w:val="9"/>
              <w:rPr>
                <w:rFonts w:hint="eastAsia" w:ascii="仿宋_GB2312" w:hAnsi="宋体" w:eastAsia="仿宋_GB2312" w:cs="宋体"/>
                <w:color w:val="000000"/>
                <w:sz w:val="28"/>
                <w:szCs w:val="28"/>
                <w:lang w:val="en-US" w:eastAsia="zh-CN"/>
              </w:rPr>
            </w:pPr>
            <w:r>
              <w:rPr>
                <w:rFonts w:hint="eastAsia" w:ascii="仿宋_GB2312" w:hAnsi="宋体" w:cs="宋体"/>
                <w:color w:val="000000"/>
                <w:sz w:val="28"/>
                <w:szCs w:val="28"/>
                <w:lang w:val="en-US" w:eastAsia="zh-CN"/>
              </w:rPr>
              <w:t>4</w:t>
            </w:r>
          </w:p>
        </w:tc>
        <w:tc>
          <w:tcPr>
            <w:tcW w:w="4771" w:type="dxa"/>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textAlignment w:val="auto"/>
              <w:outlineLvl w:val="9"/>
              <w:rPr>
                <w:rFonts w:hint="eastAsia" w:ascii="仿宋_GB2312" w:hAnsi="宋体" w:eastAsia="仿宋_GB2312" w:cs="宋体"/>
                <w:color w:val="000000"/>
                <w:sz w:val="28"/>
                <w:szCs w:val="28"/>
              </w:rPr>
            </w:pPr>
            <w:r>
              <w:rPr>
                <w:rFonts w:hint="eastAsia" w:ascii="仿宋_GB2312" w:hAnsi="宋体" w:cs="宋体"/>
                <w:color w:val="000000"/>
                <w:sz w:val="28"/>
                <w:szCs w:val="28"/>
                <w:lang w:eastAsia="zh-CN"/>
              </w:rPr>
              <w:t>市</w:t>
            </w:r>
            <w:r>
              <w:rPr>
                <w:rFonts w:hint="eastAsia" w:ascii="仿宋_GB2312" w:hAnsi="宋体" w:eastAsia="仿宋_GB2312" w:cs="宋体"/>
                <w:color w:val="000000"/>
                <w:sz w:val="28"/>
                <w:szCs w:val="28"/>
              </w:rPr>
              <w:t>本级利用信用风险分级分类开展随机抽查的次数、户数及发现问题户数</w:t>
            </w:r>
          </w:p>
        </w:tc>
        <w:tc>
          <w:tcPr>
            <w:tcW w:w="2907" w:type="dxa"/>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center"/>
              <w:textAlignment w:val="auto"/>
              <w:outlineLvl w:val="9"/>
              <w:rPr>
                <w:rFonts w:hint="eastAsia" w:ascii="仿宋_GB2312" w:hAnsi="宋体" w:eastAsia="仿宋_GB2312" w:cs="宋体"/>
                <w:color w:val="000000"/>
                <w:sz w:val="28"/>
                <w:szCs w:val="2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7" w:hRule="atLeast"/>
          <w:jc w:val="center"/>
        </w:trPr>
        <w:tc>
          <w:tcPr>
            <w:tcW w:w="1023"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center"/>
              <w:textAlignment w:val="auto"/>
              <w:outlineLvl w:val="9"/>
              <w:rPr>
                <w:rFonts w:ascii="仿宋_GB2312" w:hAnsi="宋体" w:eastAsia="仿宋_GB2312" w:cs="宋体"/>
                <w:color w:val="000000"/>
                <w:sz w:val="28"/>
                <w:szCs w:val="28"/>
              </w:rPr>
            </w:pPr>
          </w:p>
        </w:tc>
        <w:tc>
          <w:tcPr>
            <w:tcW w:w="354" w:type="dxa"/>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center"/>
              <w:textAlignment w:val="auto"/>
              <w:outlineLvl w:val="9"/>
              <w:rPr>
                <w:rFonts w:hint="eastAsia" w:ascii="仿宋_GB2312" w:hAnsi="宋体" w:eastAsia="仿宋_GB2312" w:cs="宋体"/>
                <w:color w:val="000000"/>
                <w:sz w:val="28"/>
                <w:szCs w:val="28"/>
                <w:lang w:val="en-US" w:eastAsia="zh-CN"/>
              </w:rPr>
            </w:pPr>
            <w:r>
              <w:rPr>
                <w:rFonts w:hint="eastAsia" w:ascii="仿宋_GB2312" w:hAnsi="宋体" w:cs="宋体"/>
                <w:color w:val="000000"/>
                <w:sz w:val="28"/>
                <w:szCs w:val="28"/>
                <w:lang w:val="en-US" w:eastAsia="zh-CN"/>
              </w:rPr>
              <w:t>5</w:t>
            </w:r>
          </w:p>
        </w:tc>
        <w:tc>
          <w:tcPr>
            <w:tcW w:w="4771" w:type="dxa"/>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textAlignment w:val="auto"/>
              <w:outlineLvl w:val="9"/>
              <w:rPr>
                <w:rFonts w:hint="eastAsia" w:ascii="仿宋_GB2312" w:hAnsi="宋体" w:eastAsia="仿宋_GB2312" w:cs="宋体"/>
                <w:color w:val="000000"/>
                <w:sz w:val="28"/>
                <w:szCs w:val="28"/>
              </w:rPr>
            </w:pPr>
            <w:r>
              <w:rPr>
                <w:rFonts w:hint="eastAsia" w:ascii="仿宋_GB2312" w:hAnsi="宋体" w:cs="宋体"/>
                <w:color w:val="000000"/>
                <w:sz w:val="28"/>
                <w:szCs w:val="28"/>
                <w:lang w:eastAsia="zh-CN"/>
              </w:rPr>
              <w:t>市</w:t>
            </w:r>
            <w:r>
              <w:rPr>
                <w:rFonts w:hint="eastAsia" w:ascii="仿宋_GB2312" w:hAnsi="宋体" w:eastAsia="仿宋_GB2312" w:cs="宋体"/>
                <w:color w:val="000000"/>
                <w:sz w:val="28"/>
                <w:szCs w:val="28"/>
              </w:rPr>
              <w:t>本级</w:t>
            </w:r>
            <w:r>
              <w:rPr>
                <w:rFonts w:hint="eastAsia" w:ascii="仿宋_GB2312" w:hAnsi="宋体" w:eastAsia="仿宋_GB2312" w:cs="宋体"/>
                <w:color w:val="000000"/>
                <w:sz w:val="28"/>
                <w:szCs w:val="28"/>
                <w:lang w:eastAsia="zh-CN"/>
              </w:rPr>
              <w:t>完成</w:t>
            </w:r>
            <w:r>
              <w:rPr>
                <w:rFonts w:hint="eastAsia" w:ascii="仿宋_GB2312" w:hAnsi="宋体" w:eastAsia="仿宋_GB2312" w:cs="宋体"/>
                <w:color w:val="000000"/>
                <w:sz w:val="28"/>
                <w:szCs w:val="28"/>
              </w:rPr>
              <w:t>涉及企业的随机抽查次数</w:t>
            </w:r>
            <w:r>
              <w:rPr>
                <w:rFonts w:hint="eastAsia" w:ascii="仿宋_GB2312" w:hAnsi="宋体" w:eastAsia="仿宋_GB2312" w:cs="宋体"/>
                <w:color w:val="000000"/>
                <w:sz w:val="28"/>
                <w:szCs w:val="28"/>
                <w:lang w:eastAsia="zh-CN"/>
              </w:rPr>
              <w:t>、</w:t>
            </w:r>
            <w:r>
              <w:rPr>
                <w:rFonts w:hint="eastAsia" w:ascii="仿宋_GB2312" w:hAnsi="宋体" w:eastAsia="仿宋_GB2312" w:cs="宋体"/>
                <w:color w:val="000000"/>
                <w:sz w:val="28"/>
                <w:szCs w:val="28"/>
              </w:rPr>
              <w:t>户数</w:t>
            </w:r>
            <w:r>
              <w:rPr>
                <w:rFonts w:hint="eastAsia" w:ascii="仿宋_GB2312" w:hAnsi="宋体" w:eastAsia="仿宋_GB2312" w:cs="宋体"/>
                <w:color w:val="000000"/>
                <w:sz w:val="28"/>
                <w:szCs w:val="28"/>
                <w:lang w:eastAsia="zh-CN"/>
              </w:rPr>
              <w:t>及发现问题户数</w:t>
            </w:r>
            <w:r>
              <w:rPr>
                <w:rFonts w:hint="eastAsia" w:ascii="仿宋_GB2312" w:hAnsi="宋体" w:eastAsia="仿宋_GB2312" w:cs="宋体"/>
                <w:color w:val="000000"/>
                <w:sz w:val="28"/>
                <w:szCs w:val="28"/>
              </w:rPr>
              <w:t>（抽查对象为企业）</w:t>
            </w:r>
          </w:p>
        </w:tc>
        <w:tc>
          <w:tcPr>
            <w:tcW w:w="2907" w:type="dxa"/>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center"/>
              <w:textAlignment w:val="auto"/>
              <w:outlineLvl w:val="9"/>
              <w:rPr>
                <w:rFonts w:hint="eastAsia" w:ascii="仿宋_GB2312" w:hAnsi="宋体" w:eastAsia="仿宋_GB2312" w:cs="宋体"/>
                <w:color w:val="000000"/>
                <w:sz w:val="28"/>
                <w:szCs w:val="2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atLeast"/>
          <w:jc w:val="center"/>
        </w:trPr>
        <w:tc>
          <w:tcPr>
            <w:tcW w:w="1023"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center"/>
              <w:textAlignment w:val="auto"/>
              <w:outlineLvl w:val="9"/>
              <w:rPr>
                <w:rFonts w:ascii="仿宋_GB2312" w:hAnsi="宋体" w:eastAsia="仿宋_GB2312" w:cs="宋体"/>
                <w:color w:val="000000"/>
                <w:sz w:val="28"/>
                <w:szCs w:val="28"/>
              </w:rPr>
            </w:pPr>
          </w:p>
        </w:tc>
        <w:tc>
          <w:tcPr>
            <w:tcW w:w="354" w:type="dxa"/>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center"/>
              <w:textAlignment w:val="auto"/>
              <w:outlineLvl w:val="9"/>
              <w:rPr>
                <w:rFonts w:hint="eastAsia" w:ascii="仿宋_GB2312" w:hAnsi="宋体" w:eastAsia="仿宋_GB2312" w:cs="宋体"/>
                <w:color w:val="000000"/>
                <w:sz w:val="28"/>
                <w:szCs w:val="28"/>
                <w:lang w:val="en-US" w:eastAsia="zh-CN"/>
              </w:rPr>
            </w:pPr>
            <w:r>
              <w:rPr>
                <w:rFonts w:hint="eastAsia" w:ascii="仿宋_GB2312" w:hAnsi="宋体" w:cs="宋体"/>
                <w:color w:val="000000"/>
                <w:sz w:val="28"/>
                <w:szCs w:val="28"/>
                <w:lang w:val="en-US" w:eastAsia="zh-CN"/>
              </w:rPr>
              <w:t>6</w:t>
            </w:r>
          </w:p>
        </w:tc>
        <w:tc>
          <w:tcPr>
            <w:tcW w:w="4771" w:type="dxa"/>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textAlignment w:val="auto"/>
              <w:outlineLvl w:val="9"/>
              <w:rPr>
                <w:rFonts w:hint="eastAsia" w:ascii="仿宋_GB2312" w:hAnsi="宋体" w:eastAsia="仿宋_GB2312" w:cs="宋体"/>
                <w:color w:val="000000"/>
                <w:sz w:val="28"/>
                <w:szCs w:val="28"/>
              </w:rPr>
            </w:pPr>
            <w:r>
              <w:rPr>
                <w:rFonts w:hint="eastAsia" w:ascii="仿宋_GB2312" w:hAnsi="宋体" w:cs="宋体"/>
                <w:color w:val="000000"/>
                <w:sz w:val="28"/>
                <w:szCs w:val="28"/>
                <w:lang w:eastAsia="zh-CN"/>
              </w:rPr>
              <w:t>市</w:t>
            </w:r>
            <w:r>
              <w:rPr>
                <w:rFonts w:hint="eastAsia" w:ascii="仿宋_GB2312" w:hAnsi="宋体" w:eastAsia="仿宋_GB2312" w:cs="宋体"/>
                <w:color w:val="000000"/>
                <w:sz w:val="28"/>
                <w:szCs w:val="28"/>
              </w:rPr>
              <w:t>本级利用企业信用风险分级分类</w:t>
            </w:r>
            <w:r>
              <w:rPr>
                <w:rFonts w:hint="eastAsia" w:ascii="仿宋_GB2312" w:hAnsi="宋体" w:eastAsia="仿宋_GB2312" w:cs="宋体"/>
                <w:color w:val="000000"/>
                <w:sz w:val="28"/>
                <w:szCs w:val="28"/>
                <w:lang w:eastAsia="zh-CN"/>
              </w:rPr>
              <w:t>完成</w:t>
            </w:r>
            <w:r>
              <w:rPr>
                <w:rFonts w:hint="eastAsia" w:ascii="仿宋_GB2312" w:hAnsi="宋体" w:eastAsia="仿宋_GB2312" w:cs="宋体"/>
                <w:color w:val="000000"/>
                <w:sz w:val="28"/>
                <w:szCs w:val="28"/>
              </w:rPr>
              <w:t>随机抽查的次数</w:t>
            </w:r>
            <w:r>
              <w:rPr>
                <w:rFonts w:hint="eastAsia" w:ascii="仿宋_GB2312" w:hAnsi="宋体" w:eastAsia="仿宋_GB2312" w:cs="宋体"/>
                <w:color w:val="000000"/>
                <w:sz w:val="28"/>
                <w:szCs w:val="28"/>
                <w:lang w:eastAsia="zh-CN"/>
              </w:rPr>
              <w:t>、</w:t>
            </w:r>
            <w:r>
              <w:rPr>
                <w:rFonts w:hint="eastAsia" w:ascii="仿宋_GB2312" w:hAnsi="宋体" w:eastAsia="仿宋_GB2312" w:cs="宋体"/>
                <w:color w:val="000000"/>
                <w:sz w:val="28"/>
                <w:szCs w:val="28"/>
              </w:rPr>
              <w:t>户数</w:t>
            </w:r>
            <w:r>
              <w:rPr>
                <w:rFonts w:hint="eastAsia" w:ascii="仿宋_GB2312" w:hAnsi="宋体" w:eastAsia="仿宋_GB2312" w:cs="宋体"/>
                <w:color w:val="000000"/>
                <w:sz w:val="28"/>
                <w:szCs w:val="28"/>
                <w:lang w:eastAsia="zh-CN"/>
              </w:rPr>
              <w:t>及发现问题户数</w:t>
            </w:r>
          </w:p>
        </w:tc>
        <w:tc>
          <w:tcPr>
            <w:tcW w:w="2907" w:type="dxa"/>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center"/>
              <w:textAlignment w:val="auto"/>
              <w:outlineLvl w:val="9"/>
              <w:rPr>
                <w:rFonts w:hint="eastAsia" w:ascii="仿宋_GB2312" w:hAnsi="宋体" w:eastAsia="仿宋_GB2312" w:cs="宋体"/>
                <w:color w:val="000000"/>
                <w:sz w:val="28"/>
                <w:szCs w:val="2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atLeast"/>
          <w:jc w:val="center"/>
        </w:trPr>
        <w:tc>
          <w:tcPr>
            <w:tcW w:w="1023"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center"/>
              <w:textAlignment w:val="auto"/>
              <w:outlineLvl w:val="9"/>
              <w:rPr>
                <w:rFonts w:ascii="仿宋_GB2312" w:hAnsi="宋体" w:eastAsia="仿宋_GB2312" w:cs="宋体"/>
                <w:color w:val="000000"/>
                <w:sz w:val="28"/>
                <w:szCs w:val="28"/>
              </w:rPr>
            </w:pPr>
          </w:p>
        </w:tc>
        <w:tc>
          <w:tcPr>
            <w:tcW w:w="8032" w:type="dxa"/>
            <w:gridSpan w:val="3"/>
            <w:vAlign w:val="center"/>
          </w:tcPr>
          <w:p>
            <w:pPr>
              <w:keepNext w:val="0"/>
              <w:keepLines w:val="0"/>
              <w:pageBreakBefore w:val="0"/>
              <w:widowControl w:val="0"/>
              <w:kinsoku/>
              <w:wordWrap/>
              <w:overflowPunct/>
              <w:topLinePunct w:val="0"/>
              <w:autoSpaceDE/>
              <w:autoSpaceDN/>
              <w:bidi w:val="0"/>
              <w:adjustRightInd w:val="0"/>
              <w:snapToGrid w:val="0"/>
              <w:spacing w:beforeAutospacing="0" w:afterAutospacing="0" w:line="440" w:lineRule="exact"/>
              <w:ind w:left="0" w:leftChars="0" w:right="0" w:rightChars="0" w:firstLine="560" w:firstLineChars="200"/>
              <w:jc w:val="left"/>
              <w:textAlignment w:val="auto"/>
              <w:outlineLvl w:val="9"/>
              <w:rPr>
                <w:rFonts w:hint="eastAsia" w:ascii="仿宋_GB2312" w:hAnsi="宋体" w:eastAsia="仿宋_GB2312" w:cs="宋体"/>
                <w:color w:val="000000"/>
                <w:sz w:val="28"/>
                <w:szCs w:val="28"/>
                <w:lang w:eastAsia="zh-CN"/>
              </w:rPr>
            </w:pPr>
            <w:r>
              <w:rPr>
                <w:rFonts w:hint="eastAsia" w:ascii="仿宋_GB2312" w:hAnsi="宋体" w:cs="宋体"/>
                <w:color w:val="000000"/>
                <w:sz w:val="28"/>
                <w:szCs w:val="28"/>
                <w:lang w:eastAsia="zh-CN"/>
              </w:rPr>
              <w:t>除第</w:t>
            </w:r>
            <w:r>
              <w:rPr>
                <w:rFonts w:hint="eastAsia" w:ascii="仿宋_GB2312" w:hAnsi="宋体" w:cs="宋体"/>
                <w:color w:val="000000"/>
                <w:sz w:val="28"/>
                <w:szCs w:val="28"/>
                <w:lang w:val="en-US" w:eastAsia="zh-CN"/>
              </w:rPr>
              <w:t>2</w:t>
            </w:r>
            <w:r>
              <w:rPr>
                <w:rFonts w:hint="eastAsia" w:ascii="仿宋_GB2312" w:hAnsi="宋体" w:cs="宋体"/>
                <w:color w:val="000000"/>
                <w:sz w:val="28"/>
                <w:szCs w:val="28"/>
                <w:lang w:eastAsia="zh-CN"/>
              </w:rPr>
              <w:t>项外，其他次数均不统计省级派发任务</w:t>
            </w:r>
          </w:p>
        </w:tc>
      </w:tr>
    </w:tbl>
    <w:p>
      <w:pPr>
        <w:keepNext w:val="0"/>
        <w:keepLines w:val="0"/>
        <w:pageBreakBefore w:val="0"/>
        <w:widowControl w:val="0"/>
        <w:kinsoku/>
        <w:wordWrap/>
        <w:overflowPunct/>
        <w:topLinePunct w:val="0"/>
        <w:autoSpaceDE/>
        <w:autoSpaceDN/>
        <w:bidi w:val="0"/>
        <w:spacing w:beforeAutospacing="0" w:afterAutospacing="0" w:line="440" w:lineRule="exact"/>
        <w:ind w:left="0" w:leftChars="0" w:right="0" w:rightChars="0" w:firstLine="560" w:firstLineChars="200"/>
        <w:textAlignment w:val="auto"/>
        <w:rPr>
          <w:rFonts w:hint="eastAsia" w:ascii="仿宋_GB2312" w:hAnsi="仿宋_GB2312" w:eastAsia="仿宋_GB2312" w:cs="仿宋_GB2312"/>
          <w:sz w:val="24"/>
          <w:szCs w:val="24"/>
          <w:u w:val="none"/>
          <w:lang w:val="en-US" w:eastAsia="zh-CN"/>
        </w:rPr>
      </w:pPr>
      <w:r>
        <w:rPr>
          <w:rFonts w:hint="eastAsia" w:ascii="Times New Roman" w:hAnsi="Times New Roman" w:eastAsia="仿宋_GB2312" w:cs="Times New Roman"/>
          <w:color w:val="000000"/>
          <w:sz w:val="28"/>
          <w:szCs w:val="28"/>
        </w:rPr>
        <w:t>联系人：</w:t>
      </w:r>
      <w:r>
        <w:rPr>
          <w:rFonts w:hint="eastAsia" w:ascii="Times New Roman" w:hAnsi="Times New Roman" w:eastAsia="仿宋_GB2312" w:cs="Times New Roman"/>
          <w:color w:val="000000"/>
          <w:sz w:val="28"/>
          <w:szCs w:val="28"/>
          <w:u w:val="single"/>
        </w:rPr>
        <w:t xml:space="preserve"> </w:t>
      </w:r>
      <w:r>
        <w:rPr>
          <w:rFonts w:hint="eastAsia" w:ascii="Times New Roman" w:hAnsi="Times New Roman" w:eastAsia="仿宋_GB2312" w:cs="Times New Roman"/>
          <w:color w:val="000000"/>
          <w:sz w:val="28"/>
          <w:szCs w:val="28"/>
          <w:u w:val="single"/>
          <w:lang w:val="en-US" w:eastAsia="zh-CN"/>
        </w:rPr>
        <w:t xml:space="preserve">    </w:t>
      </w:r>
      <w:r>
        <w:rPr>
          <w:rFonts w:hint="eastAsia" w:ascii="Times New Roman" w:hAnsi="Times New Roman" w:eastAsia="仿宋_GB2312" w:cs="Times New Roman"/>
          <w:color w:val="000000"/>
          <w:sz w:val="28"/>
          <w:szCs w:val="28"/>
          <w:u w:val="single"/>
        </w:rPr>
        <w:t xml:space="preserve"> </w:t>
      </w:r>
      <w:r>
        <w:rPr>
          <w:rFonts w:hint="eastAsia" w:ascii="Times New Roman" w:hAnsi="Times New Roman" w:eastAsia="仿宋_GB2312" w:cs="Times New Roman"/>
          <w:color w:val="000000"/>
          <w:sz w:val="28"/>
          <w:szCs w:val="28"/>
        </w:rPr>
        <w:t xml:space="preserve"> 联系电话：</w:t>
      </w:r>
      <w:r>
        <w:rPr>
          <w:rFonts w:hint="eastAsia" w:ascii="Times New Roman" w:hAnsi="Times New Roman" w:eastAsia="仿宋_GB2312" w:cs="Times New Roman"/>
          <w:color w:val="000000"/>
          <w:sz w:val="28"/>
          <w:szCs w:val="28"/>
          <w:u w:val="single"/>
        </w:rPr>
        <w:t xml:space="preserve"> </w:t>
      </w:r>
      <w:r>
        <w:rPr>
          <w:rFonts w:hint="eastAsia" w:ascii="仿宋_GB2312" w:hAnsi="仿宋_GB2312" w:eastAsia="仿宋_GB2312" w:cs="仿宋_GB2312"/>
          <w:color w:val="000000"/>
          <w:sz w:val="28"/>
          <w:szCs w:val="28"/>
          <w:u w:val="single"/>
          <w:lang w:val="en-US" w:eastAsia="zh-CN"/>
        </w:rPr>
        <w:t xml:space="preserve">        </w:t>
      </w:r>
      <w:r>
        <w:rPr>
          <w:rFonts w:hint="eastAsia" w:ascii="Times New Roman" w:hAnsi="Times New Roman" w:eastAsia="仿宋_GB2312" w:cs="Times New Roman"/>
          <w:color w:val="000000"/>
          <w:sz w:val="28"/>
          <w:szCs w:val="28"/>
          <w:u w:val="single"/>
        </w:rPr>
        <w:t xml:space="preserve"> </w:t>
      </w:r>
      <w:r>
        <w:rPr>
          <w:rFonts w:hint="eastAsia" w:ascii="Times New Roman" w:hAnsi="Times New Roman" w:eastAsia="仿宋_GB2312" w:cs="Times New Roman"/>
          <w:color w:val="000000"/>
          <w:sz w:val="28"/>
          <w:szCs w:val="28"/>
        </w:rPr>
        <w:t xml:space="preserve"> 手机：</w:t>
      </w:r>
      <w:r>
        <w:rPr>
          <w:rFonts w:hint="eastAsia" w:ascii="Times New Roman" w:hAnsi="Times New Roman" w:eastAsia="仿宋_GB2312" w:cs="Times New Roman"/>
          <w:color w:val="000000"/>
          <w:sz w:val="28"/>
          <w:szCs w:val="28"/>
          <w:u w:val="single"/>
        </w:rPr>
        <w:t xml:space="preserve"> </w:t>
      </w:r>
      <w:r>
        <w:rPr>
          <w:rFonts w:hint="eastAsia" w:ascii="仿宋_GB2312" w:hAnsi="仿宋_GB2312" w:eastAsia="仿宋_GB2312" w:cs="仿宋_GB2312"/>
          <w:color w:val="000000"/>
          <w:sz w:val="28"/>
          <w:szCs w:val="28"/>
          <w:u w:val="single"/>
          <w:lang w:val="en-US" w:eastAsia="zh-CN"/>
        </w:rPr>
        <w:t xml:space="preserve">               </w:t>
      </w:r>
    </w:p>
    <w:p>
      <w:pPr>
        <w:pStyle w:val="3"/>
        <w:keepNext w:val="0"/>
        <w:keepLines w:val="0"/>
        <w:pageBreakBefore w:val="0"/>
        <w:widowControl w:val="0"/>
        <w:kinsoku/>
        <w:wordWrap/>
        <w:overflowPunct/>
        <w:topLinePunct w:val="0"/>
        <w:autoSpaceDE/>
        <w:autoSpaceDN/>
        <w:bidi w:val="0"/>
        <w:spacing w:beforeAutospacing="0" w:afterAutospacing="0" w:line="440" w:lineRule="exact"/>
        <w:ind w:left="0" w:leftChars="0" w:right="0" w:rightChars="0" w:firstLine="640" w:firstLineChars="200"/>
        <w:textAlignment w:val="auto"/>
        <w:rPr>
          <w:rFonts w:hint="eastAsia" w:ascii="仿宋_GB2312" w:hAnsi="仿宋_GB2312" w:eastAsia="仿宋_GB2312" w:cs="仿宋_GB2312"/>
          <w:color w:val="000000"/>
          <w:sz w:val="32"/>
          <w:szCs w:val="32"/>
        </w:rPr>
      </w:pPr>
    </w:p>
    <w:p>
      <w:pPr>
        <w:keepNext w:val="0"/>
        <w:keepLines w:val="0"/>
        <w:pageBreakBefore w:val="0"/>
        <w:widowControl w:val="0"/>
        <w:kinsoku/>
        <w:wordWrap/>
        <w:overflowPunct/>
        <w:topLinePunct w:val="0"/>
        <w:autoSpaceDE/>
        <w:autoSpaceDN/>
        <w:bidi w:val="0"/>
        <w:snapToGrid w:val="0"/>
        <w:spacing w:beforeAutospacing="0" w:afterAutospacing="0" w:line="440" w:lineRule="exact"/>
        <w:ind w:left="0" w:leftChars="0" w:right="0" w:rightChars="0" w:firstLine="560" w:firstLineChars="200"/>
        <w:textAlignment w:val="auto"/>
        <w:rPr>
          <w:rFonts w:hint="eastAsia" w:ascii="仿宋_GB2312" w:hAnsi="宋体" w:eastAsia="仿宋_GB2312" w:cs="宋体"/>
          <w:bCs/>
          <w:kern w:val="0"/>
          <w:sz w:val="28"/>
          <w:szCs w:val="32"/>
        </w:rPr>
        <w:sectPr>
          <w:footerReference r:id="rId7" w:type="default"/>
          <w:pgSz w:w="11906" w:h="16838"/>
          <w:pgMar w:top="2098" w:right="1474" w:bottom="1984" w:left="1588" w:header="851" w:footer="992" w:gutter="0"/>
          <w:pgNumType w:fmt="numberInDash"/>
          <w:cols w:space="720" w:num="1"/>
          <w:rtlGutter w:val="0"/>
          <w:docGrid w:type="lines" w:linePitch="318" w:charSpace="0"/>
        </w:sectPr>
      </w:pPr>
    </w:p>
    <w:p>
      <w:pPr>
        <w:pStyle w:val="3"/>
        <w:keepNext w:val="0"/>
        <w:keepLines w:val="0"/>
        <w:pageBreakBefore w:val="0"/>
        <w:widowControl w:val="0"/>
        <w:kinsoku/>
        <w:wordWrap/>
        <w:overflowPunct/>
        <w:topLinePunct w:val="0"/>
        <w:autoSpaceDE/>
        <w:autoSpaceDN/>
        <w:bidi w:val="0"/>
        <w:spacing w:beforeAutospacing="0" w:afterAutospacing="0" w:line="440" w:lineRule="exact"/>
        <w:ind w:left="0" w:leftChars="0" w:right="0" w:rightChars="0" w:firstLine="640" w:firstLineChars="200"/>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 xml:space="preserve"> </w:t>
      </w:r>
    </w:p>
    <w:p>
      <w:pPr>
        <w:pStyle w:val="3"/>
        <w:keepNext w:val="0"/>
        <w:keepLines w:val="0"/>
        <w:pageBreakBefore w:val="0"/>
        <w:widowControl w:val="0"/>
        <w:kinsoku/>
        <w:wordWrap/>
        <w:overflowPunct/>
        <w:topLinePunct w:val="0"/>
        <w:autoSpaceDE/>
        <w:autoSpaceDN/>
        <w:bidi w:val="0"/>
        <w:spacing w:beforeAutospacing="0" w:afterAutospacing="0" w:line="440" w:lineRule="exact"/>
        <w:ind w:right="0" w:rightChars="0" w:firstLine="640" w:firstLineChars="200"/>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（此页无正文）</w:t>
      </w:r>
    </w:p>
    <w:tbl>
      <w:tblPr>
        <w:tblStyle w:val="6"/>
        <w:tblpPr w:leftFromText="180" w:rightFromText="180" w:vertAnchor="text" w:horzAnchor="page" w:tblpX="1532" w:tblpY="10584"/>
        <w:tblOverlap w:val="never"/>
        <w:tblW w:w="91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180" w:type="dxa"/>
            <w:tcBorders>
              <w:left w:val="nil"/>
              <w:right w:val="nil"/>
            </w:tcBorders>
            <w:vAlign w:val="center"/>
          </w:tcPr>
          <w:p>
            <w:pPr>
              <w:keepNext w:val="0"/>
              <w:keepLines w:val="0"/>
              <w:pageBreakBefore w:val="0"/>
              <w:kinsoku/>
              <w:wordWrap/>
              <w:overflowPunct/>
              <w:topLinePunct w:val="0"/>
              <w:autoSpaceDE/>
              <w:autoSpaceDN/>
              <w:bidi w:val="0"/>
              <w:snapToGrid w:val="0"/>
              <w:spacing w:beforeAutospacing="0" w:afterAutospacing="0" w:line="578" w:lineRule="exact"/>
              <w:ind w:right="0" w:rightChars="0"/>
              <w:textAlignment w:val="auto"/>
              <w:rPr>
                <w:rFonts w:hint="eastAsia" w:ascii="仿宋_GB2312" w:hAnsi="宋体" w:eastAsia="仿宋_GB2312" w:cs="宋体"/>
                <w:bCs/>
                <w:kern w:val="0"/>
                <w:sz w:val="28"/>
                <w:szCs w:val="32"/>
              </w:rPr>
            </w:pPr>
            <w:r>
              <w:rPr>
                <w:rFonts w:hint="eastAsia" w:ascii="仿宋_GB2312" w:hAnsi="宋体" w:eastAsia="仿宋_GB2312" w:cs="宋体"/>
                <w:bCs/>
                <w:kern w:val="0"/>
                <w:sz w:val="28"/>
                <w:szCs w:val="32"/>
              </w:rPr>
              <w:t>石家庄市鹿泉区市场监督管理局               202</w:t>
            </w:r>
            <w:r>
              <w:rPr>
                <w:rFonts w:hint="eastAsia" w:ascii="仿宋_GB2312" w:hAnsi="宋体" w:eastAsia="仿宋_GB2312" w:cs="宋体"/>
                <w:bCs/>
                <w:kern w:val="0"/>
                <w:sz w:val="28"/>
                <w:szCs w:val="32"/>
                <w:lang w:val="en-US" w:eastAsia="zh-CN"/>
              </w:rPr>
              <w:t>5</w:t>
            </w:r>
            <w:r>
              <w:rPr>
                <w:rFonts w:hint="eastAsia" w:ascii="仿宋_GB2312" w:hAnsi="仿宋_GB2312" w:eastAsia="仿宋_GB2312" w:cs="仿宋_GB2312"/>
                <w:bCs/>
                <w:kern w:val="0"/>
                <w:sz w:val="28"/>
                <w:szCs w:val="32"/>
              </w:rPr>
              <w:t>年</w:t>
            </w:r>
            <w:r>
              <w:rPr>
                <w:rFonts w:hint="eastAsia" w:ascii="仿宋_GB2312" w:hAnsi="宋体" w:eastAsia="仿宋_GB2312" w:cs="宋体"/>
                <w:bCs/>
                <w:kern w:val="0"/>
                <w:sz w:val="28"/>
                <w:szCs w:val="32"/>
              </w:rPr>
              <w:t>2</w:t>
            </w:r>
            <w:r>
              <w:rPr>
                <w:rFonts w:hint="eastAsia" w:ascii="仿宋_GB2312" w:hAnsi="仿宋_GB2312" w:eastAsia="仿宋_GB2312" w:cs="仿宋_GB2312"/>
                <w:bCs/>
                <w:kern w:val="0"/>
                <w:sz w:val="28"/>
                <w:szCs w:val="32"/>
              </w:rPr>
              <w:t>月</w:t>
            </w:r>
            <w:r>
              <w:rPr>
                <w:rFonts w:hint="eastAsia" w:ascii="仿宋_GB2312" w:hAnsi="仿宋_GB2312" w:eastAsia="仿宋_GB2312" w:cs="仿宋_GB2312"/>
                <w:bCs/>
                <w:kern w:val="0"/>
                <w:sz w:val="28"/>
                <w:szCs w:val="32"/>
                <w:lang w:val="en-US" w:eastAsia="zh-CN"/>
              </w:rPr>
              <w:t>14</w:t>
            </w:r>
            <w:r>
              <w:rPr>
                <w:rFonts w:hint="eastAsia" w:ascii="仿宋_GB2312" w:hAnsi="仿宋_GB2312" w:eastAsia="仿宋_GB2312" w:cs="仿宋_GB2312"/>
                <w:bCs/>
                <w:kern w:val="0"/>
                <w:sz w:val="28"/>
                <w:szCs w:val="32"/>
              </w:rPr>
              <w:t>日印发</w:t>
            </w:r>
          </w:p>
        </w:tc>
      </w:tr>
    </w:tbl>
    <w:p>
      <w:pPr>
        <w:keepNext w:val="0"/>
        <w:keepLines w:val="0"/>
        <w:pageBreakBefore w:val="0"/>
        <w:kinsoku/>
        <w:wordWrap/>
        <w:overflowPunct/>
        <w:topLinePunct w:val="0"/>
        <w:autoSpaceDE/>
        <w:autoSpaceDN/>
        <w:bidi w:val="0"/>
        <w:adjustRightInd/>
        <w:snapToGrid/>
        <w:spacing w:beforeAutospacing="0" w:afterAutospacing="0" w:line="578" w:lineRule="exact"/>
        <w:ind w:left="0" w:leftChars="0" w:right="0" w:rightChars="0" w:firstLine="640" w:firstLineChars="200"/>
        <w:textAlignment w:val="auto"/>
        <w:outlineLvl w:val="9"/>
        <w:rPr>
          <w:rFonts w:hint="eastAsia" w:eastAsia="宋体"/>
          <w:sz w:val="32"/>
          <w:szCs w:val="32"/>
          <w:lang w:val="en-US" w:eastAsia="zh-CN"/>
        </w:rPr>
      </w:pPr>
    </w:p>
    <w:p/>
    <w:sectPr>
      <w:footerReference r:id="rId8" w:type="default"/>
      <w:pgSz w:w="11906" w:h="16838"/>
      <w:pgMar w:top="2098" w:right="1474" w:bottom="1984" w:left="1588" w:header="851" w:footer="992" w:gutter="0"/>
      <w:pgNumType w:fmt="numberInDash"/>
      <w:cols w:space="72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script"/>
    <w:pitch w:val="default"/>
    <w:sig w:usb0="00000000" w:usb1="00000000"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right"/>
      <w:rPr>
        <w:rFonts w:hint="eastAsia"/>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- 1 -</w:t>
                          </w:r>
                          <w:r>
                            <w:rPr>
                              <w:rFonts w:hint="eastAsia" w:asciiTheme="majorEastAsia" w:hAnsiTheme="majorEastAsia" w:eastAsiaTheme="majorEastAsia" w:cstheme="maj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- 1 -</w:t>
                    </w:r>
                    <w:r>
                      <w:rPr>
                        <w:rFonts w:hint="eastAsia" w:asciiTheme="majorEastAsia" w:hAnsiTheme="majorEastAsia" w:eastAsiaTheme="majorEastAsia" w:cstheme="majorEastAsia"/>
                        <w:sz w:val="28"/>
                        <w:szCs w:val="2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right"/>
      <w:rPr>
        <w:rFonts w:hint="eastAsia"/>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- 2 -</w:t>
                          </w:r>
                          <w:r>
                            <w:rPr>
                              <w:rFonts w:hint="eastAsia" w:asciiTheme="majorEastAsia" w:hAnsiTheme="majorEastAsia" w:eastAsiaTheme="majorEastAsia" w:cstheme="maj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- 2 -</w:t>
                    </w:r>
                    <w:r>
                      <w:rPr>
                        <w:rFonts w:hint="eastAsia" w:asciiTheme="majorEastAsia" w:hAnsiTheme="majorEastAsia" w:eastAsiaTheme="majorEastAsia" w:cstheme="majorEastAsia"/>
                        <w:sz w:val="28"/>
                        <w:szCs w:val="28"/>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right"/>
      <w:rPr>
        <w:rFonts w:hint="eastAsia"/>
        <w:sz w:val="28"/>
        <w:szCs w:val="28"/>
      </w:rPr>
    </w:pPr>
    <w:r>
      <w:rPr>
        <w:sz w:val="2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- 3 -</w:t>
                          </w:r>
                          <w:r>
                            <w:rPr>
                              <w:rFonts w:hint="eastAsia" w:asciiTheme="majorEastAsia" w:hAnsiTheme="majorEastAsia" w:eastAsiaTheme="majorEastAsia" w:cstheme="maj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5WZn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lZmfjICAABjBAAADgAAAAAAAAABACAAAAAfAQAAZHJzL2Uyb0RvYy54bWxQSwUG&#10;AAAAAAYABgBZAQAAwwU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- 3 -</w:t>
                    </w:r>
                    <w:r>
                      <w:rPr>
                        <w:rFonts w:hint="eastAsia" w:asciiTheme="majorEastAsia" w:hAnsiTheme="majorEastAsia" w:eastAsiaTheme="majorEastAsia" w:cstheme="majorEastAsia"/>
                        <w:sz w:val="28"/>
                        <w:szCs w:val="28"/>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right"/>
      <w:rPr>
        <w:rFonts w:hint="eastAsia"/>
        <w:sz w:val="28"/>
        <w:szCs w:val="28"/>
      </w:rPr>
    </w:pPr>
    <w:r>
      <w:rPr>
        <w:sz w:val="2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- 5 -</w:t>
                          </w:r>
                          <w:r>
                            <w:rPr>
                              <w:rFonts w:hint="eastAsia" w:asciiTheme="majorEastAsia" w:hAnsiTheme="majorEastAsia" w:eastAsiaTheme="majorEastAsia" w:cstheme="maj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MFE50y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QYphGxU8/vp9+&#10;Ppx+fSM4g0CNCzPE3TtExvadbRE8nAccJt5t5XX6ghGBH/IeL/KKNhKeLk0n02kOF4dv2AA/e7zu&#10;fIjvhdUkGQX1qF8nKztsQuxDh5CUzdi1VKqroTKkKejV67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IwUTnTICAABjBAAADgAAAAAAAAABACAAAAAfAQAAZHJzL2Uyb0RvYy54bWxQSwUG&#10;AAAAAAYABgBZAQAAwwU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- 5 -</w:t>
                    </w:r>
                    <w:r>
                      <w:rPr>
                        <w:rFonts w:hint="eastAsia" w:asciiTheme="majorEastAsia" w:hAnsiTheme="majorEastAsia" w:eastAsiaTheme="majorEastAsia" w:cstheme="majorEastAsia"/>
                        <w:sz w:val="28"/>
                        <w:szCs w:val="28"/>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right"/>
      <w:rPr>
        <w:rFonts w:hint="eastAsia"/>
        <w:sz w:val="28"/>
        <w:szCs w:val="28"/>
      </w:rPr>
    </w:pPr>
    <w:r>
      <w:rPr>
        <w:sz w:val="28"/>
      </w:rP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- 8 -</w:t>
                          </w:r>
                          <w:r>
                            <w:rPr>
                              <w:rFonts w:hint="eastAsia" w:asciiTheme="majorEastAsia" w:hAnsiTheme="majorEastAsia" w:eastAsiaTheme="majorEastAsia" w:cstheme="maj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thHIzAgAAY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Wgg3X1vuouoPMs&#10;C1v9YHlME4X0dnUIEDNpHAXqVOl1Q++lKvVzEpv7z32Kevo3LB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GthHIzAgAAYwQAAA4AAAAAAAAAAQAgAAAAHwEAAGRycy9lMm9Eb2MueG1sUEsF&#10;BgAAAAAGAAYAWQEAAMQFA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- 8 -</w:t>
                    </w:r>
                    <w:r>
                      <w:rPr>
                        <w:rFonts w:hint="eastAsia" w:asciiTheme="majorEastAsia" w:hAnsiTheme="majorEastAsia" w:eastAsiaTheme="majorEastAsia" w:cstheme="majorEastAsia"/>
                        <w:sz w:val="28"/>
                        <w:szCs w:val="28"/>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Pr>
        <w:rFonts w:hint="eastAsia"/>
        <w:sz w:val="28"/>
        <w:szCs w:val="28"/>
      </w:rPr>
    </w:pPr>
    <w:r>
      <w:rPr>
        <w:sz w:val="28"/>
      </w:rP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- 10 -</w:t>
                          </w:r>
                          <w:r>
                            <w:rPr>
                              <w:rFonts w:hint="eastAsia" w:asciiTheme="majorEastAsia" w:hAnsiTheme="majorEastAsia" w:eastAsiaTheme="majorEastAsia" w:cstheme="maj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- 10 -</w:t>
                    </w:r>
                    <w:r>
                      <w:rPr>
                        <w:rFonts w:hint="eastAsia" w:asciiTheme="majorEastAsia" w:hAnsiTheme="majorEastAsia" w:eastAsiaTheme="majorEastAsia" w:cstheme="maj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4385BB5"/>
    <w:rsid w:val="0A117060"/>
    <w:rsid w:val="24385B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unhideWhenUsed/>
    <w:qFormat/>
    <w:uiPriority w:val="0"/>
    <w:pPr>
      <w:spacing w:beforeAutospacing="1" w:afterAutospacing="1"/>
      <w:jc w:val="left"/>
      <w:outlineLvl w:val="1"/>
    </w:pPr>
    <w:rPr>
      <w:rFonts w:hint="eastAsia" w:ascii="宋体" w:hAnsi="宋体"/>
      <w:b/>
      <w:kern w:val="0"/>
      <w:sz w:val="36"/>
      <w:szCs w:val="36"/>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Body Text"/>
    <w:basedOn w:val="1"/>
    <w:uiPriority w:val="0"/>
  </w:style>
  <w:style w:type="paragraph" w:styleId="4">
    <w:name w:val="footer"/>
    <w:basedOn w:val="1"/>
    <w:uiPriority w:val="0"/>
    <w:pPr>
      <w:tabs>
        <w:tab w:val="center" w:pos="4153"/>
        <w:tab w:val="right" w:pos="8306"/>
      </w:tabs>
      <w:snapToGrid w:val="0"/>
      <w:jc w:val="left"/>
    </w:pPr>
    <w:rPr>
      <w:sz w:val="18"/>
      <w:szCs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2025-02-14T08:37:00Z</dcterms:created>
  <dc:creator>Lenovo</dc:creator>
  <cp:lastModifiedBy>Administrator</cp:lastModifiedBy>
  <cp:lastPrinted>2025-02-14T08:56:00Z</cp:lastPrinted>
  <dcterms:modified xsi:type="dcterms:W3CDTF">2025-04-28T08:50:56Z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0C941020369B483F99D4E5BE7A0EBCE1</vt:lpwstr>
  </property>
</Properties>
</file>