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7275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黑体" w:hAnsi="黑体" w:eastAsia="黑体" w:cs="黑体"/>
          <w:b w:val="0"/>
          <w:bCs w:val="0"/>
          <w:sz w:val="32"/>
          <w:szCs w:val="32"/>
          <w:lang w:val="en-US" w:eastAsia="zh-CN"/>
        </w:rPr>
      </w:pPr>
    </w:p>
    <w:p w14:paraId="0E592F1E">
      <w:pPr>
        <w:spacing w:line="360" w:lineRule="auto"/>
        <w:ind w:left="0" w:leftChars="0" w:right="0" w:rightChars="0" w:firstLine="0" w:firstLineChars="0"/>
        <w:jc w:val="center"/>
        <w:rPr>
          <w:rFonts w:hint="eastAsia" w:ascii="宋体"/>
          <w:b/>
          <w:bCs/>
          <w:sz w:val="36"/>
          <w:szCs w:val="32"/>
          <w:lang w:eastAsia="zh-CN"/>
        </w:rPr>
      </w:pPr>
      <w:r>
        <w:rPr>
          <w:rFonts w:hint="eastAsia" w:ascii="宋体"/>
          <w:b/>
          <w:bCs/>
          <w:sz w:val="36"/>
          <w:szCs w:val="32"/>
          <w:lang w:eastAsia="zh-CN"/>
        </w:rPr>
        <w:t>中共石家庄市鹿泉区委办公室保密设备配置及业务费</w:t>
      </w:r>
    </w:p>
    <w:p w14:paraId="53DF3B8D">
      <w:pPr>
        <w:spacing w:line="360" w:lineRule="auto"/>
        <w:ind w:left="0" w:leftChars="0" w:right="0" w:rightChars="0" w:firstLine="0" w:firstLineChars="0"/>
        <w:jc w:val="center"/>
        <w:rPr>
          <w:rFonts w:hint="eastAsia" w:ascii="华文楷体" w:eastAsia="华文楷体"/>
          <w:sz w:val="32"/>
          <w:szCs w:val="32"/>
          <w:lang w:eastAsia="zh-CN"/>
        </w:rPr>
      </w:pPr>
      <w:r>
        <w:rPr>
          <w:rFonts w:hint="eastAsia" w:ascii="宋体"/>
          <w:b/>
          <w:bCs/>
          <w:sz w:val="36"/>
          <w:szCs w:val="32"/>
          <w:lang w:val="en-US" w:eastAsia="zh-CN"/>
        </w:rPr>
        <w:t>2019年</w:t>
      </w:r>
      <w:r>
        <w:rPr>
          <w:rFonts w:hint="eastAsia" w:ascii="宋体"/>
          <w:b/>
          <w:bCs/>
          <w:sz w:val="36"/>
          <w:szCs w:val="32"/>
          <w:lang w:eastAsia="zh-CN"/>
        </w:rPr>
        <w:t>项目支出</w:t>
      </w:r>
      <w:r>
        <w:rPr>
          <w:rFonts w:hint="eastAsia" w:ascii="宋体"/>
          <w:b/>
          <w:bCs/>
          <w:sz w:val="36"/>
          <w:szCs w:val="32"/>
        </w:rPr>
        <w:t>绩效评价报告</w:t>
      </w:r>
    </w:p>
    <w:p w14:paraId="2CDC58AC">
      <w:pPr>
        <w:spacing w:line="360" w:lineRule="auto"/>
        <w:ind w:left="0" w:leftChars="0" w:right="0" w:rightChars="0" w:firstLine="0" w:firstLineChars="0"/>
        <w:jc w:val="both"/>
        <w:rPr>
          <w:rFonts w:hint="eastAsia" w:ascii="华文楷体" w:eastAsia="华文楷体"/>
          <w:sz w:val="32"/>
          <w:szCs w:val="32"/>
          <w:lang w:eastAsia="zh-CN"/>
        </w:rPr>
      </w:pPr>
    </w:p>
    <w:p w14:paraId="0A83524B">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根据《</w:t>
      </w:r>
      <w:r>
        <w:rPr>
          <w:rFonts w:hint="eastAsia" w:ascii="仿宋_GB2312" w:eastAsia="仿宋_GB2312"/>
          <w:sz w:val="32"/>
          <w:szCs w:val="32"/>
          <w:lang w:eastAsia="zh-CN"/>
        </w:rPr>
        <w:t>石家庄</w:t>
      </w:r>
    </w:p>
    <w:tbl>
      <w:tblPr>
        <w:tblW w:w="454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546"/>
      </w:tblGrid>
      <w:tr w14:paraId="7BFE2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4545" w:type="dxa"/>
            <w:tcBorders>
              <w:top w:val="single" w:color="000000" w:sz="4" w:space="0"/>
              <w:left w:val="single" w:color="000000" w:sz="4" w:space="0"/>
              <w:bottom w:val="single" w:color="000000" w:sz="4" w:space="0"/>
              <w:right w:val="single" w:color="000000" w:sz="4" w:space="0"/>
            </w:tcBorders>
            <w:shd w:val="clear"/>
            <w:vAlign w:val="center"/>
          </w:tcPr>
          <w:p w14:paraId="74A626DE">
            <w:pPr>
              <w:keepNext w:val="0"/>
              <w:keepLines w:val="0"/>
              <w:widowControl/>
              <w:suppressLineNumbers w:val="0"/>
              <w:jc w:val="center"/>
              <w:textAlignment w:val="center"/>
              <w:rPr>
                <w:rFonts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工作组人员通过对党代会召开全程无差错，</w:t>
            </w:r>
          </w:p>
        </w:tc>
      </w:tr>
    </w:tbl>
    <w:p w14:paraId="5386B937">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市鹿泉区区级部门预算绩效管理办法</w:t>
      </w:r>
      <w:r>
        <w:rPr>
          <w:rFonts w:hint="eastAsia" w:ascii="仿宋_GB2312" w:eastAsia="仿宋_GB2312"/>
          <w:sz w:val="32"/>
          <w:szCs w:val="32"/>
        </w:rPr>
        <w:t>》</w:t>
      </w:r>
      <w:r>
        <w:rPr>
          <w:rFonts w:hint="eastAsia" w:ascii="仿宋_GB2312" w:eastAsia="仿宋_GB2312"/>
          <w:sz w:val="32"/>
          <w:szCs w:val="32"/>
          <w:lang w:eastAsia="zh-CN"/>
        </w:rPr>
        <w:t>（鹿</w:t>
      </w:r>
      <w:r>
        <w:rPr>
          <w:rFonts w:hint="eastAsia" w:ascii="仿宋_GB2312" w:eastAsia="仿宋_GB2312"/>
          <w:sz w:val="32"/>
          <w:szCs w:val="32"/>
          <w:lang w:val="en-US" w:eastAsia="zh-CN"/>
        </w:rPr>
        <w:t>财字[2019]65号）</w:t>
      </w:r>
      <w:r>
        <w:rPr>
          <w:rFonts w:hint="eastAsia" w:ascii="仿宋_GB2312" w:eastAsia="仿宋_GB2312"/>
          <w:sz w:val="32"/>
          <w:szCs w:val="32"/>
        </w:rPr>
        <w:t>，遵循“科学性、规范性、客观性和公正性”的原则，对</w:t>
      </w:r>
      <w:r>
        <w:rPr>
          <w:rFonts w:hint="eastAsia" w:ascii="仿宋_GB2312" w:eastAsia="仿宋_GB2312"/>
          <w:sz w:val="32"/>
          <w:szCs w:val="32"/>
          <w:lang w:eastAsia="zh-CN"/>
        </w:rPr>
        <w:t>保密机要科</w:t>
      </w:r>
      <w:r>
        <w:rPr>
          <w:rFonts w:hint="eastAsia" w:ascii="仿宋_GB2312" w:eastAsia="仿宋_GB2312"/>
          <w:sz w:val="32"/>
          <w:szCs w:val="32"/>
          <w:lang w:val="en-US" w:eastAsia="zh-CN"/>
        </w:rPr>
        <w:t>2019年</w:t>
      </w:r>
      <w:r>
        <w:rPr>
          <w:rFonts w:hint="eastAsia" w:ascii="仿宋_GB2312" w:eastAsia="仿宋_GB2312"/>
          <w:sz w:val="32"/>
          <w:szCs w:val="32"/>
          <w:lang w:eastAsia="zh-CN"/>
        </w:rPr>
        <w:t>项目支出</w:t>
      </w:r>
      <w:r>
        <w:rPr>
          <w:rFonts w:hint="eastAsia" w:ascii="仿宋_GB2312" w:eastAsia="仿宋_GB2312"/>
          <w:sz w:val="32"/>
          <w:szCs w:val="32"/>
        </w:rPr>
        <w:t>实施了</w:t>
      </w:r>
      <w:r>
        <w:rPr>
          <w:rFonts w:hint="eastAsia" w:ascii="仿宋_GB2312" w:eastAsia="仿宋_GB2312"/>
          <w:sz w:val="32"/>
          <w:szCs w:val="32"/>
          <w:lang w:eastAsia="zh-CN"/>
        </w:rPr>
        <w:t>绩效</w:t>
      </w:r>
      <w:r>
        <w:rPr>
          <w:rFonts w:hint="eastAsia" w:ascii="仿宋_GB2312" w:eastAsia="仿宋_GB2312"/>
          <w:sz w:val="32"/>
          <w:szCs w:val="32"/>
        </w:rPr>
        <w:t>评价，形成本评价报告。</w:t>
      </w:r>
      <w:bookmarkStart w:id="0" w:name="_GoBack"/>
      <w:bookmarkEnd w:id="0"/>
    </w:p>
    <w:p w14:paraId="3A067CCC">
      <w:pPr>
        <w:adjustRightInd w:val="0"/>
        <w:snapToGrid w:val="0"/>
        <w:spacing w:line="360" w:lineRule="auto"/>
        <w:rPr>
          <w:rFonts w:hint="eastAsia" w:ascii="黑体" w:eastAsia="黑体"/>
          <w:b/>
          <w:bCs/>
          <w:sz w:val="32"/>
          <w:szCs w:val="36"/>
        </w:rPr>
      </w:pPr>
      <w:r>
        <w:rPr>
          <w:rFonts w:hint="eastAsia" w:ascii="黑体" w:eastAsia="黑体"/>
          <w:sz w:val="32"/>
          <w:szCs w:val="32"/>
          <w:lang w:val="en-US" w:eastAsia="zh-CN"/>
        </w:rPr>
        <w:t xml:space="preserve">    </w:t>
      </w:r>
      <w:r>
        <w:rPr>
          <w:rFonts w:hint="eastAsia" w:ascii="黑体" w:eastAsia="黑体"/>
          <w:b w:val="0"/>
          <w:bCs w:val="0"/>
          <w:sz w:val="32"/>
          <w:szCs w:val="32"/>
        </w:rPr>
        <w:t>一、</w:t>
      </w:r>
      <w:r>
        <w:rPr>
          <w:rFonts w:hint="eastAsia" w:ascii="黑体" w:eastAsia="黑体"/>
          <w:b w:val="0"/>
          <w:bCs w:val="0"/>
          <w:sz w:val="32"/>
          <w:szCs w:val="32"/>
          <w:lang w:eastAsia="zh-CN"/>
        </w:rPr>
        <w:t>项目</w:t>
      </w:r>
      <w:r>
        <w:rPr>
          <w:rFonts w:hint="eastAsia" w:ascii="黑体" w:eastAsia="黑体"/>
          <w:b w:val="0"/>
          <w:bCs w:val="0"/>
          <w:sz w:val="32"/>
          <w:szCs w:val="36"/>
        </w:rPr>
        <w:t>基本情况</w:t>
      </w:r>
    </w:p>
    <w:p w14:paraId="4246D94F">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楷体_GB2312" w:hAnsi="楷体_GB2312" w:eastAsia="楷体_GB2312" w:cs="楷体_GB2312"/>
          <w:b w:val="0"/>
          <w:bCs w:val="0"/>
          <w:sz w:val="32"/>
          <w:szCs w:val="32"/>
        </w:rPr>
        <w:t>（一）项目概况</w:t>
      </w:r>
    </w:p>
    <w:p w14:paraId="05B0A6AC">
      <w:pPr>
        <w:adjustRightInd w:val="0"/>
        <w:snapToGrid w:val="0"/>
        <w:spacing w:line="360" w:lineRule="auto"/>
        <w:ind w:firstLine="640" w:firstLineChars="200"/>
        <w:rPr>
          <w:rFonts w:hint="eastAsia" w:ascii="仿宋_GB2312" w:eastAsia="仿宋_GB2312"/>
          <w:sz w:val="32"/>
          <w:szCs w:val="32"/>
          <w:lang w:eastAsia="zh-CN"/>
        </w:rPr>
      </w:pPr>
      <w:r>
        <w:rPr>
          <w:rFonts w:hint="eastAsia" w:ascii="楷体" w:hAnsi="楷体" w:eastAsia="楷体" w:cs="楷体"/>
          <w:sz w:val="32"/>
          <w:szCs w:val="32"/>
        </w:rPr>
        <w:t>1</w:t>
      </w:r>
      <w:r>
        <w:rPr>
          <w:rFonts w:hint="eastAsia" w:ascii="楷体" w:hAnsi="楷体" w:eastAsia="楷体" w:cs="楷体"/>
          <w:sz w:val="32"/>
          <w:szCs w:val="32"/>
          <w:lang w:val="en-US" w:eastAsia="zh-CN"/>
        </w:rPr>
        <w:t>.</w:t>
      </w:r>
      <w:r>
        <w:rPr>
          <w:rFonts w:hint="eastAsia" w:ascii="楷体" w:hAnsi="楷体" w:eastAsia="楷体" w:cs="楷体"/>
          <w:sz w:val="32"/>
          <w:szCs w:val="32"/>
          <w:lang w:eastAsia="zh-CN"/>
        </w:rPr>
        <w:t>项目实施单位及项目立项等基本情况</w:t>
      </w:r>
      <w:r>
        <w:rPr>
          <w:rFonts w:hint="eastAsia" w:ascii="仿宋_GB2312" w:eastAsia="仿宋_GB2312"/>
          <w:sz w:val="32"/>
          <w:szCs w:val="32"/>
          <w:lang w:eastAsia="zh-CN"/>
        </w:rPr>
        <w:t>；</w:t>
      </w:r>
    </w:p>
    <w:p w14:paraId="6E23D849">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区委保密机要科“敏感信息实时监管系统”项目和信息安全“三合一”装置项目的实施单位为：石家庄拓达科贸有限公司。该项目根据《“十三五”时期石家庄市保密局保密事业发展规划》总体部署和省、市保密局要求及实际工作需要进行的立项。  </w:t>
      </w:r>
    </w:p>
    <w:p w14:paraId="59AD6FE6">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2.项目主要实施内容和范围；</w:t>
      </w:r>
    </w:p>
    <w:p w14:paraId="666CF6D8">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项目主要实施内容是为全区机关事业单位非涉密计算机安装敏感信息实时监管系统，涉密计算机安装“三合一”装置。实施范围为全区机关事业单位电脑。</w:t>
      </w:r>
    </w:p>
    <w:p w14:paraId="49F26270">
      <w:pPr>
        <w:numPr>
          <w:ilvl w:val="0"/>
          <w:numId w:val="1"/>
        </w:numPr>
        <w:adjustRightInd w:val="0"/>
        <w:snapToGrid w:val="0"/>
        <w:spacing w:line="360" w:lineRule="auto"/>
        <w:ind w:left="800" w:leftChars="0" w:firstLine="0" w:firstLineChars="0"/>
        <w:rPr>
          <w:rFonts w:hint="eastAsia" w:ascii="仿宋_GB2312" w:eastAsia="仿宋_GB2312"/>
          <w:sz w:val="32"/>
          <w:szCs w:val="32"/>
          <w:lang w:val="en-US" w:eastAsia="zh-CN"/>
        </w:rPr>
      </w:pPr>
      <w:r>
        <w:rPr>
          <w:rFonts w:hint="eastAsia" w:ascii="仿宋_GB2312" w:eastAsia="仿宋_GB2312"/>
          <w:sz w:val="32"/>
          <w:szCs w:val="32"/>
          <w:lang w:val="en-US" w:eastAsia="zh-CN"/>
        </w:rPr>
        <w:t>项目资金投入情况</w:t>
      </w:r>
    </w:p>
    <w:p w14:paraId="70B5D904">
      <w:pPr>
        <w:numPr>
          <w:ilvl w:val="0"/>
          <w:numId w:val="0"/>
        </w:numPr>
        <w:adjustRightInd w:val="0"/>
        <w:snapToGrid w:val="0"/>
        <w:spacing w:line="360" w:lineRule="auto"/>
        <w:ind w:left="800" w:leftChars="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该项目预算资金为</w:t>
      </w:r>
      <w:r>
        <w:rPr>
          <w:rFonts w:hint="eastAsia" w:ascii="仿宋_GB2312" w:hAnsi="仿宋_GB2312" w:eastAsia="仿宋_GB2312" w:cs="仿宋_GB2312"/>
          <w:b w:val="0"/>
          <w:bCs w:val="0"/>
          <w:sz w:val="32"/>
          <w:szCs w:val="32"/>
          <w:lang w:val="en-US" w:eastAsia="zh-CN"/>
        </w:rPr>
        <w:t>10万元，资金来源为区财政拨款。</w:t>
      </w:r>
    </w:p>
    <w:p w14:paraId="07E1380F">
      <w:pPr>
        <w:numPr>
          <w:ilvl w:val="0"/>
          <w:numId w:val="0"/>
        </w:numPr>
        <w:adjustRightInd w:val="0"/>
        <w:snapToGrid w:val="0"/>
        <w:spacing w:line="360" w:lineRule="auto"/>
        <w:ind w:left="800" w:leftChars="0"/>
        <w:rPr>
          <w:rFonts w:hint="eastAsia" w:ascii="楷体_GB2312" w:hAnsi="楷体_GB2312" w:eastAsia="楷体_GB2312" w:cs="楷体_GB2312"/>
          <w:b/>
          <w:bCs/>
          <w:sz w:val="32"/>
          <w:szCs w:val="32"/>
        </w:rPr>
      </w:pPr>
      <w:r>
        <w:rPr>
          <w:rFonts w:hint="eastAsia" w:ascii="楷体_GB2312" w:hAnsi="楷体_GB2312" w:eastAsia="楷体_GB2312" w:cs="楷体_GB2312"/>
          <w:b w:val="0"/>
          <w:bCs w:val="0"/>
          <w:sz w:val="32"/>
          <w:szCs w:val="32"/>
        </w:rPr>
        <w:t>（二）项目</w:t>
      </w:r>
      <w:r>
        <w:rPr>
          <w:rFonts w:hint="eastAsia" w:ascii="楷体_GB2312" w:hAnsi="楷体_GB2312" w:eastAsia="楷体_GB2312" w:cs="楷体_GB2312"/>
          <w:b w:val="0"/>
          <w:bCs w:val="0"/>
          <w:sz w:val="32"/>
          <w:szCs w:val="32"/>
          <w:lang w:eastAsia="zh-CN"/>
        </w:rPr>
        <w:t>预期</w:t>
      </w:r>
      <w:r>
        <w:rPr>
          <w:rFonts w:hint="eastAsia" w:ascii="楷体_GB2312" w:hAnsi="楷体_GB2312" w:eastAsia="楷体_GB2312" w:cs="楷体_GB2312"/>
          <w:b w:val="0"/>
          <w:bCs w:val="0"/>
          <w:sz w:val="32"/>
          <w:szCs w:val="32"/>
        </w:rPr>
        <w:t>绩效目标</w:t>
      </w:r>
    </w:p>
    <w:p w14:paraId="3631B5F1">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项目</w:t>
      </w:r>
      <w:r>
        <w:rPr>
          <w:rFonts w:hint="eastAsia" w:ascii="仿宋_GB2312" w:eastAsia="仿宋_GB2312"/>
          <w:sz w:val="32"/>
          <w:szCs w:val="32"/>
          <w:lang w:eastAsia="zh-CN"/>
        </w:rPr>
        <w:t>预期</w:t>
      </w:r>
      <w:r>
        <w:rPr>
          <w:rFonts w:hint="eastAsia" w:ascii="仿宋_GB2312" w:eastAsia="仿宋_GB2312"/>
          <w:sz w:val="32"/>
          <w:szCs w:val="32"/>
        </w:rPr>
        <w:t>绩效</w:t>
      </w:r>
      <w:r>
        <w:rPr>
          <w:rFonts w:hint="eastAsia" w:ascii="仿宋_GB2312" w:eastAsia="仿宋_GB2312"/>
          <w:sz w:val="32"/>
          <w:szCs w:val="32"/>
          <w:lang w:eastAsia="zh-CN"/>
        </w:rPr>
        <w:t>总</w:t>
      </w:r>
      <w:r>
        <w:rPr>
          <w:rFonts w:hint="eastAsia" w:ascii="仿宋_GB2312" w:eastAsia="仿宋_GB2312"/>
          <w:sz w:val="32"/>
          <w:szCs w:val="32"/>
        </w:rPr>
        <w:t>目标</w:t>
      </w:r>
      <w:r>
        <w:rPr>
          <w:rFonts w:hint="eastAsia" w:ascii="仿宋_GB2312" w:eastAsia="仿宋_GB2312"/>
          <w:sz w:val="32"/>
          <w:szCs w:val="32"/>
          <w:lang w:eastAsia="zh-CN"/>
        </w:rPr>
        <w:t>为加强非涉密计算机和涉密计算机安全保障能力。</w:t>
      </w:r>
    </w:p>
    <w:p w14:paraId="13E0B7B0">
      <w:pPr>
        <w:adjustRightInd w:val="0"/>
        <w:snapToGrid w:val="0"/>
        <w:spacing w:line="360" w:lineRule="auto"/>
        <w:ind w:firstLine="643" w:firstLineChars="200"/>
        <w:rPr>
          <w:rFonts w:hint="eastAsia" w:ascii="楷体_GB2312" w:hAnsi="楷体_GB2312" w:eastAsia="楷体_GB2312" w:cs="楷体_GB2312"/>
          <w:sz w:val="32"/>
          <w:szCs w:val="32"/>
          <w:lang w:val="en-US" w:eastAsia="zh-CN"/>
        </w:rPr>
      </w:pPr>
      <w:r>
        <w:rPr>
          <w:rFonts w:hint="eastAsia" w:ascii="黑体" w:hAnsi="黑体" w:eastAsia="黑体" w:cs="黑体"/>
          <w:b/>
          <w:bCs/>
          <w:sz w:val="32"/>
          <w:szCs w:val="32"/>
          <w:lang w:eastAsia="zh-CN"/>
        </w:rPr>
        <w:t>二、绩效评价工作情况</w:t>
      </w:r>
    </w:p>
    <w:p w14:paraId="4AD0B693">
      <w:pPr>
        <w:numPr>
          <w:ilvl w:val="0"/>
          <w:numId w:val="0"/>
        </w:numPr>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区委办评价工作人员通过对敏感信息系统监管平台和“三合一”装置的正常运行，可长期使用情况进行综合评介。</w:t>
      </w:r>
    </w:p>
    <w:p w14:paraId="48DF038B">
      <w:pPr>
        <w:rPr>
          <w:rFonts w:hint="eastAsia" w:ascii="黑体" w:hAnsi="黑体" w:eastAsia="黑体" w:cs="黑体"/>
          <w:b/>
          <w:bCs/>
          <w:sz w:val="32"/>
          <w:szCs w:val="32"/>
          <w:lang w:eastAsia="zh-CN"/>
        </w:rPr>
      </w:pPr>
      <w:r>
        <w:rPr>
          <w:rFonts w:hint="eastAsia" w:ascii="仿宋_GB2312" w:eastAsia="仿宋_GB2312"/>
          <w:b/>
          <w:bCs/>
          <w:sz w:val="32"/>
          <w:szCs w:val="32"/>
          <w:lang w:val="en-US" w:eastAsia="zh-CN"/>
        </w:rPr>
        <w:t xml:space="preserve">    </w:t>
      </w: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项目执行及绩效实现情况</w:t>
      </w:r>
    </w:p>
    <w:p w14:paraId="683D6D43">
      <w:pPr>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 xml:space="preserve">   （一）项目投入</w:t>
      </w:r>
    </w:p>
    <w:p w14:paraId="3049424B">
      <w:p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1.该</w:t>
      </w:r>
      <w:r>
        <w:rPr>
          <w:rFonts w:hint="default" w:ascii="仿宋_GB2312" w:eastAsia="仿宋_GB2312"/>
          <w:b w:val="0"/>
          <w:bCs w:val="0"/>
          <w:sz w:val="32"/>
          <w:szCs w:val="32"/>
          <w:lang w:val="en-US" w:eastAsia="zh-CN"/>
        </w:rPr>
        <w:t>项目</w:t>
      </w:r>
      <w:r>
        <w:rPr>
          <w:rFonts w:hint="eastAsia" w:ascii="仿宋_GB2312" w:eastAsia="仿宋_GB2312"/>
          <w:b w:val="0"/>
          <w:bCs w:val="0"/>
          <w:sz w:val="32"/>
          <w:szCs w:val="32"/>
          <w:lang w:val="en-US" w:eastAsia="zh-CN"/>
        </w:rPr>
        <w:t>的申请、实施过程符合相关规定，所设的绩效目标依据充分、符合客观实际，绩效指标清晰、细化可衡量。根据指标体系评分标准可评100分。</w:t>
      </w:r>
    </w:p>
    <w:p w14:paraId="7E8E6845">
      <w:p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2.实际到位资金与计划投入资金的比率与到位及时率，根据指标体系评分标准可评100分。</w:t>
      </w:r>
    </w:p>
    <w:p w14:paraId="771A282E">
      <w:pPr>
        <w:rPr>
          <w:rFonts w:hint="eastAsia" w:ascii="楷体_GB2312" w:hAnsi="楷体_GB2312" w:eastAsia="楷体_GB2312" w:cs="楷体_GB2312"/>
          <w:b w:val="0"/>
          <w:bCs w:val="0"/>
          <w:sz w:val="32"/>
          <w:szCs w:val="32"/>
          <w:lang w:val="en-US" w:eastAsia="zh-CN"/>
        </w:rPr>
      </w:pPr>
      <w:r>
        <w:rPr>
          <w:rFonts w:hint="eastAsia" w:ascii="仿宋_GB2312" w:eastAsia="仿宋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eastAsia="zh-CN"/>
        </w:rPr>
        <w:t>（二）项目实施过程</w:t>
      </w:r>
    </w:p>
    <w:p w14:paraId="4F48DD45">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1.我单位管理制度健全性、制度执行有效性和项目质量可控性等情况进行分析后，根据指标体系评分标准计算分值可评100分。</w:t>
      </w:r>
    </w:p>
    <w:p w14:paraId="14C32CA7">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2.我单位对财务管理制度健全性、资金使用合规性和财务监控有效性等情况进行分析后，根据指标体系评分标准计算分值可评100分。</w:t>
      </w:r>
    </w:p>
    <w:p w14:paraId="103AD6D4">
      <w:pPr>
        <w:numPr>
          <w:ilvl w:val="0"/>
          <w:numId w:val="0"/>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 xml:space="preserve">   </w:t>
      </w:r>
      <w:r>
        <w:rPr>
          <w:rFonts w:hint="eastAsia" w:ascii="楷体_GB2312" w:hAnsi="楷体_GB2312" w:eastAsia="楷体_GB2312" w:cs="楷体_GB2312"/>
          <w:b w:val="0"/>
          <w:bCs w:val="0"/>
          <w:sz w:val="32"/>
          <w:szCs w:val="32"/>
          <w:lang w:val="en-US" w:eastAsia="zh-CN"/>
        </w:rPr>
        <w:t>（三）项目产出</w:t>
      </w:r>
    </w:p>
    <w:p w14:paraId="4DD53178">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可保障我区机关事业单位涉密信息的绝对安全，根据指标体系评分标准计算分值可评100分。</w:t>
      </w:r>
    </w:p>
    <w:p w14:paraId="34F81F6C">
      <w:pPr>
        <w:numPr>
          <w:ilvl w:val="0"/>
          <w:numId w:val="0"/>
        </w:numPr>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val="0"/>
          <w:bCs w:val="0"/>
          <w:sz w:val="32"/>
          <w:szCs w:val="32"/>
          <w:lang w:val="en-US" w:eastAsia="zh-CN"/>
        </w:rPr>
        <w:t>（四）项目效果</w:t>
      </w:r>
    </w:p>
    <w:p w14:paraId="076AD184">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可保障区委办保密机要科长期使用，服务对象满意度可达100%，根据指标体系评分标准可评100分。</w:t>
      </w:r>
    </w:p>
    <w:p w14:paraId="4DD4656E">
      <w:pPr>
        <w:numPr>
          <w:ilvl w:val="0"/>
          <w:numId w:val="0"/>
        </w:numPr>
        <w:ind w:firstLine="640" w:firstLineChars="200"/>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四、项目综合评价结论和评价等级</w:t>
      </w:r>
    </w:p>
    <w:p w14:paraId="342031B6">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根据项目执行情况和项目绩效情况，给出总得分，</w:t>
      </w:r>
      <w:r>
        <w:rPr>
          <w:rFonts w:hint="eastAsia" w:ascii="仿宋_GB2312" w:eastAsia="仿宋_GB2312"/>
          <w:sz w:val="32"/>
          <w:szCs w:val="32"/>
        </w:rPr>
        <w:t>指标体系设定满分100分，</w:t>
      </w:r>
      <w:r>
        <w:rPr>
          <w:rFonts w:hint="eastAsia" w:ascii="仿宋_GB2312" w:eastAsia="仿宋_GB2312"/>
          <w:b w:val="0"/>
          <w:bCs w:val="0"/>
          <w:sz w:val="32"/>
          <w:szCs w:val="32"/>
          <w:lang w:val="en-US" w:eastAsia="zh-CN"/>
        </w:rPr>
        <w:t>得出综合评价结论和项目综合绩效评价等级。项目综合绩效评价分为4个等级：</w:t>
      </w:r>
      <w:r>
        <w:rPr>
          <w:rFonts w:hint="eastAsia" w:ascii="仿宋_GB2312" w:eastAsia="仿宋_GB2312"/>
          <w:sz w:val="32"/>
          <w:szCs w:val="32"/>
        </w:rPr>
        <w:t>得分</w:t>
      </w:r>
      <w:r>
        <w:rPr>
          <w:rFonts w:hint="default" w:ascii="Arial" w:hAnsi="Arial" w:eastAsia="仿宋_GB2312" w:cs="Arial"/>
          <w:sz w:val="32"/>
          <w:szCs w:val="32"/>
        </w:rPr>
        <w:t>≥</w:t>
      </w:r>
      <w:r>
        <w:rPr>
          <w:rFonts w:hint="eastAsia" w:ascii="仿宋_GB2312" w:eastAsia="仿宋_GB2312"/>
          <w:sz w:val="32"/>
          <w:szCs w:val="32"/>
        </w:rPr>
        <w:t>85分为优秀；75</w:t>
      </w:r>
      <w:r>
        <w:rPr>
          <w:rFonts w:hint="default" w:ascii="Arial" w:hAnsi="Arial" w:eastAsia="仿宋_GB2312" w:cs="Arial"/>
          <w:sz w:val="32"/>
          <w:szCs w:val="32"/>
        </w:rPr>
        <w:t>≤</w:t>
      </w:r>
      <w:r>
        <w:rPr>
          <w:rFonts w:hint="eastAsia" w:ascii="仿宋_GB2312" w:eastAsia="仿宋_GB2312"/>
          <w:sz w:val="32"/>
          <w:szCs w:val="32"/>
          <w:lang w:eastAsia="zh-CN"/>
        </w:rPr>
        <w:t>得分</w:t>
      </w:r>
      <w:r>
        <w:rPr>
          <w:rFonts w:hint="eastAsia" w:ascii="仿宋_GB2312" w:hAnsi="仿宋_GB2312" w:eastAsia="仿宋_GB2312"/>
          <w:sz w:val="32"/>
          <w:szCs w:val="32"/>
          <w:lang w:eastAsia="zh-CN"/>
        </w:rPr>
        <w:t>＜</w:t>
      </w:r>
      <w:r>
        <w:rPr>
          <w:rFonts w:hint="eastAsia" w:ascii="仿宋_GB2312" w:eastAsia="仿宋_GB2312"/>
          <w:sz w:val="32"/>
          <w:szCs w:val="32"/>
        </w:rPr>
        <w:t>8</w:t>
      </w:r>
      <w:r>
        <w:rPr>
          <w:rFonts w:hint="eastAsia" w:ascii="仿宋_GB2312" w:eastAsia="仿宋_GB2312"/>
          <w:sz w:val="32"/>
          <w:szCs w:val="32"/>
          <w:lang w:val="en-US" w:eastAsia="zh-CN"/>
        </w:rPr>
        <w:t>5</w:t>
      </w:r>
      <w:r>
        <w:rPr>
          <w:rFonts w:hint="eastAsia" w:ascii="仿宋_GB2312" w:eastAsia="仿宋_GB2312"/>
          <w:sz w:val="32"/>
          <w:szCs w:val="32"/>
        </w:rPr>
        <w:t>分为良好；60</w:t>
      </w:r>
      <w:r>
        <w:rPr>
          <w:rFonts w:hint="default" w:ascii="Arial" w:hAnsi="Arial" w:eastAsia="仿宋_GB2312" w:cs="Arial"/>
          <w:sz w:val="32"/>
          <w:szCs w:val="32"/>
        </w:rPr>
        <w:t>≤</w:t>
      </w:r>
      <w:r>
        <w:rPr>
          <w:rFonts w:hint="eastAsia" w:ascii="仿宋_GB2312" w:eastAsia="仿宋_GB2312"/>
          <w:sz w:val="32"/>
          <w:szCs w:val="32"/>
          <w:lang w:eastAsia="zh-CN"/>
        </w:rPr>
        <w:t>得分</w:t>
      </w:r>
      <w:r>
        <w:rPr>
          <w:rFonts w:hint="eastAsia" w:ascii="仿宋_GB2312" w:hAnsi="仿宋_GB2312" w:eastAsia="仿宋_GB2312"/>
          <w:sz w:val="32"/>
          <w:szCs w:val="32"/>
          <w:lang w:eastAsia="zh-CN"/>
        </w:rPr>
        <w:t>＜</w:t>
      </w:r>
      <w:r>
        <w:rPr>
          <w:rFonts w:hint="eastAsia" w:ascii="仿宋_GB2312" w:eastAsia="仿宋_GB2312"/>
          <w:sz w:val="32"/>
          <w:szCs w:val="32"/>
        </w:rPr>
        <w:t>7</w:t>
      </w:r>
      <w:r>
        <w:rPr>
          <w:rFonts w:hint="eastAsia" w:ascii="仿宋_GB2312" w:eastAsia="仿宋_GB2312"/>
          <w:sz w:val="32"/>
          <w:szCs w:val="32"/>
          <w:lang w:val="en-US" w:eastAsia="zh-CN"/>
        </w:rPr>
        <w:t>5</w:t>
      </w:r>
      <w:r>
        <w:rPr>
          <w:rFonts w:hint="eastAsia" w:ascii="仿宋_GB2312" w:eastAsia="仿宋_GB2312"/>
          <w:sz w:val="32"/>
          <w:szCs w:val="32"/>
        </w:rPr>
        <w:t>分为一般；</w:t>
      </w:r>
      <w:r>
        <w:rPr>
          <w:rFonts w:hint="eastAsia" w:ascii="仿宋_GB2312" w:eastAsia="仿宋_GB2312"/>
          <w:sz w:val="32"/>
          <w:szCs w:val="32"/>
          <w:lang w:eastAsia="zh-CN"/>
        </w:rPr>
        <w:t>得分</w:t>
      </w:r>
      <w:r>
        <w:rPr>
          <w:rFonts w:hint="eastAsia" w:ascii="仿宋_GB2312" w:hAnsi="仿宋_GB2312" w:eastAsia="仿宋_GB2312"/>
          <w:sz w:val="32"/>
          <w:szCs w:val="32"/>
          <w:lang w:eastAsia="zh-CN"/>
        </w:rPr>
        <w:t>＜</w:t>
      </w:r>
      <w:r>
        <w:rPr>
          <w:rFonts w:hint="eastAsia" w:ascii="仿宋_GB2312" w:eastAsia="仿宋_GB2312"/>
          <w:sz w:val="32"/>
          <w:szCs w:val="32"/>
        </w:rPr>
        <w:t>60分为较差。</w:t>
      </w:r>
      <w:r>
        <w:rPr>
          <w:rFonts w:hint="eastAsia" w:ascii="仿宋_GB2312" w:eastAsia="仿宋_GB2312"/>
          <w:sz w:val="32"/>
          <w:szCs w:val="32"/>
          <w:lang w:eastAsia="zh-CN"/>
        </w:rPr>
        <w:t>综合上述指标该项目评分</w:t>
      </w:r>
      <w:r>
        <w:rPr>
          <w:rFonts w:hint="eastAsia" w:ascii="仿宋_GB2312" w:eastAsia="仿宋_GB2312"/>
          <w:sz w:val="32"/>
          <w:szCs w:val="32"/>
          <w:lang w:val="en-US" w:eastAsia="zh-CN"/>
        </w:rPr>
        <w:t>100分。</w:t>
      </w:r>
    </w:p>
    <w:p w14:paraId="44732E1C">
      <w:pPr>
        <w:numPr>
          <w:ilvl w:val="0"/>
          <w:numId w:val="0"/>
        </w:numPr>
        <w:ind w:firstLine="640" w:firstLineChars="200"/>
        <w:rPr>
          <w:rFonts w:hint="eastAsia" w:ascii="仿宋_GB2312" w:eastAsia="仿宋_GB2312"/>
          <w:b w:val="0"/>
          <w:bCs w:val="0"/>
          <w:sz w:val="32"/>
          <w:szCs w:val="32"/>
          <w:lang w:val="en-US" w:eastAsia="zh-CN"/>
        </w:rPr>
      </w:pPr>
      <w:r>
        <w:rPr>
          <w:rFonts w:hint="eastAsia" w:ascii="黑体" w:hAnsi="黑体" w:eastAsia="黑体"/>
          <w:b w:val="0"/>
          <w:bCs w:val="0"/>
          <w:sz w:val="32"/>
          <w:szCs w:val="32"/>
          <w:lang w:val="en-US" w:eastAsia="zh-CN"/>
        </w:rPr>
        <w:t>五、存在的问题及改进措施</w:t>
      </w:r>
    </w:p>
    <w:p w14:paraId="3D3954B8">
      <w:pPr>
        <w:numPr>
          <w:ilvl w:val="0"/>
          <w:numId w:val="0"/>
        </w:numPr>
        <w:rPr>
          <w:rFonts w:hint="eastAsia" w:ascii="楷体_GB2312" w:hAnsi="楷体_GB2312" w:eastAsia="楷体_GB2312"/>
          <w:b w:val="0"/>
          <w:bCs w:val="0"/>
          <w:sz w:val="32"/>
          <w:szCs w:val="32"/>
          <w:lang w:val="en-US" w:eastAsia="zh-CN"/>
        </w:rPr>
      </w:pPr>
      <w:r>
        <w:rPr>
          <w:rFonts w:hint="eastAsia" w:ascii="楷体_GB2312" w:hAnsi="楷体_GB2312" w:eastAsia="楷体_GB2312"/>
          <w:b/>
          <w:bCs/>
          <w:sz w:val="32"/>
          <w:szCs w:val="32"/>
          <w:lang w:val="en-US" w:eastAsia="zh-CN"/>
        </w:rPr>
        <w:t xml:space="preserve">    </w:t>
      </w:r>
      <w:r>
        <w:rPr>
          <w:rFonts w:hint="eastAsia" w:ascii="楷体_GB2312" w:hAnsi="楷体_GB2312" w:eastAsia="楷体_GB2312"/>
          <w:b w:val="0"/>
          <w:bCs w:val="0"/>
          <w:sz w:val="32"/>
          <w:szCs w:val="32"/>
          <w:lang w:val="en-US" w:eastAsia="zh-CN"/>
        </w:rPr>
        <w:t>该项目不存在任何问题</w:t>
      </w:r>
    </w:p>
    <w:p w14:paraId="1EFF219E">
      <w:pPr>
        <w:numPr>
          <w:ilvl w:val="0"/>
          <w:numId w:val="2"/>
        </w:numPr>
        <w:adjustRightInd w:val="0"/>
        <w:snapToGrid w:val="0"/>
        <w:spacing w:line="360" w:lineRule="auto"/>
        <w:ind w:firstLine="640" w:firstLineChars="200"/>
        <w:rPr>
          <w:rFonts w:hint="eastAsia" w:ascii="仿宋_GB2312" w:eastAsia="仿宋_GB2312"/>
          <w:sz w:val="32"/>
          <w:szCs w:val="32"/>
        </w:rPr>
      </w:pPr>
      <w:r>
        <w:rPr>
          <w:rFonts w:hint="eastAsia" w:ascii="黑体" w:eastAsia="黑体"/>
          <w:b w:val="0"/>
          <w:bCs w:val="0"/>
          <w:sz w:val="32"/>
          <w:szCs w:val="32"/>
        </w:rPr>
        <w:t>评价工作组人员名单及签字</w:t>
      </w:r>
      <w:r>
        <w:rPr>
          <w:rFonts w:hint="eastAsia" w:ascii="仿宋_GB2312" w:eastAsia="仿宋_GB2312"/>
          <w:sz w:val="32"/>
          <w:szCs w:val="32"/>
        </w:rPr>
        <w:t>（姓名、工作单位、职务、职称）</w:t>
      </w:r>
    </w:p>
    <w:p w14:paraId="3DECED32">
      <w:pPr>
        <w:numPr>
          <w:ilvl w:val="0"/>
          <w:numId w:val="0"/>
        </w:numPr>
        <w:adjustRightInd w:val="0"/>
        <w:snapToGrid w:val="0"/>
        <w:spacing w:line="360" w:lineRule="auto"/>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刘军，鹿泉区委办保密机要科负责人。</w:t>
      </w:r>
    </w:p>
    <w:p w14:paraId="428C8208">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黄玉辉，鹿泉区委办公室，科员</w:t>
      </w:r>
    </w:p>
    <w:p w14:paraId="0705CE77">
      <w:pPr>
        <w:rPr>
          <w:rFonts w:hint="default" w:ascii="仿宋_GB2312" w:eastAsia="仿宋_GB2312"/>
          <w:sz w:val="32"/>
          <w:szCs w:val="32"/>
          <w:lang w:val="en-US" w:eastAsia="zh-CN"/>
        </w:rPr>
      </w:pPr>
    </w:p>
    <w:p w14:paraId="20B9D879">
      <w:pPr>
        <w:rPr>
          <w:rFonts w:hint="eastAsia" w:ascii="仿宋_GB2312" w:eastAsia="仿宋_GB2312"/>
          <w:sz w:val="32"/>
          <w:szCs w:val="32"/>
          <w:lang w:val="en-US" w:eastAsia="zh-CN"/>
        </w:rPr>
      </w:pPr>
    </w:p>
    <w:p w14:paraId="147D25F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附件：</w:t>
      </w:r>
      <w:r>
        <w:rPr>
          <w:rFonts w:hint="default" w:ascii="仿宋_GB2312" w:hAnsi="宋体" w:eastAsia="仿宋_GB2312"/>
          <w:sz w:val="32"/>
          <w:szCs w:val="32"/>
          <w:lang w:val="en-US" w:eastAsia="zh-CN"/>
        </w:rPr>
        <w:t>项目支出绩效评价共性指标体系框架</w:t>
      </w:r>
    </w:p>
    <w:p w14:paraId="287401E6">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49B3FBB4">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75214D47">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60F278F8">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64498BDF">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6721116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29F29A90">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22A386C3">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r>
        <w:rPr>
          <w:rFonts w:hint="eastAsia" w:ascii="黑体" w:hAnsi="黑体" w:eastAsia="黑体" w:cs="黑体"/>
          <w:sz w:val="32"/>
          <w:szCs w:val="32"/>
          <w:lang w:val="en-US" w:eastAsia="zh-CN"/>
        </w:rPr>
        <w:t>附件</w:t>
      </w:r>
    </w:p>
    <w:p w14:paraId="5B53C2C3">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p>
    <w:p w14:paraId="338CA9E0">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3" w:firstLineChars="200"/>
        <w:jc w:val="both"/>
        <w:textAlignment w:val="auto"/>
        <w:outlineLvl w:val="9"/>
        <w:rPr>
          <w:rFonts w:hint="eastAsia" w:ascii="宋体" w:hAnsi="宋体" w:eastAsia="宋体"/>
          <w:b/>
          <w:i w:val="0"/>
          <w:snapToGrid/>
          <w:color w:val="000000"/>
          <w:sz w:val="32"/>
          <w:u w:val="none"/>
          <w:shd w:val="clear" w:color="auto" w:fill="FFFFFF"/>
          <w:lang w:val="en-US" w:eastAsia="zh-CN"/>
        </w:rPr>
      </w:pPr>
      <w:r>
        <w:rPr>
          <w:rFonts w:hint="eastAsia" w:ascii="宋体" w:hAnsi="宋体"/>
          <w:b/>
          <w:i w:val="0"/>
          <w:snapToGrid/>
          <w:color w:val="000000"/>
          <w:sz w:val="32"/>
          <w:u w:val="none"/>
          <w:shd w:val="clear" w:color="auto" w:fill="FFFFFF"/>
          <w:lang w:val="en-US" w:eastAsia="zh-CN"/>
        </w:rPr>
        <w:t xml:space="preserve">      </w:t>
      </w:r>
      <w:r>
        <w:rPr>
          <w:rFonts w:hint="default" w:ascii="宋体" w:hAnsi="宋体" w:eastAsia="宋体"/>
          <w:b/>
          <w:i w:val="0"/>
          <w:snapToGrid/>
          <w:color w:val="000000"/>
          <w:sz w:val="32"/>
          <w:u w:val="none"/>
          <w:shd w:val="clear" w:color="auto" w:fill="FFFFFF"/>
          <w:lang w:eastAsia="zh-CN"/>
        </w:rPr>
        <w:t>项目支出绩效评价共性指标体系框架</w:t>
      </w:r>
    </w:p>
    <w:tbl>
      <w:tblPr>
        <w:tblStyle w:val="4"/>
        <w:tblW w:w="8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778"/>
        <w:gridCol w:w="818"/>
        <w:gridCol w:w="2414"/>
        <w:gridCol w:w="3894"/>
      </w:tblGrid>
      <w:tr w14:paraId="4BC2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blHeader/>
        </w:trPr>
        <w:tc>
          <w:tcPr>
            <w:tcW w:w="7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5CBC15">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一级</w:t>
            </w:r>
            <w:r>
              <w:rPr>
                <w:rFonts w:hint="default" w:ascii="楷体_GB2312" w:hAnsi="楷体_GB2312" w:eastAsia="楷体_GB2312"/>
                <w:b/>
                <w:i w:val="0"/>
                <w:snapToGrid/>
                <w:color w:val="000000"/>
                <w:sz w:val="24"/>
                <w:szCs w:val="28"/>
                <w:u w:val="none"/>
                <w:shd w:val="clear" w:color="auto" w:fill="FFFFFF"/>
                <w:lang w:eastAsia="zh-CN"/>
              </w:rPr>
              <w:br w:type="textWrapping"/>
            </w:r>
            <w:r>
              <w:rPr>
                <w:rFonts w:hint="default" w:ascii="楷体_GB2312" w:hAnsi="楷体_GB2312" w:eastAsia="楷体_GB2312"/>
                <w:b/>
                <w:i w:val="0"/>
                <w:snapToGrid/>
                <w:color w:val="000000"/>
                <w:sz w:val="24"/>
                <w:szCs w:val="28"/>
                <w:u w:val="none"/>
                <w:shd w:val="clear" w:color="auto" w:fill="FFFFFF"/>
                <w:lang w:eastAsia="zh-CN"/>
              </w:rPr>
              <w:t>指标</w:t>
            </w:r>
          </w:p>
        </w:tc>
        <w:tc>
          <w:tcPr>
            <w:tcW w:w="77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38B3B1">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二级</w:t>
            </w:r>
            <w:r>
              <w:rPr>
                <w:rFonts w:hint="default" w:ascii="楷体_GB2312" w:hAnsi="楷体_GB2312" w:eastAsia="楷体_GB2312"/>
                <w:b/>
                <w:i w:val="0"/>
                <w:snapToGrid/>
                <w:color w:val="000000"/>
                <w:sz w:val="24"/>
                <w:szCs w:val="28"/>
                <w:u w:val="none"/>
                <w:shd w:val="clear" w:color="auto" w:fill="FFFFFF"/>
                <w:lang w:eastAsia="zh-CN"/>
              </w:rPr>
              <w:br w:type="textWrapping"/>
            </w:r>
            <w:r>
              <w:rPr>
                <w:rFonts w:hint="default" w:ascii="楷体_GB2312" w:hAnsi="楷体_GB2312" w:eastAsia="楷体_GB2312"/>
                <w:b/>
                <w:i w:val="0"/>
                <w:snapToGrid/>
                <w:color w:val="000000"/>
                <w:sz w:val="24"/>
                <w:szCs w:val="28"/>
                <w:u w:val="none"/>
                <w:shd w:val="clear" w:color="auto" w:fill="FFFFFF"/>
                <w:lang w:eastAsia="zh-CN"/>
              </w:rPr>
              <w:t>指标</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8EEC57">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三级指标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6E378B">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指标解释</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441C78">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指标说明</w:t>
            </w:r>
          </w:p>
        </w:tc>
      </w:tr>
      <w:tr w14:paraId="202A9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74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CC8B9F0">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投   入</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CF181A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立项</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A84ADF">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项目立项规范性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2684A6">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项目的申请、设立过程是否符合相关要求，用以反映和考核项目立项的规范情况。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D7F83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①项目是否按照规定的程序申请设立；</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②所提交的文件、材料是否符合相关要求；</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③事前是否已经过必要的可行性研究、专家论证、风险评估、集体决策等。</w:t>
            </w:r>
          </w:p>
        </w:tc>
      </w:tr>
      <w:tr w14:paraId="64354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5"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19DCE12">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975CA5B">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584EA9">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绩效目标合理性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5E9F64">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项目所设定的绩效目标是否依据充分，是否符合客观实际，用以反映和考核项目绩效目标与项目实施的相符情况。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D98BD0">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①是否符合国家相关法律法规、国民经济发展规划和党委政府决策；</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②是否与项目实施单位或委托单位职责密切相关；</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③项目是否为促进事业发展所必需；</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④项目预期产出效益和效果是否符合正常的业绩水平。</w:t>
            </w:r>
          </w:p>
        </w:tc>
      </w:tr>
      <w:tr w14:paraId="1687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BEA2E96">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03432BC">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90DE43">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绩效指标明确性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991796">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依据绩效目标设定的绩效指标是否清晰、细化、可衡量等，用以反映和考核项目绩效目标的明细化情况。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C4FD1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①是否将项目绩效目标细化分解为具体的绩效指标；</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②是否通过清晰、可衡量的指标值予以体现；</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③是否与项目年度任务数或计划数相对应；</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④是否与预算确定的项目投资额或资金量相匹配。</w:t>
            </w:r>
          </w:p>
        </w:tc>
      </w:tr>
      <w:tr w14:paraId="0DC8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296E17C">
            <w:pPr>
              <w:rPr>
                <w:rFonts w:hint="default"/>
                <w:sz w:val="22"/>
              </w:rPr>
            </w:pP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4FAFF42">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落实</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BC233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资金到位率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24385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实际到位资金与计划投入资金的比率，用以反映和考核资金落实情况对项目实施的总体保障程度。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2AA318">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资金到位率=（实际到位资金/计划投入资金）×100%。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实际到位资金：一定时期（本年度或项目期）内实际落实到具体项目的资金。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计划投入资金：一定时期（本年度或项目期）内计划投入到具体项目的资金。</w:t>
            </w:r>
          </w:p>
        </w:tc>
      </w:tr>
      <w:tr w14:paraId="1B1AD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7" w:hRule="atLeast"/>
        </w:trPr>
        <w:tc>
          <w:tcPr>
            <w:tcW w:w="742" w:type="dxa"/>
            <w:vMerge w:val="continue"/>
            <w:tcBorders>
              <w:top w:val="single" w:color="000000" w:sz="4" w:space="0"/>
              <w:left w:val="single" w:color="000000" w:sz="4" w:space="0"/>
              <w:bottom w:val="single" w:color="auto" w:sz="4" w:space="0"/>
              <w:right w:val="single" w:color="000000" w:sz="4" w:space="0"/>
            </w:tcBorders>
            <w:shd w:val="solid" w:color="FFFFFF" w:fill="auto"/>
            <w:vAlign w:val="center"/>
          </w:tcPr>
          <w:p w14:paraId="7AF7BFD1">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20D223">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A021A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到位及时率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7B0806">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及时到位资金与应到位资金的比率，用以反映和考核项目资金落实的及时性程度。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8C976A">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到位及时率=（及时到位资金/应到位资金）×100%。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及时到位资金：截至规定时点实际落实到具体项目的资金。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应到位资金：按照合同或项目进度要求截至规定时点应落实到具体项目的资金。</w:t>
            </w:r>
          </w:p>
        </w:tc>
      </w:tr>
      <w:tr w14:paraId="577B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742" w:type="dxa"/>
            <w:vMerge w:val="restart"/>
            <w:tcBorders>
              <w:top w:val="single" w:color="auto" w:sz="4" w:space="0"/>
              <w:left w:val="single" w:color="auto" w:sz="4" w:space="0"/>
              <w:bottom w:val="single" w:color="auto" w:sz="4" w:space="0"/>
              <w:right w:val="single" w:color="auto" w:sz="4" w:space="0"/>
            </w:tcBorders>
            <w:shd w:val="solid" w:color="FFFFFF" w:fill="auto"/>
            <w:vAlign w:val="center"/>
          </w:tcPr>
          <w:p w14:paraId="0FBEF025">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过   程</w:t>
            </w:r>
          </w:p>
          <w:p w14:paraId="34C0AD3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p>
        </w:tc>
        <w:tc>
          <w:tcPr>
            <w:tcW w:w="778" w:type="dxa"/>
            <w:vMerge w:val="restart"/>
            <w:tcBorders>
              <w:top w:val="single" w:color="000000" w:sz="4" w:space="0"/>
              <w:left w:val="single" w:color="auto" w:sz="4" w:space="0"/>
              <w:bottom w:val="single" w:color="000000" w:sz="4" w:space="0"/>
              <w:right w:val="single" w:color="000000" w:sz="4" w:space="0"/>
            </w:tcBorders>
            <w:shd w:val="solid" w:color="FFFFFF" w:fill="auto"/>
            <w:vAlign w:val="center"/>
          </w:tcPr>
          <w:p w14:paraId="2A33D143">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业务</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管理</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6F7ED1">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管理制度健全性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324AB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项目实施单位的业务管理制度是否健全，用以反映和考核业务管理制度对项目顺利实施的保障情况。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F71EE7">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①是否已制定或具有相应的业务管理制度；</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②业务管理制度是否合法、合规、完整。</w:t>
            </w:r>
          </w:p>
        </w:tc>
      </w:tr>
      <w:tr w14:paraId="1B6D2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0245AA1E">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72517039">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AAFDD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制度执行有效性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3D07E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项目实施是否符合相关业务管理规定，用以反映和考核业务管理制度的有效执行情况。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F3185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①是否遵守相关法律法规和业务管理规定；</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②项目调整及支出调整手续是否完备；</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③项目合同书、验收报告、技术鉴定等资料是否齐全并及时归档；</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④项目实施的人员条件、场地设备、信息支撑等是否落实到位。</w:t>
            </w:r>
          </w:p>
        </w:tc>
      </w:tr>
      <w:tr w14:paraId="7B748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4379B762">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2B3DF0D3">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BFDA9C">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项目质量可控性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59BD50">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项目实施单位是否为达到项目质量要求而采取了必需的措施,用以反映和考核项目实施单位对项目质量的控制情况。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B8DC94">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①是否已制定或具有相应的项目质量要求或标准；</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②是否采取了相应的项目质量检查、验收等必需的控制措施或手段。</w:t>
            </w:r>
          </w:p>
        </w:tc>
      </w:tr>
      <w:tr w14:paraId="6DEC4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698AF65E">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p>
        </w:tc>
        <w:tc>
          <w:tcPr>
            <w:tcW w:w="778" w:type="dxa"/>
            <w:vMerge w:val="restart"/>
            <w:tcBorders>
              <w:top w:val="single" w:color="000000" w:sz="4" w:space="0"/>
              <w:left w:val="single" w:color="auto" w:sz="4" w:space="0"/>
              <w:bottom w:val="single" w:color="000000" w:sz="4" w:space="0"/>
              <w:right w:val="single" w:color="000000" w:sz="4" w:space="0"/>
            </w:tcBorders>
            <w:shd w:val="solid" w:color="FFFFFF" w:fill="auto"/>
            <w:vAlign w:val="center"/>
          </w:tcPr>
          <w:p w14:paraId="134E9491">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财务</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管理</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586E44">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管理制度健全性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62F3BF">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项目实施单位的财务制度是否健全，用以反映和考核财务管理制度对资金规范、安全运行的保障情况。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D0E3F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①是否已制定或具有相应的项目资金管理办法；</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②项目资金管理办法是否符合相关财务会计制度的规定。</w:t>
            </w:r>
          </w:p>
        </w:tc>
      </w:tr>
      <w:tr w14:paraId="28BE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6963A83F">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6F4A238B">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7159A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资金使用合规性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509F5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项目资金使用是否符合相关的财务管理制度规定，用以反映和考核项目资金的规范运行情况。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0336E7">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①是否符合国家财经法规和财务管理制度以及有关专项资金管理办法的规定；</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②资金的拨付是否有完整的审批程序和手续；</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③项目的重大开支是否经过评估认证；</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④是否符合项目预算批复或合同规定的用途；</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⑤是否存在截留、挤占、挪用、虚列支出等情况。</w:t>
            </w:r>
          </w:p>
        </w:tc>
      </w:tr>
      <w:tr w14:paraId="3DE55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52498887">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051624A6">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A9298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财务监控有效性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6B08A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项目实施单位是否为保障资金的安全、规范运行而采取了必要的监控措施，用以反映和考核项目实施单位对资金运行的控制情况。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5B44A9">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①是否已制定或具有相应的监控机制；</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②是否采取了相应的财务检查等必要的监控措施或手段。</w:t>
            </w:r>
          </w:p>
        </w:tc>
      </w:tr>
      <w:tr w14:paraId="6169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4" w:hRule="atLeast"/>
        </w:trPr>
        <w:tc>
          <w:tcPr>
            <w:tcW w:w="742" w:type="dxa"/>
            <w:vMerge w:val="restart"/>
            <w:tcBorders>
              <w:top w:val="single" w:color="auto" w:sz="4" w:space="0"/>
              <w:left w:val="single" w:color="000000" w:sz="4" w:space="0"/>
              <w:bottom w:val="single" w:color="auto" w:sz="4" w:space="0"/>
              <w:right w:val="single" w:color="000000" w:sz="4" w:space="0"/>
            </w:tcBorders>
            <w:shd w:val="solid" w:color="FFFFFF" w:fill="auto"/>
            <w:vAlign w:val="center"/>
          </w:tcPr>
          <w:p w14:paraId="5A94210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产   出</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A1E0AD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产出</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008F4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实际完成率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DBB6B7">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项目实施的实际产出数与计划产出数的比率，用以反映和考核项目产出数量目标的实现程度。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8ECED7">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实际完成率=（实际产出数/计划产出数）×100%。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实际产出数：一定时期（本年度或项目期）内项目实际产出的产品或提供的服务数量。</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计划产出数：项目绩效目标确定的在一定时期（本年度或项目期）内计划产出的产品或提供的服务数量。</w:t>
            </w:r>
          </w:p>
        </w:tc>
      </w:tr>
      <w:tr w14:paraId="3808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5"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33A22611">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B2CB1FB">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9DAC0E">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完成及时率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242AC4">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项目实际提前完成时间与计划完成时间的比率，用以反映和考核项目产出时效目标的实现程度。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7A6E85">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完成及时率=[（计划完成时间-实际完成时间）/计划完成时间]×100%。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实际完成时间：项目实施单位完成该项目实际所耗用的时间。</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计划完成时间：按照项目实施计划或相关规定完成该项目所需的时间。</w:t>
            </w:r>
          </w:p>
        </w:tc>
      </w:tr>
      <w:tr w14:paraId="4E2E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9"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5BA8BE2C">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09737C1">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AFDB02">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质量达标率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BA4861">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项目完成的质量达标产出数与实际产出数的比率，用以反映和考核项目产出质量目标的实现程度。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EF4CE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质量达标率=（质量达标产出数/实际产出数）×100%。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质量达标产出数：一定时期（本年度或项目期）内实际达到既定质量标准的产品或服务数量。</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既定质量标准是指项目实施单位设立绩效目标时依据计划标准、行业标准、历史标准或其他标准而设定的绩效指标值。</w:t>
            </w:r>
          </w:p>
        </w:tc>
      </w:tr>
      <w:tr w14:paraId="376A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6"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42A45E9F">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3FF06DB">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0F1F33">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成本节约率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F79B6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完成项目计划工作目标的实际节约成本与计划成本的比率，用以反映和考核项目的成本节约程度。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47B74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成本节约率=[（计划成本-实际成本）/计划成本]×100%。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实际成本：项目实施单位如期、保质、保量完成既定工作目标实际所耗费的支出。</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计划成本：项目实施单位为完成工作目标计划安排的支出，一般以项目预算为参考。</w:t>
            </w:r>
          </w:p>
        </w:tc>
      </w:tr>
      <w:tr w14:paraId="0EE61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1" w:hRule="atLeast"/>
        </w:trPr>
        <w:tc>
          <w:tcPr>
            <w:tcW w:w="742" w:type="dxa"/>
            <w:vMerge w:val="restart"/>
            <w:tcBorders>
              <w:top w:val="single" w:color="auto" w:sz="4" w:space="0"/>
              <w:left w:val="single" w:color="000000" w:sz="4" w:space="0"/>
              <w:bottom w:val="single" w:color="auto" w:sz="4" w:space="0"/>
              <w:right w:val="single" w:color="000000" w:sz="4" w:space="0"/>
            </w:tcBorders>
            <w:shd w:val="solid" w:color="FFFFFF" w:fill="auto"/>
            <w:vAlign w:val="center"/>
          </w:tcPr>
          <w:p w14:paraId="04B77778">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效   果</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70D139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效益</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15A872">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经济效益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D89168">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项目实施对经济发展所带来的直接或间接影响情况。</w:t>
            </w:r>
          </w:p>
        </w:tc>
        <w:tc>
          <w:tcPr>
            <w:tcW w:w="389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9DBC26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此四项指标为设置项目支出绩效评价指标时必须考虑的共性要素，可根据项目实际并结合绩效目标设立情况有选择的进行设置，并将其细化为相应的个性化指标。</w:t>
            </w:r>
          </w:p>
        </w:tc>
      </w:tr>
      <w:tr w14:paraId="4CB5F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47B2B88E">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A82DFBD">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DBDED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8BC2F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项目实施对社会发展所带来的直接或间接影响情况。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A5928C5">
            <w:pPr>
              <w:kinsoku/>
              <w:autoSpaceDE/>
              <w:autoSpaceDN w:val="0"/>
              <w:textAlignment w:val="auto"/>
              <w:rPr>
                <w:rFonts w:hint="default"/>
                <w:snapToGrid/>
                <w:sz w:val="22"/>
                <w:lang w:eastAsia="zh-CN"/>
              </w:rPr>
            </w:pPr>
          </w:p>
        </w:tc>
      </w:tr>
      <w:tr w14:paraId="7493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1E2A73DA">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267EC54">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F4A05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生态效益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D3D56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项目实施对生态环境所带来的直接或间接影响情况。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BA3D0D0">
            <w:pPr>
              <w:kinsoku/>
              <w:autoSpaceDE/>
              <w:autoSpaceDN w:val="0"/>
              <w:textAlignment w:val="auto"/>
              <w:rPr>
                <w:rFonts w:hint="default"/>
                <w:snapToGrid/>
                <w:sz w:val="22"/>
                <w:lang w:eastAsia="zh-CN"/>
              </w:rPr>
            </w:pPr>
          </w:p>
        </w:tc>
      </w:tr>
      <w:tr w14:paraId="2E93D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3B94E3DD">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145BA45">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A24358">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可持续影响</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72DFFE">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项目后续运行及成效发挥的可持续影响情况。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409E12E">
            <w:pPr>
              <w:kinsoku/>
              <w:autoSpaceDE/>
              <w:autoSpaceDN w:val="0"/>
              <w:textAlignment w:val="auto"/>
              <w:rPr>
                <w:rFonts w:hint="default"/>
                <w:snapToGrid/>
                <w:sz w:val="22"/>
                <w:lang w:eastAsia="zh-CN"/>
              </w:rPr>
            </w:pPr>
          </w:p>
        </w:tc>
      </w:tr>
      <w:tr w14:paraId="23C9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630C7A55">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6E00A3A">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BAFC7F">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社会公众或服务对象满意度</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20941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社会公众或服务对象对项目实施效果的满意程度。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1AC934">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社会公众或服务对象是指因该项目实施而受到影响的部门（单位）、群体或个人。一般采取社会调查的方式。</w:t>
            </w:r>
          </w:p>
        </w:tc>
      </w:tr>
    </w:tbl>
    <w:p w14:paraId="5F82B41C">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0CD67AAA">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p>
    <w:p w14:paraId="74FCC8DD"/>
    <w:sectPr>
      <w:headerReference r:id="rId3" w:type="first"/>
      <w:footerReference r:id="rId6" w:type="first"/>
      <w:footerReference r:id="rId4" w:type="default"/>
      <w:footerReference r:id="rId5" w:type="even"/>
      <w:pgSz w:w="11906" w:h="16838"/>
      <w:pgMar w:top="1361" w:right="1644" w:bottom="1361" w:left="1644"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37B80">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A310A">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4</w:t>
    </w:r>
    <w:r>
      <w:fldChar w:fldCharType="end"/>
    </w:r>
  </w:p>
  <w:p w14:paraId="27B7ED69">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B5F13">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E6BE8">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F4BC10"/>
    <w:multiLevelType w:val="singleLevel"/>
    <w:tmpl w:val="B5F4BC10"/>
    <w:lvl w:ilvl="0" w:tentative="0">
      <w:start w:val="3"/>
      <w:numFmt w:val="decimal"/>
      <w:lvlText w:val="%1."/>
      <w:lvlJc w:val="left"/>
      <w:pPr>
        <w:tabs>
          <w:tab w:val="left" w:pos="312"/>
        </w:tabs>
        <w:ind w:left="800" w:leftChars="0" w:firstLine="0" w:firstLineChars="0"/>
      </w:pPr>
    </w:lvl>
  </w:abstractNum>
  <w:abstractNum w:abstractNumId="1">
    <w:nsid w:val="0613B7E8"/>
    <w:multiLevelType w:val="singleLevel"/>
    <w:tmpl w:val="0613B7E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wYmNiMTU0ZTgzMzU1ODM1OGEzZjZiM2ZkMjkxMzkifQ=="/>
  </w:docVars>
  <w:rsids>
    <w:rsidRoot w:val="2A2941B7"/>
    <w:rsid w:val="02B663E0"/>
    <w:rsid w:val="07F13227"/>
    <w:rsid w:val="0B750171"/>
    <w:rsid w:val="144928C3"/>
    <w:rsid w:val="24045CE5"/>
    <w:rsid w:val="2A2941B7"/>
    <w:rsid w:val="38D83F65"/>
    <w:rsid w:val="5ED8149E"/>
    <w:rsid w:val="60A5381E"/>
    <w:rsid w:val="614F1951"/>
    <w:rsid w:val="678F1F08"/>
    <w:rsid w:val="6B3A2729"/>
    <w:rsid w:val="6D0C33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默认段落字体 Para Char Char Char Char Char Char Char"/>
    <w:basedOn w:val="1"/>
    <w:link w:val="5"/>
    <w:qFormat/>
    <w:uiPriority w:val="0"/>
  </w:style>
  <w:style w:type="character" w:styleId="7">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3388</Words>
  <Characters>3456</Characters>
  <Lines>0</Lines>
  <Paragraphs>0</Paragraphs>
  <TotalTime>1</TotalTime>
  <ScaleCrop>false</ScaleCrop>
  <LinksUpToDate>false</LinksUpToDate>
  <CharactersWithSpaces>3513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2020-01-02T08:14:00Z</dcterms:created>
  <dc:creator>838</dc:creator>
  <cp:lastModifiedBy>Administrator</cp:lastModifiedBy>
  <dcterms:modified xsi:type="dcterms:W3CDTF">2025-04-27T03:09:02Z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B3A1E5530CF649E291E9F499F5C7828D_12</vt:lpwstr>
  </property>
</Properties>
</file>