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方正小标宋简体" w:cs="方正小标宋简体"/>
          <w:sz w:val="44"/>
          <w:szCs w:val="44"/>
        </w:rPr>
      </w:pPr>
      <w:r>
        <w:rPr>
          <w:rFonts w:hint="eastAsia" w:ascii="宋体" w:hAnsi="宋体" w:eastAsia="方正小标宋简体" w:cs="方正小标宋简体"/>
          <w:sz w:val="44"/>
          <w:szCs w:val="44"/>
        </w:rPr>
        <w:t>河北鹿泉经济开发区</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方正小标宋简体" w:cs="方正小标宋简体"/>
          <w:sz w:val="44"/>
          <w:szCs w:val="44"/>
        </w:rPr>
      </w:pPr>
      <w:r>
        <w:rPr>
          <w:rFonts w:hint="eastAsia" w:ascii="宋体" w:hAnsi="宋体" w:eastAsia="方正小标宋简体" w:cs="方正小标宋简体"/>
          <w:sz w:val="44"/>
          <w:szCs w:val="44"/>
        </w:rPr>
        <w:t>关于支持总部经济发展的若干意见（试行）</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方正小标宋简体" w:cs="方正小标宋简体"/>
          <w:sz w:val="44"/>
          <w:szCs w:val="44"/>
        </w:rPr>
      </w:pPr>
      <w:bookmarkStart w:id="0" w:name="_GoBack"/>
      <w:bookmarkEnd w:id="0"/>
      <w:r>
        <w:rPr>
          <w:rFonts w:hint="eastAsia" w:ascii="宋体" w:hAnsi="宋体" w:eastAsia="方正小标宋简体" w:cs="方正小标宋简体"/>
          <w:sz w:val="44"/>
          <w:szCs w:val="44"/>
        </w:rPr>
        <w:t>（征求意见稿）</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为贯彻落实省委省政府《关于大力支持省会建设和高质量发展的意见》、市委市政府《关于落实&lt;省委省政府关于大力支持省会建设和高质量发展的意见&gt;的实施方案》，着力打造具有影响力的总部经济聚集区，助力</w:t>
      </w:r>
      <w:r>
        <w:rPr>
          <w:rFonts w:hint="eastAsia" w:ascii="宋体" w:hAnsi="宋体" w:eastAsia="仿宋_GB2312" w:cs="仿宋_GB2312"/>
          <w:sz w:val="32"/>
          <w:szCs w:val="32"/>
          <w:lang w:val="en-US" w:eastAsia="zh-CN"/>
        </w:rPr>
        <w:t>新一代</w:t>
      </w:r>
      <w:r>
        <w:rPr>
          <w:rFonts w:hint="eastAsia" w:ascii="宋体" w:hAnsi="宋体" w:eastAsia="仿宋_GB2312" w:cs="仿宋_GB2312"/>
          <w:sz w:val="32"/>
          <w:szCs w:val="32"/>
        </w:rPr>
        <w:t>电子信息产业</w:t>
      </w:r>
      <w:r>
        <w:rPr>
          <w:rFonts w:hint="eastAsia" w:ascii="宋体" w:hAnsi="宋体" w:eastAsia="仿宋_GB2312" w:cs="仿宋_GB2312"/>
          <w:sz w:val="32"/>
          <w:szCs w:val="32"/>
          <w:lang w:val="en-US" w:eastAsia="zh-CN"/>
        </w:rPr>
        <w:t>高质量</w:t>
      </w:r>
      <w:r>
        <w:rPr>
          <w:rFonts w:hint="eastAsia" w:ascii="宋体" w:hAnsi="宋体" w:eastAsia="仿宋_GB2312" w:cs="仿宋_GB2312"/>
          <w:sz w:val="32"/>
          <w:szCs w:val="32"/>
        </w:rPr>
        <w:t>发展，结合我区实际，制定本意见。</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黑体" w:cs="黑体"/>
          <w:sz w:val="32"/>
          <w:szCs w:val="32"/>
        </w:rPr>
      </w:pPr>
      <w:r>
        <w:rPr>
          <w:rFonts w:hint="eastAsia" w:ascii="宋体" w:hAnsi="宋体" w:eastAsia="黑体" w:cs="黑体"/>
          <w:sz w:val="32"/>
          <w:szCs w:val="32"/>
        </w:rPr>
        <w:t>一、适用范围</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本意见适用于在开发区及托管区域办理工商注册和税务登记的符合以下条件的总部性质企业。</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（1）具有独立法人资格、健全的财务制度，实行独立核算，依法纳税，无欠税等不良记录；（2）具有经营决策、组织管理和服务等企业总部管理职能；（3）在开发区注册之日起，年度营业收入不少于5000万元。</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在同时满足上述三个条件的前提下，不在鹿泉区范围内开展房地产业务的房地产企业总部或区域总部、不在鹿泉区范围内利用区乡级财政资金开展建筑施工业务的建筑企业总部或区域总部或项目部，可视为总部性质企业；总部性质企业引进的其控股参股企业、上下游产业链企业，合并纳税并与开发区签订对赌协议的，可视为总部性质企业。</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黑体" w:cs="黑体"/>
          <w:sz w:val="32"/>
          <w:szCs w:val="32"/>
        </w:rPr>
      </w:pPr>
      <w:r>
        <w:rPr>
          <w:rFonts w:hint="eastAsia" w:ascii="宋体" w:hAnsi="宋体" w:eastAsia="黑体" w:cs="黑体"/>
          <w:sz w:val="32"/>
          <w:szCs w:val="32"/>
        </w:rPr>
        <w:t>二、加快总部企业聚集</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楷体_GB2312" w:cs="楷体_GB2312"/>
          <w:sz w:val="32"/>
          <w:szCs w:val="32"/>
        </w:rPr>
        <w:t>（一）大力引进总部企业</w:t>
      </w:r>
      <w:r>
        <w:rPr>
          <w:rFonts w:hint="eastAsia" w:ascii="宋体" w:hAnsi="宋体" w:eastAsia="仿宋_GB2312" w:cs="仿宋_GB2312"/>
          <w:sz w:val="32"/>
          <w:szCs w:val="32"/>
        </w:rPr>
        <w:t>。对当年新引进的总部性质企业连续五年给予奖励，前三年每年按照其年度营业收入的5‰奖励，后两年每年按照其年度营业收入的2.5‰奖励。每个企业每年最高奖励2000万元。年度营业收入未达到认定标准的不予奖励。</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楷体_GB2312" w:cs="楷体_GB2312"/>
          <w:sz w:val="32"/>
          <w:szCs w:val="32"/>
        </w:rPr>
        <w:t>（二）支持连锁企业总部做大做强</w:t>
      </w:r>
      <w:r>
        <w:rPr>
          <w:rFonts w:hint="eastAsia" w:ascii="宋体" w:hAnsi="宋体" w:eastAsia="仿宋_GB2312" w:cs="仿宋_GB2312"/>
          <w:sz w:val="32"/>
          <w:szCs w:val="32"/>
        </w:rPr>
        <w:t>。对现有连锁企业将总部或区域总部设在开发区且在开发区汇总纳税的，连续五年给予奖励，前三年每年按照其年度营业收入增量的5‰奖励，后两年每年按照其年度营业收入增量的2.5‰奖励。每个企业每年最高奖励1000万元。年度营业收入未达到认定标准的不予奖励。</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楷体_GB2312" w:cs="楷体_GB2312"/>
          <w:sz w:val="32"/>
          <w:szCs w:val="32"/>
        </w:rPr>
        <w:t>（三）土地支持</w:t>
      </w:r>
      <w:r>
        <w:rPr>
          <w:rFonts w:hint="eastAsia" w:ascii="宋体" w:hAnsi="宋体" w:eastAsia="仿宋_GB2312" w:cs="仿宋_GB2312"/>
          <w:sz w:val="32"/>
          <w:szCs w:val="32"/>
        </w:rPr>
        <w:t>。对于落户的总部经济重点项目，可与</w:t>
      </w:r>
      <w:r>
        <w:rPr>
          <w:rFonts w:hint="eastAsia" w:ascii="宋体" w:hAnsi="宋体" w:eastAsia="仿宋_GB2312" w:cs="仿宋_GB2312"/>
          <w:sz w:val="32"/>
          <w:szCs w:val="32"/>
          <w:lang w:val="en-US" w:eastAsia="zh-CN"/>
        </w:rPr>
        <w:t>开发区</w:t>
      </w:r>
      <w:r>
        <w:rPr>
          <w:rFonts w:hint="eastAsia" w:ascii="宋体" w:hAnsi="宋体" w:eastAsia="仿宋_GB2312" w:cs="仿宋_GB2312"/>
          <w:sz w:val="32"/>
          <w:szCs w:val="32"/>
        </w:rPr>
        <w:t>签订战略合作协议，根据企业发展需要可优先安排土地用于建设总部大楼。</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楷体_GB2312" w:cs="楷体_GB2312"/>
          <w:sz w:val="32"/>
          <w:szCs w:val="32"/>
        </w:rPr>
        <w:t>（四）办公场地支持</w:t>
      </w:r>
      <w:r>
        <w:rPr>
          <w:rFonts w:hint="eastAsia" w:ascii="宋体" w:hAnsi="宋体" w:eastAsia="仿宋_GB2312" w:cs="仿宋_GB2312"/>
          <w:sz w:val="32"/>
          <w:szCs w:val="32"/>
        </w:rPr>
        <w:t>。当年新引进、新成立的企业在</w:t>
      </w:r>
      <w:r>
        <w:rPr>
          <w:rFonts w:hint="eastAsia" w:ascii="宋体" w:hAnsi="宋体" w:eastAsia="仿宋_GB2312" w:cs="仿宋_GB2312"/>
          <w:sz w:val="32"/>
          <w:szCs w:val="32"/>
          <w:lang w:val="en-US" w:eastAsia="zh-CN"/>
        </w:rPr>
        <w:t>开发区</w:t>
      </w:r>
      <w:r>
        <w:rPr>
          <w:rFonts w:hint="eastAsia" w:ascii="宋体" w:hAnsi="宋体" w:eastAsia="仿宋_GB2312" w:cs="仿宋_GB2312"/>
          <w:sz w:val="32"/>
          <w:szCs w:val="32"/>
        </w:rPr>
        <w:t>租用办公场地自用的，可享受自企业在开发区注册年度起连续三年不超过25元/平米/月租金补贴。与</w:t>
      </w:r>
      <w:r>
        <w:rPr>
          <w:rFonts w:hint="eastAsia" w:ascii="宋体" w:hAnsi="宋体" w:eastAsia="仿宋_GB2312" w:cs="仿宋_GB2312"/>
          <w:sz w:val="32"/>
          <w:szCs w:val="32"/>
          <w:lang w:val="en-US" w:eastAsia="zh-CN"/>
        </w:rPr>
        <w:t>开发区</w:t>
      </w:r>
      <w:r>
        <w:rPr>
          <w:rFonts w:hint="eastAsia" w:ascii="宋体" w:hAnsi="宋体" w:eastAsia="仿宋_GB2312" w:cs="仿宋_GB2312"/>
          <w:sz w:val="32"/>
          <w:szCs w:val="32"/>
        </w:rPr>
        <w:t>签订战略合作协议的总部经济重点项目，</w:t>
      </w:r>
      <w:r>
        <w:rPr>
          <w:rFonts w:hint="eastAsia" w:ascii="宋体" w:hAnsi="宋体" w:eastAsia="仿宋_GB2312" w:cs="仿宋_GB2312"/>
          <w:sz w:val="32"/>
          <w:szCs w:val="32"/>
          <w:lang w:val="en-US" w:eastAsia="zh-CN"/>
        </w:rPr>
        <w:t>可</w:t>
      </w:r>
      <w:r>
        <w:rPr>
          <w:rFonts w:hint="eastAsia" w:ascii="宋体" w:hAnsi="宋体" w:eastAsia="仿宋_GB2312" w:cs="仿宋_GB2312"/>
          <w:sz w:val="32"/>
          <w:szCs w:val="32"/>
        </w:rPr>
        <w:t>为其提供拎包入驻办公场地。</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楷体_GB2312" w:cs="楷体_GB2312"/>
          <w:sz w:val="32"/>
          <w:szCs w:val="32"/>
        </w:rPr>
        <w:t>（五）业绩贡献奖励</w:t>
      </w:r>
      <w:r>
        <w:rPr>
          <w:rFonts w:hint="eastAsia" w:ascii="宋体" w:hAnsi="宋体" w:eastAsia="仿宋_GB2312" w:cs="仿宋_GB2312"/>
          <w:sz w:val="32"/>
          <w:szCs w:val="32"/>
        </w:rPr>
        <w:t>。对上年度主营业务收入首次达到1亿元、3亿元、5亿元、10亿元、30亿元的企业，分别给予企业30万元、50万元、80万元、100万元、150万元一次性奖励。</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黑体" w:cs="黑体"/>
          <w:sz w:val="32"/>
          <w:szCs w:val="32"/>
        </w:rPr>
      </w:pPr>
      <w:r>
        <w:rPr>
          <w:rFonts w:hint="eastAsia" w:ascii="宋体" w:hAnsi="宋体" w:eastAsia="黑体" w:cs="黑体"/>
          <w:sz w:val="32"/>
          <w:szCs w:val="32"/>
        </w:rPr>
        <w:t>三、加强人才支持力度</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楷体_GB2312" w:cs="楷体_GB2312"/>
          <w:color w:val="auto"/>
          <w:sz w:val="32"/>
          <w:szCs w:val="32"/>
        </w:rPr>
      </w:pPr>
      <w:r>
        <w:rPr>
          <w:rFonts w:hint="eastAsia" w:ascii="宋体" w:hAnsi="宋体" w:eastAsia="楷体_GB2312" w:cs="楷体_GB2312"/>
          <w:sz w:val="32"/>
          <w:szCs w:val="32"/>
        </w:rPr>
        <w:t>（</w:t>
      </w:r>
      <w:r>
        <w:rPr>
          <w:rFonts w:hint="eastAsia" w:ascii="宋体" w:hAnsi="宋体" w:eastAsia="楷体_GB2312" w:cs="楷体_GB2312"/>
          <w:sz w:val="32"/>
          <w:szCs w:val="32"/>
          <w:lang w:val="en-US" w:eastAsia="zh-CN"/>
        </w:rPr>
        <w:t>六</w:t>
      </w:r>
      <w:r>
        <w:rPr>
          <w:rFonts w:hint="eastAsia" w:ascii="宋体" w:hAnsi="宋体" w:eastAsia="楷体_GB2312" w:cs="楷体_GB2312"/>
          <w:sz w:val="32"/>
          <w:szCs w:val="32"/>
        </w:rPr>
        <w:t>）人才贡献奖励</w:t>
      </w:r>
      <w:r>
        <w:rPr>
          <w:rFonts w:hint="eastAsia" w:ascii="宋体" w:hAnsi="宋体" w:eastAsia="仿宋_GB2312" w:cs="仿宋_GB2312"/>
          <w:sz w:val="32"/>
          <w:szCs w:val="32"/>
        </w:rPr>
        <w:t>。</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1.对新引进、新成立企业年度应纳税工资薪金收入在50万元（含）以上，且担任企业研发机构主要负责人以上职务的技术创新人才或担任企业最高管理层副总以上职务的高级管理人才（人数不得超过该企业缴纳社保总人数的6%，战略性新兴产业不得超过10%），自企业引进3年内（含3年），按其年度工资薪金收入最高5%给予奖励，每人每年最高奖励20万元。具体奖励标准为：①年度工资薪金收入50万元（含）—80万元的，按其年度工资薪金收入的3%奖励；②年度工资薪金收入80万元（含）—120万元的，按其年度工资薪金收入的4%奖励；③年度工资薪金收入120万元（含）以上的，按其年度工资薪金收入的5%奖励。</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楷体_GB2312" w:cs="楷体_GB2312"/>
          <w:sz w:val="32"/>
          <w:szCs w:val="32"/>
        </w:rPr>
      </w:pPr>
      <w:r>
        <w:rPr>
          <w:rFonts w:hint="eastAsia" w:ascii="宋体" w:hAnsi="宋体" w:eastAsia="仿宋_GB2312" w:cs="仿宋_GB2312"/>
          <w:sz w:val="32"/>
          <w:szCs w:val="32"/>
        </w:rPr>
        <w:t>2.在我区设立3年（不含）以上，当年营业收入呈正增长且达到一定增速的企业，年度应纳税工资薪金收入在50万元（含）以上，且担任企业研发机构主要负责人以上职务的技术创新人才或担任企业最高管理层副总以上职务的高级管理人才（人数不得超过该企业缴纳社保总人数的6%，战略性新兴产业不得超过10%），按其年度工资薪金收入的3%奖励，每人每年最高奖励20万元。企业当年营业收入规模及增速要求：①当年营业收入50亿元（含）以上的，营业收入同比增速达到5%；②当年营业收入5亿元（含）—50亿元的，营业收入同比增速达到10%；③当年营业收入1亿元（含）—5亿元的，营业收入同比增速达到30%；④当年营业收入2000万元（含）—1亿元的，营业收入同比增速达到40%。</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楷体_GB2312" w:cs="楷体_GB2312"/>
          <w:sz w:val="32"/>
          <w:szCs w:val="32"/>
        </w:rPr>
        <w:t>（</w:t>
      </w:r>
      <w:r>
        <w:rPr>
          <w:rFonts w:hint="eastAsia" w:ascii="宋体" w:hAnsi="宋体" w:eastAsia="楷体_GB2312" w:cs="楷体_GB2312"/>
          <w:sz w:val="32"/>
          <w:szCs w:val="32"/>
          <w:lang w:val="en-US" w:eastAsia="zh-CN"/>
        </w:rPr>
        <w:t>七</w:t>
      </w:r>
      <w:r>
        <w:rPr>
          <w:rFonts w:hint="eastAsia" w:ascii="宋体" w:hAnsi="宋体" w:eastAsia="楷体_GB2312" w:cs="楷体_GB2312"/>
          <w:sz w:val="32"/>
          <w:szCs w:val="32"/>
        </w:rPr>
        <w:t>）企业招聘补助</w:t>
      </w:r>
      <w:r>
        <w:rPr>
          <w:rFonts w:hint="eastAsia" w:ascii="宋体" w:hAnsi="宋体" w:eastAsia="仿宋_GB2312" w:cs="仿宋_GB2312"/>
          <w:sz w:val="32"/>
          <w:szCs w:val="32"/>
        </w:rPr>
        <w:t>。招录本科及以上学历员工（返乡就业的开发区户籍员工不限学历），与新招聘人员签订一年以上劳动合同并连续缴纳社保满一年（以新缴纳养老保险或外地转移养老保险为准）的，每招聘一人给予企业500元补助。</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楷体_GB2312" w:cs="楷体_GB2312"/>
          <w:sz w:val="32"/>
          <w:szCs w:val="32"/>
        </w:rPr>
        <w:t>（</w:t>
      </w:r>
      <w:r>
        <w:rPr>
          <w:rFonts w:hint="eastAsia" w:ascii="宋体" w:hAnsi="宋体" w:eastAsia="楷体_GB2312" w:cs="楷体_GB2312"/>
          <w:sz w:val="32"/>
          <w:szCs w:val="32"/>
          <w:lang w:val="en-US" w:eastAsia="zh-CN"/>
        </w:rPr>
        <w:t>八</w:t>
      </w:r>
      <w:r>
        <w:rPr>
          <w:rFonts w:hint="eastAsia" w:ascii="宋体" w:hAnsi="宋体" w:eastAsia="楷体_GB2312" w:cs="楷体_GB2312"/>
          <w:sz w:val="32"/>
          <w:szCs w:val="32"/>
        </w:rPr>
        <w:t>）子女就学生活补贴</w:t>
      </w:r>
      <w:r>
        <w:rPr>
          <w:rFonts w:hint="eastAsia" w:ascii="宋体" w:hAnsi="宋体" w:eastAsia="仿宋_GB2312" w:cs="仿宋_GB2312"/>
          <w:sz w:val="32"/>
          <w:szCs w:val="32"/>
        </w:rPr>
        <w:t>。在总部性质企业就职的普通院校硕士及以上人才、“双一流”院校本科及以上人才、副高级职称及以上人才的子女，在我区范围内就读幼儿园的，每名子女每年给予3000元就学生活补贴，最高三年。</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黑体" w:cs="黑体"/>
          <w:sz w:val="32"/>
          <w:szCs w:val="32"/>
          <w:lang w:eastAsia="zh-CN"/>
        </w:rPr>
      </w:pPr>
      <w:r>
        <w:rPr>
          <w:rFonts w:hint="eastAsia" w:ascii="宋体" w:hAnsi="宋体" w:eastAsia="黑体" w:cs="黑体"/>
          <w:sz w:val="32"/>
          <w:szCs w:val="32"/>
        </w:rPr>
        <w:t>四、</w:t>
      </w:r>
      <w:r>
        <w:rPr>
          <w:rFonts w:hint="eastAsia" w:ascii="宋体" w:hAnsi="宋体" w:eastAsia="黑体" w:cs="黑体"/>
          <w:sz w:val="32"/>
          <w:szCs w:val="32"/>
          <w:lang w:val="en-US" w:eastAsia="zh-CN"/>
        </w:rPr>
        <w:t>附则</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w:t>
      </w:r>
      <w:r>
        <w:rPr>
          <w:rFonts w:hint="eastAsia" w:ascii="宋体" w:hAnsi="宋体" w:eastAsia="仿宋_GB2312" w:cs="仿宋_GB2312"/>
          <w:sz w:val="32"/>
          <w:szCs w:val="32"/>
          <w:lang w:val="en-US" w:eastAsia="zh-CN"/>
        </w:rPr>
        <w:t>九</w:t>
      </w:r>
      <w:r>
        <w:rPr>
          <w:rFonts w:hint="eastAsia" w:ascii="宋体" w:hAnsi="宋体" w:eastAsia="仿宋_GB2312" w:cs="仿宋_GB2312"/>
          <w:sz w:val="32"/>
          <w:szCs w:val="32"/>
        </w:rPr>
        <w:t>）根据《石家庄市鹿泉区人民政府关于做好河北鹿泉经济开发区托管区域有关工作的意见》（鹿政函〔2019〕1号），开发区及托管区域政策兑现所需资金，按现行区乡财政体制分级负担。</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十）申请享受本意见奖补的企业应守法经营、诚实守信、履行社会责任，未被征信系统列入严重违法、失信企业名单；当年未发生重大环境污染、安全事故。企业自最后一次获得奖补资金之日起5年内不得迁出，否则将追回所获得的资金。</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（十</w:t>
      </w:r>
      <w:r>
        <w:rPr>
          <w:rFonts w:hint="eastAsia" w:ascii="宋体" w:hAnsi="宋体" w:eastAsia="仿宋_GB2312" w:cs="仿宋_GB2312"/>
          <w:sz w:val="32"/>
          <w:szCs w:val="32"/>
          <w:lang w:val="en-US" w:eastAsia="zh-CN"/>
        </w:rPr>
        <w:t>一</w:t>
      </w:r>
      <w:r>
        <w:rPr>
          <w:rFonts w:hint="eastAsia" w:ascii="宋体" w:hAnsi="宋体" w:eastAsia="仿宋_GB2312" w:cs="仿宋_GB2312"/>
          <w:sz w:val="32"/>
          <w:szCs w:val="32"/>
        </w:rPr>
        <w:t>）除专门规定之外，本意见与鹿泉区、开发区现有政策不得重复享受；与鹿泉区原有政策重复的，奖励补贴资金按照原渠道执行。</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（十</w:t>
      </w:r>
      <w:r>
        <w:rPr>
          <w:rFonts w:hint="eastAsia" w:ascii="宋体" w:hAnsi="宋体" w:eastAsia="仿宋_GB2312" w:cs="仿宋_GB2312"/>
          <w:sz w:val="32"/>
          <w:szCs w:val="32"/>
          <w:lang w:val="en-US" w:eastAsia="zh-CN"/>
        </w:rPr>
        <w:t>二</w:t>
      </w:r>
      <w:r>
        <w:rPr>
          <w:rFonts w:hint="eastAsia" w:ascii="宋体" w:hAnsi="宋体" w:eastAsia="仿宋_GB2312" w:cs="仿宋_GB2312"/>
          <w:sz w:val="32"/>
          <w:szCs w:val="32"/>
        </w:rPr>
        <w:t>）除有特殊贡献或需要特定扶持外，企业、单位、个人享受奖补总额不超过其当年地方贡献。</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楷体_GB2312" w:cs="楷体_GB2312"/>
          <w:sz w:val="32"/>
          <w:szCs w:val="32"/>
        </w:rPr>
      </w:pPr>
      <w:r>
        <w:rPr>
          <w:rFonts w:hint="eastAsia" w:ascii="宋体" w:hAnsi="宋体" w:eastAsia="仿宋_GB2312" w:cs="仿宋_GB2312"/>
          <w:sz w:val="32"/>
          <w:szCs w:val="32"/>
        </w:rPr>
        <w:t>（十</w:t>
      </w:r>
      <w:r>
        <w:rPr>
          <w:rFonts w:hint="eastAsia" w:ascii="宋体" w:hAnsi="宋体" w:eastAsia="仿宋_GB2312" w:cs="仿宋_GB2312"/>
          <w:sz w:val="32"/>
          <w:szCs w:val="32"/>
          <w:lang w:val="en-US" w:eastAsia="zh-CN"/>
        </w:rPr>
        <w:t>三</w:t>
      </w:r>
      <w:r>
        <w:rPr>
          <w:rFonts w:hint="eastAsia" w:ascii="宋体" w:hAnsi="宋体" w:eastAsia="仿宋_GB2312" w:cs="仿宋_GB2312"/>
          <w:sz w:val="32"/>
          <w:szCs w:val="32"/>
        </w:rPr>
        <w:t>）本意见自公布之日起执行，试行期</w:t>
      </w:r>
      <w:r>
        <w:rPr>
          <w:rFonts w:hint="eastAsia" w:ascii="宋体" w:hAnsi="宋体" w:eastAsia="仿宋_GB2312" w:cs="仿宋_GB2312"/>
          <w:sz w:val="32"/>
          <w:szCs w:val="32"/>
          <w:lang w:val="en-US" w:eastAsia="zh-CN"/>
        </w:rPr>
        <w:t>至</w:t>
      </w:r>
      <w:r>
        <w:rPr>
          <w:rFonts w:hint="eastAsia" w:ascii="宋体" w:hAnsi="宋体" w:eastAsia="仿宋_GB2312" w:cs="仿宋_GB2312"/>
          <w:sz w:val="32"/>
          <w:szCs w:val="32"/>
        </w:rPr>
        <w:t>2</w:t>
      </w:r>
      <w:r>
        <w:rPr>
          <w:rFonts w:hint="eastAsia" w:ascii="宋体" w:hAnsi="宋体" w:eastAsia="仿宋_GB2312" w:cs="仿宋_GB2312"/>
          <w:sz w:val="32"/>
          <w:szCs w:val="32"/>
          <w:lang w:val="en-US" w:eastAsia="zh-CN"/>
        </w:rPr>
        <w:t>026</w:t>
      </w:r>
      <w:r>
        <w:rPr>
          <w:rFonts w:hint="eastAsia" w:ascii="宋体" w:hAnsi="宋体" w:eastAsia="仿宋_GB2312" w:cs="仿宋_GB2312"/>
          <w:sz w:val="32"/>
          <w:szCs w:val="32"/>
        </w:rPr>
        <w:t>年</w:t>
      </w:r>
      <w:r>
        <w:rPr>
          <w:rFonts w:hint="eastAsia" w:ascii="宋体" w:hAnsi="宋体" w:eastAsia="仿宋_GB2312" w:cs="仿宋_GB2312"/>
          <w:sz w:val="32"/>
          <w:szCs w:val="32"/>
          <w:lang w:val="en-US" w:eastAsia="zh-CN"/>
        </w:rPr>
        <w:t>12月31日</w:t>
      </w:r>
      <w:r>
        <w:rPr>
          <w:rFonts w:hint="eastAsia" w:ascii="宋体" w:hAnsi="宋体" w:eastAsia="仿宋_GB2312" w:cs="仿宋_GB2312"/>
          <w:sz w:val="32"/>
          <w:szCs w:val="32"/>
        </w:rPr>
        <w:t>；本意见在实施过程中，如与上级有关政策相抵触，按上级有关政策执行；如上级出台新规定，则按新规定执行。2022年3月9日河北鹿泉经济开发区管理委员会印发</w:t>
      </w:r>
      <w:r>
        <w:rPr>
          <w:rFonts w:hint="eastAsia" w:ascii="宋体" w:hAnsi="宋体" w:eastAsia="仿宋_GB2312" w:cs="仿宋_GB2312"/>
          <w:sz w:val="32"/>
          <w:szCs w:val="32"/>
          <w:lang w:val="en-US" w:eastAsia="zh-CN"/>
        </w:rPr>
        <w:t>的</w:t>
      </w:r>
      <w:r>
        <w:rPr>
          <w:rFonts w:hint="eastAsia" w:ascii="宋体" w:hAnsi="宋体" w:eastAsia="仿宋_GB2312" w:cs="仿宋_GB2312"/>
          <w:sz w:val="32"/>
          <w:szCs w:val="32"/>
        </w:rPr>
        <w:t>《关于支持总部经济发展的若干意见（试行）》</w:t>
      </w:r>
      <w:r>
        <w:rPr>
          <w:rFonts w:hint="eastAsia" w:ascii="宋体" w:hAnsi="宋体" w:eastAsia="仿宋_GB2312" w:cs="仿宋_GB2312"/>
          <w:sz w:val="32"/>
          <w:szCs w:val="32"/>
          <w:lang w:eastAsia="zh-CN"/>
        </w:rPr>
        <w:t>（鹿开管〔2022〕</w:t>
      </w:r>
      <w:r>
        <w:rPr>
          <w:rFonts w:hint="eastAsia" w:ascii="宋体" w:hAnsi="宋体" w:eastAsia="仿宋_GB2312" w:cs="仿宋_GB2312"/>
          <w:sz w:val="32"/>
          <w:szCs w:val="32"/>
          <w:lang w:val="en-US" w:eastAsia="zh-CN"/>
        </w:rPr>
        <w:t>8</w:t>
      </w:r>
      <w:r>
        <w:rPr>
          <w:rFonts w:hint="eastAsia" w:ascii="宋体" w:hAnsi="宋体" w:eastAsia="仿宋_GB2312" w:cs="仿宋_GB2312"/>
          <w:sz w:val="32"/>
          <w:szCs w:val="32"/>
          <w:lang w:eastAsia="zh-CN"/>
        </w:rPr>
        <w:t>号）</w:t>
      </w:r>
      <w:r>
        <w:rPr>
          <w:rFonts w:hint="eastAsia" w:ascii="宋体" w:hAnsi="宋体" w:eastAsia="仿宋_GB2312" w:cs="仿宋_GB2312"/>
          <w:sz w:val="32"/>
          <w:szCs w:val="32"/>
          <w:lang w:val="en-US" w:eastAsia="zh-CN"/>
        </w:rPr>
        <w:t>同时废止。2022年度、2023年度奖补资金按照本意见申报评审。</w:t>
      </w:r>
    </w:p>
    <w:p>
      <w:pPr>
        <w:keepNext w:val="0"/>
        <w:keepLines w:val="0"/>
        <w:pageBreakBefore w:val="0"/>
        <w:widowControl w:val="0"/>
        <w:kinsoku/>
        <w:wordWrap/>
        <w:overflowPunct/>
        <w:topLinePunct w:val="0"/>
        <w:autoSpaceDE/>
        <w:autoSpaceDN/>
        <w:bidi w:val="0"/>
        <w:adjustRightInd/>
        <w:snapToGrid/>
        <w:spacing w:line="578" w:lineRule="exact"/>
        <w:ind w:firstLine="640" w:firstLineChars="200"/>
        <w:textAlignment w:val="auto"/>
        <w:rPr>
          <w:rFonts w:hint="eastAsia" w:ascii="宋体" w:hAnsi="宋体" w:eastAsia="仿宋_GB2312" w:cs="仿宋_GB2312"/>
          <w:sz w:val="32"/>
          <w:szCs w:val="32"/>
        </w:rPr>
      </w:pPr>
      <w:r>
        <w:rPr>
          <w:rFonts w:hint="eastAsia" w:ascii="宋体" w:hAnsi="宋体" w:eastAsia="仿宋_GB2312" w:cs="仿宋_GB2312"/>
          <w:sz w:val="32"/>
          <w:szCs w:val="32"/>
        </w:rPr>
        <w:t>（十</w:t>
      </w:r>
      <w:r>
        <w:rPr>
          <w:rFonts w:hint="eastAsia" w:ascii="宋体" w:hAnsi="宋体" w:eastAsia="仿宋_GB2312" w:cs="仿宋_GB2312"/>
          <w:sz w:val="32"/>
          <w:szCs w:val="32"/>
          <w:lang w:val="en-US" w:eastAsia="zh-CN"/>
        </w:rPr>
        <w:t>四</w:t>
      </w:r>
      <w:r>
        <w:rPr>
          <w:rFonts w:hint="eastAsia" w:ascii="宋体" w:hAnsi="宋体" w:eastAsia="仿宋_GB2312" w:cs="仿宋_GB2312"/>
          <w:sz w:val="32"/>
          <w:szCs w:val="32"/>
        </w:rPr>
        <w:t>）本意见由河北鹿泉经济开发区管理委员会负责解释和修订，具体实施细则由开发区相关部门负责制定。</w:t>
      </w:r>
    </w:p>
    <w:sectPr>
      <w:footerReference r:id="rId3" w:type="default"/>
      <w:pgSz w:w="11906" w:h="16838"/>
      <w:pgMar w:top="2098" w:right="1474" w:bottom="1984" w:left="1587"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2"/>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 xml:space="preserve">— </w:t>
                    </w:r>
                    <w:r>
                      <w:rPr>
                        <w:rFonts w:hint="eastAsia" w:asciiTheme="minorEastAsia" w:hAnsiTheme="minorEastAsia" w:eastAsiaTheme="minorEastAsia" w:cstheme="minorEastAsia"/>
                        <w:sz w:val="24"/>
                        <w:szCs w:val="24"/>
                      </w:rPr>
                      <w:fldChar w:fldCharType="begin"/>
                    </w:r>
                    <w:r>
                      <w:rPr>
                        <w:rFonts w:hint="eastAsia" w:asciiTheme="minorEastAsia" w:hAnsiTheme="minorEastAsia" w:eastAsiaTheme="minorEastAsia" w:cstheme="minorEastAsia"/>
                        <w:sz w:val="24"/>
                        <w:szCs w:val="24"/>
                      </w:rPr>
                      <w:instrText xml:space="preserve"> PAGE  \* MERGEFORMAT </w:instrText>
                    </w:r>
                    <w:r>
                      <w:rPr>
                        <w:rFonts w:hint="eastAsia" w:asciiTheme="minorEastAsia" w:hAnsiTheme="minorEastAsia" w:eastAsiaTheme="minorEastAsia" w:cstheme="minorEastAsia"/>
                        <w:sz w:val="24"/>
                        <w:szCs w:val="24"/>
                      </w:rPr>
                      <w:fldChar w:fldCharType="separate"/>
                    </w:r>
                    <w:r>
                      <w:rPr>
                        <w:rFonts w:hint="eastAsia" w:asciiTheme="minorEastAsia" w:hAnsiTheme="minorEastAsia" w:eastAsiaTheme="minorEastAsia" w:cstheme="minorEastAsia"/>
                        <w:sz w:val="24"/>
                        <w:szCs w:val="24"/>
                      </w:rPr>
                      <w:t>1</w:t>
                    </w:r>
                    <w:r>
                      <w:rPr>
                        <w:rFonts w:hint="eastAsia" w:asciiTheme="minorEastAsia" w:hAnsiTheme="minorEastAsia" w:eastAsiaTheme="minorEastAsia" w:cstheme="minorEastAsia"/>
                        <w:sz w:val="24"/>
                        <w:szCs w:val="24"/>
                      </w:rPr>
                      <w:fldChar w:fldCharType="end"/>
                    </w:r>
                    <w:r>
                      <w:rPr>
                        <w:rFonts w:hint="eastAsia" w:asciiTheme="minorEastAsia" w:hAnsiTheme="minorEastAsia" w:eastAsiaTheme="minorEastAsia" w:cstheme="minorEastAsia"/>
                        <w:sz w:val="24"/>
                        <w:szCs w:val="2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FC3412B"/>
    <w:rsid w:val="0FE17B62"/>
    <w:rsid w:val="18F8100B"/>
    <w:rsid w:val="1A737333"/>
    <w:rsid w:val="21CB2E91"/>
    <w:rsid w:val="21ED023F"/>
    <w:rsid w:val="2A1F5C50"/>
    <w:rsid w:val="34C0678A"/>
    <w:rsid w:val="36844ADD"/>
    <w:rsid w:val="37141F7A"/>
    <w:rsid w:val="410A42BC"/>
    <w:rsid w:val="4239605C"/>
    <w:rsid w:val="43CD733D"/>
    <w:rsid w:val="46154B42"/>
    <w:rsid w:val="49F1034D"/>
    <w:rsid w:val="4B586B38"/>
    <w:rsid w:val="4B61010E"/>
    <w:rsid w:val="4D51744A"/>
    <w:rsid w:val="50D30A17"/>
    <w:rsid w:val="52E17755"/>
    <w:rsid w:val="54451251"/>
    <w:rsid w:val="55E80A6D"/>
    <w:rsid w:val="63B0293D"/>
    <w:rsid w:val="66C5799F"/>
    <w:rsid w:val="66C870AF"/>
    <w:rsid w:val="68D12E04"/>
    <w:rsid w:val="6F21427B"/>
    <w:rsid w:val="71CA7E94"/>
    <w:rsid w:val="7ACF01C5"/>
    <w:rsid w:val="7C0B61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12</TotalTime>
  <ScaleCrop>false</ScaleCrop>
  <LinksUpToDate>false</LinksUpToDate>
  <CharactersWithSpaces>0</CharactersWithSpaces>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2022-10-28T08:04:00Z</dcterms:created>
  <dc:creator>Lenovo</dc:creator>
  <cp:lastModifiedBy>沉淀</cp:lastModifiedBy>
  <cp:lastPrinted>2024-03-21T02:08:00Z</cp:lastPrinted>
  <dcterms:modified xsi:type="dcterms:W3CDTF">2024-03-22T07:06:10Z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