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422.62</w:t>
            </w:r>
          </w:p>
        </w:tc>
        <w:tc>
          <w:tcPr>
            <w:tcW w:w="1971" w:type="dxa"/>
            <w:vAlign w:val="center"/>
          </w:tcPr>
          <w:p>
            <w:pPr>
              <w:pStyle w:val="13"/>
            </w:pPr>
            <w:r>
              <w:t>一、一般公共服务支出</w:t>
            </w:r>
          </w:p>
        </w:tc>
        <w:tc>
          <w:tcPr>
            <w:tcW w:w="1971" w:type="dxa"/>
            <w:vAlign w:val="center"/>
          </w:tcPr>
          <w:p>
            <w:pPr>
              <w:pStyle w:val="12"/>
            </w:pPr>
            <w:r>
              <w:t>289.14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92.84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20.29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26.35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422.62</w:t>
            </w:r>
          </w:p>
        </w:tc>
        <w:tc>
          <w:tcPr>
            <w:tcW w:w="1971" w:type="dxa"/>
            <w:vAlign w:val="center"/>
          </w:tcPr>
          <w:p>
            <w:pPr>
              <w:pStyle w:val="15"/>
            </w:pPr>
            <w:r>
              <w:t>本年支出合计</w:t>
            </w:r>
          </w:p>
        </w:tc>
        <w:tc>
          <w:tcPr>
            <w:tcW w:w="1971" w:type="dxa"/>
            <w:vAlign w:val="center"/>
          </w:tcPr>
          <w:p>
            <w:pPr>
              <w:pStyle w:val="16"/>
            </w:pPr>
            <w:r>
              <w:t>428.62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6.00</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428.62</w:t>
            </w:r>
          </w:p>
        </w:tc>
        <w:tc>
          <w:tcPr>
            <w:tcW w:w="1971" w:type="dxa"/>
            <w:vAlign w:val="center"/>
          </w:tcPr>
          <w:p>
            <w:pPr>
              <w:pStyle w:val="15"/>
            </w:pPr>
            <w:r>
              <w:t>支出总计</w:t>
            </w:r>
          </w:p>
        </w:tc>
        <w:tc>
          <w:tcPr>
            <w:tcW w:w="1971" w:type="dxa"/>
            <w:vAlign w:val="center"/>
          </w:tcPr>
          <w:p>
            <w:pPr>
              <w:pStyle w:val="16"/>
            </w:pPr>
            <w:r>
              <w:t>428.62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428.62</w:t>
            </w:r>
          </w:p>
        </w:tc>
        <w:tc>
          <w:tcPr>
            <w:tcW w:w="758" w:type="dxa"/>
            <w:vAlign w:val="center"/>
          </w:tcPr>
          <w:p>
            <w:pPr>
              <w:pStyle w:val="16"/>
            </w:pPr>
            <w:r>
              <w:t>422.62</w:t>
            </w:r>
          </w:p>
        </w:tc>
        <w:tc>
          <w:tcPr>
            <w:tcW w:w="758" w:type="dxa"/>
            <w:vAlign w:val="center"/>
          </w:tcPr>
          <w:p>
            <w:pPr>
              <w:pStyle w:val="16"/>
            </w:pPr>
            <w:r>
              <w:t>422.62</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289.14</w:t>
            </w:r>
          </w:p>
        </w:tc>
        <w:tc>
          <w:tcPr>
            <w:tcW w:w="758" w:type="dxa"/>
            <w:vAlign w:val="center"/>
          </w:tcPr>
          <w:p>
            <w:pPr>
              <w:pStyle w:val="12"/>
            </w:pPr>
            <w:r>
              <w:t>283.14</w:t>
            </w:r>
          </w:p>
        </w:tc>
        <w:tc>
          <w:tcPr>
            <w:tcW w:w="758" w:type="dxa"/>
            <w:vAlign w:val="center"/>
          </w:tcPr>
          <w:p>
            <w:pPr>
              <w:pStyle w:val="12"/>
            </w:pPr>
            <w:r>
              <w:t>283.14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20134</w:t>
            </w:r>
          </w:p>
        </w:tc>
        <w:tc>
          <w:tcPr>
            <w:tcW w:w="758" w:type="dxa"/>
            <w:vAlign w:val="center"/>
          </w:tcPr>
          <w:p>
            <w:pPr>
              <w:pStyle w:val="13"/>
            </w:pPr>
            <w:r>
              <w:t>统战事务</w:t>
            </w:r>
          </w:p>
        </w:tc>
        <w:tc>
          <w:tcPr>
            <w:tcW w:w="758" w:type="dxa"/>
            <w:vAlign w:val="center"/>
          </w:tcPr>
          <w:p>
            <w:pPr>
              <w:pStyle w:val="12"/>
            </w:pPr>
            <w:r>
              <w:t>289.14</w:t>
            </w:r>
          </w:p>
        </w:tc>
        <w:tc>
          <w:tcPr>
            <w:tcW w:w="758" w:type="dxa"/>
            <w:vAlign w:val="center"/>
          </w:tcPr>
          <w:p>
            <w:pPr>
              <w:pStyle w:val="12"/>
            </w:pPr>
            <w:r>
              <w:t>283.14</w:t>
            </w:r>
          </w:p>
        </w:tc>
        <w:tc>
          <w:tcPr>
            <w:tcW w:w="758" w:type="dxa"/>
            <w:vAlign w:val="center"/>
          </w:tcPr>
          <w:p>
            <w:pPr>
              <w:pStyle w:val="12"/>
            </w:pPr>
            <w:r>
              <w:t>283.14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2013401</w:t>
            </w:r>
          </w:p>
        </w:tc>
        <w:tc>
          <w:tcPr>
            <w:tcW w:w="758" w:type="dxa"/>
            <w:vAlign w:val="center"/>
          </w:tcPr>
          <w:p>
            <w:pPr>
              <w:pStyle w:val="13"/>
            </w:pPr>
            <w:r>
              <w:t>行政运行</w:t>
            </w:r>
          </w:p>
        </w:tc>
        <w:tc>
          <w:tcPr>
            <w:tcW w:w="758" w:type="dxa"/>
            <w:vAlign w:val="center"/>
          </w:tcPr>
          <w:p>
            <w:pPr>
              <w:pStyle w:val="12"/>
            </w:pPr>
            <w:r>
              <w:t>246.14</w:t>
            </w:r>
          </w:p>
        </w:tc>
        <w:tc>
          <w:tcPr>
            <w:tcW w:w="758" w:type="dxa"/>
            <w:vAlign w:val="center"/>
          </w:tcPr>
          <w:p>
            <w:pPr>
              <w:pStyle w:val="12"/>
            </w:pPr>
            <w:r>
              <w:t>246.14</w:t>
            </w:r>
          </w:p>
        </w:tc>
        <w:tc>
          <w:tcPr>
            <w:tcW w:w="758" w:type="dxa"/>
            <w:vAlign w:val="center"/>
          </w:tcPr>
          <w:p>
            <w:pPr>
              <w:pStyle w:val="12"/>
            </w:pPr>
            <w:r>
              <w:t>246.14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2013402</w:t>
            </w:r>
          </w:p>
        </w:tc>
        <w:tc>
          <w:tcPr>
            <w:tcW w:w="758" w:type="dxa"/>
            <w:vAlign w:val="center"/>
          </w:tcPr>
          <w:p>
            <w:pPr>
              <w:pStyle w:val="13"/>
            </w:pPr>
            <w:r>
              <w:t>一般行政管理事务</w:t>
            </w:r>
          </w:p>
        </w:tc>
        <w:tc>
          <w:tcPr>
            <w:tcW w:w="758" w:type="dxa"/>
            <w:vAlign w:val="center"/>
          </w:tcPr>
          <w:p>
            <w:pPr>
              <w:pStyle w:val="12"/>
            </w:pPr>
            <w:r>
              <w:t>23.00</w:t>
            </w:r>
          </w:p>
        </w:tc>
        <w:tc>
          <w:tcPr>
            <w:tcW w:w="758" w:type="dxa"/>
            <w:vAlign w:val="center"/>
          </w:tcPr>
          <w:p>
            <w:pPr>
              <w:pStyle w:val="12"/>
            </w:pPr>
            <w:r>
              <w:t>23.00</w:t>
            </w:r>
          </w:p>
        </w:tc>
        <w:tc>
          <w:tcPr>
            <w:tcW w:w="758" w:type="dxa"/>
            <w:vAlign w:val="center"/>
          </w:tcPr>
          <w:p>
            <w:pPr>
              <w:pStyle w:val="12"/>
            </w:pPr>
            <w:r>
              <w:t>23.00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2013404</w:t>
            </w:r>
          </w:p>
        </w:tc>
        <w:tc>
          <w:tcPr>
            <w:tcW w:w="758" w:type="dxa"/>
            <w:vAlign w:val="center"/>
          </w:tcPr>
          <w:p>
            <w:pPr>
              <w:pStyle w:val="13"/>
            </w:pPr>
            <w:r>
              <w:t>宗教事务</w:t>
            </w:r>
          </w:p>
        </w:tc>
        <w:tc>
          <w:tcPr>
            <w:tcW w:w="758" w:type="dxa"/>
            <w:vAlign w:val="center"/>
          </w:tcPr>
          <w:p>
            <w:pPr>
              <w:pStyle w:val="12"/>
            </w:pPr>
            <w:r>
              <w:t>16.00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2013405</w:t>
            </w:r>
          </w:p>
        </w:tc>
        <w:tc>
          <w:tcPr>
            <w:tcW w:w="758" w:type="dxa"/>
            <w:vAlign w:val="center"/>
          </w:tcPr>
          <w:p>
            <w:pPr>
              <w:pStyle w:val="13"/>
            </w:pPr>
            <w:r>
              <w:t>华侨事务</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r>
              <w:t>4.00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92.84</w:t>
            </w:r>
          </w:p>
        </w:tc>
        <w:tc>
          <w:tcPr>
            <w:tcW w:w="758" w:type="dxa"/>
            <w:vAlign w:val="center"/>
          </w:tcPr>
          <w:p>
            <w:pPr>
              <w:pStyle w:val="12"/>
            </w:pPr>
            <w:r>
              <w:t>92.84</w:t>
            </w:r>
          </w:p>
        </w:tc>
        <w:tc>
          <w:tcPr>
            <w:tcW w:w="758" w:type="dxa"/>
            <w:vAlign w:val="center"/>
          </w:tcPr>
          <w:p>
            <w:pPr>
              <w:pStyle w:val="12"/>
            </w:pPr>
            <w:r>
              <w:t>92.84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75.11</w:t>
            </w:r>
          </w:p>
        </w:tc>
        <w:tc>
          <w:tcPr>
            <w:tcW w:w="758" w:type="dxa"/>
            <w:vAlign w:val="center"/>
          </w:tcPr>
          <w:p>
            <w:pPr>
              <w:pStyle w:val="12"/>
            </w:pPr>
            <w:r>
              <w:t>75.11</w:t>
            </w:r>
          </w:p>
        </w:tc>
        <w:tc>
          <w:tcPr>
            <w:tcW w:w="758" w:type="dxa"/>
            <w:vAlign w:val="center"/>
          </w:tcPr>
          <w:p>
            <w:pPr>
              <w:pStyle w:val="12"/>
            </w:pPr>
            <w:r>
              <w:t>75.11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49.18</w:t>
            </w:r>
          </w:p>
        </w:tc>
        <w:tc>
          <w:tcPr>
            <w:tcW w:w="758" w:type="dxa"/>
            <w:vAlign w:val="center"/>
          </w:tcPr>
          <w:p>
            <w:pPr>
              <w:pStyle w:val="12"/>
            </w:pPr>
            <w:r>
              <w:t>49.18</w:t>
            </w:r>
          </w:p>
        </w:tc>
        <w:tc>
          <w:tcPr>
            <w:tcW w:w="758" w:type="dxa"/>
            <w:vAlign w:val="center"/>
          </w:tcPr>
          <w:p>
            <w:pPr>
              <w:pStyle w:val="12"/>
            </w:pPr>
            <w:r>
              <w:t>49.18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25.94</w:t>
            </w:r>
          </w:p>
        </w:tc>
        <w:tc>
          <w:tcPr>
            <w:tcW w:w="758" w:type="dxa"/>
            <w:vAlign w:val="center"/>
          </w:tcPr>
          <w:p>
            <w:pPr>
              <w:pStyle w:val="12"/>
            </w:pPr>
            <w:r>
              <w:t>25.94</w:t>
            </w:r>
          </w:p>
        </w:tc>
        <w:tc>
          <w:tcPr>
            <w:tcW w:w="758" w:type="dxa"/>
            <w:vAlign w:val="center"/>
          </w:tcPr>
          <w:p>
            <w:pPr>
              <w:pStyle w:val="12"/>
            </w:pPr>
            <w:r>
              <w:t>25.94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20809</w:t>
            </w:r>
          </w:p>
        </w:tc>
        <w:tc>
          <w:tcPr>
            <w:tcW w:w="758" w:type="dxa"/>
            <w:vAlign w:val="center"/>
          </w:tcPr>
          <w:p>
            <w:pPr>
              <w:pStyle w:val="13"/>
            </w:pPr>
            <w:r>
              <w:t>退役安置</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2080901</w:t>
            </w:r>
          </w:p>
        </w:tc>
        <w:tc>
          <w:tcPr>
            <w:tcW w:w="758" w:type="dxa"/>
            <w:vAlign w:val="center"/>
          </w:tcPr>
          <w:p>
            <w:pPr>
              <w:pStyle w:val="13"/>
            </w:pPr>
            <w:r>
              <w:t>退役士兵安置</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r>
              <w:t>17.73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r>
              <w:t>20.29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r>
              <w:t>26.35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428.62</w:t>
            </w:r>
          </w:p>
        </w:tc>
        <w:tc>
          <w:tcPr>
            <w:tcW w:w="1095" w:type="dxa"/>
            <w:vAlign w:val="center"/>
          </w:tcPr>
          <w:p>
            <w:pPr>
              <w:pStyle w:val="16"/>
            </w:pPr>
            <w:r>
              <w:t>367.89</w:t>
            </w:r>
          </w:p>
        </w:tc>
        <w:tc>
          <w:tcPr>
            <w:tcW w:w="1095" w:type="dxa"/>
            <w:vAlign w:val="center"/>
          </w:tcPr>
          <w:p>
            <w:pPr>
              <w:pStyle w:val="16"/>
            </w:pPr>
            <w:r>
              <w:t>60.73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289.14</w:t>
            </w:r>
          </w:p>
        </w:tc>
        <w:tc>
          <w:tcPr>
            <w:tcW w:w="1095" w:type="dxa"/>
            <w:vAlign w:val="center"/>
          </w:tcPr>
          <w:p>
            <w:pPr>
              <w:pStyle w:val="12"/>
            </w:pPr>
            <w:r>
              <w:t>246.14</w:t>
            </w:r>
          </w:p>
        </w:tc>
        <w:tc>
          <w:tcPr>
            <w:tcW w:w="1095" w:type="dxa"/>
            <w:vAlign w:val="center"/>
          </w:tcPr>
          <w:p>
            <w:pPr>
              <w:pStyle w:val="12"/>
            </w:pPr>
            <w:r>
              <w:t>43.00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20134</w:t>
            </w:r>
          </w:p>
        </w:tc>
        <w:tc>
          <w:tcPr>
            <w:tcW w:w="1095" w:type="dxa"/>
            <w:vAlign w:val="center"/>
          </w:tcPr>
          <w:p>
            <w:pPr>
              <w:pStyle w:val="13"/>
            </w:pPr>
            <w:r>
              <w:t>统战事务</w:t>
            </w:r>
          </w:p>
        </w:tc>
        <w:tc>
          <w:tcPr>
            <w:tcW w:w="1095" w:type="dxa"/>
            <w:vAlign w:val="center"/>
          </w:tcPr>
          <w:p>
            <w:pPr>
              <w:pStyle w:val="12"/>
            </w:pPr>
            <w:r>
              <w:t>289.14</w:t>
            </w:r>
          </w:p>
        </w:tc>
        <w:tc>
          <w:tcPr>
            <w:tcW w:w="1095" w:type="dxa"/>
            <w:vAlign w:val="center"/>
          </w:tcPr>
          <w:p>
            <w:pPr>
              <w:pStyle w:val="12"/>
            </w:pPr>
            <w:r>
              <w:t>246.14</w:t>
            </w:r>
          </w:p>
        </w:tc>
        <w:tc>
          <w:tcPr>
            <w:tcW w:w="1095" w:type="dxa"/>
            <w:vAlign w:val="center"/>
          </w:tcPr>
          <w:p>
            <w:pPr>
              <w:pStyle w:val="12"/>
            </w:pPr>
            <w:r>
              <w:t>43.00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2013401</w:t>
            </w:r>
          </w:p>
        </w:tc>
        <w:tc>
          <w:tcPr>
            <w:tcW w:w="1095" w:type="dxa"/>
            <w:vAlign w:val="center"/>
          </w:tcPr>
          <w:p>
            <w:pPr>
              <w:pStyle w:val="13"/>
            </w:pPr>
            <w:r>
              <w:t>行政运行</w:t>
            </w:r>
          </w:p>
        </w:tc>
        <w:tc>
          <w:tcPr>
            <w:tcW w:w="1095" w:type="dxa"/>
            <w:vAlign w:val="center"/>
          </w:tcPr>
          <w:p>
            <w:pPr>
              <w:pStyle w:val="12"/>
            </w:pPr>
            <w:r>
              <w:t>246.14</w:t>
            </w:r>
          </w:p>
        </w:tc>
        <w:tc>
          <w:tcPr>
            <w:tcW w:w="1095" w:type="dxa"/>
            <w:vAlign w:val="center"/>
          </w:tcPr>
          <w:p>
            <w:pPr>
              <w:pStyle w:val="12"/>
            </w:pPr>
            <w:r>
              <w:t>246.14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2013402</w:t>
            </w:r>
          </w:p>
        </w:tc>
        <w:tc>
          <w:tcPr>
            <w:tcW w:w="1095" w:type="dxa"/>
            <w:vAlign w:val="center"/>
          </w:tcPr>
          <w:p>
            <w:pPr>
              <w:pStyle w:val="13"/>
            </w:pPr>
            <w:r>
              <w:t>一般行政管理事务</w:t>
            </w:r>
          </w:p>
        </w:tc>
        <w:tc>
          <w:tcPr>
            <w:tcW w:w="1095" w:type="dxa"/>
            <w:vAlign w:val="center"/>
          </w:tcPr>
          <w:p>
            <w:pPr>
              <w:pStyle w:val="12"/>
            </w:pPr>
            <w:r>
              <w:t>23.00</w:t>
            </w:r>
          </w:p>
        </w:tc>
        <w:tc>
          <w:tcPr>
            <w:tcW w:w="1095" w:type="dxa"/>
            <w:vAlign w:val="center"/>
          </w:tcPr>
          <w:p>
            <w:pPr>
              <w:pStyle w:val="12"/>
            </w:pPr>
          </w:p>
        </w:tc>
        <w:tc>
          <w:tcPr>
            <w:tcW w:w="1095" w:type="dxa"/>
            <w:vAlign w:val="center"/>
          </w:tcPr>
          <w:p>
            <w:pPr>
              <w:pStyle w:val="12"/>
            </w:pPr>
            <w:r>
              <w:t>23.00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2013404</w:t>
            </w:r>
          </w:p>
        </w:tc>
        <w:tc>
          <w:tcPr>
            <w:tcW w:w="1095" w:type="dxa"/>
            <w:vAlign w:val="center"/>
          </w:tcPr>
          <w:p>
            <w:pPr>
              <w:pStyle w:val="13"/>
            </w:pPr>
            <w:r>
              <w:t>宗教事务</w:t>
            </w:r>
          </w:p>
        </w:tc>
        <w:tc>
          <w:tcPr>
            <w:tcW w:w="1095" w:type="dxa"/>
            <w:vAlign w:val="center"/>
          </w:tcPr>
          <w:p>
            <w:pPr>
              <w:pStyle w:val="12"/>
            </w:pPr>
            <w:r>
              <w:t>16.00</w:t>
            </w:r>
          </w:p>
        </w:tc>
        <w:tc>
          <w:tcPr>
            <w:tcW w:w="1095" w:type="dxa"/>
            <w:vAlign w:val="center"/>
          </w:tcPr>
          <w:p>
            <w:pPr>
              <w:pStyle w:val="12"/>
            </w:pPr>
          </w:p>
        </w:tc>
        <w:tc>
          <w:tcPr>
            <w:tcW w:w="1095" w:type="dxa"/>
            <w:vAlign w:val="center"/>
          </w:tcPr>
          <w:p>
            <w:pPr>
              <w:pStyle w:val="12"/>
            </w:pPr>
            <w:r>
              <w:t>16.00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2013405</w:t>
            </w:r>
          </w:p>
        </w:tc>
        <w:tc>
          <w:tcPr>
            <w:tcW w:w="1095" w:type="dxa"/>
            <w:vAlign w:val="center"/>
          </w:tcPr>
          <w:p>
            <w:pPr>
              <w:pStyle w:val="13"/>
            </w:pPr>
            <w:r>
              <w:t>华侨事务</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92.84</w:t>
            </w:r>
          </w:p>
        </w:tc>
        <w:tc>
          <w:tcPr>
            <w:tcW w:w="1095" w:type="dxa"/>
            <w:vAlign w:val="center"/>
          </w:tcPr>
          <w:p>
            <w:pPr>
              <w:pStyle w:val="12"/>
            </w:pPr>
            <w:r>
              <w:t>75.11</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75.11</w:t>
            </w:r>
          </w:p>
        </w:tc>
        <w:tc>
          <w:tcPr>
            <w:tcW w:w="1095" w:type="dxa"/>
            <w:vAlign w:val="center"/>
          </w:tcPr>
          <w:p>
            <w:pPr>
              <w:pStyle w:val="12"/>
            </w:pPr>
            <w:r>
              <w:t>75.11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49.18</w:t>
            </w:r>
          </w:p>
        </w:tc>
        <w:tc>
          <w:tcPr>
            <w:tcW w:w="1095" w:type="dxa"/>
            <w:vAlign w:val="center"/>
          </w:tcPr>
          <w:p>
            <w:pPr>
              <w:pStyle w:val="12"/>
            </w:pPr>
            <w:r>
              <w:t>49.18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25.94</w:t>
            </w:r>
          </w:p>
        </w:tc>
        <w:tc>
          <w:tcPr>
            <w:tcW w:w="1095" w:type="dxa"/>
            <w:vAlign w:val="center"/>
          </w:tcPr>
          <w:p>
            <w:pPr>
              <w:pStyle w:val="12"/>
            </w:pPr>
            <w:r>
              <w:t>25.94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20809</w:t>
            </w:r>
          </w:p>
        </w:tc>
        <w:tc>
          <w:tcPr>
            <w:tcW w:w="1095" w:type="dxa"/>
            <w:vAlign w:val="center"/>
          </w:tcPr>
          <w:p>
            <w:pPr>
              <w:pStyle w:val="13"/>
            </w:pPr>
            <w:r>
              <w:t>退役安置</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2080901</w:t>
            </w:r>
          </w:p>
        </w:tc>
        <w:tc>
          <w:tcPr>
            <w:tcW w:w="1095" w:type="dxa"/>
            <w:vAlign w:val="center"/>
          </w:tcPr>
          <w:p>
            <w:pPr>
              <w:pStyle w:val="13"/>
            </w:pPr>
            <w:r>
              <w:t>退役士兵安置</w:t>
            </w: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r>
              <w:t>17.73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20.29</w:t>
            </w:r>
          </w:p>
        </w:tc>
        <w:tc>
          <w:tcPr>
            <w:tcW w:w="1095" w:type="dxa"/>
            <w:vAlign w:val="center"/>
          </w:tcPr>
          <w:p>
            <w:pPr>
              <w:pStyle w:val="12"/>
            </w:pPr>
            <w:r>
              <w:t>20.29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26.35</w:t>
            </w:r>
          </w:p>
        </w:tc>
        <w:tc>
          <w:tcPr>
            <w:tcW w:w="1095" w:type="dxa"/>
            <w:vAlign w:val="center"/>
          </w:tcPr>
          <w:p>
            <w:pPr>
              <w:pStyle w:val="12"/>
            </w:pPr>
            <w:r>
              <w:t>26.35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422.62</w:t>
            </w:r>
          </w:p>
        </w:tc>
        <w:tc>
          <w:tcPr>
            <w:tcW w:w="1232" w:type="dxa"/>
            <w:vAlign w:val="center"/>
          </w:tcPr>
          <w:p>
            <w:pPr>
              <w:pStyle w:val="13"/>
            </w:pPr>
            <w:r>
              <w:t>一、一般公共服务支出</w:t>
            </w:r>
          </w:p>
        </w:tc>
        <w:tc>
          <w:tcPr>
            <w:tcW w:w="1232" w:type="dxa"/>
            <w:vAlign w:val="center"/>
          </w:tcPr>
          <w:p>
            <w:pPr>
              <w:pStyle w:val="12"/>
            </w:pPr>
            <w:r>
              <w:t>289.14</w:t>
            </w:r>
          </w:p>
        </w:tc>
        <w:tc>
          <w:tcPr>
            <w:tcW w:w="1232" w:type="dxa"/>
            <w:vAlign w:val="center"/>
          </w:tcPr>
          <w:p>
            <w:pPr>
              <w:pStyle w:val="12"/>
            </w:pPr>
            <w:r>
              <w:t>289.14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92.84</w:t>
            </w:r>
          </w:p>
        </w:tc>
        <w:tc>
          <w:tcPr>
            <w:tcW w:w="1232" w:type="dxa"/>
            <w:vAlign w:val="center"/>
          </w:tcPr>
          <w:p>
            <w:pPr>
              <w:pStyle w:val="12"/>
            </w:pPr>
            <w:r>
              <w:t>92.84</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20.29</w:t>
            </w:r>
          </w:p>
        </w:tc>
        <w:tc>
          <w:tcPr>
            <w:tcW w:w="1232" w:type="dxa"/>
            <w:vAlign w:val="center"/>
          </w:tcPr>
          <w:p>
            <w:pPr>
              <w:pStyle w:val="12"/>
            </w:pPr>
            <w:r>
              <w:t>20.29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26.35</w:t>
            </w:r>
          </w:p>
        </w:tc>
        <w:tc>
          <w:tcPr>
            <w:tcW w:w="1232" w:type="dxa"/>
            <w:vAlign w:val="center"/>
          </w:tcPr>
          <w:p>
            <w:pPr>
              <w:pStyle w:val="12"/>
            </w:pPr>
            <w:r>
              <w:t>26.35</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422.62</w:t>
            </w:r>
          </w:p>
        </w:tc>
        <w:tc>
          <w:tcPr>
            <w:tcW w:w="1232" w:type="dxa"/>
            <w:vAlign w:val="center"/>
          </w:tcPr>
          <w:p>
            <w:pPr>
              <w:pStyle w:val="15"/>
            </w:pPr>
            <w:r>
              <w:t>本年支出合计</w:t>
            </w:r>
          </w:p>
        </w:tc>
        <w:tc>
          <w:tcPr>
            <w:tcW w:w="1232" w:type="dxa"/>
            <w:vAlign w:val="center"/>
          </w:tcPr>
          <w:p>
            <w:pPr>
              <w:pStyle w:val="16"/>
            </w:pPr>
            <w:r>
              <w:t>428.62</w:t>
            </w:r>
          </w:p>
        </w:tc>
        <w:tc>
          <w:tcPr>
            <w:tcW w:w="1232" w:type="dxa"/>
            <w:vAlign w:val="center"/>
          </w:tcPr>
          <w:p>
            <w:pPr>
              <w:pStyle w:val="16"/>
            </w:pPr>
            <w:r>
              <w:t>428.62</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6.00</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6.00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428.62</w:t>
            </w:r>
          </w:p>
        </w:tc>
        <w:tc>
          <w:tcPr>
            <w:tcW w:w="1232" w:type="dxa"/>
            <w:vAlign w:val="center"/>
          </w:tcPr>
          <w:p>
            <w:pPr>
              <w:pStyle w:val="15"/>
            </w:pPr>
            <w:r>
              <w:t>支出总计</w:t>
            </w:r>
          </w:p>
        </w:tc>
        <w:tc>
          <w:tcPr>
            <w:tcW w:w="1232" w:type="dxa"/>
            <w:vAlign w:val="center"/>
          </w:tcPr>
          <w:p>
            <w:pPr>
              <w:pStyle w:val="16"/>
            </w:pPr>
            <w:r>
              <w:t>428.62</w:t>
            </w:r>
          </w:p>
        </w:tc>
        <w:tc>
          <w:tcPr>
            <w:tcW w:w="1232" w:type="dxa"/>
            <w:vAlign w:val="center"/>
          </w:tcPr>
          <w:p>
            <w:pPr>
              <w:pStyle w:val="16"/>
            </w:pPr>
            <w:r>
              <w:t>428.62</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428.62</w:t>
            </w:r>
          </w:p>
        </w:tc>
        <w:tc>
          <w:tcPr>
            <w:tcW w:w="1643" w:type="dxa"/>
            <w:vAlign w:val="center"/>
          </w:tcPr>
          <w:p>
            <w:pPr>
              <w:pStyle w:val="16"/>
            </w:pPr>
            <w:r>
              <w:t>367.89</w:t>
            </w:r>
          </w:p>
        </w:tc>
        <w:tc>
          <w:tcPr>
            <w:tcW w:w="1643" w:type="dxa"/>
            <w:vAlign w:val="center"/>
          </w:tcPr>
          <w:p>
            <w:pPr>
              <w:pStyle w:val="16"/>
            </w:pPr>
            <w:r>
              <w:t>60.73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289.14</w:t>
            </w:r>
          </w:p>
        </w:tc>
        <w:tc>
          <w:tcPr>
            <w:tcW w:w="1643" w:type="dxa"/>
            <w:vAlign w:val="center"/>
          </w:tcPr>
          <w:p>
            <w:pPr>
              <w:pStyle w:val="12"/>
            </w:pPr>
            <w:r>
              <w:t>246.14</w:t>
            </w:r>
          </w:p>
        </w:tc>
        <w:tc>
          <w:tcPr>
            <w:tcW w:w="1643"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20134</w:t>
            </w:r>
          </w:p>
        </w:tc>
        <w:tc>
          <w:tcPr>
            <w:tcW w:w="1643" w:type="dxa"/>
            <w:vAlign w:val="center"/>
          </w:tcPr>
          <w:p>
            <w:pPr>
              <w:pStyle w:val="13"/>
            </w:pPr>
            <w:r>
              <w:t>统战事务</w:t>
            </w:r>
          </w:p>
        </w:tc>
        <w:tc>
          <w:tcPr>
            <w:tcW w:w="1643" w:type="dxa"/>
            <w:vAlign w:val="center"/>
          </w:tcPr>
          <w:p>
            <w:pPr>
              <w:pStyle w:val="12"/>
            </w:pPr>
            <w:r>
              <w:t>289.14</w:t>
            </w:r>
          </w:p>
        </w:tc>
        <w:tc>
          <w:tcPr>
            <w:tcW w:w="1643" w:type="dxa"/>
            <w:vAlign w:val="center"/>
          </w:tcPr>
          <w:p>
            <w:pPr>
              <w:pStyle w:val="12"/>
            </w:pPr>
            <w:r>
              <w:t>246.14</w:t>
            </w:r>
          </w:p>
        </w:tc>
        <w:tc>
          <w:tcPr>
            <w:tcW w:w="1643" w:type="dxa"/>
            <w:vAlign w:val="center"/>
          </w:tcPr>
          <w:p>
            <w:pPr>
              <w:pStyle w:val="12"/>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2013401</w:t>
            </w:r>
          </w:p>
        </w:tc>
        <w:tc>
          <w:tcPr>
            <w:tcW w:w="1643" w:type="dxa"/>
            <w:vAlign w:val="center"/>
          </w:tcPr>
          <w:p>
            <w:pPr>
              <w:pStyle w:val="13"/>
            </w:pPr>
            <w:r>
              <w:t>行政运行</w:t>
            </w:r>
          </w:p>
        </w:tc>
        <w:tc>
          <w:tcPr>
            <w:tcW w:w="1643" w:type="dxa"/>
            <w:vAlign w:val="center"/>
          </w:tcPr>
          <w:p>
            <w:pPr>
              <w:pStyle w:val="12"/>
            </w:pPr>
            <w:r>
              <w:t>246.14</w:t>
            </w:r>
          </w:p>
        </w:tc>
        <w:tc>
          <w:tcPr>
            <w:tcW w:w="1643" w:type="dxa"/>
            <w:vAlign w:val="center"/>
          </w:tcPr>
          <w:p>
            <w:pPr>
              <w:pStyle w:val="12"/>
            </w:pPr>
            <w:r>
              <w:t>246.14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2013402</w:t>
            </w:r>
          </w:p>
        </w:tc>
        <w:tc>
          <w:tcPr>
            <w:tcW w:w="1643" w:type="dxa"/>
            <w:vAlign w:val="center"/>
          </w:tcPr>
          <w:p>
            <w:pPr>
              <w:pStyle w:val="13"/>
            </w:pPr>
            <w:r>
              <w:t>一般行政管理事务</w:t>
            </w:r>
          </w:p>
        </w:tc>
        <w:tc>
          <w:tcPr>
            <w:tcW w:w="1643" w:type="dxa"/>
            <w:vAlign w:val="center"/>
          </w:tcPr>
          <w:p>
            <w:pPr>
              <w:pStyle w:val="12"/>
            </w:pPr>
            <w:r>
              <w:t>23.00</w:t>
            </w:r>
          </w:p>
        </w:tc>
        <w:tc>
          <w:tcPr>
            <w:tcW w:w="1643" w:type="dxa"/>
            <w:vAlign w:val="center"/>
          </w:tcPr>
          <w:p>
            <w:pPr>
              <w:pStyle w:val="12"/>
            </w:pPr>
          </w:p>
        </w:tc>
        <w:tc>
          <w:tcPr>
            <w:tcW w:w="1643"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2013404</w:t>
            </w:r>
          </w:p>
        </w:tc>
        <w:tc>
          <w:tcPr>
            <w:tcW w:w="1643" w:type="dxa"/>
            <w:vAlign w:val="center"/>
          </w:tcPr>
          <w:p>
            <w:pPr>
              <w:pStyle w:val="13"/>
            </w:pPr>
            <w:r>
              <w:t>宗教事务</w:t>
            </w:r>
          </w:p>
        </w:tc>
        <w:tc>
          <w:tcPr>
            <w:tcW w:w="1643" w:type="dxa"/>
            <w:vAlign w:val="center"/>
          </w:tcPr>
          <w:p>
            <w:pPr>
              <w:pStyle w:val="12"/>
            </w:pPr>
            <w:r>
              <w:t>16.00</w:t>
            </w:r>
          </w:p>
        </w:tc>
        <w:tc>
          <w:tcPr>
            <w:tcW w:w="1643" w:type="dxa"/>
            <w:vAlign w:val="center"/>
          </w:tcPr>
          <w:p>
            <w:pPr>
              <w:pStyle w:val="12"/>
            </w:pPr>
          </w:p>
        </w:tc>
        <w:tc>
          <w:tcPr>
            <w:tcW w:w="1643"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2013405</w:t>
            </w:r>
          </w:p>
        </w:tc>
        <w:tc>
          <w:tcPr>
            <w:tcW w:w="1643" w:type="dxa"/>
            <w:vAlign w:val="center"/>
          </w:tcPr>
          <w:p>
            <w:pPr>
              <w:pStyle w:val="13"/>
            </w:pPr>
            <w:r>
              <w:t>华侨事务</w:t>
            </w:r>
          </w:p>
        </w:tc>
        <w:tc>
          <w:tcPr>
            <w:tcW w:w="1643"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92.84</w:t>
            </w:r>
          </w:p>
        </w:tc>
        <w:tc>
          <w:tcPr>
            <w:tcW w:w="1643" w:type="dxa"/>
            <w:vAlign w:val="center"/>
          </w:tcPr>
          <w:p>
            <w:pPr>
              <w:pStyle w:val="12"/>
            </w:pPr>
            <w:r>
              <w:t>75.11</w:t>
            </w: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75.11</w:t>
            </w:r>
          </w:p>
        </w:tc>
        <w:tc>
          <w:tcPr>
            <w:tcW w:w="1643" w:type="dxa"/>
            <w:vAlign w:val="center"/>
          </w:tcPr>
          <w:p>
            <w:pPr>
              <w:pStyle w:val="12"/>
            </w:pPr>
            <w:r>
              <w:t>75.11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49.18</w:t>
            </w:r>
          </w:p>
        </w:tc>
        <w:tc>
          <w:tcPr>
            <w:tcW w:w="1643" w:type="dxa"/>
            <w:vAlign w:val="center"/>
          </w:tcPr>
          <w:p>
            <w:pPr>
              <w:pStyle w:val="12"/>
            </w:pPr>
            <w:r>
              <w:t>49.18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25.94</w:t>
            </w:r>
          </w:p>
        </w:tc>
        <w:tc>
          <w:tcPr>
            <w:tcW w:w="1643" w:type="dxa"/>
            <w:vAlign w:val="center"/>
          </w:tcPr>
          <w:p>
            <w:pPr>
              <w:pStyle w:val="12"/>
            </w:pPr>
            <w:r>
              <w:t>25.94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20809</w:t>
            </w:r>
          </w:p>
        </w:tc>
        <w:tc>
          <w:tcPr>
            <w:tcW w:w="1643" w:type="dxa"/>
            <w:vAlign w:val="center"/>
          </w:tcPr>
          <w:p>
            <w:pPr>
              <w:pStyle w:val="13"/>
            </w:pPr>
            <w:r>
              <w:t>退役安置</w:t>
            </w:r>
          </w:p>
        </w:tc>
        <w:tc>
          <w:tcPr>
            <w:tcW w:w="1643" w:type="dxa"/>
            <w:vAlign w:val="center"/>
          </w:tcPr>
          <w:p>
            <w:pPr>
              <w:pStyle w:val="12"/>
            </w:pPr>
            <w:r>
              <w:t>17.73</w:t>
            </w:r>
          </w:p>
        </w:tc>
        <w:tc>
          <w:tcPr>
            <w:tcW w:w="1643" w:type="dxa"/>
            <w:vAlign w:val="center"/>
          </w:tcPr>
          <w:p>
            <w:pPr>
              <w:pStyle w:val="12"/>
            </w:pP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2080901</w:t>
            </w:r>
          </w:p>
        </w:tc>
        <w:tc>
          <w:tcPr>
            <w:tcW w:w="1643" w:type="dxa"/>
            <w:vAlign w:val="center"/>
          </w:tcPr>
          <w:p>
            <w:pPr>
              <w:pStyle w:val="13"/>
            </w:pPr>
            <w:r>
              <w:t>退役士兵安置</w:t>
            </w:r>
          </w:p>
        </w:tc>
        <w:tc>
          <w:tcPr>
            <w:tcW w:w="1643" w:type="dxa"/>
            <w:vAlign w:val="center"/>
          </w:tcPr>
          <w:p>
            <w:pPr>
              <w:pStyle w:val="12"/>
            </w:pPr>
            <w:r>
              <w:t>17.73</w:t>
            </w:r>
          </w:p>
        </w:tc>
        <w:tc>
          <w:tcPr>
            <w:tcW w:w="1643" w:type="dxa"/>
            <w:vAlign w:val="center"/>
          </w:tcPr>
          <w:p>
            <w:pPr>
              <w:pStyle w:val="12"/>
            </w:pPr>
          </w:p>
        </w:tc>
        <w:tc>
          <w:tcPr>
            <w:tcW w:w="1643" w:type="dxa"/>
            <w:vAlign w:val="center"/>
          </w:tcPr>
          <w:p>
            <w:pPr>
              <w:pStyle w:val="12"/>
            </w:pPr>
            <w:r>
              <w:t>17.73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20.29</w:t>
            </w:r>
          </w:p>
        </w:tc>
        <w:tc>
          <w:tcPr>
            <w:tcW w:w="1643" w:type="dxa"/>
            <w:vAlign w:val="center"/>
          </w:tcPr>
          <w:p>
            <w:pPr>
              <w:pStyle w:val="12"/>
            </w:pPr>
            <w:r>
              <w:t>20.29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367.89</w:t>
            </w:r>
          </w:p>
        </w:tc>
        <w:tc>
          <w:tcPr>
            <w:tcW w:w="1643" w:type="dxa"/>
            <w:vAlign w:val="center"/>
          </w:tcPr>
          <w:p>
            <w:pPr>
              <w:pStyle w:val="16"/>
            </w:pPr>
            <w:r>
              <w:t>327.37</w:t>
            </w:r>
          </w:p>
        </w:tc>
        <w:tc>
          <w:tcPr>
            <w:tcW w:w="1643" w:type="dxa"/>
            <w:vAlign w:val="center"/>
          </w:tcPr>
          <w:p>
            <w:pPr>
              <w:pStyle w:val="16"/>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279.23</w:t>
            </w:r>
          </w:p>
        </w:tc>
        <w:tc>
          <w:tcPr>
            <w:tcW w:w="1643" w:type="dxa"/>
            <w:vAlign w:val="center"/>
          </w:tcPr>
          <w:p>
            <w:pPr>
              <w:pStyle w:val="12"/>
            </w:pPr>
            <w:r>
              <w:t>279.23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70.24</w:t>
            </w:r>
          </w:p>
        </w:tc>
        <w:tc>
          <w:tcPr>
            <w:tcW w:w="1643" w:type="dxa"/>
            <w:vAlign w:val="center"/>
          </w:tcPr>
          <w:p>
            <w:pPr>
              <w:pStyle w:val="12"/>
            </w:pPr>
            <w:r>
              <w:t>70.24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51.98</w:t>
            </w:r>
          </w:p>
        </w:tc>
        <w:tc>
          <w:tcPr>
            <w:tcW w:w="1643" w:type="dxa"/>
            <w:vAlign w:val="center"/>
          </w:tcPr>
          <w:p>
            <w:pPr>
              <w:pStyle w:val="12"/>
            </w:pPr>
            <w:r>
              <w:t>51.98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49.48</w:t>
            </w:r>
          </w:p>
        </w:tc>
        <w:tc>
          <w:tcPr>
            <w:tcW w:w="1643" w:type="dxa"/>
            <w:vAlign w:val="center"/>
          </w:tcPr>
          <w:p>
            <w:pPr>
              <w:pStyle w:val="12"/>
            </w:pPr>
            <w:r>
              <w:t>49.48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29.90</w:t>
            </w:r>
          </w:p>
        </w:tc>
        <w:tc>
          <w:tcPr>
            <w:tcW w:w="1643" w:type="dxa"/>
            <w:vAlign w:val="center"/>
          </w:tcPr>
          <w:p>
            <w:pPr>
              <w:pStyle w:val="12"/>
            </w:pPr>
            <w:r>
              <w:t>29.90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25.94</w:t>
            </w:r>
          </w:p>
        </w:tc>
        <w:tc>
          <w:tcPr>
            <w:tcW w:w="1643" w:type="dxa"/>
            <w:vAlign w:val="center"/>
          </w:tcPr>
          <w:p>
            <w:pPr>
              <w:pStyle w:val="12"/>
            </w:pPr>
            <w:r>
              <w:t>25.94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11.44</w:t>
            </w:r>
          </w:p>
        </w:tc>
        <w:tc>
          <w:tcPr>
            <w:tcW w:w="1643" w:type="dxa"/>
            <w:vAlign w:val="center"/>
          </w:tcPr>
          <w:p>
            <w:pPr>
              <w:pStyle w:val="12"/>
            </w:pPr>
            <w:r>
              <w:t>11.44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8.85</w:t>
            </w:r>
          </w:p>
        </w:tc>
        <w:tc>
          <w:tcPr>
            <w:tcW w:w="1643" w:type="dxa"/>
            <w:vAlign w:val="center"/>
          </w:tcPr>
          <w:p>
            <w:pPr>
              <w:pStyle w:val="12"/>
            </w:pPr>
            <w:r>
              <w:t>8.85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5.05</w:t>
            </w:r>
          </w:p>
        </w:tc>
        <w:tc>
          <w:tcPr>
            <w:tcW w:w="1643" w:type="dxa"/>
            <w:vAlign w:val="center"/>
          </w:tcPr>
          <w:p>
            <w:pPr>
              <w:pStyle w:val="12"/>
            </w:pPr>
            <w:r>
              <w:t>5.05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26.35</w:t>
            </w:r>
          </w:p>
        </w:tc>
        <w:tc>
          <w:tcPr>
            <w:tcW w:w="1643" w:type="dxa"/>
            <w:vAlign w:val="center"/>
          </w:tcPr>
          <w:p>
            <w:pPr>
              <w:pStyle w:val="12"/>
            </w:pPr>
            <w:r>
              <w:t>26.35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40.52</w:t>
            </w:r>
          </w:p>
        </w:tc>
        <w:tc>
          <w:tcPr>
            <w:tcW w:w="1643" w:type="dxa"/>
            <w:vAlign w:val="center"/>
          </w:tcPr>
          <w:p>
            <w:pPr>
              <w:pStyle w:val="12"/>
            </w:pPr>
          </w:p>
        </w:tc>
        <w:tc>
          <w:tcPr>
            <w:tcW w:w="1643" w:type="dxa"/>
            <w:vAlign w:val="center"/>
          </w:tcPr>
          <w:p>
            <w:pPr>
              <w:pStyle w:val="12"/>
            </w:pPr>
            <w:r>
              <w:t>40.52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10.20</w:t>
            </w:r>
          </w:p>
        </w:tc>
        <w:tc>
          <w:tcPr>
            <w:tcW w:w="1643" w:type="dxa"/>
            <w:vAlign w:val="center"/>
          </w:tcPr>
          <w:p>
            <w:pPr>
              <w:pStyle w:val="12"/>
            </w:pPr>
          </w:p>
        </w:tc>
        <w:tc>
          <w:tcPr>
            <w:tcW w:w="1643"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7.99</w:t>
            </w:r>
          </w:p>
        </w:tc>
        <w:tc>
          <w:tcPr>
            <w:tcW w:w="1643" w:type="dxa"/>
            <w:vAlign w:val="center"/>
          </w:tcPr>
          <w:p>
            <w:pPr>
              <w:pStyle w:val="12"/>
            </w:pPr>
          </w:p>
        </w:tc>
        <w:tc>
          <w:tcPr>
            <w:tcW w:w="1643" w:type="dxa"/>
            <w:vAlign w:val="center"/>
          </w:tcPr>
          <w:p>
            <w:pPr>
              <w:pStyle w:val="12"/>
            </w:pPr>
            <w:r>
              <w:t>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4.67</w:t>
            </w:r>
          </w:p>
        </w:tc>
        <w:tc>
          <w:tcPr>
            <w:tcW w:w="1643" w:type="dxa"/>
            <w:vAlign w:val="center"/>
          </w:tcPr>
          <w:p>
            <w:pPr>
              <w:pStyle w:val="12"/>
            </w:pPr>
          </w:p>
        </w:tc>
        <w:tc>
          <w:tcPr>
            <w:tcW w:w="1643" w:type="dxa"/>
            <w:vAlign w:val="center"/>
          </w:tcPr>
          <w:p>
            <w:pPr>
              <w:pStyle w:val="12"/>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1.52</w:t>
            </w:r>
          </w:p>
        </w:tc>
        <w:tc>
          <w:tcPr>
            <w:tcW w:w="1643" w:type="dxa"/>
            <w:vAlign w:val="center"/>
          </w:tcPr>
          <w:p>
            <w:pPr>
              <w:pStyle w:val="12"/>
            </w:pPr>
          </w:p>
        </w:tc>
        <w:tc>
          <w:tcPr>
            <w:tcW w:w="1643" w:type="dxa"/>
            <w:vAlign w:val="center"/>
          </w:tcPr>
          <w:p>
            <w:pPr>
              <w:pStyle w:val="12"/>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1.76</w:t>
            </w:r>
          </w:p>
        </w:tc>
        <w:tc>
          <w:tcPr>
            <w:tcW w:w="1643" w:type="dxa"/>
            <w:vAlign w:val="center"/>
          </w:tcPr>
          <w:p>
            <w:pPr>
              <w:pStyle w:val="12"/>
            </w:pPr>
          </w:p>
        </w:tc>
        <w:tc>
          <w:tcPr>
            <w:tcW w:w="1643" w:type="dxa"/>
            <w:vAlign w:val="center"/>
          </w:tcPr>
          <w:p>
            <w:pPr>
              <w:pStyle w:val="12"/>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2.70</w:t>
            </w:r>
          </w:p>
        </w:tc>
        <w:tc>
          <w:tcPr>
            <w:tcW w:w="1643" w:type="dxa"/>
            <w:vAlign w:val="center"/>
          </w:tcPr>
          <w:p>
            <w:pPr>
              <w:pStyle w:val="12"/>
            </w:pPr>
          </w:p>
        </w:tc>
        <w:tc>
          <w:tcPr>
            <w:tcW w:w="1643"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10.32</w:t>
            </w:r>
          </w:p>
        </w:tc>
        <w:tc>
          <w:tcPr>
            <w:tcW w:w="1643" w:type="dxa"/>
            <w:vAlign w:val="center"/>
          </w:tcPr>
          <w:p>
            <w:pPr>
              <w:pStyle w:val="12"/>
            </w:pPr>
          </w:p>
        </w:tc>
        <w:tc>
          <w:tcPr>
            <w:tcW w:w="1643" w:type="dxa"/>
            <w:vAlign w:val="center"/>
          </w:tcPr>
          <w:p>
            <w:pPr>
              <w:pStyle w:val="12"/>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1.36</w:t>
            </w:r>
          </w:p>
        </w:tc>
        <w:tc>
          <w:tcPr>
            <w:tcW w:w="1643" w:type="dxa"/>
            <w:vAlign w:val="center"/>
          </w:tcPr>
          <w:p>
            <w:pPr>
              <w:pStyle w:val="12"/>
            </w:pPr>
          </w:p>
        </w:tc>
        <w:tc>
          <w:tcPr>
            <w:tcW w:w="1643" w:type="dxa"/>
            <w:vAlign w:val="center"/>
          </w:tcPr>
          <w:p>
            <w:pPr>
              <w:pStyle w:val="12"/>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48.14</w:t>
            </w:r>
          </w:p>
        </w:tc>
        <w:tc>
          <w:tcPr>
            <w:tcW w:w="1643" w:type="dxa"/>
            <w:vAlign w:val="center"/>
          </w:tcPr>
          <w:p>
            <w:pPr>
              <w:pStyle w:val="12"/>
            </w:pPr>
            <w:r>
              <w:t>48.14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18.43</w:t>
            </w:r>
          </w:p>
        </w:tc>
        <w:tc>
          <w:tcPr>
            <w:tcW w:w="1643" w:type="dxa"/>
            <w:vAlign w:val="center"/>
          </w:tcPr>
          <w:p>
            <w:pPr>
              <w:pStyle w:val="12"/>
            </w:pPr>
            <w:r>
              <w:t>18.43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29.71</w:t>
            </w:r>
          </w:p>
        </w:tc>
        <w:tc>
          <w:tcPr>
            <w:tcW w:w="1643" w:type="dxa"/>
            <w:vAlign w:val="center"/>
          </w:tcPr>
          <w:p>
            <w:pPr>
              <w:pStyle w:val="12"/>
            </w:pPr>
            <w:r>
              <w:t>29.71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2.70</w:t>
            </w:r>
          </w:p>
        </w:tc>
        <w:tc>
          <w:tcPr>
            <w:tcW w:w="1643" w:type="dxa"/>
            <w:vAlign w:val="center"/>
          </w:tcPr>
          <w:p>
            <w:pPr>
              <w:pStyle w:val="12"/>
            </w:pPr>
            <w:r>
              <w:t>2.70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（二）开展统一战线理论研究，贯彻落实统一战线工作的政策、地方性法规等，深入调查研究，及时向区委报告统一战线工作情况并提出建议，统筹协调和指导各乡镇（区）各部门各单位统一战线工作。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（四）贯彻落实党的宣传工作方针，统筹推进全区统一战线宣传工作，拟订全区统一战线宣传工作规划并组织实施，研判涉及统一战线的舆情并协调有关部门应对处置</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（七）负责联系、培养无党派代表人士，支持、帮助无党派人士发挥作用，调查研究党外知识分子和新的社会阶层</w:t>
      </w:r>
      <w:r>
        <w:rPr>
          <w:rFonts w:hint="eastAsia" w:eastAsia="方正仿宋_GBK" w:cs="Times New Roman"/>
          <w:b w:val="0"/>
          <w:color w:val="000000"/>
          <w:sz w:val="28"/>
          <w:lang w:val="en-US" w:eastAsia="zh-CN"/>
        </w:rPr>
        <w:t>人</w:t>
      </w:r>
      <w:r>
        <w:rPr>
          <w:rFonts w:ascii="Times New Roman" w:hAnsi="Times New Roman" w:eastAsia="方正仿宋_GBK" w:cs="Times New Roman"/>
          <w:b w:val="0"/>
          <w:color w:val="000000"/>
          <w:sz w:val="28"/>
        </w:rPr>
        <w:t>士情况并提出政策建议，联系、培养党外知识分子和新的社会阶层代表人士，开展思想政治工作，指导企业和社会组织开展党外知识分子和新的社会阶层人士统战工作。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eastAsia="方正仿宋_GBK" w:cs="Times New Roman"/>
          <w:b w:val="0"/>
          <w:color w:val="000000"/>
          <w:sz w:val="28"/>
          <w:lang w:val="en-US" w:eastAsia="zh-CN"/>
        </w:rPr>
        <w:t>士</w:t>
      </w:r>
      <w:r>
        <w:rPr>
          <w:rFonts w:ascii="Times New Roman" w:hAnsi="Times New Roman" w:eastAsia="方正仿宋_GBK" w:cs="Times New Roman"/>
          <w:b w:val="0"/>
          <w:color w:val="000000"/>
          <w:sz w:val="28"/>
        </w:rPr>
        <w:t>健康成长。</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（九）统一领导全区海外统战工作，牵头开展港澳统战工作。贯彻落实党的海外统战工作政策，联系香港、澳门有关党派、团体及代表人士，联系海外有关社团及代表人士。</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（十）统一管理全区侨务工作，贯彻落实党的侨务工作方针政策并组织协调、督促检查落实，调查研究侨情和侨务工作情况，管理侨务工作，保护华侨和归侨侨眷在区内的合法权利和利益。</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一）负责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按照中央有关规定，负责全区对台接触的组织实施。</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十二）指导各乡镇（区）党（工）委统一战线工作，负责乡镇（区）统战干部培训工作；协调政府有关部门统一战线工作；受区委委托，领导工商联党组，指导区工商联工作；联系指导区侨联工作，做好统一战线有关单位和团体的管理工作。</w:t>
      </w:r>
    </w:p>
    <w:p>
      <w:pPr>
        <w:pStyle w:val="18"/>
      </w:pPr>
      <w:r>
        <w:rPr>
          <w:rFonts w:ascii="Times New Roman" w:hAnsi="Times New Roman" w:eastAsia="方正仿宋_GBK" w:cs="Times New Roman"/>
          <w:b w:val="0"/>
          <w:color w:val="000000"/>
          <w:sz w:val="28"/>
        </w:rP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中共石家庄市鹿泉区委统一战线工作部本级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pPr>
        <w:pStyle w:val="19"/>
      </w:pPr>
      <w:r>
        <w:t>1、收入说明</w:t>
      </w:r>
    </w:p>
    <w:p>
      <w:pPr>
        <w:pStyle w:val="19"/>
      </w:pPr>
      <w:r>
        <w:t>反映本部门当年全部收入。2024年预算收入428.62万元，其中：一般公共预算收入422.62万元，基金预算收入0.00万元，国有资本经营预算收入0.00万元，财政专户核拨收入0.00万元，单位资金收入0.00万元，上年结转结余6.00万元。</w:t>
      </w:r>
    </w:p>
    <w:p>
      <w:pPr>
        <w:pStyle w:val="19"/>
      </w:pPr>
      <w:r>
        <w:t>2、支出说明</w:t>
      </w:r>
    </w:p>
    <w:p>
      <w:pPr>
        <w:pStyle w:val="19"/>
      </w:pPr>
      <w:r>
        <w:t>收支预算总表支出栏、基本支出表、项目支出表按经济分类和支出功能分类科目编制，反映中共石家庄市鹿泉区委统一战线工作部年度部门预算中支出预算的总体情况。2024年支出预算428.62万元，其中基本支出367.89万元，包括人员经费327.37万元和日常公用经费40.52万元；项目支出60.73万元，主要为宗教工作、党外知识分子工作、台侨工作等经费。</w:t>
      </w:r>
    </w:p>
    <w:p>
      <w:pPr>
        <w:pStyle w:val="19"/>
      </w:pPr>
      <w:r>
        <w:t>3、比上年增减情况</w:t>
      </w:r>
    </w:p>
    <w:p>
      <w:pPr>
        <w:pStyle w:val="19"/>
      </w:pPr>
      <w:r>
        <w:t>2024年预算收支安排428.62万元，较2023年预算增加51.00万元，其中：基本支出增加96.35万元，主要为人员增加，相应增加人员经费和日常公用经费。项目支出减少45.35万元，主要为2023年已完成项目不用再列预算。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ascii="Times New Roman" w:hAnsi="Times New Roman" w:eastAsia="方正仿宋_GBK" w:cs="Times New Roman"/>
          <w:sz w:val="28"/>
          <w:szCs w:val="24"/>
          <w:lang w:val="uk-UA" w:eastAsia="zh-CN" w:bidi="ar-SA"/>
        </w:rPr>
      </w:pPr>
      <w:r>
        <w:rPr>
          <w:rFonts w:ascii="Times New Roman" w:hAnsi="Times New Roman" w:eastAsia="方正仿宋_GBK" w:cs="Times New Roman"/>
          <w:sz w:val="28"/>
          <w:szCs w:val="24"/>
          <w:lang w:val="uk-UA"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uk-UA" w:eastAsia="zh-CN" w:bidi="ar-SA"/>
        </w:rPr>
        <w:t>年，我</w:t>
      </w:r>
      <w:r>
        <w:rPr>
          <w:rFonts w:hint="eastAsia" w:eastAsia="方正仿宋_GBK" w:cs="Times New Roman"/>
          <w:sz w:val="28"/>
          <w:szCs w:val="24"/>
          <w:lang w:val="en-US" w:eastAsia="zh-CN" w:bidi="ar-SA"/>
        </w:rPr>
        <w:t>部门</w:t>
      </w:r>
      <w:r>
        <w:rPr>
          <w:rFonts w:ascii="Times New Roman" w:hAnsi="Times New Roman" w:eastAsia="方正仿宋_GBK" w:cs="Times New Roman"/>
          <w:sz w:val="28"/>
          <w:szCs w:val="24"/>
          <w:lang w:val="uk-UA" w:eastAsia="zh-CN" w:bidi="ar-SA"/>
        </w:rPr>
        <w:t>机关运行经费共计安排</w:t>
      </w:r>
      <w:r>
        <w:rPr>
          <w:rFonts w:hint="eastAsia" w:eastAsia="方正仿宋_GBK" w:cs="Times New Roman"/>
          <w:sz w:val="28"/>
          <w:szCs w:val="24"/>
          <w:lang w:val="en-US" w:eastAsia="zh-CN" w:bidi="ar-SA"/>
        </w:rPr>
        <w:t>40.52</w:t>
      </w:r>
      <w:r>
        <w:rPr>
          <w:rFonts w:ascii="Times New Roman" w:hAnsi="Times New Roman" w:eastAsia="方正仿宋_GBK" w:cs="Times New Roman"/>
          <w:sz w:val="28"/>
          <w:szCs w:val="24"/>
          <w:lang w:val="uk-UA" w:eastAsia="zh-CN" w:bidi="ar-SA"/>
        </w:rPr>
        <w:t>万元，主要用于保证机关正常运转的办公及印刷费、邮电费、差旅费、会议费、福利费、党组织活动、公务车运行维护费等支出</w:t>
      </w:r>
      <w:r>
        <w:rPr>
          <w:rFonts w:hint="eastAsia" w:ascii="Times New Roman" w:hAnsi="Times New Roman" w:eastAsia="方正仿宋_GBK" w:cs="Times New Roman"/>
          <w:sz w:val="28"/>
          <w:szCs w:val="24"/>
          <w:lang w:val="uk-UA" w:eastAsia="zh-CN" w:bidi="ar-SA"/>
        </w:rP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ascii="Times New Roman" w:hAnsi="Times New Roman" w:eastAsia="方正仿宋_GBK" w:cs="Times New Roman"/>
          <w:sz w:val="28"/>
          <w:szCs w:val="24"/>
          <w:lang w:val="uk-UA" w:eastAsia="zh-CN" w:bidi="ar-SA"/>
        </w:rPr>
      </w:pPr>
      <w:r>
        <w:rPr>
          <w:rFonts w:hint="eastAsia" w:ascii="Times New Roman" w:hAnsi="Times New Roman" w:eastAsia="方正仿宋_GBK" w:cs="Times New Roman"/>
          <w:sz w:val="28"/>
          <w:szCs w:val="24"/>
          <w:lang w:val="uk-UA" w:eastAsia="zh-CN"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uk-UA" w:eastAsia="zh-CN" w:bidi="ar-SA"/>
        </w:rPr>
        <w:t>年</w:t>
      </w:r>
      <w:r>
        <w:rPr>
          <w:rFonts w:ascii="Times New Roman" w:hAnsi="Times New Roman" w:eastAsia="方正仿宋_GBK" w:cs="Times New Roman"/>
          <w:sz w:val="28"/>
          <w:szCs w:val="24"/>
          <w:lang w:val="uk-UA" w:eastAsia="zh-CN" w:bidi="ar-SA"/>
        </w:rPr>
        <w:t>，我</w:t>
      </w:r>
      <w:r>
        <w:rPr>
          <w:rFonts w:hint="eastAsia" w:cs="Times New Roman"/>
          <w:sz w:val="28"/>
          <w:szCs w:val="24"/>
          <w:lang w:val="en-US" w:eastAsia="zh-CN" w:bidi="ar-SA"/>
        </w:rPr>
        <w:t>部门</w:t>
      </w:r>
      <w:r>
        <w:rPr>
          <w:rFonts w:ascii="Times New Roman" w:hAnsi="Times New Roman" w:eastAsia="方正仿宋_GBK" w:cs="Times New Roman"/>
          <w:sz w:val="28"/>
          <w:szCs w:val="24"/>
          <w:lang w:val="uk-UA" w:eastAsia="zh-CN" w:bidi="ar-SA"/>
        </w:rPr>
        <w:t>财政拨款“</w:t>
      </w:r>
      <w:r>
        <w:rPr>
          <w:rFonts w:hint="eastAsia" w:ascii="Times New Roman" w:hAnsi="Times New Roman" w:eastAsia="方正仿宋_GBK" w:cs="Times New Roman"/>
          <w:sz w:val="28"/>
          <w:szCs w:val="24"/>
          <w:lang w:val="uk-UA" w:eastAsia="zh-CN" w:bidi="ar-SA"/>
        </w:rPr>
        <w:t>三公</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经费</w:t>
      </w:r>
      <w:r>
        <w:rPr>
          <w:rFonts w:ascii="Times New Roman" w:hAnsi="Times New Roman" w:eastAsia="方正仿宋_GBK" w:cs="Times New Roman"/>
          <w:sz w:val="28"/>
          <w:szCs w:val="24"/>
          <w:lang w:val="uk-UA" w:eastAsia="zh-CN" w:bidi="ar-SA"/>
        </w:rPr>
        <w:t>预算安排</w:t>
      </w:r>
      <w:r>
        <w:rPr>
          <w:rFonts w:hint="eastAsia" w:ascii="Times New Roman" w:hAnsi="Times New Roman" w:eastAsia="方正仿宋_GBK" w:cs="Times New Roman"/>
          <w:sz w:val="28"/>
          <w:szCs w:val="24"/>
          <w:lang w:val="uk-UA" w:eastAsia="zh-CN" w:bidi="ar-SA"/>
        </w:rPr>
        <w:t>2.7万元</w:t>
      </w:r>
      <w:r>
        <w:rPr>
          <w:rFonts w:ascii="Times New Roman" w:hAnsi="Times New Roman" w:eastAsia="方正仿宋_GBK" w:cs="Times New Roman"/>
          <w:sz w:val="28"/>
          <w:szCs w:val="24"/>
          <w:lang w:val="uk-UA" w:eastAsia="zh-CN" w:bidi="ar-SA"/>
        </w:rPr>
        <w:t>，其中：因公出国（</w:t>
      </w:r>
      <w:r>
        <w:rPr>
          <w:rFonts w:hint="eastAsia" w:ascii="Times New Roman" w:hAnsi="Times New Roman" w:eastAsia="方正仿宋_GBK" w:cs="Times New Roman"/>
          <w:sz w:val="28"/>
          <w:szCs w:val="24"/>
          <w:lang w:val="uk-UA" w:eastAsia="zh-CN" w:bidi="ar-SA"/>
        </w:rPr>
        <w:t>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费0万元</w:t>
      </w:r>
      <w:r>
        <w:rPr>
          <w:rFonts w:ascii="Times New Roman" w:hAnsi="Times New Roman" w:eastAsia="方正仿宋_GBK" w:cs="Times New Roman"/>
          <w:sz w:val="28"/>
          <w:szCs w:val="24"/>
          <w:lang w:val="uk-UA" w:eastAsia="zh-CN" w:bidi="ar-SA"/>
        </w:rPr>
        <w:t>；公务用车购置及运维费</w:t>
      </w:r>
      <w:r>
        <w:rPr>
          <w:rFonts w:hint="eastAsia" w:ascii="Times New Roman" w:hAnsi="Times New Roman" w:eastAsia="方正仿宋_GBK" w:cs="Times New Roman"/>
          <w:sz w:val="28"/>
          <w:szCs w:val="24"/>
          <w:lang w:val="uk-UA" w:eastAsia="zh-CN" w:bidi="ar-SA"/>
        </w:rPr>
        <w:t>2.7万元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其中</w:t>
      </w:r>
      <w:r>
        <w:rPr>
          <w:rFonts w:ascii="Times New Roman" w:hAnsi="Times New Roman" w:eastAsia="方正仿宋_GBK" w:cs="Times New Roman"/>
          <w:sz w:val="28"/>
          <w:szCs w:val="24"/>
          <w:lang w:val="uk-UA" w:eastAsia="zh-CN" w:bidi="ar-SA"/>
        </w:rPr>
        <w:t>：公务用车购置费</w:t>
      </w:r>
      <w:r>
        <w:rPr>
          <w:rFonts w:hint="eastAsia" w:ascii="Times New Roman" w:hAnsi="Times New Roman" w:eastAsia="方正仿宋_GBK" w:cs="Times New Roman"/>
          <w:sz w:val="28"/>
          <w:szCs w:val="24"/>
          <w:lang w:val="uk-UA" w:eastAsia="zh-CN" w:bidi="ar-SA"/>
        </w:rPr>
        <w:t>0万元</w:t>
      </w:r>
      <w:r>
        <w:rPr>
          <w:rFonts w:ascii="Times New Roman" w:hAnsi="Times New Roman" w:eastAsia="方正仿宋_GBK" w:cs="Times New Roman"/>
          <w:sz w:val="28"/>
          <w:szCs w:val="24"/>
          <w:lang w:val="uk-UA" w:eastAsia="zh-CN" w:bidi="ar-SA"/>
        </w:rPr>
        <w:t>，公务用车运行维护费</w:t>
      </w:r>
      <w:r>
        <w:rPr>
          <w:rFonts w:hint="eastAsia" w:ascii="Times New Roman" w:hAnsi="Times New Roman" w:eastAsia="方正仿宋_GBK" w:cs="Times New Roman"/>
          <w:sz w:val="28"/>
          <w:szCs w:val="24"/>
          <w:lang w:val="uk-UA" w:eastAsia="zh-CN" w:bidi="ar-SA"/>
        </w:rPr>
        <w:t>2</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uk-UA" w:eastAsia="zh-CN" w:bidi="ar-SA"/>
        </w:rPr>
        <w:t>7万元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w:t>
      </w:r>
      <w:r>
        <w:rPr>
          <w:rFonts w:ascii="Times New Roman" w:hAnsi="Times New Roman" w:eastAsia="方正仿宋_GBK" w:cs="Times New Roman"/>
          <w:sz w:val="28"/>
          <w:szCs w:val="24"/>
          <w:lang w:val="uk-UA" w:eastAsia="zh-CN" w:bidi="ar-SA"/>
        </w:rPr>
        <w:t>公务接待费</w:t>
      </w:r>
      <w:r>
        <w:rPr>
          <w:rFonts w:hint="eastAsia" w:ascii="Times New Roman" w:hAnsi="Times New Roman" w:eastAsia="方正仿宋_GBK" w:cs="Times New Roman"/>
          <w:sz w:val="28"/>
          <w:szCs w:val="24"/>
          <w:lang w:val="uk-UA" w:eastAsia="zh-CN" w:bidi="ar-SA"/>
        </w:rPr>
        <w:t>0万元</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三公</w:t>
      </w:r>
      <w:r>
        <w:rPr>
          <w:rFonts w:ascii="Times New Roman" w:hAnsi="Times New Roman" w:eastAsia="方正仿宋_GBK" w:cs="Times New Roman"/>
          <w:sz w:val="28"/>
          <w:szCs w:val="24"/>
          <w:lang w:val="uk-UA" w:eastAsia="zh-CN" w:bidi="ar-SA"/>
        </w:rPr>
        <w:t>”</w:t>
      </w:r>
      <w:r>
        <w:rPr>
          <w:rFonts w:hint="eastAsia" w:ascii="Times New Roman" w:hAnsi="Times New Roman" w:eastAsia="方正仿宋_GBK" w:cs="Times New Roman"/>
          <w:sz w:val="28"/>
          <w:szCs w:val="24"/>
          <w:lang w:val="uk-UA" w:eastAsia="zh-CN" w:bidi="ar-SA"/>
        </w:rPr>
        <w:t>经费</w:t>
      </w:r>
      <w:r>
        <w:rPr>
          <w:rFonts w:ascii="Times New Roman" w:hAnsi="Times New Roman" w:eastAsia="方正仿宋_GBK" w:cs="Times New Roman"/>
          <w:sz w:val="28"/>
          <w:szCs w:val="24"/>
          <w:lang w:val="uk-UA" w:eastAsia="zh-CN" w:bidi="ar-SA"/>
        </w:rPr>
        <w:t>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2023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3"/>
      </w:pPr>
      <w:r>
        <w:t>（二）强化系统治理，切实维护宗教领域的和谐稳定。巩固宗教领域专项整治成果，防范各类非法宗教活动的反弹。深入开展“双创四进”，严格落实三项制度，积极发挥基层治理工作队作用，深入开展宗教领域系统治理，</w:t>
      </w:r>
      <w:r>
        <w:rPr>
          <w:rFonts w:hint="eastAsia"/>
          <w:lang w:eastAsia="zh-CN"/>
        </w:rPr>
        <w:t>坚持我国宗教中国化方向</w:t>
      </w:r>
      <w:r>
        <w:t>。</w:t>
      </w:r>
    </w:p>
    <w:p>
      <w:pPr>
        <w:pStyle w:val="23"/>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23"/>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1.加强和完善制度建设，不断夯实制度基础。不断加强和完善预算绩效管理制度、资金管理办法，工作保障制度等，为全年预算绩效目标的实现奠定制度基础；</w:t>
      </w:r>
    </w:p>
    <w:p>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4"/>
      </w:pPr>
      <w:r>
        <w:t>3、做好绩效自评。按要求开展上年度部门预算绩效自评工作，对评价中发现的问题及时整改，调整优化支出结构，提高财政拨付项目资金的使用效益。</w:t>
      </w:r>
    </w:p>
    <w:p>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1、2024民宗宗教工作专项经费绩效目标表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13011024P00322710005K</w:t>
            </w:r>
          </w:p>
        </w:tc>
        <w:tc>
          <w:tcPr>
            <w:tcW w:w="2114" w:type="dxa"/>
            <w:vAlign w:val="center"/>
          </w:tcPr>
          <w:p>
            <w:pPr>
              <w:pStyle w:val="11"/>
            </w:pPr>
            <w:r>
              <w:t>项目名称</w:t>
            </w:r>
          </w:p>
        </w:tc>
        <w:tc>
          <w:tcPr>
            <w:tcW w:w="6342" w:type="dxa"/>
            <w:gridSpan w:val="3"/>
            <w:vAlign w:val="center"/>
          </w:tcPr>
          <w:p>
            <w:pPr>
              <w:pStyle w:val="13"/>
            </w:pPr>
            <w:r>
              <w:t>2024民宗宗教工作专项经费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坚持我国宗教中国化方向，切实维护宗教领域的和谐稳定。主要用于全区宗教活动场制财务审计场所10个；深化“双创四进”创建提档升级，完成宗教场所和团体“双创四进”建设，制作宣传栏数量200块；开展全区宗教工作培训班和宗教人士政策法规培训4次；宗教场所及人士走访慰问10个以上，部分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坚持我国宗教中国化方向，切实维护宗教领域的和谐稳定。主要用于全区宗教活动场制财务审计场所10个；深化“双创四进”创建提档升级，完成宗教场所和团体“双创四进”建设，制作宣传栏数量200块；开展全区宗教工作培训班和宗教人士政策法规培训4次；宗教场所及人士走访慰问10个以上，部分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审计宗教场所数量</w:t>
            </w:r>
          </w:p>
        </w:tc>
        <w:tc>
          <w:tcPr>
            <w:tcW w:w="4228" w:type="dxa"/>
            <w:vAlign w:val="center"/>
          </w:tcPr>
          <w:p>
            <w:pPr>
              <w:pStyle w:val="13"/>
            </w:pPr>
            <w:r>
              <w:t>完成集中财务审计的宗教场所和团体数量</w:t>
            </w:r>
          </w:p>
        </w:tc>
        <w:tc>
          <w:tcPr>
            <w:tcW w:w="2114" w:type="dxa"/>
            <w:vAlign w:val="center"/>
          </w:tcPr>
          <w:p>
            <w:pPr>
              <w:pStyle w:val="13"/>
            </w:pPr>
            <w:r>
              <w:t>≥10个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审计成本</w:t>
            </w:r>
          </w:p>
        </w:tc>
        <w:tc>
          <w:tcPr>
            <w:tcW w:w="4228" w:type="dxa"/>
            <w:vAlign w:val="center"/>
          </w:tcPr>
          <w:p>
            <w:pPr>
              <w:pStyle w:val="13"/>
            </w:pPr>
            <w:r>
              <w:t>宗教场所财务审计平均成本</w:t>
            </w:r>
          </w:p>
        </w:tc>
        <w:tc>
          <w:tcPr>
            <w:tcW w:w="2114" w:type="dxa"/>
            <w:vAlign w:val="center"/>
          </w:tcPr>
          <w:p>
            <w:pPr>
              <w:pStyle w:val="13"/>
            </w:pPr>
            <w:r>
              <w:t>≤2000元/个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宣传栏展板制作数量</w:t>
            </w:r>
          </w:p>
        </w:tc>
        <w:tc>
          <w:tcPr>
            <w:tcW w:w="4228" w:type="dxa"/>
            <w:vAlign w:val="center"/>
          </w:tcPr>
          <w:p>
            <w:pPr>
              <w:pStyle w:val="13"/>
            </w:pPr>
            <w:r>
              <w:t>制作宣传栏总数量</w:t>
            </w:r>
          </w:p>
        </w:tc>
        <w:tc>
          <w:tcPr>
            <w:tcW w:w="2114" w:type="dxa"/>
            <w:vAlign w:val="center"/>
          </w:tcPr>
          <w:p>
            <w:pPr>
              <w:pStyle w:val="13"/>
            </w:pPr>
            <w:r>
              <w:t>≥200块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宣传栏展板制作成本</w:t>
            </w:r>
          </w:p>
        </w:tc>
        <w:tc>
          <w:tcPr>
            <w:tcW w:w="4228" w:type="dxa"/>
            <w:vAlign w:val="center"/>
          </w:tcPr>
          <w:p>
            <w:pPr>
              <w:pStyle w:val="13"/>
            </w:pPr>
            <w:r>
              <w:t>制作宣传栏幅平均成本</w:t>
            </w:r>
          </w:p>
        </w:tc>
        <w:tc>
          <w:tcPr>
            <w:tcW w:w="2114" w:type="dxa"/>
            <w:vAlign w:val="center"/>
          </w:tcPr>
          <w:p>
            <w:pPr>
              <w:pStyle w:val="13"/>
            </w:pPr>
            <w:r>
              <w:t>≤150元/块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开展培训班数量</w:t>
            </w:r>
          </w:p>
        </w:tc>
        <w:tc>
          <w:tcPr>
            <w:tcW w:w="4228" w:type="dxa"/>
            <w:vAlign w:val="center"/>
          </w:tcPr>
          <w:p>
            <w:pPr>
              <w:pStyle w:val="13"/>
            </w:pPr>
            <w:r>
              <w:t>开展宗教工作培训班数量</w:t>
            </w:r>
          </w:p>
        </w:tc>
        <w:tc>
          <w:tcPr>
            <w:tcW w:w="2114" w:type="dxa"/>
            <w:vAlign w:val="center"/>
          </w:tcPr>
          <w:p>
            <w:pPr>
              <w:pStyle w:val="13"/>
            </w:pPr>
            <w:r>
              <w:t>≥4次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宗教工作相关培训班平均成本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审计报告合格率</w:t>
            </w:r>
          </w:p>
        </w:tc>
        <w:tc>
          <w:tcPr>
            <w:tcW w:w="4228" w:type="dxa"/>
            <w:vAlign w:val="center"/>
          </w:tcPr>
          <w:p>
            <w:pPr>
              <w:pStyle w:val="13"/>
            </w:pPr>
            <w:r>
              <w:t>审计项目报告合格率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走访慰问宗教团体宗教场所数量</w:t>
            </w:r>
          </w:p>
        </w:tc>
        <w:tc>
          <w:tcPr>
            <w:tcW w:w="4228" w:type="dxa"/>
            <w:vAlign w:val="center"/>
          </w:tcPr>
          <w:p>
            <w:pPr>
              <w:pStyle w:val="13"/>
            </w:pPr>
            <w:r>
              <w:t>走访宗教团体宗教场所数量</w:t>
            </w:r>
          </w:p>
        </w:tc>
        <w:tc>
          <w:tcPr>
            <w:tcW w:w="2114" w:type="dxa"/>
            <w:vAlign w:val="center"/>
          </w:tcPr>
          <w:p>
            <w:pPr>
              <w:pStyle w:val="13"/>
            </w:pPr>
            <w:r>
              <w:t>≤10个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走访慰问平均成本</w:t>
            </w:r>
          </w:p>
        </w:tc>
        <w:tc>
          <w:tcPr>
            <w:tcW w:w="4228" w:type="dxa"/>
            <w:vAlign w:val="center"/>
          </w:tcPr>
          <w:p>
            <w:pPr>
              <w:pStyle w:val="13"/>
            </w:pPr>
            <w:r>
              <w:t>走访慰问平均成本</w:t>
            </w:r>
          </w:p>
        </w:tc>
        <w:tc>
          <w:tcPr>
            <w:tcW w:w="2114" w:type="dxa"/>
            <w:vAlign w:val="center"/>
          </w:tcPr>
          <w:p>
            <w:pPr>
              <w:pStyle w:val="13"/>
            </w:pPr>
            <w:r>
              <w:t>≤1000元/个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维护社会稳定</w:t>
            </w:r>
          </w:p>
        </w:tc>
        <w:tc>
          <w:tcPr>
            <w:tcW w:w="4228" w:type="dxa"/>
            <w:vAlign w:val="center"/>
          </w:tcPr>
          <w:p>
            <w:pPr>
              <w:pStyle w:val="13"/>
            </w:pPr>
            <w:r>
              <w:t>维护社会稳定</w:t>
            </w:r>
          </w:p>
        </w:tc>
        <w:tc>
          <w:tcPr>
            <w:tcW w:w="2114" w:type="dxa"/>
            <w:vAlign w:val="center"/>
          </w:tcPr>
          <w:p>
            <w:pPr>
              <w:pStyle w:val="13"/>
            </w:pPr>
            <w:r>
              <w:t>切实维护宗教领域的和谐稳定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参加培训人员对培训效果满意率</w:t>
            </w:r>
          </w:p>
        </w:tc>
        <w:tc>
          <w:tcPr>
            <w:tcW w:w="2114" w:type="dxa"/>
            <w:vAlign w:val="center"/>
          </w:tcPr>
          <w:p>
            <w:pPr>
              <w:pStyle w:val="13"/>
            </w:pPr>
            <w:r>
              <w:t>≥90%</w:t>
            </w:r>
          </w:p>
        </w:tc>
        <w:tc>
          <w:tcPr>
            <w:tcW w:w="2114"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2、2024年党外知识分子工作经费绩效目标表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13011024P00322710007T</w:t>
            </w:r>
          </w:p>
        </w:tc>
        <w:tc>
          <w:tcPr>
            <w:tcW w:w="2114" w:type="dxa"/>
            <w:vAlign w:val="center"/>
          </w:tcPr>
          <w:p>
            <w:pPr>
              <w:pStyle w:val="11"/>
            </w:pPr>
            <w:r>
              <w:t>项目名称</w:t>
            </w:r>
          </w:p>
        </w:tc>
        <w:tc>
          <w:tcPr>
            <w:tcW w:w="6342" w:type="dxa"/>
            <w:gridSpan w:val="3"/>
            <w:vAlign w:val="center"/>
          </w:tcPr>
          <w:p>
            <w:pPr>
              <w:pStyle w:val="13"/>
            </w:pPr>
            <w:r>
              <w:t>2024年党外知识分子工作经费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w:t>
            </w:r>
          </w:p>
        </w:tc>
        <w:tc>
          <w:tcPr>
            <w:tcW w:w="2114" w:type="dxa"/>
            <w:vAlign w:val="center"/>
          </w:tcPr>
          <w:p>
            <w:pPr>
              <w:pStyle w:val="11"/>
            </w:pPr>
            <w:r>
              <w:t>其中：财政    资金</w:t>
            </w:r>
          </w:p>
        </w:tc>
        <w:tc>
          <w:tcPr>
            <w:tcW w:w="2114" w:type="dxa"/>
            <w:vAlign w:val="center"/>
          </w:tcPr>
          <w:p>
            <w:pPr>
              <w:pStyle w:val="13"/>
            </w:pPr>
            <w:r>
              <w:t>2.00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通过组织党外知识分子开展党的二十大精神宣讲和专题培训班2次，召开理论学习和座谈会2次，开展社会服务4次，进一步加强党外知识分子的思想政治引领。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1.通过组织党外知识分子开展党的二十大精神宣讲和专题培训班2次，召开理论学习和座谈会2次，开展社会服务4次，进一步加强党外知识分子的思想政治引领。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培训班数量</w:t>
            </w:r>
          </w:p>
        </w:tc>
        <w:tc>
          <w:tcPr>
            <w:tcW w:w="4228" w:type="dxa"/>
            <w:vAlign w:val="center"/>
          </w:tcPr>
          <w:p>
            <w:pPr>
              <w:pStyle w:val="13"/>
            </w:pPr>
            <w:r>
              <w:t>全年开展党外知识分子培训班数量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党外知识培训班平均成本</w:t>
            </w:r>
          </w:p>
        </w:tc>
        <w:tc>
          <w:tcPr>
            <w:tcW w:w="2114" w:type="dxa"/>
            <w:vAlign w:val="center"/>
          </w:tcPr>
          <w:p>
            <w:pPr>
              <w:pStyle w:val="13"/>
            </w:pPr>
            <w:r>
              <w:t>≤8000元/次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座谈会数量</w:t>
            </w:r>
          </w:p>
        </w:tc>
        <w:tc>
          <w:tcPr>
            <w:tcW w:w="4228" w:type="dxa"/>
            <w:vAlign w:val="center"/>
          </w:tcPr>
          <w:p>
            <w:pPr>
              <w:pStyle w:val="13"/>
            </w:pPr>
            <w:r>
              <w:t>全年开展相关座谈会数量</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党外知识分子培训参与率</w:t>
            </w:r>
          </w:p>
        </w:tc>
        <w:tc>
          <w:tcPr>
            <w:tcW w:w="4228" w:type="dxa"/>
            <w:vAlign w:val="center"/>
          </w:tcPr>
          <w:p>
            <w:pPr>
              <w:pStyle w:val="13"/>
            </w:pPr>
            <w:r>
              <w:t>参加党外知识分子培训占应参加培训人数的比例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座谈会成本</w:t>
            </w:r>
          </w:p>
        </w:tc>
        <w:tc>
          <w:tcPr>
            <w:tcW w:w="4228" w:type="dxa"/>
            <w:vAlign w:val="center"/>
          </w:tcPr>
          <w:p>
            <w:pPr>
              <w:pStyle w:val="13"/>
            </w:pPr>
            <w:r>
              <w:t>召开座谈会平均成本</w:t>
            </w:r>
          </w:p>
        </w:tc>
        <w:tc>
          <w:tcPr>
            <w:tcW w:w="2114" w:type="dxa"/>
            <w:vAlign w:val="center"/>
          </w:tcPr>
          <w:p>
            <w:pPr>
              <w:pStyle w:val="13"/>
            </w:pPr>
            <w:r>
              <w:t>≤3000元/次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社会服务数量</w:t>
            </w:r>
          </w:p>
        </w:tc>
        <w:tc>
          <w:tcPr>
            <w:tcW w:w="4228" w:type="dxa"/>
            <w:vAlign w:val="center"/>
          </w:tcPr>
          <w:p>
            <w:pPr>
              <w:pStyle w:val="13"/>
            </w:pPr>
            <w:r>
              <w:t>全年开展党外知识分子服务社会数量</w:t>
            </w:r>
          </w:p>
        </w:tc>
        <w:tc>
          <w:tcPr>
            <w:tcW w:w="2114" w:type="dxa"/>
            <w:vAlign w:val="center"/>
          </w:tcPr>
          <w:p>
            <w:pPr>
              <w:pStyle w:val="13"/>
            </w:pPr>
            <w:r>
              <w:t>≥3次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社会服务成本</w:t>
            </w:r>
          </w:p>
        </w:tc>
        <w:tc>
          <w:tcPr>
            <w:tcW w:w="4228" w:type="dxa"/>
            <w:vAlign w:val="center"/>
          </w:tcPr>
          <w:p>
            <w:pPr>
              <w:pStyle w:val="13"/>
            </w:pPr>
            <w:r>
              <w:t>社会服务活动平均成本</w:t>
            </w:r>
          </w:p>
        </w:tc>
        <w:tc>
          <w:tcPr>
            <w:tcW w:w="2114" w:type="dxa"/>
            <w:vAlign w:val="center"/>
          </w:tcPr>
          <w:p>
            <w:pPr>
              <w:pStyle w:val="13"/>
            </w:pPr>
            <w:r>
              <w:t>≤2000元/次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增强影响力</w:t>
            </w:r>
          </w:p>
        </w:tc>
        <w:tc>
          <w:tcPr>
            <w:tcW w:w="4228" w:type="dxa"/>
            <w:vAlign w:val="center"/>
          </w:tcPr>
          <w:p>
            <w:pPr>
              <w:pStyle w:val="13"/>
            </w:pPr>
            <w:r>
              <w:t>增强政策影响力</w:t>
            </w:r>
          </w:p>
        </w:tc>
        <w:tc>
          <w:tcPr>
            <w:tcW w:w="2114" w:type="dxa"/>
            <w:vAlign w:val="center"/>
          </w:tcPr>
          <w:p>
            <w:pPr>
              <w:pStyle w:val="13"/>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参加培训人员对培训效果满意程度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3、2024年民主党派工作经费绩效目标表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13011024P00322710008E</w:t>
            </w:r>
          </w:p>
        </w:tc>
        <w:tc>
          <w:tcPr>
            <w:tcW w:w="2114" w:type="dxa"/>
            <w:vAlign w:val="center"/>
          </w:tcPr>
          <w:p>
            <w:pPr>
              <w:pStyle w:val="11"/>
            </w:pPr>
            <w:r>
              <w:t>项目名称</w:t>
            </w:r>
          </w:p>
        </w:tc>
        <w:tc>
          <w:tcPr>
            <w:tcW w:w="6342" w:type="dxa"/>
            <w:gridSpan w:val="3"/>
            <w:vAlign w:val="center"/>
          </w:tcPr>
          <w:p>
            <w:pPr>
              <w:pStyle w:val="13"/>
            </w:pPr>
            <w:r>
              <w:t>2024年民主党派工作经费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培训班数量</w:t>
            </w:r>
          </w:p>
        </w:tc>
        <w:tc>
          <w:tcPr>
            <w:tcW w:w="4228" w:type="dxa"/>
            <w:vAlign w:val="center"/>
          </w:tcPr>
          <w:p>
            <w:pPr>
              <w:pStyle w:val="13"/>
            </w:pPr>
            <w:r>
              <w:t>全年开展民主党派相关培训班数量</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座谈会数量</w:t>
            </w:r>
          </w:p>
        </w:tc>
        <w:tc>
          <w:tcPr>
            <w:tcW w:w="4228" w:type="dxa"/>
            <w:vAlign w:val="center"/>
          </w:tcPr>
          <w:p>
            <w:pPr>
              <w:pStyle w:val="13"/>
            </w:pPr>
            <w:r>
              <w:t>全年开展民主党派座谈会数量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调研次数</w:t>
            </w:r>
          </w:p>
        </w:tc>
        <w:tc>
          <w:tcPr>
            <w:tcW w:w="4228" w:type="dxa"/>
            <w:vAlign w:val="center"/>
          </w:tcPr>
          <w:p>
            <w:pPr>
              <w:pStyle w:val="13"/>
            </w:pPr>
            <w:r>
              <w:t>组织调研次数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调研报告数量</w:t>
            </w:r>
          </w:p>
        </w:tc>
        <w:tc>
          <w:tcPr>
            <w:tcW w:w="4228" w:type="dxa"/>
            <w:vAlign w:val="center"/>
          </w:tcPr>
          <w:p>
            <w:pPr>
              <w:pStyle w:val="13"/>
            </w:pPr>
            <w:r>
              <w:t>完成调研报告数量</w:t>
            </w:r>
          </w:p>
        </w:tc>
        <w:tc>
          <w:tcPr>
            <w:tcW w:w="2114" w:type="dxa"/>
            <w:vAlign w:val="center"/>
          </w:tcPr>
          <w:p>
            <w:pPr>
              <w:pStyle w:val="13"/>
            </w:pPr>
            <w:r>
              <w:t>≥2篇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民主党派工作培训班平均成本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座谈会成本</w:t>
            </w:r>
          </w:p>
        </w:tc>
        <w:tc>
          <w:tcPr>
            <w:tcW w:w="4228" w:type="dxa"/>
            <w:vAlign w:val="center"/>
          </w:tcPr>
          <w:p>
            <w:pPr>
              <w:pStyle w:val="13"/>
            </w:pPr>
            <w:r>
              <w:t>座谈会平均成本</w:t>
            </w:r>
          </w:p>
        </w:tc>
        <w:tc>
          <w:tcPr>
            <w:tcW w:w="2114" w:type="dxa"/>
            <w:vAlign w:val="center"/>
          </w:tcPr>
          <w:p>
            <w:pPr>
              <w:pStyle w:val="13"/>
            </w:pPr>
            <w:r>
              <w:t>≤5000元/次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调研成本</w:t>
            </w:r>
          </w:p>
        </w:tc>
        <w:tc>
          <w:tcPr>
            <w:tcW w:w="4228" w:type="dxa"/>
            <w:vAlign w:val="center"/>
          </w:tcPr>
          <w:p>
            <w:pPr>
              <w:pStyle w:val="13"/>
            </w:pPr>
            <w:r>
              <w:t>每次调研平均成本</w:t>
            </w:r>
          </w:p>
        </w:tc>
        <w:tc>
          <w:tcPr>
            <w:tcW w:w="2114" w:type="dxa"/>
            <w:vAlign w:val="center"/>
          </w:tcPr>
          <w:p>
            <w:pPr>
              <w:pStyle w:val="13"/>
            </w:pPr>
            <w:r>
              <w:t>≤2500元/次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增强影响力</w:t>
            </w:r>
          </w:p>
        </w:tc>
        <w:tc>
          <w:tcPr>
            <w:tcW w:w="4228" w:type="dxa"/>
            <w:vAlign w:val="center"/>
          </w:tcPr>
          <w:p>
            <w:pPr>
              <w:pStyle w:val="13"/>
            </w:pPr>
            <w:r>
              <w:t>增强政策影响力</w:t>
            </w:r>
          </w:p>
        </w:tc>
        <w:tc>
          <w:tcPr>
            <w:tcW w:w="2114" w:type="dxa"/>
            <w:vAlign w:val="center"/>
          </w:tcPr>
          <w:p>
            <w:pPr>
              <w:pStyle w:val="13"/>
            </w:pPr>
            <w:r>
              <w:t>开展民主党派学习教育相关培训班，进一步贯彻落实习近平总书记提出的“找出最大公约数、画出最大同心圆”的重要指示。组织参观学习重大项目、科研成果，召开相关座谈会、开展相关调研工作。</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参加培训人员对培训效果满意程度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4、2024年台侨工作经费绩效目标表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13011024P003227100092</w:t>
            </w:r>
          </w:p>
        </w:tc>
        <w:tc>
          <w:tcPr>
            <w:tcW w:w="2114" w:type="dxa"/>
            <w:vAlign w:val="center"/>
          </w:tcPr>
          <w:p>
            <w:pPr>
              <w:pStyle w:val="11"/>
            </w:pPr>
            <w:r>
              <w:t>项目名称</w:t>
            </w:r>
          </w:p>
        </w:tc>
        <w:tc>
          <w:tcPr>
            <w:tcW w:w="6342" w:type="dxa"/>
            <w:gridSpan w:val="3"/>
            <w:vAlign w:val="center"/>
          </w:tcPr>
          <w:p>
            <w:pPr>
              <w:pStyle w:val="13"/>
            </w:pPr>
            <w:r>
              <w:t>2024年台侨工作经费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印制发放宣传法规政策有关资料，全年开展2次以上台侨工作座谈会及培训班，平均成本9000元/次，加强对台和对海外的统战政策宣传工作，进行思想政治引导；走访慰问台属、归侨侨眷2次以上，平均成本1000元/次；建设全区侨胞之家，加强为台侨服务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印制发放宣传法规政策有关资料，全年开展2次以上台侨工作座谈会及培训班，平均成本9000元/次，加强对台和对海外的统战政策宣传工作，进行思想政治引导；走访慰问台属、归侨侨眷2次以上，平均成本1000元/次；建设全区侨胞之家，加强为台侨服务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台侨培训班座谈会数量</w:t>
            </w:r>
          </w:p>
        </w:tc>
        <w:tc>
          <w:tcPr>
            <w:tcW w:w="4228" w:type="dxa"/>
            <w:vAlign w:val="center"/>
          </w:tcPr>
          <w:p>
            <w:pPr>
              <w:pStyle w:val="13"/>
            </w:pPr>
            <w:r>
              <w:t>全年开展台侨工作相关培训班座谈会次数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完成及时率</w:t>
            </w:r>
          </w:p>
        </w:tc>
        <w:tc>
          <w:tcPr>
            <w:tcW w:w="4228" w:type="dxa"/>
            <w:vAlign w:val="center"/>
          </w:tcPr>
          <w:p>
            <w:pPr>
              <w:pStyle w:val="13"/>
            </w:pPr>
            <w:r>
              <w:t>所有工作任务完成及时率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台侨工作相关培训班平均成本</w:t>
            </w:r>
          </w:p>
        </w:tc>
        <w:tc>
          <w:tcPr>
            <w:tcW w:w="2114" w:type="dxa"/>
            <w:vAlign w:val="center"/>
          </w:tcPr>
          <w:p>
            <w:pPr>
              <w:pStyle w:val="13"/>
            </w:pPr>
            <w:r>
              <w:t>≤9000元/次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培训参与率</w:t>
            </w:r>
          </w:p>
        </w:tc>
        <w:tc>
          <w:tcPr>
            <w:tcW w:w="4228" w:type="dxa"/>
            <w:vAlign w:val="center"/>
          </w:tcPr>
          <w:p>
            <w:pPr>
              <w:pStyle w:val="13"/>
            </w:pPr>
            <w:r>
              <w:t>参加台侨培训人数占应参加培训人数的比例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慰问台侨侨眷次数</w:t>
            </w:r>
          </w:p>
        </w:tc>
        <w:tc>
          <w:tcPr>
            <w:tcW w:w="4228" w:type="dxa"/>
            <w:vAlign w:val="center"/>
          </w:tcPr>
          <w:p>
            <w:pPr>
              <w:pStyle w:val="13"/>
            </w:pPr>
            <w:r>
              <w:t>走访慰问台侨侨眷次数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慰问成本</w:t>
            </w:r>
          </w:p>
        </w:tc>
        <w:tc>
          <w:tcPr>
            <w:tcW w:w="4228" w:type="dxa"/>
            <w:vAlign w:val="center"/>
          </w:tcPr>
          <w:p>
            <w:pPr>
              <w:pStyle w:val="13"/>
            </w:pPr>
            <w:r>
              <w:t>走访慰问次平均成本</w:t>
            </w:r>
          </w:p>
        </w:tc>
        <w:tc>
          <w:tcPr>
            <w:tcW w:w="2114" w:type="dxa"/>
            <w:vAlign w:val="center"/>
          </w:tcPr>
          <w:p>
            <w:pPr>
              <w:pStyle w:val="13"/>
            </w:pPr>
            <w:r>
              <w:t>≤1000元/次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慰问台侨侨眷数量</w:t>
            </w:r>
          </w:p>
        </w:tc>
        <w:tc>
          <w:tcPr>
            <w:tcW w:w="4228" w:type="dxa"/>
            <w:vAlign w:val="center"/>
          </w:tcPr>
          <w:p>
            <w:pPr>
              <w:pStyle w:val="13"/>
            </w:pPr>
            <w:r>
              <w:t>每次走访慰问台侨侨眷户数</w:t>
            </w:r>
          </w:p>
        </w:tc>
        <w:tc>
          <w:tcPr>
            <w:tcW w:w="2114" w:type="dxa"/>
            <w:vAlign w:val="center"/>
          </w:tcPr>
          <w:p>
            <w:pPr>
              <w:pStyle w:val="13"/>
            </w:pPr>
            <w:r>
              <w:t>≥3户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建设侨胞之家数量</w:t>
            </w:r>
          </w:p>
        </w:tc>
        <w:tc>
          <w:tcPr>
            <w:tcW w:w="4228" w:type="dxa"/>
            <w:vAlign w:val="center"/>
          </w:tcPr>
          <w:p>
            <w:pPr>
              <w:pStyle w:val="13"/>
            </w:pPr>
            <w:r>
              <w:t>建设侨胞之家个数</w:t>
            </w:r>
          </w:p>
        </w:tc>
        <w:tc>
          <w:tcPr>
            <w:tcW w:w="2114" w:type="dxa"/>
            <w:vAlign w:val="center"/>
          </w:tcPr>
          <w:p>
            <w:pPr>
              <w:pStyle w:val="13"/>
            </w:pPr>
            <w:r>
              <w:t>4个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建设成本</w:t>
            </w:r>
          </w:p>
        </w:tc>
        <w:tc>
          <w:tcPr>
            <w:tcW w:w="4228" w:type="dxa"/>
            <w:vAlign w:val="center"/>
          </w:tcPr>
          <w:p>
            <w:pPr>
              <w:pStyle w:val="13"/>
            </w:pPr>
            <w:r>
              <w:t>建设侨胞之家平均成本</w:t>
            </w:r>
          </w:p>
        </w:tc>
        <w:tc>
          <w:tcPr>
            <w:tcW w:w="2114" w:type="dxa"/>
            <w:vAlign w:val="center"/>
          </w:tcPr>
          <w:p>
            <w:pPr>
              <w:pStyle w:val="13"/>
            </w:pPr>
            <w:r>
              <w:t>≤5000元/个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社会影响力</w:t>
            </w:r>
          </w:p>
        </w:tc>
        <w:tc>
          <w:tcPr>
            <w:tcW w:w="4228" w:type="dxa"/>
            <w:vAlign w:val="center"/>
          </w:tcPr>
          <w:p>
            <w:pPr>
              <w:pStyle w:val="13"/>
            </w:pPr>
            <w:r>
              <w:t>通过宣传是否加强了对台和对海外的影响力</w:t>
            </w:r>
          </w:p>
        </w:tc>
        <w:tc>
          <w:tcPr>
            <w:tcW w:w="2114" w:type="dxa"/>
            <w:vAlign w:val="center"/>
          </w:tcPr>
          <w:p>
            <w:pPr>
              <w:pStyle w:val="13"/>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被慰问人员满意度</w:t>
            </w:r>
          </w:p>
        </w:tc>
        <w:tc>
          <w:tcPr>
            <w:tcW w:w="4228" w:type="dxa"/>
            <w:vAlign w:val="center"/>
          </w:tcPr>
          <w:p>
            <w:pPr>
              <w:pStyle w:val="13"/>
            </w:pPr>
            <w:r>
              <w:t>被慰问人员满意度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5、2024年统战工作协调机制专项经费绩效目标表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13011024P003227100067</w:t>
            </w:r>
          </w:p>
        </w:tc>
        <w:tc>
          <w:tcPr>
            <w:tcW w:w="2114" w:type="dxa"/>
            <w:vAlign w:val="center"/>
          </w:tcPr>
          <w:p>
            <w:pPr>
              <w:pStyle w:val="11"/>
            </w:pPr>
            <w:r>
              <w:t>项目名称</w:t>
            </w:r>
          </w:p>
        </w:tc>
        <w:tc>
          <w:tcPr>
            <w:tcW w:w="6342" w:type="dxa"/>
            <w:gridSpan w:val="3"/>
            <w:vAlign w:val="center"/>
          </w:tcPr>
          <w:p>
            <w:pPr>
              <w:pStyle w:val="13"/>
            </w:pPr>
            <w:r>
              <w:t>2024年统战工作协调机制专项经费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w:t>
            </w:r>
          </w:p>
        </w:tc>
        <w:tc>
          <w:tcPr>
            <w:tcW w:w="2114" w:type="dxa"/>
            <w:vAlign w:val="center"/>
          </w:tcPr>
          <w:p>
            <w:pPr>
              <w:pStyle w:val="11"/>
            </w:pPr>
            <w:r>
              <w:t>其中：财政    资金</w:t>
            </w:r>
          </w:p>
        </w:tc>
        <w:tc>
          <w:tcPr>
            <w:tcW w:w="2114" w:type="dxa"/>
            <w:vAlign w:val="center"/>
          </w:tcPr>
          <w:p>
            <w:pPr>
              <w:pStyle w:val="13"/>
            </w:pPr>
            <w:r>
              <w:t>3.00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落实协调联席会机制，召开联席会议及专题会议，组织观摩交流2次，保证党委领导，政府支持，统战部协调抓总体，各部门密切配合，全社会参与统战工作的新机制进一步完善。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1.落实协调联席会机制，召开联席会议及专题会议，组织观摩交流2次，保证党委领导，政府支持，统战部协调抓总体，各部门密切配合，全社会参与统战工作的新机制进一步完善。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观摩交流数量</w:t>
            </w:r>
          </w:p>
        </w:tc>
        <w:tc>
          <w:tcPr>
            <w:tcW w:w="4228" w:type="dxa"/>
            <w:vAlign w:val="center"/>
          </w:tcPr>
          <w:p>
            <w:pPr>
              <w:pStyle w:val="13"/>
            </w:pPr>
            <w:r>
              <w:t>组织观摩交流数量</w:t>
            </w:r>
          </w:p>
        </w:tc>
        <w:tc>
          <w:tcPr>
            <w:tcW w:w="2114" w:type="dxa"/>
            <w:vAlign w:val="center"/>
          </w:tcPr>
          <w:p>
            <w:pPr>
              <w:pStyle w:val="13"/>
            </w:pPr>
            <w:r>
              <w:t>≥1次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观摩交流事项完成率</w:t>
            </w:r>
          </w:p>
        </w:tc>
        <w:tc>
          <w:tcPr>
            <w:tcW w:w="4228" w:type="dxa"/>
            <w:vAlign w:val="center"/>
          </w:tcPr>
          <w:p>
            <w:pPr>
              <w:pStyle w:val="13"/>
            </w:pPr>
            <w:r>
              <w:t>观摩交流事项完成率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观摩交流成本</w:t>
            </w:r>
          </w:p>
        </w:tc>
        <w:tc>
          <w:tcPr>
            <w:tcW w:w="4228" w:type="dxa"/>
            <w:vAlign w:val="center"/>
          </w:tcPr>
          <w:p>
            <w:pPr>
              <w:pStyle w:val="13"/>
            </w:pPr>
            <w:r>
              <w:t>组织观摩交流平均成本</w:t>
            </w:r>
          </w:p>
        </w:tc>
        <w:tc>
          <w:tcPr>
            <w:tcW w:w="2114" w:type="dxa"/>
            <w:vAlign w:val="center"/>
          </w:tcPr>
          <w:p>
            <w:pPr>
              <w:pStyle w:val="13"/>
            </w:pPr>
            <w:r>
              <w:t>≤10000元/次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协调事项完成次数</w:t>
            </w:r>
          </w:p>
        </w:tc>
        <w:tc>
          <w:tcPr>
            <w:tcW w:w="4228" w:type="dxa"/>
            <w:vAlign w:val="center"/>
          </w:tcPr>
          <w:p>
            <w:pPr>
              <w:pStyle w:val="13"/>
            </w:pPr>
            <w:r>
              <w:t>协调事项完成次数</w:t>
            </w:r>
          </w:p>
        </w:tc>
        <w:tc>
          <w:tcPr>
            <w:tcW w:w="2114" w:type="dxa"/>
            <w:vAlign w:val="center"/>
          </w:tcPr>
          <w:p>
            <w:pPr>
              <w:pStyle w:val="13"/>
            </w:pPr>
            <w:r>
              <w:t>≥10次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协调事项资料费用平均成本</w:t>
            </w:r>
          </w:p>
        </w:tc>
        <w:tc>
          <w:tcPr>
            <w:tcW w:w="4228" w:type="dxa"/>
            <w:vAlign w:val="center"/>
          </w:tcPr>
          <w:p>
            <w:pPr>
              <w:pStyle w:val="13"/>
            </w:pPr>
            <w:r>
              <w:t>协调事项资料费用平均成本</w:t>
            </w:r>
          </w:p>
        </w:tc>
        <w:tc>
          <w:tcPr>
            <w:tcW w:w="2114" w:type="dxa"/>
            <w:vAlign w:val="center"/>
          </w:tcPr>
          <w:p>
            <w:pPr>
              <w:pStyle w:val="13"/>
            </w:pPr>
            <w:r>
              <w:t>≤1500元/次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专题会议完成次数</w:t>
            </w:r>
          </w:p>
        </w:tc>
        <w:tc>
          <w:tcPr>
            <w:tcW w:w="4228" w:type="dxa"/>
            <w:vAlign w:val="center"/>
          </w:tcPr>
          <w:p>
            <w:pPr>
              <w:pStyle w:val="13"/>
            </w:pPr>
            <w:r>
              <w:t>专题会议完成次数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专题会议平均成本</w:t>
            </w:r>
          </w:p>
        </w:tc>
        <w:tc>
          <w:tcPr>
            <w:tcW w:w="4228" w:type="dxa"/>
            <w:vAlign w:val="center"/>
          </w:tcPr>
          <w:p>
            <w:pPr>
              <w:pStyle w:val="13"/>
            </w:pPr>
            <w:r>
              <w:t>专题会议资料费用平均成本</w:t>
            </w:r>
          </w:p>
        </w:tc>
        <w:tc>
          <w:tcPr>
            <w:tcW w:w="2114" w:type="dxa"/>
            <w:vAlign w:val="center"/>
          </w:tcPr>
          <w:p>
            <w:pPr>
              <w:pStyle w:val="13"/>
            </w:pPr>
            <w:r>
              <w:t>≤2500元/次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持续发展作用力</w:t>
            </w:r>
          </w:p>
        </w:tc>
        <w:tc>
          <w:tcPr>
            <w:tcW w:w="2114" w:type="dxa"/>
            <w:vAlign w:val="center"/>
          </w:tcPr>
          <w:p>
            <w:pPr>
              <w:pStyle w:val="13"/>
            </w:pPr>
            <w:r>
              <w:t>建立党委领导，政府支持，统战部协调抓总体，各部门密切配合，全社会参与统战工作的新机制。</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6、2024年退役军人公益岗工资绩效目标表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13011024P00322710014U</w:t>
            </w:r>
          </w:p>
        </w:tc>
        <w:tc>
          <w:tcPr>
            <w:tcW w:w="2114" w:type="dxa"/>
            <w:vAlign w:val="center"/>
          </w:tcPr>
          <w:p>
            <w:pPr>
              <w:pStyle w:val="11"/>
            </w:pPr>
            <w:r>
              <w:t>项目名称</w:t>
            </w:r>
          </w:p>
        </w:tc>
        <w:tc>
          <w:tcPr>
            <w:tcW w:w="6342" w:type="dxa"/>
            <w:gridSpan w:val="3"/>
            <w:vAlign w:val="center"/>
          </w:tcPr>
          <w:p>
            <w:pPr>
              <w:pStyle w:val="13"/>
            </w:pPr>
            <w:r>
              <w:t>2024年退役军人公益岗工资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17.73</w:t>
            </w:r>
          </w:p>
        </w:tc>
        <w:tc>
          <w:tcPr>
            <w:tcW w:w="2114" w:type="dxa"/>
            <w:vAlign w:val="center"/>
          </w:tcPr>
          <w:p>
            <w:pPr>
              <w:pStyle w:val="11"/>
            </w:pPr>
            <w:r>
              <w:t>其中：财政    资金</w:t>
            </w:r>
          </w:p>
        </w:tc>
        <w:tc>
          <w:tcPr>
            <w:tcW w:w="2114" w:type="dxa"/>
            <w:vAlign w:val="center"/>
          </w:tcPr>
          <w:p>
            <w:pPr>
              <w:pStyle w:val="13"/>
            </w:pPr>
            <w:r>
              <w:t>17.73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鹿办文【2017】31号文件，对符合就业困难且符合政府安排工作条件的退役士兵三名，实行</w:t>
            </w:r>
            <w:r>
              <w:rPr>
                <w:rFonts w:hint="eastAsia"/>
                <w:lang w:eastAsia="zh-CN"/>
              </w:rPr>
              <w:t>公益性岗位</w:t>
            </w:r>
            <w:r>
              <w:t>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1.鹿办文【2017】31号文件，对符合就业困难且符合政府安排工作条件的退役士兵三名，实行</w:t>
            </w:r>
            <w:r>
              <w:rPr>
                <w:rFonts w:hint="eastAsia"/>
                <w:lang w:eastAsia="zh-CN"/>
              </w:rPr>
              <w:t>公益性岗位</w:t>
            </w:r>
            <w:r>
              <w:t>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退役军人人数</w:t>
            </w:r>
          </w:p>
        </w:tc>
        <w:tc>
          <w:tcPr>
            <w:tcW w:w="4228" w:type="dxa"/>
            <w:vAlign w:val="center"/>
          </w:tcPr>
          <w:p>
            <w:pPr>
              <w:pStyle w:val="13"/>
            </w:pPr>
            <w:r>
              <w:t>安排退役军人人数</w:t>
            </w:r>
          </w:p>
        </w:tc>
        <w:tc>
          <w:tcPr>
            <w:tcW w:w="2114" w:type="dxa"/>
            <w:vAlign w:val="center"/>
          </w:tcPr>
          <w:p>
            <w:pPr>
              <w:pStyle w:val="13"/>
            </w:pPr>
            <w:r>
              <w:t>3人</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工资按时发放完成率</w:t>
            </w:r>
          </w:p>
        </w:tc>
        <w:tc>
          <w:tcPr>
            <w:tcW w:w="4228" w:type="dxa"/>
            <w:vAlign w:val="center"/>
          </w:tcPr>
          <w:p>
            <w:pPr>
              <w:pStyle w:val="13"/>
            </w:pPr>
            <w:r>
              <w:t>按时足额发放工资补的次数占总发的次数</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工资发放准时率</w:t>
            </w:r>
          </w:p>
        </w:tc>
        <w:tc>
          <w:tcPr>
            <w:tcW w:w="4228" w:type="dxa"/>
            <w:vAlign w:val="center"/>
          </w:tcPr>
          <w:p>
            <w:pPr>
              <w:pStyle w:val="13"/>
            </w:pPr>
            <w:r>
              <w:t>工资发放准时率</w:t>
            </w:r>
          </w:p>
        </w:tc>
        <w:tc>
          <w:tcPr>
            <w:tcW w:w="2114" w:type="dxa"/>
            <w:vAlign w:val="center"/>
          </w:tcPr>
          <w:p>
            <w:pPr>
              <w:pStyle w:val="13"/>
            </w:pPr>
            <w:r>
              <w:t>100%</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人均发放水平</w:t>
            </w:r>
          </w:p>
        </w:tc>
        <w:tc>
          <w:tcPr>
            <w:tcW w:w="4228" w:type="dxa"/>
            <w:vAlign w:val="center"/>
          </w:tcPr>
          <w:p>
            <w:pPr>
              <w:pStyle w:val="13"/>
            </w:pPr>
            <w:r>
              <w:t>人均发放水平</w:t>
            </w:r>
          </w:p>
        </w:tc>
        <w:tc>
          <w:tcPr>
            <w:tcW w:w="2114" w:type="dxa"/>
            <w:vAlign w:val="center"/>
          </w:tcPr>
          <w:p>
            <w:pPr>
              <w:pStyle w:val="13"/>
            </w:pPr>
            <w:r>
              <w:t>3人取暖费6600元，工资合计122400元，社保缴费48300元，总计177300元。</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社会保障制度更加公平可持续</w:t>
            </w:r>
          </w:p>
        </w:tc>
        <w:tc>
          <w:tcPr>
            <w:tcW w:w="4228" w:type="dxa"/>
            <w:vAlign w:val="center"/>
          </w:tcPr>
          <w:p>
            <w:pPr>
              <w:pStyle w:val="13"/>
            </w:pPr>
            <w:r>
              <w:t>社会保障制度更加公平可持续</w:t>
            </w:r>
          </w:p>
        </w:tc>
        <w:tc>
          <w:tcPr>
            <w:tcW w:w="2114" w:type="dxa"/>
            <w:vAlign w:val="center"/>
          </w:tcPr>
          <w:p>
            <w:pPr>
              <w:pStyle w:val="13"/>
            </w:pPr>
            <w:r>
              <w:t>实行</w:t>
            </w:r>
            <w:r>
              <w:rPr>
                <w:rFonts w:hint="eastAsia"/>
                <w:lang w:eastAsia="zh-CN"/>
              </w:rPr>
              <w:t>公益性岗位</w:t>
            </w:r>
            <w:r>
              <w:t>托管安置，帮扶救助到位，加大就业援助工作，实现就业。</w:t>
            </w:r>
          </w:p>
        </w:tc>
        <w:tc>
          <w:tcPr>
            <w:tcW w:w="2114"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退役安置满意度</w:t>
            </w:r>
          </w:p>
        </w:tc>
        <w:tc>
          <w:tcPr>
            <w:tcW w:w="4228" w:type="dxa"/>
            <w:vAlign w:val="center"/>
          </w:tcPr>
          <w:p>
            <w:pPr>
              <w:pStyle w:val="13"/>
            </w:pPr>
            <w:r>
              <w:t>对退役安置满意度和较满意人数</w:t>
            </w:r>
          </w:p>
        </w:tc>
        <w:tc>
          <w:tcPr>
            <w:tcW w:w="2114" w:type="dxa"/>
            <w:vAlign w:val="center"/>
          </w:tcPr>
          <w:p>
            <w:pPr>
              <w:pStyle w:val="13"/>
            </w:pPr>
            <w:r>
              <w:t>≥90%</w:t>
            </w:r>
          </w:p>
        </w:tc>
        <w:tc>
          <w:tcPr>
            <w:tcW w:w="2114"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7、2024数字统战平台建设费绩效目标表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13011024P00322710017N</w:t>
            </w:r>
          </w:p>
        </w:tc>
        <w:tc>
          <w:tcPr>
            <w:tcW w:w="2114" w:type="dxa"/>
            <w:vAlign w:val="center"/>
          </w:tcPr>
          <w:p>
            <w:pPr>
              <w:pStyle w:val="11"/>
            </w:pPr>
            <w:r>
              <w:t>项目名称</w:t>
            </w:r>
          </w:p>
        </w:tc>
        <w:tc>
          <w:tcPr>
            <w:tcW w:w="6342" w:type="dxa"/>
            <w:gridSpan w:val="3"/>
            <w:vAlign w:val="center"/>
          </w:tcPr>
          <w:p>
            <w:pPr>
              <w:pStyle w:val="13"/>
            </w:pPr>
            <w:r>
              <w:t>2024数字统战平台建设费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建设统战工作数字化平台的数量</w:t>
            </w:r>
          </w:p>
        </w:tc>
        <w:tc>
          <w:tcPr>
            <w:tcW w:w="4228" w:type="dxa"/>
            <w:vAlign w:val="center"/>
          </w:tcPr>
          <w:p>
            <w:pPr>
              <w:pStyle w:val="13"/>
            </w:pPr>
            <w:r>
              <w:t>建设统战工作数字化平台</w:t>
            </w:r>
          </w:p>
        </w:tc>
        <w:tc>
          <w:tcPr>
            <w:tcW w:w="2114" w:type="dxa"/>
            <w:vAlign w:val="center"/>
          </w:tcPr>
          <w:p>
            <w:pPr>
              <w:pStyle w:val="13"/>
            </w:pPr>
            <w:r>
              <w:t>1个</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统战工作数字化平台年度维护管理费</w:t>
            </w:r>
          </w:p>
        </w:tc>
        <w:tc>
          <w:tcPr>
            <w:tcW w:w="4228" w:type="dxa"/>
            <w:vAlign w:val="center"/>
          </w:tcPr>
          <w:p>
            <w:pPr>
              <w:pStyle w:val="13"/>
            </w:pPr>
            <w:r>
              <w:t>统战工作数字化平台日常管理维护</w:t>
            </w:r>
          </w:p>
        </w:tc>
        <w:tc>
          <w:tcPr>
            <w:tcW w:w="2114" w:type="dxa"/>
            <w:vAlign w:val="center"/>
          </w:tcPr>
          <w:p>
            <w:pPr>
              <w:pStyle w:val="13"/>
            </w:pPr>
            <w:r>
              <w:t>1个</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数字平台建设完成率</w:t>
            </w:r>
          </w:p>
        </w:tc>
        <w:tc>
          <w:tcPr>
            <w:tcW w:w="4228" w:type="dxa"/>
            <w:vAlign w:val="center"/>
          </w:tcPr>
          <w:p>
            <w:pPr>
              <w:pStyle w:val="13"/>
            </w:pPr>
            <w:r>
              <w:t>数字平台建设完成率</w:t>
            </w:r>
          </w:p>
        </w:tc>
        <w:tc>
          <w:tcPr>
            <w:tcW w:w="2114" w:type="dxa"/>
            <w:vAlign w:val="center"/>
          </w:tcPr>
          <w:p>
            <w:pPr>
              <w:pStyle w:val="13"/>
            </w:pPr>
            <w:r>
              <w:t>100%</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工作任务完成及时率</w:t>
            </w:r>
          </w:p>
        </w:tc>
        <w:tc>
          <w:tcPr>
            <w:tcW w:w="4228" w:type="dxa"/>
            <w:vAlign w:val="center"/>
          </w:tcPr>
          <w:p>
            <w:pPr>
              <w:pStyle w:val="13"/>
            </w:pPr>
            <w:r>
              <w:t>工作任务完成及时率</w:t>
            </w:r>
          </w:p>
        </w:tc>
        <w:tc>
          <w:tcPr>
            <w:tcW w:w="2114" w:type="dxa"/>
            <w:vAlign w:val="center"/>
          </w:tcPr>
          <w:p>
            <w:pPr>
              <w:pStyle w:val="13"/>
            </w:pPr>
            <w:r>
              <w:t>≥100%</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数字平台建设成本</w:t>
            </w:r>
          </w:p>
        </w:tc>
        <w:tc>
          <w:tcPr>
            <w:tcW w:w="4228" w:type="dxa"/>
            <w:vAlign w:val="center"/>
          </w:tcPr>
          <w:p>
            <w:pPr>
              <w:pStyle w:val="13"/>
            </w:pPr>
            <w:r>
              <w:t>数字平台建设成本</w:t>
            </w:r>
          </w:p>
        </w:tc>
        <w:tc>
          <w:tcPr>
            <w:tcW w:w="2114" w:type="dxa"/>
            <w:vAlign w:val="center"/>
          </w:tcPr>
          <w:p>
            <w:pPr>
              <w:pStyle w:val="13"/>
            </w:pPr>
            <w:r>
              <w:t>≤14万元</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数字平台维护成本</w:t>
            </w:r>
          </w:p>
        </w:tc>
        <w:tc>
          <w:tcPr>
            <w:tcW w:w="4228" w:type="dxa"/>
            <w:vAlign w:val="center"/>
          </w:tcPr>
          <w:p>
            <w:pPr>
              <w:pStyle w:val="13"/>
            </w:pPr>
            <w:r>
              <w:t>数字平台维护成本</w:t>
            </w:r>
          </w:p>
        </w:tc>
        <w:tc>
          <w:tcPr>
            <w:tcW w:w="2114" w:type="dxa"/>
            <w:vAlign w:val="center"/>
          </w:tcPr>
          <w:p>
            <w:pPr>
              <w:pStyle w:val="13"/>
            </w:pPr>
            <w:r>
              <w:t>≤1万元</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持续发展作用力</w:t>
            </w:r>
          </w:p>
        </w:tc>
        <w:tc>
          <w:tcPr>
            <w:tcW w:w="4228" w:type="dxa"/>
            <w:vAlign w:val="center"/>
          </w:tcPr>
          <w:p>
            <w:pPr>
              <w:pStyle w:val="13"/>
            </w:pPr>
            <w:r>
              <w:t>持续发挥作用力</w:t>
            </w:r>
          </w:p>
        </w:tc>
        <w:tc>
          <w:tcPr>
            <w:tcW w:w="2114" w:type="dxa"/>
            <w:vAlign w:val="center"/>
          </w:tcPr>
          <w:p>
            <w:pPr>
              <w:pStyle w:val="13"/>
            </w:pPr>
            <w:r>
              <w:t>推动统战工作全方位提档升级</w:t>
            </w:r>
          </w:p>
        </w:tc>
        <w:tc>
          <w:tcPr>
            <w:tcW w:w="2114" w:type="dxa"/>
            <w:vAlign w:val="center"/>
          </w:tcPr>
          <w:p>
            <w:pPr>
              <w:pStyle w:val="13"/>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满意率</w:t>
            </w:r>
          </w:p>
        </w:tc>
        <w:tc>
          <w:tcPr>
            <w:tcW w:w="4228" w:type="dxa"/>
            <w:vAlign w:val="center"/>
          </w:tcPr>
          <w:p>
            <w:pPr>
              <w:pStyle w:val="13"/>
            </w:pPr>
            <w:r>
              <w:t>满意率</w:t>
            </w:r>
          </w:p>
        </w:tc>
        <w:tc>
          <w:tcPr>
            <w:tcW w:w="2114" w:type="dxa"/>
            <w:vAlign w:val="center"/>
          </w:tcPr>
          <w:p>
            <w:pPr>
              <w:pStyle w:val="13"/>
            </w:pPr>
            <w:r>
              <w:t>≥90%</w:t>
            </w:r>
          </w:p>
        </w:tc>
        <w:tc>
          <w:tcPr>
            <w:tcW w:w="2114" w:type="dxa"/>
            <w:vAlign w:val="center"/>
          </w:tcPr>
          <w:p>
            <w:pPr>
              <w:pStyle w:val="13"/>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8、关于下达2023年省市级宗教事务管理补助经费绩效目标表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13011023P00322710016L</w:t>
            </w:r>
          </w:p>
        </w:tc>
        <w:tc>
          <w:tcPr>
            <w:tcW w:w="2114" w:type="dxa"/>
            <w:vAlign w:val="center"/>
          </w:tcPr>
          <w:p>
            <w:pPr>
              <w:pStyle w:val="11"/>
            </w:pPr>
            <w:r>
              <w:t>项目名称</w:t>
            </w:r>
          </w:p>
        </w:tc>
        <w:tc>
          <w:tcPr>
            <w:tcW w:w="6342" w:type="dxa"/>
            <w:gridSpan w:val="3"/>
            <w:vAlign w:val="center"/>
          </w:tcPr>
          <w:p>
            <w:pPr>
              <w:pStyle w:val="13"/>
            </w:pPr>
            <w:r>
              <w:t>关于下达2023年省市级宗教事务管理补助经费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加强宗教工作队伍建设；加强对宗教领域问题治理；维护宗教领域和谐稳定。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加强宗教工作队伍建设及宗教领域排查整治工作，维护宗教领域和谐稳定，资金主要用于宗教培训班，计划开展两期培训班，对我区宗教干部及教职人员开展政策技能培训；更新我区各宗教场所展牌40个；宣传资料印刷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组织培训班次</w:t>
            </w:r>
          </w:p>
        </w:tc>
        <w:tc>
          <w:tcPr>
            <w:tcW w:w="4228" w:type="dxa"/>
            <w:vAlign w:val="center"/>
          </w:tcPr>
          <w:p>
            <w:pPr>
              <w:pStyle w:val="13"/>
            </w:pPr>
            <w:r>
              <w:t>组织开展培训班次数</w:t>
            </w:r>
          </w:p>
        </w:tc>
        <w:tc>
          <w:tcPr>
            <w:tcW w:w="2114" w:type="dxa"/>
            <w:vAlign w:val="center"/>
          </w:tcPr>
          <w:p>
            <w:pPr>
              <w:pStyle w:val="13"/>
            </w:pPr>
            <w:r>
              <w:t>2期</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宗教中国化示范场所创建</w:t>
            </w:r>
          </w:p>
        </w:tc>
        <w:tc>
          <w:tcPr>
            <w:tcW w:w="4228" w:type="dxa"/>
            <w:vAlign w:val="center"/>
          </w:tcPr>
          <w:p>
            <w:pPr>
              <w:pStyle w:val="13"/>
            </w:pPr>
            <w:r>
              <w:t>牌匾制作数</w:t>
            </w:r>
          </w:p>
        </w:tc>
        <w:tc>
          <w:tcPr>
            <w:tcW w:w="2114" w:type="dxa"/>
            <w:vAlign w:val="center"/>
          </w:tcPr>
          <w:p>
            <w:pPr>
              <w:pStyle w:val="13"/>
            </w:pPr>
            <w:r>
              <w:t>40个</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印发宗教工作学习资料</w:t>
            </w:r>
          </w:p>
        </w:tc>
        <w:tc>
          <w:tcPr>
            <w:tcW w:w="4228" w:type="dxa"/>
            <w:vAlign w:val="center"/>
          </w:tcPr>
          <w:p>
            <w:pPr>
              <w:pStyle w:val="13"/>
            </w:pPr>
            <w:r>
              <w:t>印发学习资料数量</w:t>
            </w:r>
          </w:p>
        </w:tc>
        <w:tc>
          <w:tcPr>
            <w:tcW w:w="2114" w:type="dxa"/>
            <w:vAlign w:val="center"/>
          </w:tcPr>
          <w:p>
            <w:pPr>
              <w:pStyle w:val="13"/>
            </w:pPr>
            <w:r>
              <w:t>1000本</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加强宗教工作干部队伍建设</w:t>
            </w:r>
          </w:p>
        </w:tc>
        <w:tc>
          <w:tcPr>
            <w:tcW w:w="4228" w:type="dxa"/>
            <w:vAlign w:val="center"/>
          </w:tcPr>
          <w:p>
            <w:pPr>
              <w:pStyle w:val="13"/>
            </w:pPr>
            <w:r>
              <w:t>提升宗教事务管理能力</w:t>
            </w:r>
          </w:p>
        </w:tc>
        <w:tc>
          <w:tcPr>
            <w:tcW w:w="2114" w:type="dxa"/>
            <w:vAlign w:val="center"/>
          </w:tcPr>
          <w:p>
            <w:pPr>
              <w:pStyle w:val="13"/>
            </w:pPr>
            <w:r>
              <w:t>切实提高宗教事务管理能力</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培训工作及时完成率</w:t>
            </w:r>
          </w:p>
        </w:tc>
        <w:tc>
          <w:tcPr>
            <w:tcW w:w="4228" w:type="dxa"/>
            <w:vAlign w:val="center"/>
          </w:tcPr>
          <w:p>
            <w:pPr>
              <w:pStyle w:val="13"/>
            </w:pPr>
            <w:r>
              <w:t>培训工作及时完成率</w:t>
            </w:r>
          </w:p>
        </w:tc>
        <w:tc>
          <w:tcPr>
            <w:tcW w:w="2114" w:type="dxa"/>
            <w:vAlign w:val="center"/>
          </w:tcPr>
          <w:p>
            <w:pPr>
              <w:pStyle w:val="13"/>
            </w:pPr>
            <w:r>
              <w:t>100%</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组织培训班次</w:t>
            </w:r>
          </w:p>
        </w:tc>
        <w:tc>
          <w:tcPr>
            <w:tcW w:w="2114" w:type="dxa"/>
            <w:vAlign w:val="center"/>
          </w:tcPr>
          <w:p>
            <w:pPr>
              <w:pStyle w:val="13"/>
            </w:pPr>
            <w:r>
              <w:t>≤15000元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牌匾制作费</w:t>
            </w:r>
          </w:p>
        </w:tc>
        <w:tc>
          <w:tcPr>
            <w:tcW w:w="4228" w:type="dxa"/>
            <w:vAlign w:val="center"/>
          </w:tcPr>
          <w:p>
            <w:pPr>
              <w:pStyle w:val="13"/>
            </w:pPr>
            <w:r>
              <w:t>牌匾制作平均费用</w:t>
            </w:r>
          </w:p>
        </w:tc>
        <w:tc>
          <w:tcPr>
            <w:tcW w:w="2114" w:type="dxa"/>
            <w:vAlign w:val="center"/>
          </w:tcPr>
          <w:p>
            <w:pPr>
              <w:pStyle w:val="13"/>
            </w:pPr>
            <w:r>
              <w:t>≤500元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学习资料印刷费</w:t>
            </w:r>
          </w:p>
        </w:tc>
        <w:tc>
          <w:tcPr>
            <w:tcW w:w="4228" w:type="dxa"/>
            <w:vAlign w:val="center"/>
          </w:tcPr>
          <w:p>
            <w:pPr>
              <w:pStyle w:val="13"/>
            </w:pPr>
            <w:r>
              <w:t>学习资料印刷平均费用</w:t>
            </w:r>
          </w:p>
        </w:tc>
        <w:tc>
          <w:tcPr>
            <w:tcW w:w="2114" w:type="dxa"/>
            <w:vAlign w:val="center"/>
          </w:tcPr>
          <w:p>
            <w:pPr>
              <w:pStyle w:val="13"/>
            </w:pPr>
            <w:r>
              <w:t>≤10元</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维护社会稳定</w:t>
            </w:r>
          </w:p>
        </w:tc>
        <w:tc>
          <w:tcPr>
            <w:tcW w:w="4228" w:type="dxa"/>
            <w:vAlign w:val="center"/>
          </w:tcPr>
          <w:p>
            <w:pPr>
              <w:pStyle w:val="13"/>
            </w:pPr>
            <w:r>
              <w:t>持续维护宗教领域和谐稳定</w:t>
            </w:r>
          </w:p>
        </w:tc>
        <w:tc>
          <w:tcPr>
            <w:tcW w:w="2114" w:type="dxa"/>
            <w:vAlign w:val="center"/>
          </w:tcPr>
          <w:p>
            <w:pPr>
              <w:pStyle w:val="13"/>
            </w:pPr>
            <w:r>
              <w:t>维护和保持宗教领域社会和谐稳定</w:t>
            </w:r>
          </w:p>
        </w:tc>
        <w:tc>
          <w:tcPr>
            <w:tcW w:w="2114" w:type="dxa"/>
            <w:vAlign w:val="center"/>
          </w:tcPr>
          <w:p>
            <w:pPr>
              <w:pStyle w:val="13"/>
            </w:pPr>
            <w:r>
              <w:t>石财行[2023]26号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参加培训人员对培训效果满意率</w:t>
            </w:r>
          </w:p>
        </w:tc>
        <w:tc>
          <w:tcPr>
            <w:tcW w:w="2114" w:type="dxa"/>
            <w:vAlign w:val="center"/>
          </w:tcPr>
          <w:p>
            <w:pPr>
              <w:pStyle w:val="13"/>
            </w:pPr>
            <w:r>
              <w:t>≥90%</w:t>
            </w:r>
          </w:p>
        </w:tc>
        <w:tc>
          <w:tcPr>
            <w:tcW w:w="2114" w:type="dxa"/>
            <w:vAlign w:val="center"/>
          </w:tcPr>
          <w:p>
            <w:pPr>
              <w:pStyle w:val="13"/>
            </w:pPr>
            <w:r>
              <w:t>石财行[2023]26号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中共石家庄市鹿泉区委统一战线工作部（含所属单位）上年末固定资产金额为33.37万元（详见下表）。本年度拟购置固定资产总额为0.00万元，已按要求列入政府采购预算，详见政府采购预算表。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1</w:t>
            </w:r>
          </w:p>
        </w:tc>
        <w:tc>
          <w:tcPr>
            <w:tcW w:w="4933" w:type="dxa"/>
            <w:vAlign w:val="center"/>
          </w:tcPr>
          <w:p>
            <w:pPr>
              <w:pStyle w:val="12"/>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175</w:t>
            </w:r>
          </w:p>
        </w:tc>
        <w:tc>
          <w:tcPr>
            <w:tcW w:w="4933" w:type="dxa"/>
            <w:vAlign w:val="center"/>
          </w:tcPr>
          <w:p>
            <w:pPr>
              <w:pStyle w:val="12"/>
            </w:pPr>
            <w:r>
              <w:t>27.09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xMzFhNTQyOTViNGM5NDk2YjMyOGNhNDI5Zjg3OWUifQ=="/>
  </w:docVars>
  <w:rsids>
    <w:rsidRoot w:val="00000000"/>
    <w:rsid w:val="13C467A6"/>
    <w:rsid w:val="17115EA6"/>
    <w:rsid w:val="3B14139B"/>
    <w:rsid w:val="7083771F"/>
    <w:rsid w:val="7E4E3C8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2024-03-04T15:34:10Z</dcterms:created>
  <dcterms:modified xsi:type="dcterms:W3CDTF">2024-03-04T07:34:10Z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2024-03-04T15:34:17Z</dcterms:created>
  <dcterms:modified xsi:type="dcterms:W3CDTF">2024-03-04T07:34:17Z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2024-03-04T15:34:15Z</dcterms:created>
  <dcterms:modified xsi:type="dcterms:W3CDTF">2024-03-04T07:34:15Z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2024-03-04T15:34:14Z</dcterms:created>
  <dcterms:modified xsi:type="dcterms:W3CDTF">2024-03-04T07:34:14Z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2024-03-04T15:34:14Z</dcterms:created>
  <dcterms:modified xsi:type="dcterms:W3CDTF">2024-03-04T07:34:14Z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2024-03-04T15:34:13Z</dcterms:created>
  <dcterms:modified xsi:type="dcterms:W3CDTF">2024-03-04T07:34:12Z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2024-03-04T15:34:12Z</dcterms:created>
  <dcterms:modified xsi:type="dcterms:W3CDTF">2024-03-04T07:34:12Z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2024-03-04T15:34:12Z</dcterms:created>
  <dcterms:modified xsi:type="dcterms:W3CDTF">2024-03-04T07:34:12Z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4b97c51-cd92-4140-a726-6323ef01a427}">
  <ds:schemaRefs/>
</ds:datastoreItem>
</file>

<file path=customXml/itemProps10.xml><?xml version="1.0" encoding="utf-8"?>
<ds:datastoreItem xmlns:ds="http://schemas.openxmlformats.org/officeDocument/2006/customXml" ds:itemID="{3ff4f01a-9cf9-4d5f-bfb1-6a6a01fee2e5}">
  <ds:schemaRefs/>
</ds:datastoreItem>
</file>

<file path=customXml/itemProps11.xml><?xml version="1.0" encoding="utf-8"?>
<ds:datastoreItem xmlns:ds="http://schemas.openxmlformats.org/officeDocument/2006/customXml" ds:itemID="{08e80e3d-771d-4071-86b4-4c98105cf657}">
  <ds:schemaRefs/>
</ds:datastoreItem>
</file>

<file path=customXml/itemProps12.xml><?xml version="1.0" encoding="utf-8"?>
<ds:datastoreItem xmlns:ds="http://schemas.openxmlformats.org/officeDocument/2006/customXml" ds:itemID="{61377658-ee2f-4b1f-b1f0-3322f73e9658}">
  <ds:schemaRefs/>
</ds:datastoreItem>
</file>

<file path=customXml/itemProps13.xml><?xml version="1.0" encoding="utf-8"?>
<ds:datastoreItem xmlns:ds="http://schemas.openxmlformats.org/officeDocument/2006/customXml" ds:itemID="{c8c2836b-0fbd-48af-a503-f8fba23ae620}">
  <ds:schemaRefs/>
</ds:datastoreItem>
</file>

<file path=customXml/itemProps14.xml><?xml version="1.0" encoding="utf-8"?>
<ds:datastoreItem xmlns:ds="http://schemas.openxmlformats.org/officeDocument/2006/customXml" ds:itemID="{797bc1f1-ebe7-4ba7-acd3-58c66003beba}">
  <ds:schemaRefs/>
</ds:datastoreItem>
</file>

<file path=customXml/itemProps15.xml><?xml version="1.0" encoding="utf-8"?>
<ds:datastoreItem xmlns:ds="http://schemas.openxmlformats.org/officeDocument/2006/customXml" ds:itemID="{537c7a4e-b836-4796-9e17-b3f58598800b}">
  <ds:schemaRefs/>
</ds:datastoreItem>
</file>

<file path=customXml/itemProps16.xml><?xml version="1.0" encoding="utf-8"?>
<ds:datastoreItem xmlns:ds="http://schemas.openxmlformats.org/officeDocument/2006/customXml" ds:itemID="{aded5447-05ad-49a5-8ded-2b1cbe47f5ab}">
  <ds:schemaRefs/>
</ds:datastoreItem>
</file>

<file path=customXml/itemProps17.xml><?xml version="1.0" encoding="utf-8"?>
<ds:datastoreItem xmlns:ds="http://schemas.openxmlformats.org/officeDocument/2006/customXml" ds:itemID="{651e3fce-6949-4638-a5f7-eefc87038067}">
  <ds:schemaRefs/>
</ds:datastoreItem>
</file>

<file path=customXml/itemProps18.xml><?xml version="1.0" encoding="utf-8"?>
<ds:datastoreItem xmlns:ds="http://schemas.openxmlformats.org/officeDocument/2006/customXml" ds:itemID="{afc83185-5c86-49ee-8d98-54acc4de7dd8}">
  <ds:schemaRefs/>
</ds:datastoreItem>
</file>

<file path=customXml/itemProps19.xml><?xml version="1.0" encoding="utf-8"?>
<ds:datastoreItem xmlns:ds="http://schemas.openxmlformats.org/officeDocument/2006/customXml" ds:itemID="{26e9a8f6-a22e-4268-af88-fbc6d9c91c97}">
  <ds:schemaRefs/>
</ds:datastoreItem>
</file>

<file path=customXml/itemProps2.xml><?xml version="1.0" encoding="utf-8"?>
<ds:datastoreItem xmlns:ds="http://schemas.openxmlformats.org/officeDocument/2006/customXml" ds:itemID="{f673d804-3d78-4e3a-9086-da53eb441027}">
  <ds:schemaRefs/>
</ds:datastoreItem>
</file>

<file path=customXml/itemProps20.xml><?xml version="1.0" encoding="utf-8"?>
<ds:datastoreItem xmlns:ds="http://schemas.openxmlformats.org/officeDocument/2006/customXml" ds:itemID="{0da55276-760a-40b5-9559-bcc56259d65e}">
  <ds:schemaRefs/>
</ds:datastoreItem>
</file>

<file path=customXml/itemProps21.xml><?xml version="1.0" encoding="utf-8"?>
<ds:datastoreItem xmlns:ds="http://schemas.openxmlformats.org/officeDocument/2006/customXml" ds:itemID="{b315918c-4b00-4b64-8fb2-718fdebe9d4d}">
  <ds:schemaRefs/>
</ds:datastoreItem>
</file>

<file path=customXml/itemProps22.xml><?xml version="1.0" encoding="utf-8"?>
<ds:datastoreItem xmlns:ds="http://schemas.openxmlformats.org/officeDocument/2006/customXml" ds:itemID="{79161dfc-581c-4e13-8560-4580c69db032}">
  <ds:schemaRefs/>
</ds:datastoreItem>
</file>

<file path=customXml/itemProps23.xml><?xml version="1.0" encoding="utf-8"?>
<ds:datastoreItem xmlns:ds="http://schemas.openxmlformats.org/officeDocument/2006/customXml" ds:itemID="{516931ff-6c45-4320-a9a4-059fa2d357bc}">
  <ds:schemaRefs/>
</ds:datastoreItem>
</file>

<file path=customXml/itemProps24.xml><?xml version="1.0" encoding="utf-8"?>
<ds:datastoreItem xmlns:ds="http://schemas.openxmlformats.org/officeDocument/2006/customXml" ds:itemID="{381c2ed0-46f5-4a26-a553-def326ab474f}">
  <ds:schemaRefs/>
</ds:datastoreItem>
</file>

<file path=customXml/itemProps3.xml><?xml version="1.0" encoding="utf-8"?>
<ds:datastoreItem xmlns:ds="http://schemas.openxmlformats.org/officeDocument/2006/customXml" ds:itemID="{ce8f4a2b-4dfc-4481-9d61-81ca2e6ef75f}">
  <ds:schemaRefs/>
</ds:datastoreItem>
</file>

<file path=customXml/itemProps4.xml><?xml version="1.0" encoding="utf-8"?>
<ds:datastoreItem xmlns:ds="http://schemas.openxmlformats.org/officeDocument/2006/customXml" ds:itemID="{455a7d13-464d-480c-ae3b-ff46d467a117}">
  <ds:schemaRefs/>
</ds:datastoreItem>
</file>

<file path=customXml/itemProps5.xml><?xml version="1.0" encoding="utf-8"?>
<ds:datastoreItem xmlns:ds="http://schemas.openxmlformats.org/officeDocument/2006/customXml" ds:itemID="{b2f6eec1-526d-4b80-bf27-9af502a54d4e}">
  <ds:schemaRefs/>
</ds:datastoreItem>
</file>

<file path=customXml/itemProps6.xml><?xml version="1.0" encoding="utf-8"?>
<ds:datastoreItem xmlns:ds="http://schemas.openxmlformats.org/officeDocument/2006/customXml" ds:itemID="{b583744e-be03-4166-b98a-ddc231087dc1}">
  <ds:schemaRefs/>
</ds:datastoreItem>
</file>

<file path=customXml/itemProps7.xml><?xml version="1.0" encoding="utf-8"?>
<ds:datastoreItem xmlns:ds="http://schemas.openxmlformats.org/officeDocument/2006/customXml" ds:itemID="{f85e5d68-6601-4b79-a9a4-421cda3889dc}">
  <ds:schemaRefs/>
</ds:datastoreItem>
</file>

<file path=customXml/itemProps8.xml><?xml version="1.0" encoding="utf-8"?>
<ds:datastoreItem xmlns:ds="http://schemas.openxmlformats.org/officeDocument/2006/customXml" ds:itemID="{7f205aa2-d8d5-4982-8086-291ab62b3f77}">
  <ds:schemaRefs/>
</ds:datastoreItem>
</file>

<file path=customXml/itemProps9.xml><?xml version="1.0" encoding="utf-8"?>
<ds:datastoreItem xmlns:ds="http://schemas.openxmlformats.org/officeDocument/2006/customXml" ds:itemID="{0f4ab81b-2980-4cf7-8766-37140fa57bd5}">
  <ds:schemaRefs/>
</ds:datastoreItem>
</file>

<file path=docProps/app.xml><?xml version="1.0" encoding="utf-8"?>
<Properties xmlns="http://schemas.openxmlformats.org/officeDocument/2006/extended-properties" xmlns:vt="http://schemas.openxmlformats.org/officeDocument/2006/docPropsVTypes">
  <Pages>47</Pages>
  <Words>0</Words>
  <Characters>0</Characters>
  <Lines>0</Lines>
  <Paragraphs>0</Paragraphs>
  <TotalTime>6</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2024-03-04T15:34:00Z</dcterms:created>
  <dc:creator>Lenovo</dc:creator>
  <cp:lastModifiedBy>Lenovo</cp:lastModifiedBy>
  <dcterms:modified xsi:type="dcterms:W3CDTF">2025-04-28T06:36:28Z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91A497FF754F435B98BD742413B66C7E_12</vt:lpwstr>
  </property>
</Properties>
</file>